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55A0E" w:rsidRPr="00E1372C">
        <w:trPr>
          <w:cantSplit/>
          <w:trHeight w:hRule="exact" w:val="851"/>
        </w:trPr>
        <w:tc>
          <w:tcPr>
            <w:tcW w:w="1276" w:type="dxa"/>
            <w:tcBorders>
              <w:bottom w:val="single" w:sz="4" w:space="0" w:color="auto"/>
            </w:tcBorders>
            <w:vAlign w:val="bottom"/>
          </w:tcPr>
          <w:p w:rsidR="00A55A0E" w:rsidRPr="00E1372C" w:rsidRDefault="00A55A0E" w:rsidP="00A55A0E">
            <w:pPr>
              <w:spacing w:after="80"/>
              <w:rPr>
                <w:lang w:val="fr-FR"/>
              </w:rPr>
            </w:pPr>
          </w:p>
        </w:tc>
        <w:tc>
          <w:tcPr>
            <w:tcW w:w="2268" w:type="dxa"/>
            <w:tcBorders>
              <w:bottom w:val="single" w:sz="4" w:space="0" w:color="auto"/>
            </w:tcBorders>
            <w:vAlign w:val="bottom"/>
          </w:tcPr>
          <w:p w:rsidR="00A55A0E" w:rsidRPr="00E1372C" w:rsidRDefault="00A55A0E" w:rsidP="00A55A0E">
            <w:pPr>
              <w:spacing w:after="80" w:line="300" w:lineRule="exact"/>
              <w:rPr>
                <w:b/>
                <w:sz w:val="24"/>
                <w:szCs w:val="24"/>
                <w:lang w:val="fr-FR"/>
              </w:rPr>
            </w:pPr>
            <w:r w:rsidRPr="00E1372C">
              <w:rPr>
                <w:sz w:val="28"/>
                <w:szCs w:val="28"/>
                <w:lang w:val="fr-FR"/>
              </w:rPr>
              <w:t>Nations</w:t>
            </w:r>
            <w:r w:rsidR="00AE09D6" w:rsidRPr="00E1372C">
              <w:rPr>
                <w:sz w:val="28"/>
                <w:szCs w:val="28"/>
                <w:lang w:val="fr-FR"/>
              </w:rPr>
              <w:t xml:space="preserve"> Unies</w:t>
            </w:r>
          </w:p>
        </w:tc>
        <w:tc>
          <w:tcPr>
            <w:tcW w:w="6095" w:type="dxa"/>
            <w:gridSpan w:val="2"/>
            <w:tcBorders>
              <w:bottom w:val="single" w:sz="4" w:space="0" w:color="auto"/>
            </w:tcBorders>
            <w:vAlign w:val="bottom"/>
          </w:tcPr>
          <w:p w:rsidR="00A55A0E" w:rsidRPr="00E1372C" w:rsidRDefault="00A55A0E" w:rsidP="00A55A0E">
            <w:pPr>
              <w:jc w:val="right"/>
              <w:rPr>
                <w:lang w:val="fr-FR"/>
              </w:rPr>
            </w:pPr>
            <w:r w:rsidRPr="00E1372C">
              <w:rPr>
                <w:sz w:val="40"/>
                <w:lang w:val="fr-FR"/>
              </w:rPr>
              <w:t>E</w:t>
            </w:r>
            <w:r w:rsidRPr="00E1372C">
              <w:rPr>
                <w:lang w:val="fr-FR"/>
              </w:rPr>
              <w:t>/C.12/NAM/1</w:t>
            </w:r>
          </w:p>
        </w:tc>
      </w:tr>
      <w:tr w:rsidR="00A55A0E" w:rsidRPr="00E1372C">
        <w:trPr>
          <w:cantSplit/>
          <w:trHeight w:hRule="exact" w:val="2835"/>
        </w:trPr>
        <w:tc>
          <w:tcPr>
            <w:tcW w:w="1276" w:type="dxa"/>
            <w:tcBorders>
              <w:top w:val="single" w:sz="4" w:space="0" w:color="auto"/>
              <w:bottom w:val="single" w:sz="12" w:space="0" w:color="auto"/>
            </w:tcBorders>
          </w:tcPr>
          <w:p w:rsidR="00A55A0E" w:rsidRPr="00E1372C" w:rsidRDefault="00A55A0E" w:rsidP="00A55A0E">
            <w:pPr>
              <w:spacing w:before="120"/>
              <w:rPr>
                <w:lang w:val="fr-FR"/>
              </w:rPr>
            </w:pPr>
            <w:r w:rsidRPr="00E1372C">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55A0E" w:rsidRPr="00E1372C" w:rsidRDefault="00AE09D6" w:rsidP="00E10A0F">
            <w:pPr>
              <w:spacing w:before="120" w:line="420" w:lineRule="exact"/>
              <w:rPr>
                <w:sz w:val="40"/>
                <w:szCs w:val="40"/>
                <w:lang w:val="fr-FR"/>
              </w:rPr>
            </w:pPr>
            <w:r w:rsidRPr="00E1372C">
              <w:rPr>
                <w:b/>
                <w:sz w:val="40"/>
                <w:szCs w:val="40"/>
                <w:lang w:val="fr-FR"/>
              </w:rPr>
              <w:t>Conseil économique et s</w:t>
            </w:r>
            <w:r w:rsidR="00E10A0F" w:rsidRPr="00E1372C">
              <w:rPr>
                <w:b/>
                <w:sz w:val="40"/>
                <w:szCs w:val="40"/>
                <w:lang w:val="fr-FR"/>
              </w:rPr>
              <w:t>o</w:t>
            </w:r>
            <w:r w:rsidRPr="00E1372C">
              <w:rPr>
                <w:b/>
                <w:sz w:val="40"/>
                <w:szCs w:val="40"/>
                <w:lang w:val="fr-FR"/>
              </w:rPr>
              <w:t>cial</w:t>
            </w:r>
          </w:p>
        </w:tc>
        <w:tc>
          <w:tcPr>
            <w:tcW w:w="2835" w:type="dxa"/>
            <w:tcBorders>
              <w:top w:val="single" w:sz="4" w:space="0" w:color="auto"/>
              <w:bottom w:val="single" w:sz="12" w:space="0" w:color="auto"/>
            </w:tcBorders>
          </w:tcPr>
          <w:p w:rsidR="00A55A0E" w:rsidRPr="00E1372C" w:rsidRDefault="00A55A0E" w:rsidP="00A55A0E">
            <w:pPr>
              <w:spacing w:before="240" w:line="240" w:lineRule="exact"/>
              <w:rPr>
                <w:lang w:val="fr-FR"/>
              </w:rPr>
            </w:pPr>
            <w:r w:rsidRPr="00E1372C">
              <w:rPr>
                <w:lang w:val="fr-FR"/>
              </w:rPr>
              <w:t>Distr.</w:t>
            </w:r>
            <w:r w:rsidR="00AE017E" w:rsidRPr="00E1372C">
              <w:rPr>
                <w:lang w:val="fr-FR"/>
              </w:rPr>
              <w:t xml:space="preserve"> </w:t>
            </w:r>
            <w:r w:rsidR="00AE09D6" w:rsidRPr="00E1372C">
              <w:rPr>
                <w:lang w:val="fr-FR"/>
              </w:rPr>
              <w:t>générale</w:t>
            </w:r>
          </w:p>
          <w:p w:rsidR="00A55A0E" w:rsidRPr="00E1372C" w:rsidRDefault="00262C7B" w:rsidP="00AE017E">
            <w:pPr>
              <w:spacing w:line="240" w:lineRule="exact"/>
              <w:rPr>
                <w:lang w:val="fr-FR"/>
              </w:rPr>
            </w:pPr>
            <w:r w:rsidRPr="00E1372C">
              <w:rPr>
                <w:lang w:val="fr-FR"/>
              </w:rPr>
              <w:t>13</w:t>
            </w:r>
            <w:r w:rsidR="00A55A0E" w:rsidRPr="00E1372C">
              <w:rPr>
                <w:lang w:val="fr-FR"/>
              </w:rPr>
              <w:t xml:space="preserve"> </w:t>
            </w:r>
            <w:r w:rsidR="00AE09D6" w:rsidRPr="00E1372C">
              <w:rPr>
                <w:lang w:val="fr-FR"/>
              </w:rPr>
              <w:t>février 2015</w:t>
            </w:r>
          </w:p>
          <w:p w:rsidR="00EA7545" w:rsidRPr="00E1372C" w:rsidRDefault="00EA7545" w:rsidP="00AE017E">
            <w:pPr>
              <w:spacing w:line="240" w:lineRule="exact"/>
              <w:rPr>
                <w:lang w:val="fr-FR"/>
              </w:rPr>
            </w:pPr>
            <w:r w:rsidRPr="00E1372C">
              <w:rPr>
                <w:lang w:val="fr-FR"/>
              </w:rPr>
              <w:t>Français</w:t>
            </w:r>
          </w:p>
          <w:p w:rsidR="00A55A0E" w:rsidRPr="00E1372C" w:rsidRDefault="00A55A0E" w:rsidP="00A55A0E">
            <w:pPr>
              <w:spacing w:line="240" w:lineRule="exact"/>
              <w:rPr>
                <w:lang w:val="fr-FR"/>
              </w:rPr>
            </w:pPr>
            <w:r w:rsidRPr="00E1372C">
              <w:rPr>
                <w:lang w:val="fr-FR"/>
              </w:rPr>
              <w:t>Original</w:t>
            </w:r>
            <w:r w:rsidR="00AE017E" w:rsidRPr="00E1372C">
              <w:rPr>
                <w:lang w:val="fr-FR"/>
              </w:rPr>
              <w:t>:</w:t>
            </w:r>
            <w:r w:rsidRPr="00E1372C">
              <w:rPr>
                <w:lang w:val="fr-FR"/>
              </w:rPr>
              <w:t xml:space="preserve"> </w:t>
            </w:r>
            <w:r w:rsidR="00EA7545" w:rsidRPr="00E1372C">
              <w:rPr>
                <w:lang w:val="fr-FR"/>
              </w:rPr>
              <w:t>anglais</w:t>
            </w:r>
          </w:p>
          <w:p w:rsidR="00B04F1A" w:rsidRPr="00E1372C" w:rsidRDefault="00E1372C" w:rsidP="00AE09D6">
            <w:pPr>
              <w:spacing w:line="240" w:lineRule="exact"/>
              <w:rPr>
                <w:lang w:val="fr-FR"/>
              </w:rPr>
            </w:pPr>
            <w:r w:rsidRPr="00E1372C">
              <w:rPr>
                <w:lang w:val="fr-FR"/>
              </w:rPr>
              <w:t>Anglais</w:t>
            </w:r>
            <w:r w:rsidR="00AE09D6" w:rsidRPr="00E1372C">
              <w:rPr>
                <w:lang w:val="fr-FR"/>
              </w:rPr>
              <w:t>, espagnol et français seulement</w:t>
            </w:r>
          </w:p>
        </w:tc>
      </w:tr>
    </w:tbl>
    <w:p w:rsidR="00A55A0E" w:rsidRPr="00E1372C" w:rsidRDefault="00A55A0E" w:rsidP="00A55A0E">
      <w:pPr>
        <w:spacing w:before="120"/>
        <w:rPr>
          <w:b/>
          <w:sz w:val="24"/>
          <w:szCs w:val="24"/>
          <w:lang w:val="fr-FR"/>
        </w:rPr>
      </w:pPr>
      <w:r w:rsidRPr="00E1372C">
        <w:rPr>
          <w:b/>
          <w:sz w:val="24"/>
          <w:szCs w:val="24"/>
          <w:lang w:val="fr-FR"/>
        </w:rPr>
        <w:t>Com</w:t>
      </w:r>
      <w:r w:rsidR="00AE09D6" w:rsidRPr="00E1372C">
        <w:rPr>
          <w:b/>
          <w:sz w:val="24"/>
          <w:szCs w:val="24"/>
          <w:lang w:val="fr-FR"/>
        </w:rPr>
        <w:t>ité des droits économiques, sociaux et culturels</w:t>
      </w:r>
    </w:p>
    <w:p w:rsidR="00A55A0E" w:rsidRPr="00E1372C" w:rsidRDefault="00A55A0E" w:rsidP="00A55A0E">
      <w:pPr>
        <w:pStyle w:val="HMG"/>
        <w:rPr>
          <w:lang w:val="fr-FR"/>
        </w:rPr>
      </w:pPr>
      <w:r w:rsidRPr="00E1372C">
        <w:rPr>
          <w:lang w:val="fr-FR"/>
        </w:rPr>
        <w:tab/>
      </w:r>
      <w:r w:rsidRPr="00E1372C">
        <w:rPr>
          <w:lang w:val="fr-FR"/>
        </w:rPr>
        <w:tab/>
      </w:r>
      <w:r w:rsidR="008543B1" w:rsidRPr="00E1372C">
        <w:rPr>
          <w:lang w:val="fr-FR"/>
        </w:rPr>
        <w:t>Examen des rapports soumis par les États parties en application des articles 16 et 17 du Pacte international relatif aux droits économiques, sociaux et culturels</w:t>
      </w:r>
    </w:p>
    <w:p w:rsidR="00A55A0E" w:rsidRPr="00E1372C" w:rsidRDefault="00A55A0E" w:rsidP="00A55A0E">
      <w:pPr>
        <w:pStyle w:val="HChG"/>
        <w:rPr>
          <w:lang w:val="fr-FR"/>
        </w:rPr>
      </w:pPr>
      <w:r w:rsidRPr="00E1372C">
        <w:rPr>
          <w:lang w:val="fr-FR"/>
        </w:rPr>
        <w:tab/>
      </w:r>
      <w:r w:rsidRPr="00E1372C">
        <w:rPr>
          <w:lang w:val="fr-FR"/>
        </w:rPr>
        <w:tab/>
      </w:r>
      <w:r w:rsidR="008543B1" w:rsidRPr="00E1372C">
        <w:rPr>
          <w:lang w:val="fr-FR"/>
        </w:rPr>
        <w:t>Rapports initiaux des États parties attendus en 1997</w:t>
      </w:r>
    </w:p>
    <w:p w:rsidR="00A55A0E" w:rsidRPr="00E1372C" w:rsidRDefault="00A55A0E" w:rsidP="00A55A0E">
      <w:pPr>
        <w:pStyle w:val="HMG"/>
        <w:rPr>
          <w:lang w:val="fr-FR"/>
        </w:rPr>
      </w:pPr>
      <w:r w:rsidRPr="00E1372C">
        <w:rPr>
          <w:lang w:val="fr-FR"/>
        </w:rPr>
        <w:tab/>
      </w:r>
      <w:r w:rsidRPr="00E1372C">
        <w:rPr>
          <w:lang w:val="fr-FR"/>
        </w:rPr>
        <w:tab/>
        <w:t>Namibi</w:t>
      </w:r>
      <w:r w:rsidR="008543B1" w:rsidRPr="00E1372C">
        <w:rPr>
          <w:lang w:val="fr-FR"/>
        </w:rPr>
        <w:t>e</w:t>
      </w:r>
      <w:r w:rsidRPr="00E1372C">
        <w:rPr>
          <w:rStyle w:val="FootnoteReference"/>
          <w:b w:val="0"/>
          <w:bCs/>
          <w:sz w:val="20"/>
          <w:vertAlign w:val="baseline"/>
          <w:lang w:val="fr-FR"/>
        </w:rPr>
        <w:footnoteReference w:customMarkFollows="1" w:id="2"/>
        <w:t>*</w:t>
      </w:r>
    </w:p>
    <w:p w:rsidR="00A55A0E" w:rsidRPr="00E1372C" w:rsidRDefault="00A55A0E" w:rsidP="00A55A0E">
      <w:pPr>
        <w:ind w:right="1134"/>
        <w:jc w:val="right"/>
        <w:rPr>
          <w:lang w:val="fr-FR"/>
        </w:rPr>
      </w:pPr>
      <w:r w:rsidRPr="00E1372C">
        <w:rPr>
          <w:lang w:val="fr-FR"/>
        </w:rPr>
        <w:t xml:space="preserve">[Date </w:t>
      </w:r>
      <w:r w:rsidR="008543B1" w:rsidRPr="00E1372C">
        <w:rPr>
          <w:lang w:val="fr-FR"/>
        </w:rPr>
        <w:t xml:space="preserve">de </w:t>
      </w:r>
      <w:r w:rsidR="00FD4CEA" w:rsidRPr="00E1372C">
        <w:rPr>
          <w:lang w:val="fr-FR"/>
        </w:rPr>
        <w:t>réception</w:t>
      </w:r>
      <w:r w:rsidR="00AE017E" w:rsidRPr="00E1372C">
        <w:rPr>
          <w:lang w:val="fr-FR"/>
        </w:rPr>
        <w:t>:</w:t>
      </w:r>
      <w:r w:rsidR="008543B1" w:rsidRPr="00E1372C">
        <w:rPr>
          <w:lang w:val="fr-FR"/>
        </w:rPr>
        <w:t xml:space="preserve"> 15 octobre 2014</w:t>
      </w:r>
      <w:r w:rsidRPr="00E1372C">
        <w:rPr>
          <w:lang w:val="fr-FR"/>
        </w:rPr>
        <w:t>]</w:t>
      </w:r>
    </w:p>
    <w:p w:rsidR="00A55A0E" w:rsidRPr="00E1372C" w:rsidRDefault="00A55A0E" w:rsidP="00A55A0E">
      <w:pPr>
        <w:spacing w:after="120"/>
        <w:rPr>
          <w:sz w:val="28"/>
          <w:lang w:val="fr-FR"/>
        </w:rPr>
      </w:pPr>
      <w:r w:rsidRPr="00E1372C">
        <w:rPr>
          <w:lang w:val="fr-FR"/>
        </w:rPr>
        <w:br w:type="page"/>
      </w:r>
      <w:r w:rsidR="008543B1" w:rsidRPr="00E1372C">
        <w:rPr>
          <w:sz w:val="28"/>
          <w:lang w:val="fr-FR"/>
        </w:rPr>
        <w:t>Table des matières</w:t>
      </w:r>
    </w:p>
    <w:p w:rsidR="00A55A0E" w:rsidRPr="00E1372C" w:rsidRDefault="00A55A0E" w:rsidP="00A55A0E">
      <w:pPr>
        <w:tabs>
          <w:tab w:val="right" w:pos="8929"/>
          <w:tab w:val="right" w:pos="9638"/>
        </w:tabs>
        <w:spacing w:after="120"/>
        <w:ind w:left="283"/>
        <w:rPr>
          <w:lang w:val="fr-FR"/>
        </w:rPr>
      </w:pPr>
      <w:r w:rsidRPr="00E1372C">
        <w:rPr>
          <w:i/>
          <w:sz w:val="18"/>
          <w:lang w:val="fr-FR"/>
        </w:rPr>
        <w:tab/>
        <w:t>Paragraph</w:t>
      </w:r>
      <w:r w:rsidR="008543B1" w:rsidRPr="00E1372C">
        <w:rPr>
          <w:i/>
          <w:sz w:val="18"/>
          <w:lang w:val="fr-FR"/>
        </w:rPr>
        <w:t>e</w:t>
      </w:r>
      <w:r w:rsidRPr="00E1372C">
        <w:rPr>
          <w:i/>
          <w:sz w:val="18"/>
          <w:lang w:val="fr-FR"/>
        </w:rPr>
        <w:t>s</w:t>
      </w:r>
      <w:r w:rsidRPr="00E1372C">
        <w:rPr>
          <w:i/>
          <w:sz w:val="18"/>
          <w:lang w:val="fr-FR"/>
        </w:rPr>
        <w:tab/>
        <w:t>Page</w:t>
      </w:r>
    </w:p>
    <w:p w:rsidR="00A55A0E" w:rsidRPr="00E1372C" w:rsidRDefault="00A55A0E" w:rsidP="00B63107">
      <w:pPr>
        <w:tabs>
          <w:tab w:val="right" w:pos="850"/>
          <w:tab w:val="left" w:pos="1134"/>
          <w:tab w:val="left" w:pos="1559"/>
          <w:tab w:val="left" w:pos="1984"/>
          <w:tab w:val="right" w:leader="dot" w:pos="8929"/>
          <w:tab w:val="right" w:pos="9638"/>
        </w:tabs>
        <w:spacing w:after="120"/>
        <w:rPr>
          <w:lang w:val="fr-FR"/>
        </w:rPr>
      </w:pPr>
      <w:r w:rsidRPr="00E1372C">
        <w:rPr>
          <w:lang w:val="fr-FR"/>
        </w:rPr>
        <w:tab/>
      </w:r>
      <w:r w:rsidRPr="00E1372C">
        <w:rPr>
          <w:lang w:val="fr-FR"/>
        </w:rPr>
        <w:tab/>
        <w:t>A</w:t>
      </w:r>
      <w:r w:rsidR="004019F5" w:rsidRPr="00E1372C">
        <w:rPr>
          <w:lang w:val="fr-FR"/>
        </w:rPr>
        <w:t>bréviations</w:t>
      </w:r>
      <w:r w:rsidR="00B63107" w:rsidRPr="00E1372C">
        <w:rPr>
          <w:lang w:val="fr-FR"/>
        </w:rPr>
        <w:tab/>
      </w:r>
      <w:r w:rsidRPr="00E1372C">
        <w:rPr>
          <w:lang w:val="fr-FR"/>
        </w:rPr>
        <w:tab/>
        <w:t>3</w:t>
      </w:r>
    </w:p>
    <w:p w:rsidR="00A55A0E" w:rsidRPr="00E1372C" w:rsidRDefault="00A55A0E" w:rsidP="00A55A0E">
      <w:pPr>
        <w:tabs>
          <w:tab w:val="right" w:pos="850"/>
          <w:tab w:val="left" w:pos="1134"/>
          <w:tab w:val="left" w:pos="1559"/>
          <w:tab w:val="left" w:pos="1984"/>
          <w:tab w:val="left" w:leader="dot" w:pos="7654"/>
          <w:tab w:val="right" w:pos="8929"/>
          <w:tab w:val="right" w:pos="9638"/>
        </w:tabs>
        <w:spacing w:after="120"/>
        <w:rPr>
          <w:lang w:val="fr-FR"/>
        </w:rPr>
      </w:pPr>
      <w:r w:rsidRPr="00E1372C">
        <w:rPr>
          <w:lang w:val="fr-FR"/>
        </w:rPr>
        <w:tab/>
        <w:t>I.</w:t>
      </w:r>
      <w:r w:rsidRPr="00E1372C">
        <w:rPr>
          <w:lang w:val="fr-FR"/>
        </w:rPr>
        <w:tab/>
        <w:t>Introduction</w:t>
      </w:r>
      <w:r w:rsidRPr="00E1372C">
        <w:rPr>
          <w:lang w:val="fr-FR"/>
        </w:rPr>
        <w:tab/>
      </w:r>
      <w:r w:rsidRPr="00E1372C">
        <w:rPr>
          <w:lang w:val="fr-FR"/>
        </w:rPr>
        <w:tab/>
        <w:t>1–3</w:t>
      </w:r>
      <w:r w:rsidRPr="00E1372C">
        <w:rPr>
          <w:lang w:val="fr-FR"/>
        </w:rPr>
        <w:tab/>
      </w:r>
      <w:r w:rsidR="00C4577A" w:rsidRPr="00E1372C">
        <w:rPr>
          <w:lang w:val="fr-FR"/>
        </w:rPr>
        <w:t>4</w:t>
      </w:r>
    </w:p>
    <w:p w:rsidR="00A55A0E" w:rsidRPr="00E1372C" w:rsidRDefault="00A55A0E" w:rsidP="00473816">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E1372C">
        <w:rPr>
          <w:lang w:val="fr-FR"/>
        </w:rPr>
        <w:tab/>
        <w:t>II.</w:t>
      </w:r>
      <w:r w:rsidRPr="00E1372C">
        <w:rPr>
          <w:lang w:val="fr-FR"/>
        </w:rPr>
        <w:tab/>
      </w:r>
      <w:r w:rsidR="00FC12D5" w:rsidRPr="00E1372C">
        <w:rPr>
          <w:lang w:val="fr-FR"/>
        </w:rPr>
        <w:t xml:space="preserve">Partie du rapport concernant les </w:t>
      </w:r>
      <w:r w:rsidR="004019F5" w:rsidRPr="00E1372C">
        <w:rPr>
          <w:lang w:val="fr-FR"/>
        </w:rPr>
        <w:t>dispositions générales du Pacte</w:t>
      </w:r>
      <w:r w:rsidRPr="00E1372C">
        <w:rPr>
          <w:lang w:val="fr-FR"/>
        </w:rPr>
        <w:tab/>
      </w:r>
      <w:r w:rsidRPr="00E1372C">
        <w:rPr>
          <w:lang w:val="fr-FR"/>
        </w:rPr>
        <w:tab/>
        <w:t>4–138</w:t>
      </w:r>
      <w:r w:rsidRPr="00E1372C">
        <w:rPr>
          <w:lang w:val="fr-FR"/>
        </w:rPr>
        <w:tab/>
      </w:r>
      <w:r w:rsidR="00C4577A" w:rsidRPr="00E1372C">
        <w:rPr>
          <w:lang w:val="fr-FR"/>
        </w:rPr>
        <w:t>4</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1</w:t>
      </w:r>
      <w:r w:rsidR="00E1372C" w:rsidRPr="00E1372C">
        <w:rPr>
          <w:vertAlign w:val="superscript"/>
          <w:lang w:val="fr-FR"/>
        </w:rPr>
        <w:t>er</w:t>
      </w:r>
      <w:r w:rsidR="00E1372C">
        <w:rPr>
          <w:lang w:val="fr-FR"/>
        </w:rPr>
        <w:t xml:space="preserve">. </w:t>
      </w:r>
      <w:r w:rsidR="004019F5" w:rsidRPr="00E1372C">
        <w:rPr>
          <w:lang w:val="fr-FR"/>
        </w:rPr>
        <w:t xml:space="preserve">Situation </w:t>
      </w:r>
      <w:r w:rsidR="00FC12D5" w:rsidRPr="00E1372C">
        <w:rPr>
          <w:lang w:val="fr-FR"/>
        </w:rPr>
        <w:t>politique</w:t>
      </w:r>
      <w:r w:rsidRPr="00E1372C">
        <w:rPr>
          <w:lang w:val="fr-FR"/>
        </w:rPr>
        <w:tab/>
      </w:r>
      <w:r w:rsidRPr="00E1372C">
        <w:rPr>
          <w:lang w:val="fr-FR"/>
        </w:rPr>
        <w:tab/>
        <w:t>4–21</w:t>
      </w:r>
      <w:r w:rsidRPr="00E1372C">
        <w:rPr>
          <w:lang w:val="fr-FR"/>
        </w:rPr>
        <w:tab/>
      </w:r>
      <w:r w:rsidR="00820A7A" w:rsidRPr="00E1372C">
        <w:rPr>
          <w:lang w:val="fr-FR"/>
        </w:rPr>
        <w:t>4</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2</w:t>
      </w:r>
      <w:r w:rsidR="00E1372C">
        <w:rPr>
          <w:lang w:val="fr-FR"/>
        </w:rPr>
        <w:t xml:space="preserve">. </w:t>
      </w:r>
      <w:r w:rsidR="004019F5" w:rsidRPr="00E1372C">
        <w:rPr>
          <w:lang w:val="fr-FR"/>
        </w:rPr>
        <w:t>Constitution, législation et autres mesures</w:t>
      </w:r>
      <w:r w:rsidRPr="00E1372C">
        <w:rPr>
          <w:lang w:val="fr-FR"/>
        </w:rPr>
        <w:tab/>
      </w:r>
      <w:r w:rsidRPr="00E1372C">
        <w:rPr>
          <w:lang w:val="fr-FR"/>
        </w:rPr>
        <w:tab/>
        <w:t>22–117</w:t>
      </w:r>
      <w:r w:rsidRPr="00E1372C">
        <w:rPr>
          <w:lang w:val="fr-FR"/>
        </w:rPr>
        <w:tab/>
      </w:r>
      <w:r w:rsidR="00820A7A" w:rsidRPr="00E1372C">
        <w:rPr>
          <w:lang w:val="fr-FR"/>
        </w:rPr>
        <w:t>6</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3</w:t>
      </w:r>
      <w:r w:rsidR="004019F5" w:rsidRPr="00E1372C">
        <w:rPr>
          <w:lang w:val="fr-FR"/>
        </w:rPr>
        <w:t>.</w:t>
      </w:r>
      <w:r w:rsidR="00E1372C">
        <w:rPr>
          <w:lang w:val="fr-FR" w:bidi="en-US"/>
        </w:rPr>
        <w:t xml:space="preserve"> </w:t>
      </w:r>
      <w:r w:rsidR="004019F5" w:rsidRPr="00E1372C">
        <w:rPr>
          <w:lang w:val="fr-FR"/>
        </w:rPr>
        <w:t>Égalité</w:t>
      </w:r>
      <w:r w:rsidR="004019F5" w:rsidRPr="00E1372C">
        <w:rPr>
          <w:lang w:val="fr-FR" w:bidi="en-US"/>
        </w:rPr>
        <w:t xml:space="preserve"> entre hommes et femmes</w:t>
      </w:r>
      <w:r w:rsidRPr="00E1372C">
        <w:rPr>
          <w:lang w:val="fr-FR"/>
        </w:rPr>
        <w:tab/>
      </w:r>
      <w:r w:rsidRPr="00E1372C">
        <w:rPr>
          <w:lang w:val="fr-FR"/>
        </w:rPr>
        <w:tab/>
        <w:t>118–132</w:t>
      </w:r>
      <w:r w:rsidRPr="00E1372C">
        <w:rPr>
          <w:lang w:val="fr-FR"/>
        </w:rPr>
        <w:tab/>
        <w:t>20</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4</w:t>
      </w:r>
      <w:r w:rsidR="004019F5" w:rsidRPr="00E1372C">
        <w:rPr>
          <w:lang w:val="fr-FR"/>
        </w:rPr>
        <w:t>.</w:t>
      </w:r>
      <w:r w:rsidR="00E1372C">
        <w:rPr>
          <w:lang w:val="fr-FR" w:bidi="en-US"/>
        </w:rPr>
        <w:t xml:space="preserve"> </w:t>
      </w:r>
      <w:r w:rsidR="004019F5" w:rsidRPr="00E1372C">
        <w:rPr>
          <w:lang w:val="fr-FR"/>
        </w:rPr>
        <w:t>Droits</w:t>
      </w:r>
      <w:r w:rsidR="004019F5" w:rsidRPr="00E1372C">
        <w:rPr>
          <w:lang w:val="fr-FR" w:bidi="en-US"/>
        </w:rPr>
        <w:t xml:space="preserve"> </w:t>
      </w:r>
      <w:r w:rsidR="007F33CB" w:rsidRPr="00E1372C">
        <w:rPr>
          <w:lang w:val="fr-FR" w:bidi="en-US"/>
        </w:rPr>
        <w:t>économiques, sociaux et culturels soumis aux limitations</w:t>
      </w:r>
      <w:r w:rsidR="007F33CB" w:rsidRPr="00E1372C">
        <w:rPr>
          <w:lang w:val="fr-FR" w:bidi="en-US"/>
        </w:rPr>
        <w:br/>
      </w:r>
      <w:r w:rsidR="007F33CB" w:rsidRPr="00E1372C">
        <w:rPr>
          <w:lang w:val="fr-FR" w:bidi="en-US"/>
        </w:rPr>
        <w:tab/>
      </w:r>
      <w:r w:rsidR="007F33CB" w:rsidRPr="00E1372C">
        <w:rPr>
          <w:lang w:val="fr-FR" w:bidi="en-US"/>
        </w:rPr>
        <w:tab/>
        <w:t>établies par la loi</w:t>
      </w:r>
      <w:r w:rsidRPr="00E1372C">
        <w:rPr>
          <w:lang w:val="fr-FR"/>
        </w:rPr>
        <w:tab/>
      </w:r>
      <w:r w:rsidRPr="00E1372C">
        <w:rPr>
          <w:lang w:val="fr-FR"/>
        </w:rPr>
        <w:tab/>
        <w:t>133–135</w:t>
      </w:r>
      <w:r w:rsidRPr="00E1372C">
        <w:rPr>
          <w:lang w:val="fr-FR"/>
        </w:rPr>
        <w:tab/>
        <w:t>22</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5</w:t>
      </w:r>
      <w:r w:rsidR="00E1372C">
        <w:rPr>
          <w:lang w:val="fr-FR"/>
        </w:rPr>
        <w:t xml:space="preserve">. </w:t>
      </w:r>
      <w:r w:rsidR="004019F5" w:rsidRPr="00E1372C">
        <w:rPr>
          <w:lang w:val="fr-FR"/>
        </w:rPr>
        <w:t>I</w:t>
      </w:r>
      <w:r w:rsidR="004019F5" w:rsidRPr="00E1372C">
        <w:rPr>
          <w:lang w:val="fr-FR" w:bidi="en-US"/>
        </w:rPr>
        <w:t>nterprétation de l</w:t>
      </w:r>
      <w:r w:rsidR="00731F09" w:rsidRPr="00E1372C">
        <w:rPr>
          <w:lang w:val="fr-FR" w:bidi="en-US"/>
        </w:rPr>
        <w:t>’</w:t>
      </w:r>
      <w:r w:rsidR="004019F5" w:rsidRPr="00E1372C">
        <w:rPr>
          <w:lang w:val="fr-FR" w:bidi="en-US"/>
        </w:rPr>
        <w:t>article 5 du Pacte</w:t>
      </w:r>
      <w:r w:rsidRPr="00E1372C">
        <w:rPr>
          <w:lang w:val="fr-FR"/>
        </w:rPr>
        <w:tab/>
      </w:r>
      <w:r w:rsidRPr="00E1372C">
        <w:rPr>
          <w:lang w:val="fr-FR"/>
        </w:rPr>
        <w:tab/>
        <w:t>136–138</w:t>
      </w:r>
      <w:r w:rsidRPr="00E1372C">
        <w:rPr>
          <w:lang w:val="fr-FR"/>
        </w:rPr>
        <w:tab/>
        <w:t>22</w:t>
      </w:r>
    </w:p>
    <w:p w:rsidR="00A55A0E" w:rsidRPr="00E1372C" w:rsidRDefault="00A55A0E" w:rsidP="00473816">
      <w:pPr>
        <w:tabs>
          <w:tab w:val="right" w:pos="850"/>
          <w:tab w:val="left" w:pos="1134"/>
          <w:tab w:val="left" w:pos="1559"/>
          <w:tab w:val="left" w:pos="1984"/>
          <w:tab w:val="left" w:leader="dot" w:pos="7654"/>
          <w:tab w:val="right" w:pos="8929"/>
          <w:tab w:val="right" w:pos="9638"/>
        </w:tabs>
        <w:spacing w:after="120"/>
        <w:rPr>
          <w:lang w:val="fr-FR"/>
        </w:rPr>
      </w:pPr>
      <w:r w:rsidRPr="00E1372C">
        <w:rPr>
          <w:lang w:val="fr-FR"/>
        </w:rPr>
        <w:tab/>
        <w:t>III.</w:t>
      </w:r>
      <w:r w:rsidRPr="00E1372C">
        <w:rPr>
          <w:lang w:val="fr-FR"/>
        </w:rPr>
        <w:tab/>
      </w:r>
      <w:r w:rsidR="00BE0692" w:rsidRPr="00E1372C">
        <w:rPr>
          <w:lang w:val="fr-FR"/>
        </w:rPr>
        <w:t>Partie du rapport concernant des droi</w:t>
      </w:r>
      <w:r w:rsidR="004019F5" w:rsidRPr="00E1372C">
        <w:rPr>
          <w:lang w:val="fr-FR"/>
        </w:rPr>
        <w:t>ts spécifiques</w:t>
      </w:r>
      <w:r w:rsidRPr="00E1372C">
        <w:rPr>
          <w:lang w:val="fr-FR"/>
        </w:rPr>
        <w:tab/>
      </w:r>
      <w:r w:rsidRPr="00E1372C">
        <w:rPr>
          <w:lang w:val="fr-FR"/>
        </w:rPr>
        <w:tab/>
        <w:t>139–425</w:t>
      </w:r>
      <w:r w:rsidRPr="00E1372C">
        <w:rPr>
          <w:lang w:val="fr-FR"/>
        </w:rPr>
        <w:tab/>
      </w:r>
      <w:r w:rsidR="0004129B" w:rsidRPr="00E1372C">
        <w:rPr>
          <w:lang w:val="fr-FR"/>
        </w:rPr>
        <w:t>23</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6</w:t>
      </w:r>
      <w:r w:rsidR="00E1372C">
        <w:rPr>
          <w:lang w:val="fr-FR"/>
        </w:rPr>
        <w:t xml:space="preserve">. </w:t>
      </w:r>
      <w:r w:rsidR="004019F5" w:rsidRPr="00E1372C">
        <w:rPr>
          <w:lang w:val="fr-FR"/>
        </w:rPr>
        <w:t xml:space="preserve">Taux </w:t>
      </w:r>
      <w:r w:rsidR="00BE0692" w:rsidRPr="00E1372C">
        <w:rPr>
          <w:lang w:val="fr-FR"/>
        </w:rPr>
        <w:t>de chômage en Namibie</w:t>
      </w:r>
      <w:r w:rsidRPr="00E1372C">
        <w:rPr>
          <w:lang w:val="fr-FR"/>
        </w:rPr>
        <w:tab/>
      </w:r>
      <w:r w:rsidRPr="00E1372C">
        <w:rPr>
          <w:lang w:val="fr-FR"/>
        </w:rPr>
        <w:tab/>
        <w:t>139–165</w:t>
      </w:r>
      <w:r w:rsidRPr="00E1372C">
        <w:rPr>
          <w:lang w:val="fr-FR"/>
        </w:rPr>
        <w:tab/>
        <w:t>23</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7</w:t>
      </w:r>
      <w:r w:rsidR="004019F5" w:rsidRPr="00E1372C">
        <w:rPr>
          <w:lang w:val="fr-FR"/>
        </w:rPr>
        <w:t>.</w:t>
      </w:r>
      <w:r w:rsidR="00E1372C">
        <w:rPr>
          <w:lang w:val="fr-FR" w:bidi="en-US"/>
        </w:rPr>
        <w:t xml:space="preserve"> </w:t>
      </w:r>
      <w:r w:rsidR="004019F5" w:rsidRPr="00E1372C">
        <w:rPr>
          <w:lang w:val="fr-FR"/>
        </w:rPr>
        <w:t>Rémunération</w:t>
      </w:r>
      <w:r w:rsidR="004019F5" w:rsidRPr="00E1372C">
        <w:rPr>
          <w:lang w:val="fr-FR" w:bidi="en-US"/>
        </w:rPr>
        <w:t xml:space="preserve"> </w:t>
      </w:r>
      <w:r w:rsidR="00CD4083" w:rsidRPr="00E1372C">
        <w:rPr>
          <w:lang w:val="fr-FR" w:bidi="en-US"/>
        </w:rPr>
        <w:t>(salai</w:t>
      </w:r>
      <w:r w:rsidR="004019F5" w:rsidRPr="00E1372C">
        <w:rPr>
          <w:lang w:val="fr-FR" w:bidi="en-US"/>
        </w:rPr>
        <w:t>res nominaux et salaires réels)</w:t>
      </w:r>
      <w:r w:rsidR="00254060" w:rsidRPr="00E1372C">
        <w:rPr>
          <w:lang w:val="fr-FR"/>
        </w:rPr>
        <w:tab/>
      </w:r>
      <w:r w:rsidR="00254060" w:rsidRPr="00E1372C">
        <w:rPr>
          <w:lang w:val="fr-FR"/>
        </w:rPr>
        <w:tab/>
        <w:t>166–181</w:t>
      </w:r>
      <w:r w:rsidR="00254060" w:rsidRPr="00E1372C">
        <w:rPr>
          <w:lang w:val="fr-FR"/>
        </w:rPr>
        <w:tab/>
        <w:t>28</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8</w:t>
      </w:r>
      <w:r w:rsidR="00E1372C">
        <w:rPr>
          <w:lang w:val="fr-FR"/>
        </w:rPr>
        <w:t xml:space="preserve">. </w:t>
      </w:r>
      <w:r w:rsidR="004019F5" w:rsidRPr="00E1372C">
        <w:rPr>
          <w:lang w:val="fr-FR"/>
        </w:rPr>
        <w:t>Droit de former des syndicats</w:t>
      </w:r>
      <w:r w:rsidRPr="00E1372C">
        <w:rPr>
          <w:lang w:val="fr-FR"/>
        </w:rPr>
        <w:tab/>
      </w:r>
      <w:r w:rsidRPr="00E1372C">
        <w:rPr>
          <w:lang w:val="fr-FR"/>
        </w:rPr>
        <w:tab/>
        <w:t>182–193</w:t>
      </w:r>
      <w:r w:rsidRPr="00E1372C">
        <w:rPr>
          <w:lang w:val="fr-FR"/>
        </w:rPr>
        <w:tab/>
        <w:t>30</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9</w:t>
      </w:r>
      <w:r w:rsidR="00E1372C">
        <w:rPr>
          <w:lang w:val="fr-FR"/>
        </w:rPr>
        <w:t xml:space="preserve">. </w:t>
      </w:r>
      <w:r w:rsidR="004019F5" w:rsidRPr="00E1372C">
        <w:rPr>
          <w:lang w:val="fr-FR"/>
        </w:rPr>
        <w:t xml:space="preserve">Sécurité </w:t>
      </w:r>
      <w:r w:rsidR="009929E5" w:rsidRPr="00E1372C">
        <w:rPr>
          <w:lang w:val="fr-FR"/>
        </w:rPr>
        <w:t>sociale et assurances</w:t>
      </w:r>
      <w:r w:rsidR="004019F5" w:rsidRPr="00E1372C">
        <w:rPr>
          <w:lang w:val="fr-FR"/>
        </w:rPr>
        <w:t xml:space="preserve"> sociales</w:t>
      </w:r>
      <w:r w:rsidRPr="00E1372C">
        <w:rPr>
          <w:lang w:val="fr-FR"/>
        </w:rPr>
        <w:tab/>
      </w:r>
      <w:r w:rsidRPr="00E1372C">
        <w:rPr>
          <w:lang w:val="fr-FR"/>
        </w:rPr>
        <w:tab/>
        <w:t>194–215</w:t>
      </w:r>
      <w:r w:rsidRPr="00E1372C">
        <w:rPr>
          <w:lang w:val="fr-FR"/>
        </w:rPr>
        <w:tab/>
        <w:t>32</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10</w:t>
      </w:r>
      <w:r w:rsidR="00E1372C">
        <w:rPr>
          <w:lang w:val="fr-FR"/>
        </w:rPr>
        <w:t xml:space="preserve">. </w:t>
      </w:r>
      <w:r w:rsidR="004019F5" w:rsidRPr="00E1372C">
        <w:rPr>
          <w:lang w:val="fr-FR"/>
        </w:rPr>
        <w:t>Droit de la famille</w:t>
      </w:r>
      <w:r w:rsidRPr="00E1372C">
        <w:rPr>
          <w:lang w:val="fr-FR"/>
        </w:rPr>
        <w:tab/>
      </w:r>
      <w:r w:rsidRPr="00E1372C">
        <w:rPr>
          <w:lang w:val="fr-FR"/>
        </w:rPr>
        <w:tab/>
        <w:t>216–241</w:t>
      </w:r>
      <w:r w:rsidRPr="00E1372C">
        <w:rPr>
          <w:lang w:val="fr-FR"/>
        </w:rPr>
        <w:tab/>
        <w:t>3</w:t>
      </w:r>
      <w:r w:rsidR="004A7FE0" w:rsidRPr="00E1372C">
        <w:rPr>
          <w:lang w:val="fr-FR"/>
        </w:rPr>
        <w:t>6</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11</w:t>
      </w:r>
      <w:r w:rsidR="004019F5" w:rsidRPr="00E1372C">
        <w:rPr>
          <w:lang w:val="fr-FR"/>
        </w:rPr>
        <w:t>.</w:t>
      </w:r>
      <w:r w:rsidR="00E1372C">
        <w:rPr>
          <w:lang w:val="fr-FR" w:bidi="en-US"/>
        </w:rPr>
        <w:t xml:space="preserve"> </w:t>
      </w:r>
      <w:r w:rsidR="004019F5" w:rsidRPr="00E1372C">
        <w:rPr>
          <w:lang w:val="fr-FR"/>
        </w:rPr>
        <w:t>Droit</w:t>
      </w:r>
      <w:r w:rsidR="004019F5" w:rsidRPr="00E1372C">
        <w:rPr>
          <w:lang w:val="fr-FR" w:bidi="en-US"/>
        </w:rPr>
        <w:t xml:space="preserve"> </w:t>
      </w:r>
      <w:r w:rsidR="00F64EED" w:rsidRPr="00E1372C">
        <w:rPr>
          <w:lang w:val="fr-FR" w:bidi="en-US"/>
        </w:rPr>
        <w:t>au logement</w:t>
      </w:r>
      <w:r w:rsidR="004019F5" w:rsidRPr="00E1372C">
        <w:rPr>
          <w:lang w:val="fr-FR" w:bidi="en-US"/>
        </w:rPr>
        <w:t xml:space="preserve"> et à une nourriture suffisante</w:t>
      </w:r>
      <w:r w:rsidRPr="00E1372C">
        <w:rPr>
          <w:lang w:val="fr-FR"/>
        </w:rPr>
        <w:tab/>
      </w:r>
      <w:r w:rsidRPr="00E1372C">
        <w:rPr>
          <w:lang w:val="fr-FR"/>
        </w:rPr>
        <w:tab/>
        <w:t>242–301</w:t>
      </w:r>
      <w:r w:rsidRPr="00E1372C">
        <w:rPr>
          <w:lang w:val="fr-FR"/>
        </w:rPr>
        <w:tab/>
        <w:t>3</w:t>
      </w:r>
      <w:r w:rsidR="00F64EED" w:rsidRPr="00E1372C">
        <w:rPr>
          <w:lang w:val="fr-FR"/>
        </w:rPr>
        <w:t>9</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12</w:t>
      </w:r>
      <w:r w:rsidR="00E1372C">
        <w:rPr>
          <w:lang w:val="fr-FR"/>
        </w:rPr>
        <w:t xml:space="preserve">. </w:t>
      </w:r>
      <w:r w:rsidR="004019F5" w:rsidRPr="00E1372C">
        <w:rPr>
          <w:lang w:val="fr-FR"/>
        </w:rPr>
        <w:t>Droit</w:t>
      </w:r>
      <w:r w:rsidR="004019F5" w:rsidRPr="00E1372C">
        <w:rPr>
          <w:lang w:val="fr-FR" w:bidi="en-US"/>
        </w:rPr>
        <w:t xml:space="preserve"> </w:t>
      </w:r>
      <w:r w:rsidR="00295595" w:rsidRPr="00E1372C">
        <w:rPr>
          <w:lang w:val="fr-FR" w:bidi="en-US"/>
        </w:rPr>
        <w:t>à la santé</w:t>
      </w:r>
      <w:r w:rsidRPr="00E1372C">
        <w:rPr>
          <w:lang w:val="fr-FR"/>
        </w:rPr>
        <w:tab/>
      </w:r>
      <w:r w:rsidRPr="00E1372C">
        <w:rPr>
          <w:lang w:val="fr-FR"/>
        </w:rPr>
        <w:tab/>
        <w:t>302–358</w:t>
      </w:r>
      <w:r w:rsidRPr="00E1372C">
        <w:rPr>
          <w:lang w:val="fr-FR"/>
        </w:rPr>
        <w:tab/>
        <w:t>4</w:t>
      </w:r>
      <w:r w:rsidR="00295595" w:rsidRPr="00E1372C">
        <w:rPr>
          <w:lang w:val="fr-FR"/>
        </w:rPr>
        <w:t>8</w:t>
      </w:r>
    </w:p>
    <w:p w:rsidR="00A55A0E" w:rsidRPr="00E1372C" w:rsidRDefault="00A55A0E" w:rsidP="004019F5">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13</w:t>
      </w:r>
      <w:r w:rsidR="00E1372C">
        <w:rPr>
          <w:lang w:val="fr-FR"/>
        </w:rPr>
        <w:t xml:space="preserve">. </w:t>
      </w:r>
      <w:r w:rsidR="004019F5" w:rsidRPr="00E1372C">
        <w:rPr>
          <w:lang w:val="fr-FR"/>
        </w:rPr>
        <w:t>Éducation</w:t>
      </w:r>
      <w:r w:rsidRPr="00E1372C">
        <w:rPr>
          <w:lang w:val="fr-FR"/>
        </w:rPr>
        <w:tab/>
      </w:r>
      <w:r w:rsidRPr="00E1372C">
        <w:rPr>
          <w:lang w:val="fr-FR"/>
        </w:rPr>
        <w:tab/>
        <w:t>359–414</w:t>
      </w:r>
      <w:r w:rsidRPr="00E1372C">
        <w:rPr>
          <w:lang w:val="fr-FR"/>
        </w:rPr>
        <w:tab/>
        <w:t>5</w:t>
      </w:r>
      <w:r w:rsidR="008A3B2B" w:rsidRPr="00E1372C">
        <w:rPr>
          <w:lang w:val="fr-FR"/>
        </w:rPr>
        <w:t>9</w:t>
      </w:r>
    </w:p>
    <w:p w:rsidR="00A55A0E" w:rsidRPr="00E1372C" w:rsidRDefault="00A55A0E" w:rsidP="00825848">
      <w:pPr>
        <w:tabs>
          <w:tab w:val="right" w:pos="850"/>
          <w:tab w:val="left" w:pos="1134"/>
          <w:tab w:val="left" w:pos="1559"/>
          <w:tab w:val="left" w:leader="dot" w:pos="7654"/>
          <w:tab w:val="right" w:pos="8929"/>
          <w:tab w:val="right" w:pos="9638"/>
        </w:tabs>
        <w:spacing w:after="120"/>
        <w:rPr>
          <w:lang w:val="fr-FR"/>
        </w:rPr>
      </w:pPr>
      <w:r w:rsidRPr="00E1372C">
        <w:rPr>
          <w:lang w:val="fr-FR"/>
        </w:rPr>
        <w:tab/>
      </w:r>
      <w:r w:rsidRPr="00E1372C">
        <w:rPr>
          <w:lang w:val="fr-FR"/>
        </w:rPr>
        <w:tab/>
        <w:t>Article 14</w:t>
      </w:r>
      <w:r w:rsidRPr="00E1372C">
        <w:rPr>
          <w:lang w:val="fr-FR"/>
        </w:rPr>
        <w:tab/>
      </w:r>
      <w:r w:rsidRPr="00E1372C">
        <w:rPr>
          <w:lang w:val="fr-FR"/>
        </w:rPr>
        <w:tab/>
        <w:t>415</w:t>
      </w:r>
      <w:r w:rsidRPr="00E1372C">
        <w:rPr>
          <w:lang w:val="fr-FR"/>
        </w:rPr>
        <w:tab/>
        <w:t>6</w:t>
      </w:r>
      <w:r w:rsidR="00911276" w:rsidRPr="00E1372C">
        <w:rPr>
          <w:lang w:val="fr-FR"/>
        </w:rPr>
        <w:t>9</w:t>
      </w:r>
    </w:p>
    <w:p w:rsidR="00A55A0E" w:rsidRPr="00E1372C" w:rsidRDefault="00A55A0E" w:rsidP="003B7812">
      <w:pPr>
        <w:tabs>
          <w:tab w:val="right" w:pos="850"/>
          <w:tab w:val="left" w:pos="1134"/>
          <w:tab w:val="left" w:pos="1559"/>
          <w:tab w:val="left" w:pos="2030"/>
          <w:tab w:val="left" w:leader="dot" w:pos="7654"/>
          <w:tab w:val="right" w:pos="8929"/>
          <w:tab w:val="right" w:pos="9638"/>
        </w:tabs>
        <w:spacing w:after="120"/>
        <w:rPr>
          <w:lang w:val="fr-FR"/>
        </w:rPr>
      </w:pPr>
      <w:r w:rsidRPr="00E1372C">
        <w:rPr>
          <w:lang w:val="fr-FR"/>
        </w:rPr>
        <w:tab/>
      </w:r>
      <w:r w:rsidRPr="00E1372C">
        <w:rPr>
          <w:lang w:val="fr-FR"/>
        </w:rPr>
        <w:tab/>
        <w:t>Article 15</w:t>
      </w:r>
      <w:r w:rsidR="00E1372C">
        <w:rPr>
          <w:lang w:val="fr-FR"/>
        </w:rPr>
        <w:t xml:space="preserve">. </w:t>
      </w:r>
      <w:r w:rsidR="004019F5" w:rsidRPr="00E1372C">
        <w:rPr>
          <w:lang w:val="fr-FR"/>
        </w:rPr>
        <w:t>Droit à la culture</w:t>
      </w:r>
      <w:r w:rsidRPr="00E1372C">
        <w:rPr>
          <w:lang w:val="fr-FR"/>
        </w:rPr>
        <w:tab/>
      </w:r>
      <w:r w:rsidRPr="00E1372C">
        <w:rPr>
          <w:lang w:val="fr-FR"/>
        </w:rPr>
        <w:tab/>
        <w:t>416–425</w:t>
      </w:r>
      <w:r w:rsidRPr="00E1372C">
        <w:rPr>
          <w:lang w:val="fr-FR"/>
        </w:rPr>
        <w:tab/>
        <w:t>6</w:t>
      </w:r>
      <w:r w:rsidR="00911276" w:rsidRPr="00E1372C">
        <w:rPr>
          <w:lang w:val="fr-FR"/>
        </w:rPr>
        <w:t>9</w:t>
      </w:r>
    </w:p>
    <w:p w:rsidR="00A55A0E" w:rsidRPr="00E1372C" w:rsidRDefault="00A55A0E" w:rsidP="00A55A0E">
      <w:pPr>
        <w:pStyle w:val="HChG"/>
        <w:rPr>
          <w:lang w:val="fr-FR"/>
        </w:rPr>
      </w:pPr>
      <w:r w:rsidRPr="00E1372C">
        <w:rPr>
          <w:lang w:val="fr-FR"/>
        </w:rPr>
        <w:br w:type="page"/>
      </w:r>
      <w:r w:rsidRPr="00E1372C">
        <w:rPr>
          <w:lang w:val="fr-FR"/>
        </w:rPr>
        <w:tab/>
      </w:r>
      <w:r w:rsidRPr="00E1372C">
        <w:rPr>
          <w:lang w:val="fr-FR"/>
        </w:rPr>
        <w:tab/>
        <w:t>Ab</w:t>
      </w:r>
      <w:r w:rsidR="008543B1" w:rsidRPr="00E1372C">
        <w:rPr>
          <w:lang w:val="fr-FR"/>
        </w:rPr>
        <w:t>réviations</w:t>
      </w:r>
    </w:p>
    <w:tbl>
      <w:tblPr>
        <w:tblW w:w="0" w:type="auto"/>
        <w:tblInd w:w="1134" w:type="dxa"/>
        <w:tblBorders>
          <w:top w:val="single" w:sz="4" w:space="0" w:color="auto"/>
        </w:tblBorders>
        <w:tblLayout w:type="fixed"/>
        <w:tblCellMar>
          <w:left w:w="0" w:type="dxa"/>
          <w:right w:w="113" w:type="dxa"/>
        </w:tblCellMar>
        <w:tblLook w:val="0460" w:firstRow="1" w:lastRow="1" w:firstColumn="0" w:lastColumn="0" w:noHBand="0" w:noVBand="1"/>
      </w:tblPr>
      <w:tblGrid>
        <w:gridCol w:w="1288"/>
        <w:gridCol w:w="6083"/>
      </w:tblGrid>
      <w:tr w:rsidR="00792BFE" w:rsidRPr="00E1372C" w:rsidTr="00825848">
        <w:trPr>
          <w:trHeight w:val="240"/>
        </w:trPr>
        <w:tc>
          <w:tcPr>
            <w:tcW w:w="1288" w:type="dxa"/>
            <w:tcBorders>
              <w:top w:val="nil"/>
            </w:tcBorders>
            <w:shd w:val="clear" w:color="auto" w:fill="auto"/>
          </w:tcPr>
          <w:p w:rsidR="00792BFE" w:rsidRPr="00E1372C" w:rsidRDefault="00792BFE" w:rsidP="002F0590">
            <w:pPr>
              <w:suppressAutoHyphens w:val="0"/>
              <w:spacing w:before="40" w:after="120" w:line="220" w:lineRule="exact"/>
              <w:rPr>
                <w:lang w:val="fr-FR"/>
              </w:rPr>
            </w:pPr>
            <w:r w:rsidRPr="00E1372C">
              <w:rPr>
                <w:lang w:val="fr-FR"/>
              </w:rPr>
              <w:t xml:space="preserve">CIJ </w:t>
            </w:r>
          </w:p>
        </w:tc>
        <w:tc>
          <w:tcPr>
            <w:tcW w:w="6083" w:type="dxa"/>
            <w:tcBorders>
              <w:top w:val="nil"/>
            </w:tcBorders>
            <w:shd w:val="clear" w:color="auto" w:fill="auto"/>
          </w:tcPr>
          <w:p w:rsidR="00792BFE" w:rsidRPr="00E1372C" w:rsidRDefault="00792BFE" w:rsidP="002F0590">
            <w:pPr>
              <w:suppressAutoHyphens w:val="0"/>
              <w:spacing w:before="40" w:after="120" w:line="220" w:lineRule="exact"/>
              <w:rPr>
                <w:lang w:val="fr-FR"/>
              </w:rPr>
            </w:pPr>
            <w:r w:rsidRPr="00E1372C">
              <w:rPr>
                <w:lang w:val="fr-FR"/>
              </w:rPr>
              <w:t>Cour internationale de justice</w:t>
            </w:r>
          </w:p>
        </w:tc>
      </w:tr>
      <w:tr w:rsidR="00A55A0E" w:rsidRPr="00E1372C" w:rsidTr="00825848">
        <w:trPr>
          <w:trHeight w:val="240"/>
        </w:trPr>
        <w:tc>
          <w:tcPr>
            <w:tcW w:w="1288" w:type="dxa"/>
            <w:shd w:val="clear" w:color="auto" w:fill="auto"/>
          </w:tcPr>
          <w:p w:rsidR="00A55A0E" w:rsidRPr="00E1372C" w:rsidRDefault="00A55A0E" w:rsidP="00A55A0E">
            <w:pPr>
              <w:suppressAutoHyphens w:val="0"/>
              <w:spacing w:before="40" w:after="120" w:line="220" w:lineRule="exact"/>
              <w:rPr>
                <w:lang w:val="fr-FR"/>
              </w:rPr>
            </w:pPr>
            <w:r w:rsidRPr="00E1372C">
              <w:rPr>
                <w:lang w:val="fr-FR"/>
              </w:rPr>
              <w:t xml:space="preserve">FAO </w:t>
            </w:r>
          </w:p>
        </w:tc>
        <w:tc>
          <w:tcPr>
            <w:tcW w:w="6083" w:type="dxa"/>
            <w:shd w:val="clear" w:color="auto" w:fill="auto"/>
          </w:tcPr>
          <w:p w:rsidR="00A55A0E" w:rsidRPr="00E1372C" w:rsidRDefault="008543B1" w:rsidP="008543B1">
            <w:pPr>
              <w:suppressAutoHyphens w:val="0"/>
              <w:spacing w:before="40" w:after="120" w:line="220" w:lineRule="exact"/>
              <w:rPr>
                <w:lang w:val="fr-FR"/>
              </w:rPr>
            </w:pPr>
            <w:r w:rsidRPr="00E1372C">
              <w:rPr>
                <w:lang w:val="fr-FR"/>
              </w:rPr>
              <w:t>Organisation des Nations Unies pour l</w:t>
            </w:r>
            <w:r w:rsidR="00731F09" w:rsidRPr="00E1372C">
              <w:rPr>
                <w:lang w:val="fr-FR"/>
              </w:rPr>
              <w:t>’</w:t>
            </w:r>
            <w:r w:rsidRPr="00E1372C">
              <w:rPr>
                <w:lang w:val="fr-FR"/>
              </w:rPr>
              <w:t>alimentation et l</w:t>
            </w:r>
            <w:r w:rsidR="00731F09" w:rsidRPr="00E1372C">
              <w:rPr>
                <w:lang w:val="fr-FR"/>
              </w:rPr>
              <w:t>’</w:t>
            </w:r>
            <w:r w:rsidRPr="00E1372C">
              <w:rPr>
                <w:lang w:val="fr-FR"/>
              </w:rPr>
              <w:t>agriculture</w:t>
            </w:r>
          </w:p>
        </w:tc>
      </w:tr>
      <w:tr w:rsidR="00B70152" w:rsidRPr="00E1372C" w:rsidTr="00825848">
        <w:trPr>
          <w:trHeight w:val="240"/>
        </w:trPr>
        <w:tc>
          <w:tcPr>
            <w:tcW w:w="1288" w:type="dxa"/>
            <w:shd w:val="clear" w:color="auto" w:fill="auto"/>
          </w:tcPr>
          <w:p w:rsidR="00B70152" w:rsidRPr="00E1372C" w:rsidRDefault="00B70152" w:rsidP="002F0590">
            <w:pPr>
              <w:suppressAutoHyphens w:val="0"/>
              <w:spacing w:before="40" w:after="120" w:line="220" w:lineRule="exact"/>
              <w:rPr>
                <w:lang w:val="fr-FR"/>
              </w:rPr>
            </w:pPr>
            <w:r w:rsidRPr="00E1372C">
              <w:rPr>
                <w:lang w:val="fr-FR"/>
              </w:rPr>
              <w:t>FNUAP</w:t>
            </w:r>
          </w:p>
        </w:tc>
        <w:tc>
          <w:tcPr>
            <w:tcW w:w="6083" w:type="dxa"/>
            <w:shd w:val="clear" w:color="auto" w:fill="auto"/>
          </w:tcPr>
          <w:p w:rsidR="00073978" w:rsidRPr="00E1372C" w:rsidRDefault="00B70152" w:rsidP="00073978">
            <w:pPr>
              <w:suppressAutoHyphens w:val="0"/>
              <w:spacing w:before="40" w:after="120" w:line="220" w:lineRule="exact"/>
              <w:rPr>
                <w:lang w:val="fr-FR"/>
              </w:rPr>
            </w:pPr>
            <w:r w:rsidRPr="00E1372C">
              <w:rPr>
                <w:lang w:val="fr-FR"/>
              </w:rPr>
              <w:t>Fonds des Nations Unies pour la population</w:t>
            </w:r>
          </w:p>
        </w:tc>
      </w:tr>
      <w:tr w:rsidR="00073978" w:rsidRPr="00E1372C" w:rsidTr="00825848">
        <w:trPr>
          <w:trHeight w:val="240"/>
        </w:trPr>
        <w:tc>
          <w:tcPr>
            <w:tcW w:w="1288" w:type="dxa"/>
            <w:shd w:val="clear" w:color="auto" w:fill="auto"/>
          </w:tcPr>
          <w:p w:rsidR="00073978" w:rsidRPr="00E1372C" w:rsidRDefault="00073978" w:rsidP="002F0590">
            <w:pPr>
              <w:suppressAutoHyphens w:val="0"/>
              <w:spacing w:before="40" w:after="120" w:line="220" w:lineRule="exact"/>
              <w:rPr>
                <w:lang w:val="fr-FR"/>
              </w:rPr>
            </w:pPr>
            <w:r w:rsidRPr="00E1372C">
              <w:rPr>
                <w:lang w:val="fr-FR"/>
              </w:rPr>
              <w:t xml:space="preserve">HCR </w:t>
            </w:r>
          </w:p>
        </w:tc>
        <w:tc>
          <w:tcPr>
            <w:tcW w:w="6083" w:type="dxa"/>
            <w:shd w:val="clear" w:color="auto" w:fill="auto"/>
          </w:tcPr>
          <w:p w:rsidR="00073978" w:rsidRPr="00E1372C" w:rsidRDefault="00E1372C" w:rsidP="002F0590">
            <w:pPr>
              <w:suppressAutoHyphens w:val="0"/>
              <w:spacing w:before="40" w:after="120" w:line="220" w:lineRule="exact"/>
              <w:rPr>
                <w:lang w:val="fr-FR"/>
              </w:rPr>
            </w:pPr>
            <w:r w:rsidRPr="00E1372C">
              <w:rPr>
                <w:lang w:val="fr-FR"/>
              </w:rPr>
              <w:t>Haut-Commissariat</w:t>
            </w:r>
            <w:r w:rsidR="00073978" w:rsidRPr="00E1372C">
              <w:rPr>
                <w:lang w:val="fr-FR"/>
              </w:rPr>
              <w:t xml:space="preserve"> des Nations Unies aux droits de l</w:t>
            </w:r>
            <w:r w:rsidR="00731F09" w:rsidRPr="00E1372C">
              <w:rPr>
                <w:lang w:val="fr-FR"/>
              </w:rPr>
              <w:t>’</w:t>
            </w:r>
            <w:r w:rsidR="00073978" w:rsidRPr="00E1372C">
              <w:rPr>
                <w:lang w:val="fr-FR"/>
              </w:rPr>
              <w:t xml:space="preserve">homme </w:t>
            </w:r>
          </w:p>
        </w:tc>
      </w:tr>
      <w:tr w:rsidR="00073978" w:rsidRPr="00E1372C" w:rsidTr="00825848">
        <w:trPr>
          <w:trHeight w:val="240"/>
        </w:trPr>
        <w:tc>
          <w:tcPr>
            <w:tcW w:w="1288" w:type="dxa"/>
            <w:shd w:val="clear" w:color="auto" w:fill="auto"/>
          </w:tcPr>
          <w:p w:rsidR="00073978" w:rsidRPr="00E1372C" w:rsidRDefault="00073978" w:rsidP="008543B1">
            <w:pPr>
              <w:suppressAutoHyphens w:val="0"/>
              <w:spacing w:before="40" w:after="120" w:line="220" w:lineRule="exact"/>
              <w:rPr>
                <w:lang w:val="fr-FR"/>
              </w:rPr>
            </w:pPr>
            <w:r w:rsidRPr="00E1372C">
              <w:rPr>
                <w:lang w:val="fr-FR"/>
              </w:rPr>
              <w:t>OIT</w:t>
            </w:r>
          </w:p>
        </w:tc>
        <w:tc>
          <w:tcPr>
            <w:tcW w:w="6083" w:type="dxa"/>
            <w:shd w:val="clear" w:color="auto" w:fill="auto"/>
          </w:tcPr>
          <w:p w:rsidR="00073978" w:rsidRPr="00E1372C" w:rsidRDefault="00073978" w:rsidP="00B70152">
            <w:pPr>
              <w:suppressAutoHyphens w:val="0"/>
              <w:spacing w:before="40" w:after="120" w:line="220" w:lineRule="exact"/>
              <w:rPr>
                <w:lang w:val="fr-FR"/>
              </w:rPr>
            </w:pPr>
            <w:r w:rsidRPr="00E1372C">
              <w:rPr>
                <w:lang w:val="fr-FR"/>
              </w:rPr>
              <w:t>Organisation internationale du Travail</w:t>
            </w:r>
          </w:p>
        </w:tc>
      </w:tr>
      <w:tr w:rsidR="009F4E7D" w:rsidRPr="00E1372C" w:rsidTr="00825848">
        <w:trPr>
          <w:trHeight w:val="240"/>
        </w:trPr>
        <w:tc>
          <w:tcPr>
            <w:tcW w:w="1288" w:type="dxa"/>
            <w:shd w:val="clear" w:color="auto" w:fill="auto"/>
          </w:tcPr>
          <w:p w:rsidR="009F4E7D" w:rsidRPr="00E1372C" w:rsidRDefault="009F4E7D" w:rsidP="008543B1">
            <w:pPr>
              <w:suppressAutoHyphens w:val="0"/>
              <w:spacing w:before="40" w:after="120" w:line="220" w:lineRule="exact"/>
              <w:rPr>
                <w:lang w:val="fr-FR"/>
              </w:rPr>
            </w:pPr>
            <w:r w:rsidRPr="00E1372C">
              <w:rPr>
                <w:lang w:val="fr-FR"/>
              </w:rPr>
              <w:t>OMS</w:t>
            </w:r>
          </w:p>
        </w:tc>
        <w:tc>
          <w:tcPr>
            <w:tcW w:w="6083" w:type="dxa"/>
            <w:shd w:val="clear" w:color="auto" w:fill="auto"/>
          </w:tcPr>
          <w:p w:rsidR="009F4E7D" w:rsidRPr="00E1372C" w:rsidRDefault="009F4E7D" w:rsidP="00B70152">
            <w:pPr>
              <w:suppressAutoHyphens w:val="0"/>
              <w:spacing w:before="40" w:after="120" w:line="220" w:lineRule="exact"/>
              <w:rPr>
                <w:lang w:val="fr-FR"/>
              </w:rPr>
            </w:pPr>
            <w:r w:rsidRPr="00E1372C">
              <w:rPr>
                <w:lang w:val="fr-FR"/>
              </w:rPr>
              <w:t>Organisation mondiale de la santé</w:t>
            </w:r>
          </w:p>
        </w:tc>
      </w:tr>
      <w:tr w:rsidR="009F4E7D" w:rsidRPr="00E1372C" w:rsidTr="00825848">
        <w:trPr>
          <w:trHeight w:val="240"/>
        </w:trPr>
        <w:tc>
          <w:tcPr>
            <w:tcW w:w="1288" w:type="dxa"/>
            <w:shd w:val="clear" w:color="auto" w:fill="auto"/>
          </w:tcPr>
          <w:p w:rsidR="009F4E7D" w:rsidRPr="00E1372C" w:rsidRDefault="009F4E7D" w:rsidP="008543B1">
            <w:pPr>
              <w:suppressAutoHyphens w:val="0"/>
              <w:spacing w:before="40" w:after="120" w:line="220" w:lineRule="exact"/>
              <w:rPr>
                <w:lang w:val="fr-FR"/>
              </w:rPr>
            </w:pPr>
            <w:r w:rsidRPr="00E1372C">
              <w:rPr>
                <w:lang w:val="fr-FR"/>
              </w:rPr>
              <w:t>ONG</w:t>
            </w:r>
          </w:p>
        </w:tc>
        <w:tc>
          <w:tcPr>
            <w:tcW w:w="6083" w:type="dxa"/>
            <w:shd w:val="clear" w:color="auto" w:fill="auto"/>
          </w:tcPr>
          <w:p w:rsidR="009F4E7D" w:rsidRPr="00E1372C" w:rsidRDefault="009F4E7D" w:rsidP="00B70152">
            <w:pPr>
              <w:suppressAutoHyphens w:val="0"/>
              <w:spacing w:before="40" w:after="120" w:line="220" w:lineRule="exact"/>
              <w:rPr>
                <w:lang w:val="fr-FR"/>
              </w:rPr>
            </w:pPr>
            <w:r w:rsidRPr="00E1372C">
              <w:rPr>
                <w:lang w:val="fr-FR"/>
              </w:rPr>
              <w:t>Organisation non gouvernementale</w:t>
            </w:r>
          </w:p>
        </w:tc>
      </w:tr>
      <w:tr w:rsidR="00082EC9" w:rsidRPr="00E1372C" w:rsidTr="00825848">
        <w:trPr>
          <w:trHeight w:val="240"/>
        </w:trPr>
        <w:tc>
          <w:tcPr>
            <w:tcW w:w="1288" w:type="dxa"/>
            <w:shd w:val="clear" w:color="auto" w:fill="auto"/>
          </w:tcPr>
          <w:p w:rsidR="00082EC9" w:rsidRPr="00E1372C" w:rsidRDefault="00082EC9" w:rsidP="008543B1">
            <w:pPr>
              <w:suppressAutoHyphens w:val="0"/>
              <w:spacing w:before="40" w:after="120" w:line="220" w:lineRule="exact"/>
              <w:rPr>
                <w:lang w:val="fr-FR"/>
              </w:rPr>
            </w:pPr>
            <w:r w:rsidRPr="00E1372C">
              <w:rPr>
                <w:lang w:val="fr-FR"/>
              </w:rPr>
              <w:t>ONUSIDA</w:t>
            </w:r>
          </w:p>
        </w:tc>
        <w:tc>
          <w:tcPr>
            <w:tcW w:w="6083" w:type="dxa"/>
            <w:shd w:val="clear" w:color="auto" w:fill="auto"/>
          </w:tcPr>
          <w:p w:rsidR="00082EC9" w:rsidRPr="00E1372C" w:rsidRDefault="00082EC9" w:rsidP="00082EC9">
            <w:pPr>
              <w:suppressAutoHyphens w:val="0"/>
              <w:spacing w:before="40" w:after="120" w:line="220" w:lineRule="exact"/>
              <w:rPr>
                <w:lang w:val="fr-FR"/>
              </w:rPr>
            </w:pPr>
            <w:r w:rsidRPr="00E1372C">
              <w:rPr>
                <w:lang w:val="fr-FR"/>
              </w:rPr>
              <w:t>Programme commun de</w:t>
            </w:r>
            <w:r w:rsidR="00C948DF" w:rsidRPr="00E1372C">
              <w:rPr>
                <w:lang w:val="fr-FR"/>
              </w:rPr>
              <w:t>s</w:t>
            </w:r>
            <w:r w:rsidRPr="00E1372C">
              <w:rPr>
                <w:lang w:val="fr-FR"/>
              </w:rPr>
              <w:t xml:space="preserve"> Nations Unies sur le VIH/</w:t>
            </w:r>
            <w:r w:rsidR="00825848" w:rsidRPr="00E1372C">
              <w:rPr>
                <w:lang w:val="fr-FR"/>
              </w:rPr>
              <w:t>sida</w:t>
            </w:r>
          </w:p>
        </w:tc>
      </w:tr>
      <w:tr w:rsidR="00A55A0E" w:rsidRPr="00E1372C" w:rsidTr="00825848">
        <w:trPr>
          <w:trHeight w:val="240"/>
        </w:trPr>
        <w:tc>
          <w:tcPr>
            <w:tcW w:w="1288" w:type="dxa"/>
            <w:shd w:val="clear" w:color="auto" w:fill="auto"/>
          </w:tcPr>
          <w:p w:rsidR="00A55A0E" w:rsidRPr="00E1372C" w:rsidRDefault="008543B1" w:rsidP="008543B1">
            <w:pPr>
              <w:suppressAutoHyphens w:val="0"/>
              <w:spacing w:before="40" w:after="120" w:line="220" w:lineRule="exact"/>
              <w:rPr>
                <w:lang w:val="fr-FR"/>
              </w:rPr>
            </w:pPr>
            <w:r w:rsidRPr="00E1372C">
              <w:rPr>
                <w:lang w:val="fr-FR"/>
              </w:rPr>
              <w:t>PIB</w:t>
            </w:r>
            <w:r w:rsidR="00A55A0E" w:rsidRPr="00E1372C">
              <w:rPr>
                <w:lang w:val="fr-FR"/>
              </w:rPr>
              <w:t xml:space="preserve"> </w:t>
            </w:r>
          </w:p>
        </w:tc>
        <w:tc>
          <w:tcPr>
            <w:tcW w:w="6083" w:type="dxa"/>
            <w:shd w:val="clear" w:color="auto" w:fill="auto"/>
          </w:tcPr>
          <w:p w:rsidR="00A55A0E" w:rsidRPr="00E1372C" w:rsidRDefault="008543B1" w:rsidP="00B70152">
            <w:pPr>
              <w:suppressAutoHyphens w:val="0"/>
              <w:spacing w:before="40" w:after="120" w:line="220" w:lineRule="exact"/>
              <w:rPr>
                <w:lang w:val="fr-FR"/>
              </w:rPr>
            </w:pPr>
            <w:r w:rsidRPr="00E1372C">
              <w:rPr>
                <w:lang w:val="fr-FR"/>
              </w:rPr>
              <w:t xml:space="preserve">Produit </w:t>
            </w:r>
            <w:r w:rsidR="00B70152" w:rsidRPr="00E1372C">
              <w:rPr>
                <w:lang w:val="fr-FR"/>
              </w:rPr>
              <w:t>intérieur</w:t>
            </w:r>
            <w:r w:rsidRPr="00E1372C">
              <w:rPr>
                <w:lang w:val="fr-FR"/>
              </w:rPr>
              <w:t xml:space="preserve"> brut</w:t>
            </w:r>
          </w:p>
        </w:tc>
      </w:tr>
      <w:tr w:rsidR="00B70152" w:rsidRPr="00E1372C" w:rsidTr="00825848">
        <w:trPr>
          <w:trHeight w:val="240"/>
        </w:trPr>
        <w:tc>
          <w:tcPr>
            <w:tcW w:w="1288" w:type="dxa"/>
            <w:shd w:val="clear" w:color="auto" w:fill="auto"/>
          </w:tcPr>
          <w:p w:rsidR="00B70152" w:rsidRPr="00E1372C" w:rsidRDefault="00B70152" w:rsidP="00B70152">
            <w:pPr>
              <w:suppressAutoHyphens w:val="0"/>
              <w:spacing w:before="40" w:after="120" w:line="220" w:lineRule="exact"/>
              <w:rPr>
                <w:lang w:val="fr-FR"/>
              </w:rPr>
            </w:pPr>
            <w:r w:rsidRPr="00E1372C">
              <w:rPr>
                <w:lang w:val="fr-FR"/>
              </w:rPr>
              <w:t xml:space="preserve">PNB </w:t>
            </w:r>
          </w:p>
        </w:tc>
        <w:tc>
          <w:tcPr>
            <w:tcW w:w="6083" w:type="dxa"/>
            <w:shd w:val="clear" w:color="auto" w:fill="auto"/>
          </w:tcPr>
          <w:p w:rsidR="00B70152" w:rsidRPr="00E1372C" w:rsidRDefault="00B70152" w:rsidP="00073978">
            <w:pPr>
              <w:suppressAutoHyphens w:val="0"/>
              <w:spacing w:before="40" w:after="120" w:line="220" w:lineRule="exact"/>
              <w:rPr>
                <w:lang w:val="fr-FR"/>
              </w:rPr>
            </w:pPr>
            <w:r w:rsidRPr="00E1372C">
              <w:rPr>
                <w:lang w:val="fr-FR"/>
              </w:rPr>
              <w:t>Produit national</w:t>
            </w:r>
            <w:r w:rsidR="005919A9" w:rsidRPr="00E1372C">
              <w:rPr>
                <w:lang w:val="fr-FR"/>
              </w:rPr>
              <w:t xml:space="preserve"> brut</w:t>
            </w:r>
          </w:p>
        </w:tc>
      </w:tr>
      <w:tr w:rsidR="00A55A0E" w:rsidRPr="00E1372C" w:rsidTr="00825848">
        <w:trPr>
          <w:trHeight w:val="240"/>
        </w:trPr>
        <w:tc>
          <w:tcPr>
            <w:tcW w:w="1288" w:type="dxa"/>
            <w:shd w:val="clear" w:color="auto" w:fill="auto"/>
          </w:tcPr>
          <w:p w:rsidR="00A55A0E" w:rsidRPr="00E1372C" w:rsidRDefault="00A55A0E" w:rsidP="00A55A0E">
            <w:pPr>
              <w:suppressAutoHyphens w:val="0"/>
              <w:spacing w:before="40" w:after="120" w:line="220" w:lineRule="exact"/>
              <w:rPr>
                <w:lang w:val="fr-FR"/>
              </w:rPr>
            </w:pPr>
            <w:r w:rsidRPr="00E1372C">
              <w:rPr>
                <w:lang w:val="fr-FR"/>
              </w:rPr>
              <w:t>UNICEF</w:t>
            </w:r>
          </w:p>
        </w:tc>
        <w:tc>
          <w:tcPr>
            <w:tcW w:w="6083" w:type="dxa"/>
            <w:shd w:val="clear" w:color="auto" w:fill="auto"/>
          </w:tcPr>
          <w:p w:rsidR="00A55A0E" w:rsidRPr="00E1372C" w:rsidRDefault="006A5712" w:rsidP="006A5712">
            <w:pPr>
              <w:suppressAutoHyphens w:val="0"/>
              <w:spacing w:before="40" w:after="120" w:line="220" w:lineRule="exact"/>
              <w:rPr>
                <w:lang w:val="fr-FR"/>
              </w:rPr>
            </w:pPr>
            <w:r w:rsidRPr="00E1372C">
              <w:rPr>
                <w:lang w:val="fr-FR"/>
              </w:rPr>
              <w:t>Fonds des Nations Unies pour l</w:t>
            </w:r>
            <w:r w:rsidR="00731F09" w:rsidRPr="00E1372C">
              <w:rPr>
                <w:lang w:val="fr-FR"/>
              </w:rPr>
              <w:t>’</w:t>
            </w:r>
            <w:r w:rsidRPr="00E1372C">
              <w:rPr>
                <w:lang w:val="fr-FR"/>
              </w:rPr>
              <w:t>enfance</w:t>
            </w:r>
          </w:p>
        </w:tc>
      </w:tr>
    </w:tbl>
    <w:p w:rsidR="00A55A0E" w:rsidRPr="00E1372C" w:rsidRDefault="00A55A0E" w:rsidP="00A55A0E">
      <w:pPr>
        <w:pStyle w:val="HChG"/>
        <w:rPr>
          <w:lang w:val="fr-FR"/>
        </w:rPr>
      </w:pPr>
      <w:r w:rsidRPr="00E1372C">
        <w:rPr>
          <w:lang w:val="fr-FR" w:bidi="en-US"/>
        </w:rPr>
        <w:br w:type="page"/>
      </w:r>
      <w:r w:rsidRPr="00E1372C">
        <w:rPr>
          <w:lang w:val="fr-FR" w:bidi="en-US"/>
        </w:rPr>
        <w:tab/>
        <w:t>I.</w:t>
      </w:r>
      <w:r w:rsidRPr="00E1372C">
        <w:rPr>
          <w:lang w:val="fr-FR" w:bidi="en-US"/>
        </w:rPr>
        <w:tab/>
        <w:t>Introduction</w:t>
      </w:r>
    </w:p>
    <w:p w:rsidR="006A5712" w:rsidRPr="00E1372C" w:rsidRDefault="007A1757" w:rsidP="007A1757">
      <w:pPr>
        <w:pStyle w:val="SingleTxtG"/>
        <w:rPr>
          <w:lang w:val="fr-FR" w:bidi="en-US"/>
        </w:rPr>
      </w:pPr>
      <w:r w:rsidRPr="00E1372C">
        <w:rPr>
          <w:lang w:val="fr-FR" w:bidi="en-US"/>
        </w:rPr>
        <w:t>1.</w:t>
      </w:r>
      <w:r w:rsidRPr="00E1372C">
        <w:rPr>
          <w:lang w:val="fr-FR" w:bidi="en-US"/>
        </w:rPr>
        <w:tab/>
      </w:r>
      <w:r w:rsidR="006A5712" w:rsidRPr="00E1372C">
        <w:rPr>
          <w:lang w:val="fr-FR" w:bidi="en-US"/>
        </w:rPr>
        <w:t xml:space="preserve">La </w:t>
      </w:r>
      <w:r w:rsidR="00A55A0E" w:rsidRPr="00E1372C">
        <w:rPr>
          <w:lang w:val="fr-FR" w:bidi="en-US"/>
        </w:rPr>
        <w:t>Namibi</w:t>
      </w:r>
      <w:r w:rsidR="006A5712" w:rsidRPr="00E1372C">
        <w:rPr>
          <w:lang w:val="fr-FR" w:bidi="en-US"/>
        </w:rPr>
        <w:t xml:space="preserve">e est partie à un </w:t>
      </w:r>
      <w:r w:rsidR="00270BD1" w:rsidRPr="00E1372C">
        <w:rPr>
          <w:lang w:val="fr-FR" w:bidi="en-US"/>
        </w:rPr>
        <w:t xml:space="preserve">certain </w:t>
      </w:r>
      <w:r w:rsidR="006A5712" w:rsidRPr="00E1372C">
        <w:rPr>
          <w:lang w:val="fr-FR" w:bidi="en-US"/>
        </w:rPr>
        <w:t>nombre de</w:t>
      </w:r>
      <w:r w:rsidR="00675AB7" w:rsidRPr="00E1372C">
        <w:rPr>
          <w:lang w:val="fr-FR" w:bidi="en-US"/>
        </w:rPr>
        <w:t>s</w:t>
      </w:r>
      <w:r w:rsidR="006A5712" w:rsidRPr="00E1372C">
        <w:rPr>
          <w:lang w:val="fr-FR" w:bidi="en-US"/>
        </w:rPr>
        <w:t xml:space="preserve"> </w:t>
      </w:r>
      <w:r w:rsidR="00675AB7" w:rsidRPr="00E1372C">
        <w:rPr>
          <w:lang w:val="fr-FR" w:bidi="en-US"/>
        </w:rPr>
        <w:t>textes conventionnels internationaux que l</w:t>
      </w:r>
      <w:r w:rsidR="00731F09" w:rsidRPr="00E1372C">
        <w:rPr>
          <w:lang w:val="fr-FR" w:bidi="en-US"/>
        </w:rPr>
        <w:t>’</w:t>
      </w:r>
      <w:r w:rsidR="00675AB7" w:rsidRPr="00E1372C">
        <w:rPr>
          <w:lang w:val="fr-FR" w:bidi="en-US"/>
        </w:rPr>
        <w:t>on a coutume d</w:t>
      </w:r>
      <w:r w:rsidR="00731F09" w:rsidRPr="00E1372C">
        <w:rPr>
          <w:lang w:val="fr-FR" w:bidi="en-US"/>
        </w:rPr>
        <w:t>’</w:t>
      </w:r>
      <w:r w:rsidR="00675AB7" w:rsidRPr="00E1372C">
        <w:rPr>
          <w:lang w:val="fr-FR" w:bidi="en-US"/>
        </w:rPr>
        <w:t xml:space="preserve">appeler les </w:t>
      </w:r>
      <w:r w:rsidR="006A5712" w:rsidRPr="00E1372C">
        <w:rPr>
          <w:lang w:val="fr-FR" w:bidi="en-US"/>
        </w:rPr>
        <w:t>instruments internationaux relatifs aux droits de l</w:t>
      </w:r>
      <w:r w:rsidR="00731F09" w:rsidRPr="00E1372C">
        <w:rPr>
          <w:lang w:val="fr-FR" w:bidi="en-US"/>
        </w:rPr>
        <w:t>’</w:t>
      </w:r>
      <w:r w:rsidR="006A5712" w:rsidRPr="00E1372C">
        <w:rPr>
          <w:lang w:val="fr-FR" w:bidi="en-US"/>
        </w:rPr>
        <w:t>homme, dont le Pacte international relatif aux droits économiques, sociaux et culturels</w:t>
      </w:r>
      <w:r w:rsidR="00675AB7" w:rsidRPr="00E1372C">
        <w:rPr>
          <w:lang w:val="fr-FR" w:bidi="en-US"/>
        </w:rPr>
        <w:t>,</w:t>
      </w:r>
      <w:r w:rsidR="000114FD" w:rsidRPr="00E1372C">
        <w:rPr>
          <w:lang w:val="fr-FR" w:bidi="en-US"/>
        </w:rPr>
        <w:t xml:space="preserve"> qui a été ratifié le 28 </w:t>
      </w:r>
      <w:r w:rsidR="006A5712" w:rsidRPr="00E1372C">
        <w:rPr>
          <w:lang w:val="fr-FR" w:bidi="en-US"/>
        </w:rPr>
        <w:t xml:space="preserve">février 1995. </w:t>
      </w:r>
      <w:r w:rsidR="008905A1" w:rsidRPr="00E1372C">
        <w:rPr>
          <w:lang w:val="fr-FR" w:bidi="en-US"/>
        </w:rPr>
        <w:t xml:space="preserve">Une liste des autres principaux </w:t>
      </w:r>
      <w:r w:rsidR="006A5712" w:rsidRPr="00E1372C">
        <w:rPr>
          <w:lang w:val="fr-FR" w:bidi="en-US"/>
        </w:rPr>
        <w:t xml:space="preserve">instruments, </w:t>
      </w:r>
      <w:r w:rsidR="008905A1" w:rsidRPr="00E1372C">
        <w:rPr>
          <w:lang w:val="fr-FR" w:bidi="en-US"/>
        </w:rPr>
        <w:t xml:space="preserve">y compris </w:t>
      </w:r>
      <w:r w:rsidR="006A5712" w:rsidRPr="00E1372C">
        <w:rPr>
          <w:lang w:val="fr-FR" w:bidi="en-US"/>
        </w:rPr>
        <w:t>les dates de ratification, d</w:t>
      </w:r>
      <w:r w:rsidR="00731F09" w:rsidRPr="00E1372C">
        <w:rPr>
          <w:lang w:val="fr-FR" w:bidi="en-US"/>
        </w:rPr>
        <w:t>’</w:t>
      </w:r>
      <w:r w:rsidR="006A5712" w:rsidRPr="00E1372C">
        <w:rPr>
          <w:lang w:val="fr-FR" w:bidi="en-US"/>
        </w:rPr>
        <w:t>adhésion ou de succession</w:t>
      </w:r>
      <w:r w:rsidR="00675AB7" w:rsidRPr="00E1372C">
        <w:rPr>
          <w:lang w:val="fr-FR" w:bidi="en-US"/>
        </w:rPr>
        <w:t>,</w:t>
      </w:r>
      <w:r w:rsidR="006A5712" w:rsidRPr="00E1372C">
        <w:rPr>
          <w:lang w:val="fr-FR" w:bidi="en-US"/>
        </w:rPr>
        <w:t xml:space="preserve"> </w:t>
      </w:r>
      <w:r w:rsidR="008905A1" w:rsidRPr="00E1372C">
        <w:rPr>
          <w:lang w:val="fr-FR" w:bidi="en-US"/>
        </w:rPr>
        <w:t>figure dans l</w:t>
      </w:r>
      <w:r w:rsidR="00731F09" w:rsidRPr="00E1372C">
        <w:rPr>
          <w:lang w:val="fr-FR" w:bidi="en-US"/>
        </w:rPr>
        <w:t>’</w:t>
      </w:r>
      <w:r w:rsidR="008905A1" w:rsidRPr="00E1372C">
        <w:rPr>
          <w:lang w:val="fr-FR" w:bidi="en-US"/>
        </w:rPr>
        <w:t>appendice</w:t>
      </w:r>
      <w:r w:rsidR="006A5712" w:rsidRPr="00E1372C">
        <w:rPr>
          <w:lang w:val="fr-FR" w:bidi="en-US"/>
        </w:rPr>
        <w:t>. La Namibie note avec satisfaction la position du Comité accept</w:t>
      </w:r>
      <w:r w:rsidR="00675AB7" w:rsidRPr="00E1372C">
        <w:rPr>
          <w:lang w:val="fr-FR" w:bidi="en-US"/>
        </w:rPr>
        <w:t>ant</w:t>
      </w:r>
      <w:r w:rsidR="006A5712" w:rsidRPr="00E1372C">
        <w:rPr>
          <w:lang w:val="fr-FR" w:bidi="en-US"/>
        </w:rPr>
        <w:t xml:space="preserve"> que le rapport initial, attend</w:t>
      </w:r>
      <w:r w:rsidR="0070569B" w:rsidRPr="00E1372C">
        <w:rPr>
          <w:lang w:val="fr-FR" w:bidi="en-US"/>
        </w:rPr>
        <w:t>u</w:t>
      </w:r>
      <w:r w:rsidR="006A5712" w:rsidRPr="00E1372C">
        <w:rPr>
          <w:lang w:val="fr-FR" w:bidi="en-US"/>
        </w:rPr>
        <w:t xml:space="preserve"> le 28 février 1998, mais soumis en 2011 seulement, soit regroupé avec les premier et deuxième rapports périodiques qui étaient attendus le 28 février 2000 et </w:t>
      </w:r>
      <w:r w:rsidR="00675AB7" w:rsidRPr="00E1372C">
        <w:rPr>
          <w:lang w:val="fr-FR" w:bidi="en-US"/>
        </w:rPr>
        <w:t xml:space="preserve">le </w:t>
      </w:r>
      <w:r w:rsidR="006A5712" w:rsidRPr="00E1372C">
        <w:rPr>
          <w:lang w:val="fr-FR" w:bidi="en-US"/>
        </w:rPr>
        <w:t>28 février 2002, respectivement.</w:t>
      </w:r>
    </w:p>
    <w:p w:rsidR="006A5712" w:rsidRPr="00E1372C" w:rsidRDefault="007A1757" w:rsidP="007A1757">
      <w:pPr>
        <w:pStyle w:val="SingleTxtG"/>
        <w:rPr>
          <w:lang w:val="fr-FR" w:bidi="en-US"/>
        </w:rPr>
      </w:pPr>
      <w:r w:rsidRPr="00E1372C">
        <w:rPr>
          <w:lang w:val="fr-FR" w:bidi="en-US"/>
        </w:rPr>
        <w:t>2.</w:t>
      </w:r>
      <w:r w:rsidRPr="00E1372C">
        <w:rPr>
          <w:lang w:val="fr-FR" w:bidi="en-US"/>
        </w:rPr>
        <w:tab/>
      </w:r>
      <w:r w:rsidR="006A5712" w:rsidRPr="00E1372C">
        <w:rPr>
          <w:lang w:val="fr-FR" w:bidi="en-US"/>
        </w:rPr>
        <w:t xml:space="preserve">Afin de permettre à la Namibie de remplir et </w:t>
      </w:r>
      <w:r w:rsidR="00675AB7" w:rsidRPr="00E1372C">
        <w:rPr>
          <w:lang w:val="fr-FR" w:bidi="en-US"/>
        </w:rPr>
        <w:t xml:space="preserve">de </w:t>
      </w:r>
      <w:r w:rsidR="006A5712" w:rsidRPr="00E1372C">
        <w:rPr>
          <w:lang w:val="fr-FR" w:bidi="en-US"/>
        </w:rPr>
        <w:t xml:space="preserve">respecter ses obligations internationales, le Gouvernement a </w:t>
      </w:r>
      <w:r w:rsidR="009276D9" w:rsidRPr="00E1372C">
        <w:rPr>
          <w:lang w:val="fr-FR" w:bidi="en-US"/>
        </w:rPr>
        <w:t>créé</w:t>
      </w:r>
      <w:r w:rsidR="006A5712" w:rsidRPr="00E1372C">
        <w:rPr>
          <w:lang w:val="fr-FR" w:bidi="en-US"/>
        </w:rPr>
        <w:t xml:space="preserve"> </w:t>
      </w:r>
      <w:r w:rsidR="009276D9" w:rsidRPr="00E1372C">
        <w:rPr>
          <w:lang w:val="fr-FR" w:bidi="en-US"/>
        </w:rPr>
        <w:t>un c</w:t>
      </w:r>
      <w:r w:rsidR="006A5712" w:rsidRPr="00E1372C">
        <w:rPr>
          <w:lang w:val="fr-FR" w:bidi="en-US"/>
        </w:rPr>
        <w:t>omité interministériel sur les droits de l</w:t>
      </w:r>
      <w:r w:rsidR="00731F09" w:rsidRPr="00E1372C">
        <w:rPr>
          <w:lang w:val="fr-FR" w:bidi="en-US"/>
        </w:rPr>
        <w:t>’</w:t>
      </w:r>
      <w:r w:rsidR="006A5712" w:rsidRPr="00E1372C">
        <w:rPr>
          <w:lang w:val="fr-FR" w:bidi="en-US"/>
        </w:rPr>
        <w:t>homme et le droit international humanitaire, que coordonne le Ministère de la justice. La Namibie a ainsi l</w:t>
      </w:r>
      <w:r w:rsidR="00731F09" w:rsidRPr="00E1372C">
        <w:rPr>
          <w:lang w:val="fr-FR" w:bidi="en-US"/>
        </w:rPr>
        <w:t>’</w:t>
      </w:r>
      <w:r w:rsidR="006A5712" w:rsidRPr="00E1372C">
        <w:rPr>
          <w:lang w:val="fr-FR" w:bidi="en-US"/>
        </w:rPr>
        <w:t>honneur de soumettre en un seul document ses trois rapports – le rapport initial, ainsi que les premier et deuxième rapports périodiques. Le rapport est divisé en deux parties</w:t>
      </w:r>
      <w:r w:rsidR="00AE017E" w:rsidRPr="00E1372C">
        <w:rPr>
          <w:lang w:val="fr-FR" w:bidi="en-US"/>
        </w:rPr>
        <w:t>:</w:t>
      </w:r>
      <w:r w:rsidR="006A5712" w:rsidRPr="00E1372C">
        <w:rPr>
          <w:lang w:val="fr-FR" w:bidi="en-US"/>
        </w:rPr>
        <w:t xml:space="preserve"> la première qui contient des renseignements d</w:t>
      </w:r>
      <w:r w:rsidR="00731F09" w:rsidRPr="00E1372C">
        <w:rPr>
          <w:lang w:val="fr-FR" w:bidi="en-US"/>
        </w:rPr>
        <w:t>’</w:t>
      </w:r>
      <w:r w:rsidR="006A5712" w:rsidRPr="00E1372C">
        <w:rPr>
          <w:lang w:val="fr-FR" w:bidi="en-US"/>
        </w:rPr>
        <w:t xml:space="preserve">ordre général et la seconde qui porte sur </w:t>
      </w:r>
      <w:r w:rsidR="009276D9" w:rsidRPr="00E1372C">
        <w:rPr>
          <w:lang w:val="fr-FR" w:bidi="en-US"/>
        </w:rPr>
        <w:t xml:space="preserve">les </w:t>
      </w:r>
      <w:r w:rsidR="006A5712" w:rsidRPr="00E1372C">
        <w:rPr>
          <w:lang w:val="fr-FR" w:bidi="en-US"/>
        </w:rPr>
        <w:t xml:space="preserve">droits </w:t>
      </w:r>
      <w:r w:rsidR="009276D9" w:rsidRPr="00E1372C">
        <w:rPr>
          <w:lang w:val="fr-FR" w:bidi="en-US"/>
        </w:rPr>
        <w:t>concrets</w:t>
      </w:r>
      <w:r w:rsidR="006A5712" w:rsidRPr="00E1372C">
        <w:rPr>
          <w:lang w:val="fr-FR" w:bidi="en-US"/>
        </w:rPr>
        <w:t xml:space="preserve"> reconnus dans les </w:t>
      </w:r>
      <w:r w:rsidR="00FC12D5" w:rsidRPr="00E1372C">
        <w:rPr>
          <w:lang w:val="fr-FR" w:bidi="en-US"/>
        </w:rPr>
        <w:t>articles</w:t>
      </w:r>
      <w:r w:rsidR="006A5712" w:rsidRPr="00E1372C">
        <w:rPr>
          <w:lang w:val="fr-FR" w:bidi="en-US"/>
        </w:rPr>
        <w:t xml:space="preserve"> </w:t>
      </w:r>
      <w:r w:rsidR="009276D9" w:rsidRPr="00E1372C">
        <w:rPr>
          <w:lang w:val="fr-FR" w:bidi="en-US"/>
        </w:rPr>
        <w:t xml:space="preserve">pertinents </w:t>
      </w:r>
      <w:r w:rsidR="006A5712" w:rsidRPr="00E1372C">
        <w:rPr>
          <w:lang w:val="fr-FR" w:bidi="en-US"/>
        </w:rPr>
        <w:t>du Pacte.</w:t>
      </w:r>
    </w:p>
    <w:p w:rsidR="00FC12D5" w:rsidRPr="00E1372C" w:rsidRDefault="007A1757" w:rsidP="007A1757">
      <w:pPr>
        <w:pStyle w:val="SingleTxtG"/>
        <w:rPr>
          <w:lang w:val="fr-FR" w:bidi="en-US"/>
        </w:rPr>
      </w:pPr>
      <w:r w:rsidRPr="00E1372C">
        <w:rPr>
          <w:lang w:val="fr-FR" w:bidi="en-US"/>
        </w:rPr>
        <w:t>3.</w:t>
      </w:r>
      <w:r w:rsidRPr="00E1372C">
        <w:rPr>
          <w:lang w:val="fr-FR" w:bidi="en-US"/>
        </w:rPr>
        <w:tab/>
      </w:r>
      <w:r w:rsidR="00FC12D5" w:rsidRPr="00E1372C">
        <w:rPr>
          <w:lang w:val="fr-FR" w:bidi="en-US"/>
        </w:rPr>
        <w:t>Le présent rapport a été élaboré par le Ministère de la justice d</w:t>
      </w:r>
      <w:r w:rsidR="00731F09" w:rsidRPr="00E1372C">
        <w:rPr>
          <w:lang w:val="fr-FR" w:bidi="en-US"/>
        </w:rPr>
        <w:t>’</w:t>
      </w:r>
      <w:r w:rsidR="00FC12D5" w:rsidRPr="00E1372C">
        <w:rPr>
          <w:lang w:val="fr-FR" w:bidi="en-US"/>
        </w:rPr>
        <w:t>après des renseignements reçus de services ou d</w:t>
      </w:r>
      <w:r w:rsidR="00731F09" w:rsidRPr="00E1372C">
        <w:rPr>
          <w:lang w:val="fr-FR" w:bidi="en-US"/>
        </w:rPr>
        <w:t>’</w:t>
      </w:r>
      <w:r w:rsidR="00FC12D5" w:rsidRPr="00E1372C">
        <w:rPr>
          <w:lang w:val="fr-FR" w:bidi="en-US"/>
        </w:rPr>
        <w:t xml:space="preserve">organismes gouvernementaux et de ministères, </w:t>
      </w:r>
      <w:r w:rsidR="009276D9" w:rsidRPr="00E1372C">
        <w:rPr>
          <w:lang w:val="fr-FR" w:bidi="en-US"/>
        </w:rPr>
        <w:t xml:space="preserve">et </w:t>
      </w:r>
      <w:r w:rsidR="00FC12D5" w:rsidRPr="00E1372C">
        <w:rPr>
          <w:lang w:val="fr-FR" w:bidi="en-US"/>
        </w:rPr>
        <w:t xml:space="preserve">des données et </w:t>
      </w:r>
      <w:r w:rsidR="009276D9" w:rsidRPr="00E1372C">
        <w:rPr>
          <w:lang w:val="fr-FR" w:bidi="en-US"/>
        </w:rPr>
        <w:t>des travaux</w:t>
      </w:r>
      <w:r w:rsidR="00FC12D5" w:rsidRPr="00E1372C">
        <w:rPr>
          <w:lang w:val="fr-FR" w:bidi="en-US"/>
        </w:rPr>
        <w:t xml:space="preserve"> de recherch</w:t>
      </w:r>
      <w:r w:rsidR="00E806E4" w:rsidRPr="00E1372C">
        <w:rPr>
          <w:lang w:val="fr-FR" w:bidi="en-US"/>
        </w:rPr>
        <w:t>e</w:t>
      </w:r>
      <w:r w:rsidR="00FC12D5" w:rsidRPr="00E1372C">
        <w:rPr>
          <w:lang w:val="fr-FR" w:bidi="en-US"/>
        </w:rPr>
        <w:t xml:space="preserve"> émanant d</w:t>
      </w:r>
      <w:r w:rsidR="00731F09" w:rsidRPr="00E1372C">
        <w:rPr>
          <w:lang w:val="fr-FR" w:bidi="en-US"/>
        </w:rPr>
        <w:t>’</w:t>
      </w:r>
      <w:r w:rsidR="00FC12D5" w:rsidRPr="00E1372C">
        <w:rPr>
          <w:lang w:val="fr-FR" w:bidi="en-US"/>
        </w:rPr>
        <w:t>organisations non gouvernementales (ONG). Des organisations de la société civile ont eu la possibilité de présenter des observations sur le projet de rapport.</w:t>
      </w:r>
    </w:p>
    <w:p w:rsidR="00A55A0E" w:rsidRPr="00E1372C" w:rsidRDefault="00A55A0E" w:rsidP="006210BA">
      <w:pPr>
        <w:pStyle w:val="HChG"/>
        <w:rPr>
          <w:lang w:val="fr-FR" w:bidi="en-US"/>
        </w:rPr>
      </w:pPr>
      <w:r w:rsidRPr="00E1372C">
        <w:rPr>
          <w:lang w:val="fr-FR" w:bidi="en-US"/>
        </w:rPr>
        <w:tab/>
        <w:t>II.</w:t>
      </w:r>
      <w:r w:rsidRPr="00E1372C">
        <w:rPr>
          <w:lang w:val="fr-FR" w:bidi="en-US"/>
        </w:rPr>
        <w:tab/>
      </w:r>
      <w:r w:rsidR="006210BA" w:rsidRPr="00E1372C">
        <w:rPr>
          <w:lang w:val="fr-FR"/>
        </w:rPr>
        <w:t>Part</w:t>
      </w:r>
      <w:r w:rsidR="00FC12D5" w:rsidRPr="00E1372C">
        <w:rPr>
          <w:lang w:val="fr-FR"/>
        </w:rPr>
        <w:t>ie du rapport concernant les dispositions générales du Pacte</w:t>
      </w:r>
      <w:r w:rsidRPr="00E1372C">
        <w:rPr>
          <w:b w:val="0"/>
          <w:sz w:val="24"/>
          <w:szCs w:val="24"/>
          <w:lang w:val="fr-FR" w:bidi="en-US"/>
        </w:rPr>
        <w:t xml:space="preserve"> </w:t>
      </w:r>
    </w:p>
    <w:p w:rsidR="00A55A0E" w:rsidRPr="00E1372C" w:rsidRDefault="00A55A0E" w:rsidP="00A55A0E">
      <w:pPr>
        <w:pStyle w:val="H1G"/>
        <w:rPr>
          <w:lang w:val="fr-FR" w:bidi="en-US"/>
        </w:rPr>
      </w:pPr>
      <w:r w:rsidRPr="00E1372C">
        <w:rPr>
          <w:lang w:val="fr-FR" w:bidi="en-US"/>
        </w:rPr>
        <w:tab/>
      </w:r>
      <w:r w:rsidRPr="00E1372C">
        <w:rPr>
          <w:lang w:val="fr-FR" w:bidi="en-US"/>
        </w:rPr>
        <w:tab/>
        <w:t>Article </w:t>
      </w:r>
      <w:r w:rsidR="00825848" w:rsidRPr="00E1372C">
        <w:rPr>
          <w:lang w:val="fr-FR" w:bidi="en-US"/>
        </w:rPr>
        <w:t>1</w:t>
      </w:r>
      <w:r w:rsidR="00825848" w:rsidRPr="00E1372C">
        <w:rPr>
          <w:vertAlign w:val="superscript"/>
          <w:lang w:val="fr-FR" w:bidi="en-US"/>
        </w:rPr>
        <w:t>er</w:t>
      </w:r>
      <w:r w:rsidR="00825848" w:rsidRPr="00E1372C">
        <w:rPr>
          <w:lang w:val="fr-FR" w:bidi="en-US"/>
        </w:rPr>
        <w:br/>
        <w:t xml:space="preserve">Situation </w:t>
      </w:r>
      <w:r w:rsidR="00FC12D5" w:rsidRPr="00E1372C">
        <w:rPr>
          <w:lang w:val="fr-FR" w:bidi="en-US"/>
        </w:rPr>
        <w:t>politique</w:t>
      </w:r>
    </w:p>
    <w:p w:rsidR="00E806E4" w:rsidRPr="00E1372C" w:rsidRDefault="007A1757" w:rsidP="007A1757">
      <w:pPr>
        <w:pStyle w:val="SingleTxtG"/>
        <w:rPr>
          <w:lang w:val="fr-FR" w:bidi="en-US"/>
        </w:rPr>
      </w:pPr>
      <w:r w:rsidRPr="00E1372C">
        <w:rPr>
          <w:lang w:val="fr-FR" w:bidi="en-US"/>
        </w:rPr>
        <w:t>4.</w:t>
      </w:r>
      <w:r w:rsidRPr="00E1372C">
        <w:rPr>
          <w:lang w:val="fr-FR" w:bidi="en-US"/>
        </w:rPr>
        <w:tab/>
      </w:r>
      <w:r w:rsidR="00E806E4" w:rsidRPr="00E1372C">
        <w:rPr>
          <w:lang w:val="fr-FR" w:bidi="en-US"/>
        </w:rPr>
        <w:t xml:space="preserve">Le peuple namibien a </w:t>
      </w:r>
      <w:r w:rsidR="009276D9" w:rsidRPr="00E1372C">
        <w:rPr>
          <w:lang w:val="fr-FR" w:bidi="en-US"/>
        </w:rPr>
        <w:t xml:space="preserve">connu </w:t>
      </w:r>
      <w:r w:rsidR="00E806E4" w:rsidRPr="00E1372C">
        <w:rPr>
          <w:lang w:val="fr-FR" w:bidi="en-US"/>
        </w:rPr>
        <w:t>plus d</w:t>
      </w:r>
      <w:r w:rsidR="00731F09" w:rsidRPr="00E1372C">
        <w:rPr>
          <w:lang w:val="fr-FR" w:bidi="en-US"/>
        </w:rPr>
        <w:t>’</w:t>
      </w:r>
      <w:r w:rsidR="00E806E4" w:rsidRPr="00E1372C">
        <w:rPr>
          <w:lang w:val="fr-FR" w:bidi="en-US"/>
        </w:rPr>
        <w:t>un siècle de régime colonial. Ap</w:t>
      </w:r>
      <w:r w:rsidR="005D2953" w:rsidRPr="00E1372C">
        <w:rPr>
          <w:lang w:val="fr-FR" w:bidi="en-US"/>
        </w:rPr>
        <w:t>r</w:t>
      </w:r>
      <w:r w:rsidR="00E806E4" w:rsidRPr="00E1372C">
        <w:rPr>
          <w:lang w:val="fr-FR" w:bidi="en-US"/>
        </w:rPr>
        <w:t>è</w:t>
      </w:r>
      <w:r w:rsidR="005D2953" w:rsidRPr="00E1372C">
        <w:rPr>
          <w:lang w:val="fr-FR" w:bidi="en-US"/>
        </w:rPr>
        <w:t xml:space="preserve">s </w:t>
      </w:r>
      <w:r w:rsidR="009276D9" w:rsidRPr="00E1372C">
        <w:rPr>
          <w:lang w:val="fr-FR" w:bidi="en-US"/>
        </w:rPr>
        <w:t xml:space="preserve">une longue </w:t>
      </w:r>
      <w:r w:rsidR="005D2953" w:rsidRPr="00E1372C">
        <w:rPr>
          <w:lang w:val="fr-FR" w:bidi="en-US"/>
        </w:rPr>
        <w:t xml:space="preserve">lutte </w:t>
      </w:r>
      <w:r w:rsidR="009276D9" w:rsidRPr="00E1372C">
        <w:rPr>
          <w:lang w:val="fr-FR" w:bidi="en-US"/>
        </w:rPr>
        <w:t xml:space="preserve">de </w:t>
      </w:r>
      <w:r w:rsidR="005D2953" w:rsidRPr="00E1372C">
        <w:rPr>
          <w:lang w:val="fr-FR" w:bidi="en-US"/>
        </w:rPr>
        <w:t>libération</w:t>
      </w:r>
      <w:r w:rsidR="009276D9" w:rsidRPr="00E1372C">
        <w:rPr>
          <w:lang w:val="fr-FR" w:bidi="en-US"/>
        </w:rPr>
        <w:t xml:space="preserve"> nationale</w:t>
      </w:r>
      <w:r w:rsidR="005D2953" w:rsidRPr="00E1372C">
        <w:rPr>
          <w:lang w:val="fr-FR" w:bidi="en-US"/>
        </w:rPr>
        <w:t xml:space="preserve">, le pays a organisé ses premières élections libres et régulières sous </w:t>
      </w:r>
      <w:r w:rsidR="009276D9" w:rsidRPr="00E1372C">
        <w:rPr>
          <w:lang w:val="fr-FR" w:bidi="en-US"/>
        </w:rPr>
        <w:t xml:space="preserve">la supervision </w:t>
      </w:r>
      <w:r w:rsidR="005D2953" w:rsidRPr="00E1372C">
        <w:rPr>
          <w:lang w:val="fr-FR" w:bidi="en-US"/>
        </w:rPr>
        <w:t>de l</w:t>
      </w:r>
      <w:r w:rsidR="00731F09" w:rsidRPr="00E1372C">
        <w:rPr>
          <w:lang w:val="fr-FR" w:bidi="en-US"/>
        </w:rPr>
        <w:t>’</w:t>
      </w:r>
      <w:r w:rsidR="005D2953" w:rsidRPr="00E1372C">
        <w:rPr>
          <w:lang w:val="fr-FR" w:bidi="en-US"/>
        </w:rPr>
        <w:t>Organisation des Nations Unies en novembre 1989. Depuis l</w:t>
      </w:r>
      <w:r w:rsidR="00731F09" w:rsidRPr="00E1372C">
        <w:rPr>
          <w:lang w:val="fr-FR" w:bidi="en-US"/>
        </w:rPr>
        <w:t>’</w:t>
      </w:r>
      <w:r w:rsidR="005D2953" w:rsidRPr="00E1372C">
        <w:rPr>
          <w:lang w:val="fr-FR" w:bidi="en-US"/>
        </w:rPr>
        <w:t>indépendance, le 21 mars 1990, quatre autres élections libres et régulières, reconnues au niveau international, ont eu lieu aux échelons national et régional.</w:t>
      </w:r>
    </w:p>
    <w:p w:rsidR="00A55A0E" w:rsidRPr="00E1372C" w:rsidRDefault="007A1757" w:rsidP="007A1757">
      <w:pPr>
        <w:pStyle w:val="SingleTxtG"/>
        <w:rPr>
          <w:lang w:val="fr-FR" w:bidi="en-US"/>
        </w:rPr>
      </w:pPr>
      <w:r w:rsidRPr="00E1372C">
        <w:rPr>
          <w:lang w:val="fr-FR" w:bidi="en-US"/>
        </w:rPr>
        <w:t>5.</w:t>
      </w:r>
      <w:r w:rsidRPr="00E1372C">
        <w:rPr>
          <w:lang w:val="fr-FR" w:bidi="en-US"/>
        </w:rPr>
        <w:tab/>
      </w:r>
      <w:r w:rsidR="005D2953" w:rsidRPr="00E1372C">
        <w:rPr>
          <w:lang w:val="fr-FR"/>
        </w:rPr>
        <w:t>L</w:t>
      </w:r>
      <w:r w:rsidR="00731F09" w:rsidRPr="00E1372C">
        <w:rPr>
          <w:lang w:val="fr-FR"/>
        </w:rPr>
        <w:t>’</w:t>
      </w:r>
      <w:r w:rsidR="005D2953" w:rsidRPr="00E1372C">
        <w:rPr>
          <w:lang w:val="fr-FR"/>
        </w:rPr>
        <w:t xml:space="preserve">article </w:t>
      </w:r>
      <w:r w:rsidR="00D17E3A" w:rsidRPr="00E1372C">
        <w:rPr>
          <w:lang w:val="fr-FR"/>
        </w:rPr>
        <w:t xml:space="preserve">premier </w:t>
      </w:r>
      <w:r w:rsidR="005D2953" w:rsidRPr="00E1372C">
        <w:rPr>
          <w:lang w:val="fr-FR"/>
        </w:rPr>
        <w:t xml:space="preserve">de la Constitution dispose que </w:t>
      </w:r>
      <w:r w:rsidR="00AE017E" w:rsidRPr="00E1372C">
        <w:rPr>
          <w:lang w:val="fr-FR"/>
        </w:rPr>
        <w:t>«</w:t>
      </w:r>
      <w:r w:rsidR="005D2953" w:rsidRPr="00E1372C">
        <w:rPr>
          <w:lang w:val="fr-FR"/>
        </w:rPr>
        <w:t>le pouvoir appartient au peuple namibien, qui exerce sa souveraineté par le biais des institutions démocratiques de l</w:t>
      </w:r>
      <w:r w:rsidR="00731F09" w:rsidRPr="00E1372C">
        <w:rPr>
          <w:lang w:val="fr-FR"/>
        </w:rPr>
        <w:t>’</w:t>
      </w:r>
      <w:r w:rsidR="005D2953" w:rsidRPr="00E1372C">
        <w:rPr>
          <w:lang w:val="fr-FR"/>
        </w:rPr>
        <w:t>État</w:t>
      </w:r>
      <w:r w:rsidR="00AE017E" w:rsidRPr="00E1372C">
        <w:rPr>
          <w:lang w:val="fr-FR"/>
        </w:rPr>
        <w:t>»</w:t>
      </w:r>
      <w:r w:rsidR="00A55A0E" w:rsidRPr="00E1372C">
        <w:rPr>
          <w:lang w:val="fr-FR" w:bidi="en-US"/>
        </w:rPr>
        <w:t xml:space="preserve">. </w:t>
      </w:r>
    </w:p>
    <w:p w:rsidR="005D2953" w:rsidRPr="00E1372C" w:rsidRDefault="007A1757" w:rsidP="007A1757">
      <w:pPr>
        <w:pStyle w:val="SingleTxtG"/>
        <w:rPr>
          <w:lang w:val="fr-FR" w:bidi="en-US"/>
        </w:rPr>
      </w:pPr>
      <w:r w:rsidRPr="00E1372C">
        <w:rPr>
          <w:lang w:val="fr-FR" w:bidi="en-US"/>
        </w:rPr>
        <w:t>6.</w:t>
      </w:r>
      <w:r w:rsidRPr="00E1372C">
        <w:rPr>
          <w:lang w:val="fr-FR" w:bidi="en-US"/>
        </w:rPr>
        <w:tab/>
      </w:r>
      <w:r w:rsidR="005D2953" w:rsidRPr="00E1372C">
        <w:rPr>
          <w:lang w:val="fr-FR" w:bidi="en-US"/>
        </w:rPr>
        <w:t>La loi électorale n</w:t>
      </w:r>
      <w:r w:rsidR="00B277C4" w:rsidRPr="00E1372C">
        <w:rPr>
          <w:vertAlign w:val="superscript"/>
          <w:lang w:val="fr-FR" w:bidi="en-US"/>
        </w:rPr>
        <w:t>o</w:t>
      </w:r>
      <w:r w:rsidR="005D2953" w:rsidRPr="00E1372C">
        <w:rPr>
          <w:lang w:val="fr-FR" w:bidi="en-US"/>
        </w:rPr>
        <w:t> </w:t>
      </w:r>
      <w:r w:rsidR="00A55A0E" w:rsidRPr="00E1372C">
        <w:rPr>
          <w:lang w:val="fr-FR" w:bidi="en-US"/>
        </w:rPr>
        <w:t xml:space="preserve">24 </w:t>
      </w:r>
      <w:r w:rsidR="005D2953" w:rsidRPr="00E1372C">
        <w:rPr>
          <w:lang w:val="fr-FR" w:bidi="en-US"/>
        </w:rPr>
        <w:t>de</w:t>
      </w:r>
      <w:r w:rsidR="00A55A0E" w:rsidRPr="00E1372C">
        <w:rPr>
          <w:lang w:val="fr-FR" w:bidi="en-US"/>
        </w:rPr>
        <w:t xml:space="preserve"> 1992</w:t>
      </w:r>
      <w:r w:rsidR="005D2953" w:rsidRPr="00E1372C">
        <w:rPr>
          <w:lang w:val="fr-FR" w:bidi="en-US"/>
        </w:rPr>
        <w:t>, telle que modifiée par la loi n</w:t>
      </w:r>
      <w:r w:rsidR="00B277C4" w:rsidRPr="00E1372C">
        <w:rPr>
          <w:vertAlign w:val="superscript"/>
          <w:lang w:val="fr-FR" w:bidi="en-US"/>
        </w:rPr>
        <w:t>o</w:t>
      </w:r>
      <w:r w:rsidR="005D2953" w:rsidRPr="00E1372C">
        <w:rPr>
          <w:lang w:val="fr-FR" w:bidi="en-US"/>
        </w:rPr>
        <w:t> </w:t>
      </w:r>
      <w:r w:rsidR="00A55A0E" w:rsidRPr="00E1372C">
        <w:rPr>
          <w:lang w:val="fr-FR" w:bidi="en-US"/>
        </w:rPr>
        <w:t xml:space="preserve">23 </w:t>
      </w:r>
      <w:r w:rsidR="005D2953" w:rsidRPr="00E1372C">
        <w:rPr>
          <w:lang w:val="fr-FR" w:bidi="en-US"/>
        </w:rPr>
        <w:t>de</w:t>
      </w:r>
      <w:r w:rsidR="00A55A0E" w:rsidRPr="00E1372C">
        <w:rPr>
          <w:lang w:val="fr-FR" w:bidi="en-US"/>
        </w:rPr>
        <w:t xml:space="preserve"> 1994</w:t>
      </w:r>
      <w:r w:rsidR="005D2953" w:rsidRPr="00E1372C">
        <w:rPr>
          <w:lang w:val="fr-FR" w:bidi="en-US"/>
        </w:rPr>
        <w:t xml:space="preserve"> portant modification de la loi électorale</w:t>
      </w:r>
      <w:r w:rsidR="00837309" w:rsidRPr="00E1372C">
        <w:rPr>
          <w:lang w:val="fr-FR" w:bidi="en-US"/>
        </w:rPr>
        <w:t>,</w:t>
      </w:r>
      <w:r w:rsidR="005D2953" w:rsidRPr="00E1372C">
        <w:rPr>
          <w:lang w:val="fr-FR" w:bidi="en-US"/>
        </w:rPr>
        <w:t xml:space="preserve"> a réformé et restructuré le système colonial inéquitable, en soumettant au verdict des urnes</w:t>
      </w:r>
      <w:r w:rsidR="00837309" w:rsidRPr="00E1372C">
        <w:rPr>
          <w:lang w:val="fr-FR" w:bidi="en-US"/>
        </w:rPr>
        <w:t>,</w:t>
      </w:r>
      <w:r w:rsidR="005D2953" w:rsidRPr="00E1372C">
        <w:rPr>
          <w:lang w:val="fr-FR" w:bidi="en-US"/>
        </w:rPr>
        <w:t xml:space="preserve"> démocratiquement</w:t>
      </w:r>
      <w:r w:rsidR="00837309" w:rsidRPr="00E1372C">
        <w:rPr>
          <w:lang w:val="fr-FR" w:bidi="en-US"/>
        </w:rPr>
        <w:t>,</w:t>
      </w:r>
      <w:r w:rsidR="005D2953" w:rsidRPr="00E1372C">
        <w:rPr>
          <w:lang w:val="fr-FR" w:bidi="en-US"/>
        </w:rPr>
        <w:t xml:space="preserve"> les dispositions de l</w:t>
      </w:r>
      <w:r w:rsidR="00731F09" w:rsidRPr="00E1372C">
        <w:rPr>
          <w:lang w:val="fr-FR" w:bidi="en-US"/>
        </w:rPr>
        <w:t>’</w:t>
      </w:r>
      <w:r w:rsidR="005D2953" w:rsidRPr="00E1372C">
        <w:rPr>
          <w:lang w:val="fr-FR" w:bidi="en-US"/>
        </w:rPr>
        <w:t xml:space="preserve">article </w:t>
      </w:r>
      <w:r w:rsidR="00D17E3A" w:rsidRPr="00E1372C">
        <w:rPr>
          <w:lang w:val="fr-FR" w:bidi="en-US"/>
        </w:rPr>
        <w:t>premier</w:t>
      </w:r>
      <w:r w:rsidR="00C948DF" w:rsidRPr="00E1372C">
        <w:rPr>
          <w:lang w:val="fr-FR" w:bidi="en-US"/>
        </w:rPr>
        <w:t xml:space="preserve"> </w:t>
      </w:r>
      <w:r w:rsidR="005D2953" w:rsidRPr="00E1372C">
        <w:rPr>
          <w:lang w:val="fr-FR" w:bidi="en-US"/>
        </w:rPr>
        <w:t>de la Constitution.</w:t>
      </w:r>
    </w:p>
    <w:p w:rsidR="005D2953" w:rsidRPr="00E1372C" w:rsidRDefault="007A1757" w:rsidP="009D6DA3">
      <w:pPr>
        <w:pStyle w:val="SingleTxtG"/>
        <w:rPr>
          <w:lang w:val="fr-FR" w:bidi="en-US"/>
        </w:rPr>
      </w:pPr>
      <w:r w:rsidRPr="00E1372C">
        <w:rPr>
          <w:lang w:val="fr-FR" w:bidi="en-US"/>
        </w:rPr>
        <w:t>7.</w:t>
      </w:r>
      <w:r w:rsidRPr="00E1372C">
        <w:rPr>
          <w:lang w:val="fr-FR" w:bidi="en-US"/>
        </w:rPr>
        <w:tab/>
      </w:r>
      <w:r w:rsidR="005D2953" w:rsidRPr="00E1372C">
        <w:rPr>
          <w:lang w:val="fr-FR" w:bidi="en-US"/>
        </w:rPr>
        <w:t xml:space="preserve">La Namibie </w:t>
      </w:r>
      <w:r w:rsidR="00D17E3A" w:rsidRPr="00E1372C">
        <w:rPr>
          <w:lang w:val="fr-FR" w:bidi="en-US"/>
        </w:rPr>
        <w:t>a</w:t>
      </w:r>
      <w:r w:rsidR="005D2953" w:rsidRPr="00E1372C">
        <w:rPr>
          <w:lang w:val="fr-FR" w:bidi="en-US"/>
        </w:rPr>
        <w:t xml:space="preserve"> un système de gouvernement </w:t>
      </w:r>
      <w:r w:rsidR="00D17E3A" w:rsidRPr="00E1372C">
        <w:rPr>
          <w:lang w:val="fr-FR" w:bidi="en-US"/>
        </w:rPr>
        <w:t xml:space="preserve">multipartite </w:t>
      </w:r>
      <w:r w:rsidR="005D2953" w:rsidRPr="00E1372C">
        <w:rPr>
          <w:lang w:val="fr-FR" w:bidi="en-US"/>
        </w:rPr>
        <w:t>et t</w:t>
      </w:r>
      <w:r w:rsidR="005D2953" w:rsidRPr="00E1372C">
        <w:rPr>
          <w:lang w:val="fr-FR"/>
        </w:rPr>
        <w:t xml:space="preserve">ous les citoyens ont le droit de participer librement à </w:t>
      </w:r>
      <w:r w:rsidR="00D17E3A" w:rsidRPr="00E1372C">
        <w:rPr>
          <w:lang w:val="fr-FR"/>
        </w:rPr>
        <w:t>toutes les structures de gouvernement</w:t>
      </w:r>
      <w:r w:rsidR="005D2953" w:rsidRPr="00E1372C">
        <w:rPr>
          <w:lang w:val="fr-FR"/>
        </w:rPr>
        <w:t>, soit directement, soit par l</w:t>
      </w:r>
      <w:r w:rsidR="00731F09" w:rsidRPr="00E1372C">
        <w:rPr>
          <w:lang w:val="fr-FR"/>
        </w:rPr>
        <w:t>’</w:t>
      </w:r>
      <w:r w:rsidR="005D2953" w:rsidRPr="00E1372C">
        <w:rPr>
          <w:lang w:val="fr-FR"/>
        </w:rPr>
        <w:t xml:space="preserve">intermédiaire de leurs représentants librement choisis, aux niveaux national, régional et local. Les élections se déroulent dans le respect de la Constitution et de la loi électorale </w:t>
      </w:r>
      <w:r w:rsidR="00837309" w:rsidRPr="00E1372C">
        <w:rPr>
          <w:lang w:val="fr-FR"/>
        </w:rPr>
        <w:t>n</w:t>
      </w:r>
      <w:r w:rsidR="00B277C4" w:rsidRPr="00E1372C">
        <w:rPr>
          <w:vertAlign w:val="superscript"/>
          <w:lang w:val="fr-FR"/>
        </w:rPr>
        <w:t>o</w:t>
      </w:r>
      <w:r w:rsidR="00837309" w:rsidRPr="00E1372C">
        <w:rPr>
          <w:lang w:val="fr-FR"/>
        </w:rPr>
        <w:t xml:space="preserve"> 24 </w:t>
      </w:r>
      <w:r w:rsidR="005D2953" w:rsidRPr="00E1372C">
        <w:rPr>
          <w:lang w:val="fr-FR"/>
        </w:rPr>
        <w:t>de</w:t>
      </w:r>
      <w:r w:rsidR="009D6DA3" w:rsidRPr="00E1372C">
        <w:rPr>
          <w:lang w:val="fr-FR"/>
        </w:rPr>
        <w:t xml:space="preserve"> </w:t>
      </w:r>
      <w:r w:rsidR="005D2953" w:rsidRPr="00E1372C">
        <w:rPr>
          <w:lang w:val="fr-FR"/>
        </w:rPr>
        <w:t>1992. L</w:t>
      </w:r>
      <w:r w:rsidR="00731F09" w:rsidRPr="00E1372C">
        <w:rPr>
          <w:lang w:val="fr-FR"/>
        </w:rPr>
        <w:t>’</w:t>
      </w:r>
      <w:r w:rsidR="005D2953" w:rsidRPr="00E1372C">
        <w:rPr>
          <w:lang w:val="fr-FR"/>
        </w:rPr>
        <w:t xml:space="preserve">article 3 de cette loi établit une commission électorale indépendante qui seule a qualité pour </w:t>
      </w:r>
      <w:r w:rsidR="00AE017E" w:rsidRPr="00E1372C">
        <w:rPr>
          <w:lang w:val="fr-FR"/>
        </w:rPr>
        <w:t>«</w:t>
      </w:r>
      <w:r w:rsidR="005D2953" w:rsidRPr="00E1372C">
        <w:rPr>
          <w:lang w:val="fr-FR"/>
        </w:rPr>
        <w:t>organiser, superviser et contrôler de façon loyale et impartiale les élections régies par la présente loi</w:t>
      </w:r>
      <w:r w:rsidR="00AE017E" w:rsidRPr="00E1372C">
        <w:rPr>
          <w:lang w:val="fr-FR"/>
        </w:rPr>
        <w:t>»</w:t>
      </w:r>
      <w:r w:rsidR="005D2953" w:rsidRPr="00E1372C">
        <w:rPr>
          <w:lang w:val="fr-FR"/>
        </w:rPr>
        <w:t>.</w:t>
      </w:r>
    </w:p>
    <w:p w:rsidR="00A55A0E" w:rsidRPr="00E1372C" w:rsidRDefault="007A1757" w:rsidP="007A1757">
      <w:pPr>
        <w:pStyle w:val="SingleTxtG"/>
        <w:keepNext/>
        <w:rPr>
          <w:lang w:val="fr-FR" w:bidi="en-US"/>
        </w:rPr>
      </w:pPr>
      <w:r w:rsidRPr="00E1372C">
        <w:rPr>
          <w:lang w:val="fr-FR" w:bidi="en-US"/>
        </w:rPr>
        <w:t>8.</w:t>
      </w:r>
      <w:r w:rsidRPr="00E1372C">
        <w:rPr>
          <w:lang w:val="fr-FR" w:bidi="en-US"/>
        </w:rPr>
        <w:tab/>
      </w:r>
      <w:r w:rsidR="005D2953" w:rsidRPr="00E1372C">
        <w:rPr>
          <w:lang w:val="fr-FR" w:bidi="en-US"/>
        </w:rPr>
        <w:t>La Commission électorale comprend</w:t>
      </w:r>
      <w:r w:rsidR="00AE017E" w:rsidRPr="00E1372C">
        <w:rPr>
          <w:lang w:val="fr-FR" w:bidi="en-US"/>
        </w:rPr>
        <w:t>:</w:t>
      </w:r>
    </w:p>
    <w:p w:rsidR="00A55A0E" w:rsidRPr="00E1372C" w:rsidRDefault="00A034B6" w:rsidP="00CE2771">
      <w:pPr>
        <w:pStyle w:val="Bullet1G"/>
      </w:pPr>
      <w:r w:rsidRPr="00E1372C">
        <w:t xml:space="preserve">Le </w:t>
      </w:r>
      <w:r w:rsidR="005D2953" w:rsidRPr="00E1372C">
        <w:t>Président</w:t>
      </w:r>
      <w:r w:rsidRPr="00E1372C">
        <w:t>;</w:t>
      </w:r>
      <w:r w:rsidR="005D2953" w:rsidRPr="00E1372C">
        <w:t xml:space="preserve"> et</w:t>
      </w:r>
    </w:p>
    <w:p w:rsidR="00A55A0E" w:rsidRPr="00E1372C" w:rsidRDefault="00A034B6" w:rsidP="00CE2771">
      <w:pPr>
        <w:pStyle w:val="Bullet1G"/>
      </w:pPr>
      <w:r w:rsidRPr="00E1372C">
        <w:t xml:space="preserve">Quatre </w:t>
      </w:r>
      <w:r w:rsidR="005D2953" w:rsidRPr="00E1372C">
        <w:t>membres désignés par le Président</w:t>
      </w:r>
      <w:r w:rsidR="00A55A0E" w:rsidRPr="00E1372C">
        <w:t>.</w:t>
      </w:r>
    </w:p>
    <w:p w:rsidR="00A55A0E" w:rsidRPr="00E1372C" w:rsidRDefault="007A1757" w:rsidP="007A1757">
      <w:pPr>
        <w:pStyle w:val="SingleTxtG"/>
        <w:rPr>
          <w:lang w:val="fr-FR" w:bidi="en-US"/>
        </w:rPr>
      </w:pPr>
      <w:r w:rsidRPr="00E1372C">
        <w:rPr>
          <w:lang w:val="fr-FR" w:bidi="en-US"/>
        </w:rPr>
        <w:t>9.</w:t>
      </w:r>
      <w:r w:rsidRPr="00E1372C">
        <w:rPr>
          <w:lang w:val="fr-FR" w:bidi="en-US"/>
        </w:rPr>
        <w:tab/>
      </w:r>
      <w:r w:rsidR="005D2953" w:rsidRPr="00E1372C">
        <w:rPr>
          <w:lang w:val="fr-FR" w:bidi="en-US"/>
        </w:rPr>
        <w:t>Depuis l</w:t>
      </w:r>
      <w:r w:rsidR="00731F09" w:rsidRPr="00E1372C">
        <w:rPr>
          <w:lang w:val="fr-FR" w:bidi="en-US"/>
        </w:rPr>
        <w:t>’</w:t>
      </w:r>
      <w:r w:rsidR="005D2953" w:rsidRPr="00E1372C">
        <w:rPr>
          <w:lang w:val="fr-FR" w:bidi="en-US"/>
        </w:rPr>
        <w:t>indépendance le 21 mars 1990, la Namibie connaît la stabilité politique, la paix et l</w:t>
      </w:r>
      <w:r w:rsidR="008D45C8" w:rsidRPr="00E1372C">
        <w:rPr>
          <w:lang w:val="fr-FR" w:bidi="en-US"/>
        </w:rPr>
        <w:t>e calme</w:t>
      </w:r>
      <w:r w:rsidR="005D2953" w:rsidRPr="00E1372C">
        <w:rPr>
          <w:lang w:val="fr-FR" w:bidi="en-US"/>
        </w:rPr>
        <w:t>, à l</w:t>
      </w:r>
      <w:r w:rsidR="00731F09" w:rsidRPr="00E1372C">
        <w:rPr>
          <w:lang w:val="fr-FR" w:bidi="en-US"/>
        </w:rPr>
        <w:t>’</w:t>
      </w:r>
      <w:r w:rsidR="005D2953" w:rsidRPr="00E1372C">
        <w:rPr>
          <w:lang w:val="fr-FR" w:bidi="en-US"/>
        </w:rPr>
        <w:t>exception de l</w:t>
      </w:r>
      <w:r w:rsidR="00731F09" w:rsidRPr="00E1372C">
        <w:rPr>
          <w:lang w:val="fr-FR" w:bidi="en-US"/>
        </w:rPr>
        <w:t>’</w:t>
      </w:r>
      <w:r w:rsidR="005D2953" w:rsidRPr="00E1372C">
        <w:rPr>
          <w:lang w:val="fr-FR" w:bidi="en-US"/>
        </w:rPr>
        <w:t xml:space="preserve">attaque dans la ville de </w:t>
      </w:r>
      <w:r w:rsidR="00A55A0E" w:rsidRPr="00E1372C">
        <w:rPr>
          <w:lang w:val="fr-FR" w:bidi="en-US"/>
        </w:rPr>
        <w:t xml:space="preserve">Katima Mulilo </w:t>
      </w:r>
      <w:r w:rsidR="005D2953" w:rsidRPr="00E1372C">
        <w:rPr>
          <w:lang w:val="fr-FR" w:bidi="en-US"/>
        </w:rPr>
        <w:t xml:space="preserve">par des sécessionnistes, qui a eu lieu dans la région de </w:t>
      </w:r>
      <w:r w:rsidR="00A55A0E" w:rsidRPr="00E1372C">
        <w:rPr>
          <w:lang w:val="fr-FR" w:bidi="en-US"/>
        </w:rPr>
        <w:t>Caprivi</w:t>
      </w:r>
      <w:r w:rsidR="005D2953" w:rsidRPr="00E1372C">
        <w:rPr>
          <w:lang w:val="fr-FR" w:bidi="en-US"/>
        </w:rPr>
        <w:t xml:space="preserve"> e</w:t>
      </w:r>
      <w:r w:rsidR="00A55A0E" w:rsidRPr="00E1372C">
        <w:rPr>
          <w:lang w:val="fr-FR" w:bidi="en-US"/>
        </w:rPr>
        <w:t xml:space="preserve">n 1999. </w:t>
      </w:r>
    </w:p>
    <w:p w:rsidR="00A55A0E" w:rsidRPr="00E1372C" w:rsidRDefault="007A1757" w:rsidP="007A1757">
      <w:pPr>
        <w:pStyle w:val="SingleTxtG"/>
        <w:rPr>
          <w:lang w:val="fr-FR" w:bidi="en-US"/>
        </w:rPr>
      </w:pPr>
      <w:r w:rsidRPr="00E1372C">
        <w:rPr>
          <w:lang w:val="fr-FR" w:bidi="en-US"/>
        </w:rPr>
        <w:t>10.</w:t>
      </w:r>
      <w:r w:rsidRPr="00E1372C">
        <w:rPr>
          <w:lang w:val="fr-FR" w:bidi="en-US"/>
        </w:rPr>
        <w:tab/>
      </w:r>
      <w:r w:rsidR="005D2953" w:rsidRPr="00E1372C">
        <w:rPr>
          <w:lang w:val="fr-FR"/>
        </w:rPr>
        <w:t>L</w:t>
      </w:r>
      <w:r w:rsidR="00731F09" w:rsidRPr="00E1372C">
        <w:rPr>
          <w:lang w:val="fr-FR"/>
        </w:rPr>
        <w:t>’</w:t>
      </w:r>
      <w:r w:rsidR="005D2953" w:rsidRPr="00E1372C">
        <w:rPr>
          <w:lang w:val="fr-FR"/>
        </w:rPr>
        <w:t xml:space="preserve">article </w:t>
      </w:r>
      <w:r w:rsidR="00D17E3A" w:rsidRPr="00E1372C">
        <w:rPr>
          <w:lang w:val="fr-FR"/>
        </w:rPr>
        <w:t xml:space="preserve">premier </w:t>
      </w:r>
      <w:r w:rsidR="005D2953" w:rsidRPr="00E1372C">
        <w:rPr>
          <w:lang w:val="fr-FR"/>
        </w:rPr>
        <w:t>de la Constitution dispose que le pouvoir appartient au peuple namibien, qui exerce sa souveraineté par le biais des institutions démocratiques de l</w:t>
      </w:r>
      <w:r w:rsidR="00731F09" w:rsidRPr="00E1372C">
        <w:rPr>
          <w:lang w:val="fr-FR"/>
        </w:rPr>
        <w:t>’</w:t>
      </w:r>
      <w:r w:rsidR="005D2953" w:rsidRPr="00E1372C">
        <w:rPr>
          <w:lang w:val="fr-FR"/>
        </w:rPr>
        <w:t>État</w:t>
      </w:r>
      <w:r w:rsidR="00070D46" w:rsidRPr="00E1372C">
        <w:rPr>
          <w:lang w:val="fr-FR"/>
        </w:rPr>
        <w:t>. La population exerce ce pouvoir lors d</w:t>
      </w:r>
      <w:r w:rsidR="00731F09" w:rsidRPr="00E1372C">
        <w:rPr>
          <w:lang w:val="fr-FR"/>
        </w:rPr>
        <w:t>’</w:t>
      </w:r>
      <w:r w:rsidR="00070D46" w:rsidRPr="00E1372C">
        <w:rPr>
          <w:lang w:val="fr-FR"/>
        </w:rPr>
        <w:t xml:space="preserve">élections régulières. </w:t>
      </w:r>
    </w:p>
    <w:p w:rsidR="00A55A0E" w:rsidRPr="00E1372C" w:rsidRDefault="007A1757" w:rsidP="007A1757">
      <w:pPr>
        <w:pStyle w:val="SingleTxtG"/>
        <w:rPr>
          <w:lang w:val="fr-FR" w:bidi="en-US"/>
        </w:rPr>
      </w:pPr>
      <w:r w:rsidRPr="00E1372C">
        <w:rPr>
          <w:lang w:val="fr-FR" w:bidi="en-US"/>
        </w:rPr>
        <w:t>11.</w:t>
      </w:r>
      <w:r w:rsidRPr="00E1372C">
        <w:rPr>
          <w:lang w:val="fr-FR" w:bidi="en-US"/>
        </w:rPr>
        <w:tab/>
      </w:r>
      <w:r w:rsidR="00070D46" w:rsidRPr="00E1372C">
        <w:rPr>
          <w:lang w:val="fr-FR"/>
        </w:rPr>
        <w:t>En Namibie, tout citoyen, sous réserve des dispositions de la loi, a un accès égal à la fonction publique. En raison de l</w:t>
      </w:r>
      <w:r w:rsidR="00731F09" w:rsidRPr="00E1372C">
        <w:rPr>
          <w:lang w:val="fr-FR"/>
        </w:rPr>
        <w:t>’</w:t>
      </w:r>
      <w:r w:rsidR="00070D46" w:rsidRPr="00E1372C">
        <w:rPr>
          <w:lang w:val="fr-FR"/>
        </w:rPr>
        <w:t>histoire coloniale du pays et du fait que la politique et le droit de l</w:t>
      </w:r>
      <w:r w:rsidR="00731F09" w:rsidRPr="00E1372C">
        <w:rPr>
          <w:lang w:val="fr-FR"/>
        </w:rPr>
        <w:t>’</w:t>
      </w:r>
      <w:r w:rsidR="00070D46" w:rsidRPr="00E1372C">
        <w:rPr>
          <w:lang w:val="fr-FR"/>
        </w:rPr>
        <w:t xml:space="preserve">ancienne puissance coloniale occupante tendaient systématiquement à défavoriser la majorité noire, les </w:t>
      </w:r>
      <w:r w:rsidR="00270BD1" w:rsidRPr="00E1372C">
        <w:rPr>
          <w:lang w:val="fr-FR"/>
        </w:rPr>
        <w:t>au</w:t>
      </w:r>
      <w:r w:rsidR="00070D46" w:rsidRPr="00E1372C">
        <w:rPr>
          <w:lang w:val="fr-FR"/>
        </w:rPr>
        <w:t>teurs de la Constitution namibienne ont jugé opportun non seulement de condamner le racisme et l</w:t>
      </w:r>
      <w:r w:rsidR="00731F09" w:rsidRPr="00E1372C">
        <w:rPr>
          <w:lang w:val="fr-FR"/>
        </w:rPr>
        <w:t>’</w:t>
      </w:r>
      <w:r w:rsidR="00070D46" w:rsidRPr="00E1372C">
        <w:rPr>
          <w:lang w:val="fr-FR"/>
        </w:rPr>
        <w:t>apartheid,</w:t>
      </w:r>
      <w:r w:rsidR="00AE017E" w:rsidRPr="00E1372C">
        <w:rPr>
          <w:lang w:val="fr-FR"/>
        </w:rPr>
        <w:t xml:space="preserve"> </w:t>
      </w:r>
      <w:r w:rsidR="00070D46" w:rsidRPr="00E1372C">
        <w:rPr>
          <w:lang w:val="fr-FR"/>
        </w:rPr>
        <w:t xml:space="preserve">mais </w:t>
      </w:r>
      <w:r w:rsidR="00D17E3A" w:rsidRPr="00E1372C">
        <w:rPr>
          <w:lang w:val="fr-FR"/>
        </w:rPr>
        <w:t xml:space="preserve">aussi de tenter </w:t>
      </w:r>
      <w:r w:rsidR="00070D46" w:rsidRPr="00E1372C">
        <w:rPr>
          <w:lang w:val="fr-FR"/>
        </w:rPr>
        <w:t xml:space="preserve">de réparer une partie des injustices commises par le passé. À cette fin, le Parlement est habilité par la Constitution à promulguer </w:t>
      </w:r>
      <w:r w:rsidR="00270BD1" w:rsidRPr="00E1372C">
        <w:rPr>
          <w:lang w:val="fr-FR"/>
        </w:rPr>
        <w:t>des lois</w:t>
      </w:r>
      <w:r w:rsidR="00070D46" w:rsidRPr="00E1372C">
        <w:rPr>
          <w:lang w:val="fr-FR"/>
        </w:rPr>
        <w:t xml:space="preserve"> </w:t>
      </w:r>
      <w:r w:rsidR="00471D34" w:rsidRPr="00E1372C">
        <w:rPr>
          <w:lang w:val="fr-FR"/>
        </w:rPr>
        <w:t>d</w:t>
      </w:r>
      <w:r w:rsidR="00731F09" w:rsidRPr="00E1372C">
        <w:rPr>
          <w:lang w:val="fr-FR"/>
        </w:rPr>
        <w:t>’</w:t>
      </w:r>
      <w:r w:rsidR="00070D46" w:rsidRPr="00E1372C">
        <w:rPr>
          <w:lang w:val="fr-FR"/>
        </w:rPr>
        <w:t xml:space="preserve">action positive visant à </w:t>
      </w:r>
      <w:r w:rsidR="00471D34" w:rsidRPr="00E1372C">
        <w:rPr>
          <w:lang w:val="fr-FR"/>
        </w:rPr>
        <w:t xml:space="preserve">obtenir une </w:t>
      </w:r>
      <w:r w:rsidR="00070D46" w:rsidRPr="00E1372C">
        <w:rPr>
          <w:lang w:val="fr-FR"/>
        </w:rPr>
        <w:t xml:space="preserve">structure </w:t>
      </w:r>
      <w:r w:rsidR="00471D34" w:rsidRPr="00E1372C">
        <w:rPr>
          <w:lang w:val="fr-FR"/>
        </w:rPr>
        <w:t xml:space="preserve">équilibrée </w:t>
      </w:r>
      <w:r w:rsidR="00070D46" w:rsidRPr="00E1372C">
        <w:rPr>
          <w:lang w:val="fr-FR"/>
        </w:rPr>
        <w:t xml:space="preserve">de la fonction publique, </w:t>
      </w:r>
      <w:r w:rsidR="00471D34" w:rsidRPr="00E1372C">
        <w:rPr>
          <w:lang w:val="fr-FR"/>
        </w:rPr>
        <w:t xml:space="preserve">dont </w:t>
      </w:r>
      <w:r w:rsidR="00070D46" w:rsidRPr="00E1372C">
        <w:rPr>
          <w:lang w:val="fr-FR"/>
        </w:rPr>
        <w:t xml:space="preserve">la police, les forces armées et </w:t>
      </w:r>
      <w:r w:rsidR="00471D34" w:rsidRPr="00E1372C">
        <w:rPr>
          <w:lang w:val="fr-FR"/>
        </w:rPr>
        <w:t>l</w:t>
      </w:r>
      <w:r w:rsidR="00731F09" w:rsidRPr="00E1372C">
        <w:rPr>
          <w:lang w:val="fr-FR"/>
        </w:rPr>
        <w:t>’</w:t>
      </w:r>
      <w:r w:rsidR="00471D34" w:rsidRPr="00E1372C">
        <w:rPr>
          <w:lang w:val="fr-FR"/>
        </w:rPr>
        <w:t xml:space="preserve">administration </w:t>
      </w:r>
      <w:r w:rsidR="00070D46" w:rsidRPr="00E1372C">
        <w:rPr>
          <w:lang w:val="fr-FR"/>
        </w:rPr>
        <w:t>pénitentiaire.</w:t>
      </w:r>
      <w:r w:rsidR="00A55A0E" w:rsidRPr="00E1372C">
        <w:rPr>
          <w:lang w:val="fr-FR" w:bidi="en-US"/>
        </w:rPr>
        <w:t xml:space="preserve"> </w:t>
      </w:r>
    </w:p>
    <w:p w:rsidR="00A55A0E" w:rsidRPr="00E1372C" w:rsidRDefault="007A1757" w:rsidP="007A1757">
      <w:pPr>
        <w:pStyle w:val="SingleTxtG"/>
        <w:rPr>
          <w:snapToGrid w:val="0"/>
          <w:lang w:val="fr-FR" w:bidi="en-US"/>
        </w:rPr>
      </w:pPr>
      <w:r w:rsidRPr="00E1372C">
        <w:rPr>
          <w:snapToGrid w:val="0"/>
          <w:lang w:val="fr-FR" w:bidi="en-US"/>
        </w:rPr>
        <w:t>12.</w:t>
      </w:r>
      <w:r w:rsidRPr="00E1372C">
        <w:rPr>
          <w:snapToGrid w:val="0"/>
          <w:lang w:val="fr-FR" w:bidi="en-US"/>
        </w:rPr>
        <w:tab/>
      </w:r>
      <w:r w:rsidR="00471D34" w:rsidRPr="00E1372C">
        <w:rPr>
          <w:lang w:val="fr-FR" w:bidi="en-US"/>
        </w:rPr>
        <w:t>L</w:t>
      </w:r>
      <w:r w:rsidR="00070D46" w:rsidRPr="00E1372C">
        <w:rPr>
          <w:lang w:val="fr-FR" w:bidi="en-US"/>
        </w:rPr>
        <w:t>e paragraphe 2 de l</w:t>
      </w:r>
      <w:r w:rsidR="00731F09" w:rsidRPr="00E1372C">
        <w:rPr>
          <w:lang w:val="fr-FR" w:bidi="en-US"/>
        </w:rPr>
        <w:t>’</w:t>
      </w:r>
      <w:r w:rsidR="00070D46" w:rsidRPr="00E1372C">
        <w:rPr>
          <w:lang w:val="fr-FR" w:bidi="en-US"/>
        </w:rPr>
        <w:t>article 23 de la Constitution </w:t>
      </w:r>
      <w:r w:rsidR="00471D34" w:rsidRPr="00E1372C">
        <w:rPr>
          <w:lang w:val="fr-FR" w:bidi="en-US"/>
        </w:rPr>
        <w:t>dispose</w:t>
      </w:r>
      <w:r w:rsidR="00070D46" w:rsidRPr="00E1372C">
        <w:rPr>
          <w:lang w:val="fr-FR" w:bidi="en-US"/>
        </w:rPr>
        <w:t>:</w:t>
      </w:r>
      <w:r w:rsidR="00B30AA2" w:rsidRPr="00E1372C">
        <w:rPr>
          <w:lang w:val="fr-FR" w:bidi="en-US"/>
        </w:rPr>
        <w:t xml:space="preserve"> «</w:t>
      </w:r>
      <w:r w:rsidR="00471D34" w:rsidRPr="00E1372C">
        <w:rPr>
          <w:lang w:val="fr-FR"/>
        </w:rPr>
        <w:t xml:space="preserve">[a]ucune </w:t>
      </w:r>
      <w:r w:rsidR="00070D46" w:rsidRPr="00E1372C">
        <w:rPr>
          <w:lang w:val="fr-FR"/>
        </w:rPr>
        <w:t>disposition de l</w:t>
      </w:r>
      <w:r w:rsidR="00731F09" w:rsidRPr="00E1372C">
        <w:rPr>
          <w:lang w:val="fr-FR"/>
        </w:rPr>
        <w:t>’</w:t>
      </w:r>
      <w:r w:rsidR="00070D46" w:rsidRPr="00E1372C">
        <w:rPr>
          <w:lang w:val="fr-FR"/>
        </w:rPr>
        <w:t xml:space="preserve">article 10 </w:t>
      </w:r>
      <w:r w:rsidR="00471D34" w:rsidRPr="00E1372C">
        <w:rPr>
          <w:lang w:val="fr-FR"/>
        </w:rPr>
        <w:t>n</w:t>
      </w:r>
      <w:r w:rsidR="00731F09" w:rsidRPr="00E1372C">
        <w:rPr>
          <w:lang w:val="fr-FR"/>
        </w:rPr>
        <w:t>’</w:t>
      </w:r>
      <w:r w:rsidR="00471D34" w:rsidRPr="00E1372C">
        <w:rPr>
          <w:lang w:val="fr-FR"/>
        </w:rPr>
        <w:t>empêche l</w:t>
      </w:r>
      <w:r w:rsidR="00070D46" w:rsidRPr="00E1372C">
        <w:rPr>
          <w:lang w:val="fr-FR"/>
        </w:rPr>
        <w:t xml:space="preserve">e Parlement </w:t>
      </w:r>
      <w:r w:rsidR="00471D34" w:rsidRPr="00E1372C">
        <w:rPr>
          <w:lang w:val="fr-FR"/>
        </w:rPr>
        <w:t>d</w:t>
      </w:r>
      <w:r w:rsidR="00731F09" w:rsidRPr="00E1372C">
        <w:rPr>
          <w:lang w:val="fr-FR"/>
        </w:rPr>
        <w:t>’</w:t>
      </w:r>
      <w:r w:rsidR="00471D34" w:rsidRPr="00E1372C">
        <w:rPr>
          <w:lang w:val="fr-FR"/>
        </w:rPr>
        <w:t xml:space="preserve">adopter des textes de loi </w:t>
      </w:r>
      <w:r w:rsidR="00070D46" w:rsidRPr="00E1372C">
        <w:rPr>
          <w:lang w:val="fr-FR"/>
        </w:rPr>
        <w:t xml:space="preserve">visant </w:t>
      </w:r>
      <w:r w:rsidR="00471D34" w:rsidRPr="00E1372C">
        <w:rPr>
          <w:lang w:val="fr-FR"/>
        </w:rPr>
        <w:t xml:space="preserve">directement ou indirectement </w:t>
      </w:r>
      <w:r w:rsidR="00070D46" w:rsidRPr="00E1372C">
        <w:rPr>
          <w:lang w:val="fr-FR"/>
        </w:rPr>
        <w:t>à promouvoir les personnes qui ont été défavorisées sur le</w:t>
      </w:r>
      <w:r w:rsidR="00471D34" w:rsidRPr="00E1372C">
        <w:rPr>
          <w:lang w:val="fr-FR"/>
        </w:rPr>
        <w:t>s</w:t>
      </w:r>
      <w:r w:rsidR="00070D46" w:rsidRPr="00E1372C">
        <w:rPr>
          <w:lang w:val="fr-FR"/>
        </w:rPr>
        <w:t xml:space="preserve"> plan</w:t>
      </w:r>
      <w:r w:rsidR="00471D34" w:rsidRPr="00E1372C">
        <w:rPr>
          <w:lang w:val="fr-FR"/>
        </w:rPr>
        <w:t>s</w:t>
      </w:r>
      <w:r w:rsidR="00070D46" w:rsidRPr="00E1372C">
        <w:rPr>
          <w:lang w:val="fr-FR"/>
        </w:rPr>
        <w:t xml:space="preserve"> social, économique ou éducati</w:t>
      </w:r>
      <w:r w:rsidR="00471D34" w:rsidRPr="00E1372C">
        <w:rPr>
          <w:lang w:val="fr-FR"/>
        </w:rPr>
        <w:t>f</w:t>
      </w:r>
      <w:r w:rsidR="00070D46" w:rsidRPr="00E1372C">
        <w:rPr>
          <w:lang w:val="fr-FR"/>
        </w:rPr>
        <w:t xml:space="preserve"> </w:t>
      </w:r>
      <w:r w:rsidR="00471D34" w:rsidRPr="00E1372C">
        <w:rPr>
          <w:lang w:val="fr-FR"/>
        </w:rPr>
        <w:t xml:space="preserve">en Namibie </w:t>
      </w:r>
      <w:r w:rsidR="00070D46" w:rsidRPr="00E1372C">
        <w:rPr>
          <w:lang w:val="fr-FR"/>
        </w:rPr>
        <w:t xml:space="preserve">du fait de lois ou de pratiques discriminatoires passées, ou à </w:t>
      </w:r>
      <w:r w:rsidR="00471D34" w:rsidRPr="00E1372C">
        <w:rPr>
          <w:lang w:val="fr-FR"/>
        </w:rPr>
        <w:t xml:space="preserve">appliquer </w:t>
      </w:r>
      <w:r w:rsidR="00070D46" w:rsidRPr="00E1372C">
        <w:rPr>
          <w:lang w:val="fr-FR"/>
        </w:rPr>
        <w:t xml:space="preserve">des politiques et des programmes </w:t>
      </w:r>
      <w:r w:rsidR="008D45C8" w:rsidRPr="00E1372C">
        <w:rPr>
          <w:lang w:val="fr-FR"/>
        </w:rPr>
        <w:t>destinés</w:t>
      </w:r>
      <w:r w:rsidR="00070D46" w:rsidRPr="00E1372C">
        <w:rPr>
          <w:lang w:val="fr-FR"/>
        </w:rPr>
        <w:t xml:space="preserve"> à corriger des déséquilibres sociaux, économiques ou </w:t>
      </w:r>
      <w:r w:rsidR="00471D34" w:rsidRPr="00E1372C">
        <w:rPr>
          <w:lang w:val="fr-FR"/>
        </w:rPr>
        <w:t xml:space="preserve">éducatifs </w:t>
      </w:r>
      <w:r w:rsidR="00070D46" w:rsidRPr="00E1372C">
        <w:rPr>
          <w:lang w:val="fr-FR"/>
        </w:rPr>
        <w:t xml:space="preserve">existant dans la société namibienne du fait de lois ou de pratiques discriminatoires, ou </w:t>
      </w:r>
      <w:r w:rsidR="00185EFE" w:rsidRPr="00E1372C">
        <w:rPr>
          <w:lang w:val="fr-FR"/>
        </w:rPr>
        <w:t>à obtenir une structure équilibrée de la fonction publique, dont la police, les forces armées et l</w:t>
      </w:r>
      <w:r w:rsidR="00731F09" w:rsidRPr="00E1372C">
        <w:rPr>
          <w:lang w:val="fr-FR"/>
        </w:rPr>
        <w:t>’</w:t>
      </w:r>
      <w:r w:rsidR="00185EFE" w:rsidRPr="00E1372C">
        <w:rPr>
          <w:lang w:val="fr-FR"/>
        </w:rPr>
        <w:t>administration pénitentiaire</w:t>
      </w:r>
      <w:r w:rsidR="00070D46" w:rsidRPr="00E1372C">
        <w:rPr>
          <w:lang w:val="fr-FR" w:bidi="en-US"/>
        </w:rPr>
        <w:t>».</w:t>
      </w:r>
    </w:p>
    <w:p w:rsidR="00FD0B6E" w:rsidRPr="00E1372C" w:rsidRDefault="007A1757" w:rsidP="007A1757">
      <w:pPr>
        <w:pStyle w:val="SingleTxtG"/>
        <w:rPr>
          <w:lang w:val="fr-FR" w:bidi="en-US"/>
        </w:rPr>
      </w:pPr>
      <w:r w:rsidRPr="00E1372C">
        <w:rPr>
          <w:lang w:val="fr-FR" w:bidi="en-US"/>
        </w:rPr>
        <w:t>13.</w:t>
      </w:r>
      <w:r w:rsidRPr="00E1372C">
        <w:rPr>
          <w:lang w:val="fr-FR" w:bidi="en-US"/>
        </w:rPr>
        <w:tab/>
      </w:r>
      <w:r w:rsidR="00FD0B6E" w:rsidRPr="00E1372C">
        <w:rPr>
          <w:lang w:val="fr-FR" w:bidi="en-US"/>
        </w:rPr>
        <w:t>L</w:t>
      </w:r>
      <w:r w:rsidR="00731F09" w:rsidRPr="00E1372C">
        <w:rPr>
          <w:lang w:val="fr-FR" w:bidi="en-US"/>
        </w:rPr>
        <w:t>’</w:t>
      </w:r>
      <w:r w:rsidR="00FD0B6E" w:rsidRPr="00E1372C">
        <w:rPr>
          <w:lang w:val="fr-FR" w:bidi="en-US"/>
        </w:rPr>
        <w:t>a</w:t>
      </w:r>
      <w:r w:rsidR="00A55A0E" w:rsidRPr="00E1372C">
        <w:rPr>
          <w:lang w:val="fr-FR" w:bidi="en-US"/>
        </w:rPr>
        <w:t xml:space="preserve">rticle 23 </w:t>
      </w:r>
      <w:r w:rsidR="00FD0B6E" w:rsidRPr="00E1372C">
        <w:rPr>
          <w:lang w:val="fr-FR" w:bidi="en-US"/>
        </w:rPr>
        <w:t>de la Constitution</w:t>
      </w:r>
      <w:r w:rsidR="00FD0B6E" w:rsidRPr="00E1372C">
        <w:rPr>
          <w:lang w:val="fr-FR"/>
        </w:rPr>
        <w:t xml:space="preserve"> </w:t>
      </w:r>
      <w:r w:rsidR="00185EFE" w:rsidRPr="00E1372C">
        <w:rPr>
          <w:lang w:val="fr-FR"/>
        </w:rPr>
        <w:t xml:space="preserve">promeut </w:t>
      </w:r>
      <w:r w:rsidR="00FD0B6E" w:rsidRPr="00E1372C">
        <w:rPr>
          <w:lang w:val="fr-FR"/>
        </w:rPr>
        <w:t>l</w:t>
      </w:r>
      <w:r w:rsidR="00731F09" w:rsidRPr="00E1372C">
        <w:rPr>
          <w:lang w:val="fr-FR"/>
        </w:rPr>
        <w:t>’</w:t>
      </w:r>
      <w:r w:rsidR="00FD0B6E" w:rsidRPr="00E1372C">
        <w:rPr>
          <w:lang w:val="fr-FR"/>
        </w:rPr>
        <w:t xml:space="preserve">action positive </w:t>
      </w:r>
      <w:r w:rsidR="00185EFE" w:rsidRPr="00E1372C">
        <w:rPr>
          <w:lang w:val="fr-FR"/>
        </w:rPr>
        <w:t xml:space="preserve">dans des </w:t>
      </w:r>
      <w:r w:rsidR="00FD0B6E" w:rsidRPr="00E1372C">
        <w:rPr>
          <w:lang w:val="fr-FR"/>
        </w:rPr>
        <w:t>termes généraux</w:t>
      </w:r>
      <w:r w:rsidR="00185EFE" w:rsidRPr="00E1372C">
        <w:rPr>
          <w:lang w:val="fr-FR"/>
        </w:rPr>
        <w:t>. Son interprétation est donc laissée</w:t>
      </w:r>
      <w:r w:rsidR="00FD0B6E" w:rsidRPr="00E1372C">
        <w:rPr>
          <w:lang w:val="fr-FR"/>
        </w:rPr>
        <w:t xml:space="preserve"> à l</w:t>
      </w:r>
      <w:r w:rsidR="00731F09" w:rsidRPr="00E1372C">
        <w:rPr>
          <w:lang w:val="fr-FR"/>
        </w:rPr>
        <w:t>’</w:t>
      </w:r>
      <w:r w:rsidR="00FD0B6E" w:rsidRPr="00E1372C">
        <w:rPr>
          <w:lang w:val="fr-FR"/>
        </w:rPr>
        <w:t xml:space="preserve">appréciation de chaque employeur ou décideur. </w:t>
      </w:r>
      <w:r w:rsidR="00185EFE" w:rsidRPr="00E1372C">
        <w:rPr>
          <w:lang w:val="fr-FR"/>
        </w:rPr>
        <w:t xml:space="preserve">Une telle situation pourrait donner libre cours </w:t>
      </w:r>
      <w:r w:rsidR="00FD0B6E" w:rsidRPr="00E1372C">
        <w:rPr>
          <w:lang w:val="fr-FR"/>
        </w:rPr>
        <w:t>à l</w:t>
      </w:r>
      <w:r w:rsidR="00731F09" w:rsidRPr="00E1372C">
        <w:rPr>
          <w:lang w:val="fr-FR"/>
        </w:rPr>
        <w:t>’</w:t>
      </w:r>
      <w:r w:rsidR="00FD0B6E" w:rsidRPr="00E1372C">
        <w:rPr>
          <w:lang w:val="fr-FR"/>
        </w:rPr>
        <w:t xml:space="preserve">arbitraire et </w:t>
      </w:r>
      <w:r w:rsidR="00185EFE" w:rsidRPr="00E1372C">
        <w:rPr>
          <w:lang w:val="fr-FR"/>
        </w:rPr>
        <w:t xml:space="preserve">au non-respect </w:t>
      </w:r>
      <w:r w:rsidR="00FD0B6E" w:rsidRPr="00E1372C">
        <w:rPr>
          <w:lang w:val="fr-FR"/>
        </w:rPr>
        <w:t>des droits de l</w:t>
      </w:r>
      <w:r w:rsidR="00731F09" w:rsidRPr="00E1372C">
        <w:rPr>
          <w:lang w:val="fr-FR"/>
        </w:rPr>
        <w:t>’</w:t>
      </w:r>
      <w:r w:rsidR="00FD0B6E" w:rsidRPr="00E1372C">
        <w:rPr>
          <w:lang w:val="fr-FR"/>
        </w:rPr>
        <w:t xml:space="preserve">homme. Pour </w:t>
      </w:r>
      <w:r w:rsidR="00185EFE" w:rsidRPr="00E1372C">
        <w:rPr>
          <w:lang w:val="fr-FR"/>
        </w:rPr>
        <w:t>éviter cet écueil</w:t>
      </w:r>
      <w:r w:rsidR="00FD0B6E" w:rsidRPr="00E1372C">
        <w:rPr>
          <w:lang w:val="fr-FR"/>
        </w:rPr>
        <w:t xml:space="preserve">, le </w:t>
      </w:r>
      <w:r w:rsidR="00933119" w:rsidRPr="00E1372C">
        <w:rPr>
          <w:lang w:val="fr-FR"/>
        </w:rPr>
        <w:t xml:space="preserve">pays a adopté </w:t>
      </w:r>
      <w:r w:rsidR="00FD0B6E" w:rsidRPr="00E1372C">
        <w:rPr>
          <w:lang w:val="fr-FR"/>
        </w:rPr>
        <w:t>la loi n</w:t>
      </w:r>
      <w:r w:rsidR="00B277C4" w:rsidRPr="00E1372C">
        <w:rPr>
          <w:vertAlign w:val="superscript"/>
          <w:lang w:val="fr-FR"/>
        </w:rPr>
        <w:t>o</w:t>
      </w:r>
      <w:r w:rsidR="00FD0B6E" w:rsidRPr="00E1372C">
        <w:rPr>
          <w:lang w:val="fr-FR"/>
        </w:rPr>
        <w:t> </w:t>
      </w:r>
      <w:r w:rsidR="00A55A0E" w:rsidRPr="00E1372C">
        <w:rPr>
          <w:lang w:val="fr-FR" w:bidi="en-US"/>
        </w:rPr>
        <w:t xml:space="preserve">29 </w:t>
      </w:r>
      <w:r w:rsidR="00FD0B6E" w:rsidRPr="00E1372C">
        <w:rPr>
          <w:lang w:val="fr-FR" w:bidi="en-US"/>
        </w:rPr>
        <w:t>de</w:t>
      </w:r>
      <w:r w:rsidR="00A55A0E" w:rsidRPr="00E1372C">
        <w:rPr>
          <w:lang w:val="fr-FR" w:bidi="en-US"/>
        </w:rPr>
        <w:t xml:space="preserve"> 1998</w:t>
      </w:r>
      <w:r w:rsidR="00FD0B6E" w:rsidRPr="00E1372C">
        <w:rPr>
          <w:lang w:val="fr-FR" w:bidi="en-US"/>
        </w:rPr>
        <w:t xml:space="preserve"> </w:t>
      </w:r>
      <w:r w:rsidR="004402D0" w:rsidRPr="00E1372C">
        <w:rPr>
          <w:lang w:val="fr-FR" w:bidi="en-US"/>
        </w:rPr>
        <w:t>relative à la discrimina</w:t>
      </w:r>
      <w:r w:rsidR="00FD0B6E" w:rsidRPr="00E1372C">
        <w:rPr>
          <w:lang w:val="fr-FR" w:bidi="en-US"/>
        </w:rPr>
        <w:t>tion</w:t>
      </w:r>
      <w:r w:rsidR="00AE017E" w:rsidRPr="00E1372C">
        <w:rPr>
          <w:lang w:val="fr-FR" w:bidi="en-US"/>
        </w:rPr>
        <w:t xml:space="preserve"> </w:t>
      </w:r>
      <w:r w:rsidR="00FD0B6E" w:rsidRPr="00E1372C">
        <w:rPr>
          <w:lang w:val="fr-FR" w:bidi="en-US"/>
        </w:rPr>
        <w:t xml:space="preserve">positive </w:t>
      </w:r>
      <w:r w:rsidR="004402D0" w:rsidRPr="00E1372C">
        <w:rPr>
          <w:lang w:val="fr-FR" w:bidi="en-US"/>
        </w:rPr>
        <w:t>en matière d</w:t>
      </w:r>
      <w:r w:rsidR="00731F09" w:rsidRPr="00E1372C">
        <w:rPr>
          <w:lang w:val="fr-FR" w:bidi="en-US"/>
        </w:rPr>
        <w:t>’</w:t>
      </w:r>
      <w:r w:rsidR="00FD0B6E" w:rsidRPr="00E1372C">
        <w:rPr>
          <w:lang w:val="fr-FR" w:bidi="en-US"/>
        </w:rPr>
        <w:t>emploi qui prévoit des mesures d</w:t>
      </w:r>
      <w:r w:rsidR="00731F09" w:rsidRPr="00E1372C">
        <w:rPr>
          <w:lang w:val="fr-FR" w:bidi="en-US"/>
        </w:rPr>
        <w:t>’</w:t>
      </w:r>
      <w:r w:rsidR="00FD0B6E" w:rsidRPr="00E1372C">
        <w:rPr>
          <w:lang w:val="fr-FR" w:bidi="en-US"/>
        </w:rPr>
        <w:t>action positive pour garantir l</w:t>
      </w:r>
      <w:r w:rsidR="00731F09" w:rsidRPr="00E1372C">
        <w:rPr>
          <w:lang w:val="fr-FR" w:bidi="en-US"/>
        </w:rPr>
        <w:t>’</w:t>
      </w:r>
      <w:r w:rsidR="00FD0B6E" w:rsidRPr="00E1372C">
        <w:rPr>
          <w:lang w:val="fr-FR" w:bidi="en-US"/>
        </w:rPr>
        <w:t>égalité des chances en matière d</w:t>
      </w:r>
      <w:r w:rsidR="00731F09" w:rsidRPr="00E1372C">
        <w:rPr>
          <w:lang w:val="fr-FR" w:bidi="en-US"/>
        </w:rPr>
        <w:t>’</w:t>
      </w:r>
      <w:r w:rsidR="00FD0B6E" w:rsidRPr="00E1372C">
        <w:rPr>
          <w:lang w:val="fr-FR" w:bidi="en-US"/>
        </w:rPr>
        <w:t>emploi aux personnes racialement</w:t>
      </w:r>
      <w:r w:rsidR="00933119" w:rsidRPr="00E1372C">
        <w:rPr>
          <w:lang w:val="fr-FR" w:bidi="en-US"/>
        </w:rPr>
        <w:t xml:space="preserve"> défavorisées</w:t>
      </w:r>
      <w:r w:rsidR="00FD0B6E" w:rsidRPr="00E1372C">
        <w:rPr>
          <w:lang w:val="fr-FR" w:bidi="en-US"/>
        </w:rPr>
        <w:t xml:space="preserve">, aux femmes et aux personnes handicapées. La Commission </w:t>
      </w:r>
      <w:r w:rsidR="00933119" w:rsidRPr="00E1372C">
        <w:rPr>
          <w:lang w:val="fr-FR" w:bidi="en-US"/>
        </w:rPr>
        <w:t xml:space="preserve">de la fonction publique mène </w:t>
      </w:r>
      <w:r w:rsidR="00FD0B6E" w:rsidRPr="00E1372C">
        <w:rPr>
          <w:lang w:val="fr-FR" w:bidi="en-US"/>
        </w:rPr>
        <w:t>également un programme d</w:t>
      </w:r>
      <w:r w:rsidR="00731F09" w:rsidRPr="00E1372C">
        <w:rPr>
          <w:lang w:val="fr-FR" w:bidi="en-US"/>
        </w:rPr>
        <w:t>’</w:t>
      </w:r>
      <w:r w:rsidR="00FD0B6E" w:rsidRPr="00E1372C">
        <w:rPr>
          <w:lang w:val="fr-FR" w:bidi="en-US"/>
        </w:rPr>
        <w:t xml:space="preserve">action positive fondé sur la </w:t>
      </w:r>
      <w:r w:rsidR="00933119" w:rsidRPr="00E1372C">
        <w:rPr>
          <w:lang w:val="fr-FR" w:bidi="en-US"/>
        </w:rPr>
        <w:t xml:space="preserve">disposition </w:t>
      </w:r>
      <w:r w:rsidR="00FD0B6E" w:rsidRPr="00E1372C">
        <w:rPr>
          <w:lang w:val="fr-FR" w:bidi="en-US"/>
        </w:rPr>
        <w:t>constitutionnelle</w:t>
      </w:r>
      <w:r w:rsidR="00933119" w:rsidRPr="00E1372C">
        <w:rPr>
          <w:lang w:val="fr-FR" w:bidi="en-US"/>
        </w:rPr>
        <w:t xml:space="preserve"> précitée</w:t>
      </w:r>
      <w:r w:rsidR="00FD0B6E" w:rsidRPr="00E1372C">
        <w:rPr>
          <w:lang w:val="fr-FR" w:bidi="en-US"/>
        </w:rPr>
        <w:t xml:space="preserve">. </w:t>
      </w:r>
    </w:p>
    <w:p w:rsidR="00A55A0E" w:rsidRPr="00E1372C" w:rsidRDefault="007A1757" w:rsidP="00B30AA2">
      <w:pPr>
        <w:pStyle w:val="SingleTxtG"/>
        <w:rPr>
          <w:lang w:val="fr-FR" w:bidi="en-US"/>
        </w:rPr>
      </w:pPr>
      <w:r w:rsidRPr="00E1372C">
        <w:rPr>
          <w:lang w:val="fr-FR" w:bidi="en-US"/>
        </w:rPr>
        <w:t>14.</w:t>
      </w:r>
      <w:r w:rsidRPr="00E1372C">
        <w:rPr>
          <w:lang w:val="fr-FR" w:bidi="en-US"/>
        </w:rPr>
        <w:tab/>
      </w:r>
      <w:r w:rsidR="00FD0B6E" w:rsidRPr="00E1372C">
        <w:rPr>
          <w:lang w:val="fr-FR"/>
        </w:rPr>
        <w:t>L</w:t>
      </w:r>
      <w:r w:rsidR="00731F09" w:rsidRPr="00E1372C">
        <w:rPr>
          <w:lang w:val="fr-FR"/>
        </w:rPr>
        <w:t>’</w:t>
      </w:r>
      <w:r w:rsidR="00FD0B6E" w:rsidRPr="00E1372C">
        <w:rPr>
          <w:lang w:val="fr-FR"/>
        </w:rPr>
        <w:t xml:space="preserve">État considère </w:t>
      </w:r>
      <w:r w:rsidR="00933119" w:rsidRPr="00E1372C">
        <w:rPr>
          <w:lang w:val="fr-FR"/>
        </w:rPr>
        <w:t>l</w:t>
      </w:r>
      <w:r w:rsidR="00731F09" w:rsidRPr="00E1372C">
        <w:rPr>
          <w:lang w:val="fr-FR"/>
        </w:rPr>
        <w:t>’</w:t>
      </w:r>
      <w:r w:rsidR="00933119" w:rsidRPr="00E1372C">
        <w:rPr>
          <w:lang w:val="fr-FR"/>
        </w:rPr>
        <w:t xml:space="preserve">ensemble des </w:t>
      </w:r>
      <w:r w:rsidR="00FD0B6E" w:rsidRPr="00E1372C">
        <w:rPr>
          <w:lang w:val="fr-FR"/>
        </w:rPr>
        <w:t xml:space="preserve">Namibiens </w:t>
      </w:r>
      <w:r w:rsidR="00933119" w:rsidRPr="00E1372C">
        <w:rPr>
          <w:lang w:val="fr-FR"/>
        </w:rPr>
        <w:t xml:space="preserve">comme </w:t>
      </w:r>
      <w:r w:rsidR="00FD0B6E" w:rsidRPr="00E1372C">
        <w:rPr>
          <w:lang w:val="fr-FR"/>
        </w:rPr>
        <w:t>un seul peuple a</w:t>
      </w:r>
      <w:r w:rsidR="008D45C8" w:rsidRPr="00E1372C">
        <w:rPr>
          <w:lang w:val="fr-FR"/>
        </w:rPr>
        <w:t>ppartenant à une seule nation. L</w:t>
      </w:r>
      <w:r w:rsidR="00FD0B6E" w:rsidRPr="00E1372C">
        <w:rPr>
          <w:lang w:val="fr-FR"/>
        </w:rPr>
        <w:t>a pratique de la discrimination raciale par l</w:t>
      </w:r>
      <w:r w:rsidR="00731F09" w:rsidRPr="00E1372C">
        <w:rPr>
          <w:lang w:val="fr-FR"/>
        </w:rPr>
        <w:t>’</w:t>
      </w:r>
      <w:r w:rsidR="00FD0B6E" w:rsidRPr="00E1372C">
        <w:rPr>
          <w:lang w:val="fr-FR"/>
        </w:rPr>
        <w:t xml:space="preserve">État et </w:t>
      </w:r>
      <w:r w:rsidR="00933119" w:rsidRPr="00E1372C">
        <w:rPr>
          <w:lang w:val="fr-FR"/>
        </w:rPr>
        <w:t>ses institutions</w:t>
      </w:r>
      <w:r w:rsidR="00FD0B6E" w:rsidRPr="00E1372C">
        <w:rPr>
          <w:lang w:val="fr-FR"/>
        </w:rPr>
        <w:t xml:space="preserve">, ou par des personnes ou </w:t>
      </w:r>
      <w:r w:rsidR="00933119" w:rsidRPr="00E1372C">
        <w:rPr>
          <w:lang w:val="fr-FR"/>
        </w:rPr>
        <w:t xml:space="preserve">des </w:t>
      </w:r>
      <w:r w:rsidR="00FD0B6E" w:rsidRPr="00E1372C">
        <w:rPr>
          <w:lang w:val="fr-FR"/>
        </w:rPr>
        <w:t>institutions privées, a été interdite et érigée en infraction pénale par la loi n</w:t>
      </w:r>
      <w:r w:rsidR="00B277C4" w:rsidRPr="00E1372C">
        <w:rPr>
          <w:vertAlign w:val="superscript"/>
          <w:lang w:val="fr-FR"/>
        </w:rPr>
        <w:t>o</w:t>
      </w:r>
      <w:r w:rsidR="00FD0B6E" w:rsidRPr="00E1372C">
        <w:rPr>
          <w:lang w:val="fr-FR"/>
        </w:rPr>
        <w:t> 26 de 1991 portant modification de la loi d</w:t>
      </w:r>
      <w:r w:rsidR="00731F09" w:rsidRPr="00E1372C">
        <w:rPr>
          <w:lang w:val="fr-FR"/>
        </w:rPr>
        <w:t>’</w:t>
      </w:r>
      <w:r w:rsidR="00FD0B6E" w:rsidRPr="00E1372C">
        <w:rPr>
          <w:lang w:val="fr-FR"/>
        </w:rPr>
        <w:t xml:space="preserve">interdiction de la discrimination raciale. </w:t>
      </w:r>
      <w:r w:rsidR="00933119" w:rsidRPr="00E1372C">
        <w:rPr>
          <w:lang w:val="fr-FR"/>
        </w:rPr>
        <w:t xml:space="preserve">Il ne peut </w:t>
      </w:r>
      <w:r w:rsidR="00FD0B6E" w:rsidRPr="00E1372C">
        <w:rPr>
          <w:lang w:val="fr-FR"/>
        </w:rPr>
        <w:t xml:space="preserve">donc </w:t>
      </w:r>
      <w:r w:rsidR="00933119" w:rsidRPr="00E1372C">
        <w:rPr>
          <w:lang w:val="fr-FR"/>
        </w:rPr>
        <w:t>être question d</w:t>
      </w:r>
      <w:r w:rsidR="00731F09" w:rsidRPr="00E1372C">
        <w:rPr>
          <w:lang w:val="fr-FR"/>
        </w:rPr>
        <w:t>’</w:t>
      </w:r>
      <w:r w:rsidR="00FD0B6E" w:rsidRPr="00E1372C">
        <w:rPr>
          <w:lang w:val="fr-FR"/>
        </w:rPr>
        <w:t xml:space="preserve">admettre </w:t>
      </w:r>
      <w:r w:rsidR="00933119" w:rsidRPr="00E1372C">
        <w:rPr>
          <w:lang w:val="fr-FR"/>
        </w:rPr>
        <w:t xml:space="preserve">ou de permettre </w:t>
      </w:r>
      <w:r w:rsidR="00FD0B6E" w:rsidRPr="00E1372C">
        <w:rPr>
          <w:lang w:val="fr-FR"/>
        </w:rPr>
        <w:t xml:space="preserve">la domination </w:t>
      </w:r>
      <w:r w:rsidR="00933119" w:rsidRPr="00E1372C">
        <w:rPr>
          <w:lang w:val="fr-FR"/>
        </w:rPr>
        <w:t>d</w:t>
      </w:r>
      <w:r w:rsidR="00731F09" w:rsidRPr="00E1372C">
        <w:rPr>
          <w:lang w:val="fr-FR"/>
        </w:rPr>
        <w:t>’</w:t>
      </w:r>
      <w:r w:rsidR="00933119" w:rsidRPr="00E1372C">
        <w:rPr>
          <w:lang w:val="fr-FR"/>
        </w:rPr>
        <w:t>une race, d</w:t>
      </w:r>
      <w:r w:rsidR="00731F09" w:rsidRPr="00E1372C">
        <w:rPr>
          <w:lang w:val="fr-FR"/>
        </w:rPr>
        <w:t>’</w:t>
      </w:r>
      <w:r w:rsidR="00933119" w:rsidRPr="00E1372C">
        <w:rPr>
          <w:lang w:val="fr-FR"/>
        </w:rPr>
        <w:t>une tribu ou d</w:t>
      </w:r>
      <w:r w:rsidR="00731F09" w:rsidRPr="00E1372C">
        <w:rPr>
          <w:lang w:val="fr-FR"/>
        </w:rPr>
        <w:t>’</w:t>
      </w:r>
      <w:r w:rsidR="00933119" w:rsidRPr="00E1372C">
        <w:rPr>
          <w:lang w:val="fr-FR"/>
        </w:rPr>
        <w:t xml:space="preserve">un groupe </w:t>
      </w:r>
      <w:r w:rsidR="00FD0B6E" w:rsidRPr="00E1372C">
        <w:rPr>
          <w:lang w:val="fr-FR"/>
        </w:rPr>
        <w:t>de la société namibienne</w:t>
      </w:r>
      <w:r w:rsidR="00933119" w:rsidRPr="00E1372C">
        <w:rPr>
          <w:lang w:val="fr-FR"/>
        </w:rPr>
        <w:t xml:space="preserve"> à l</w:t>
      </w:r>
      <w:r w:rsidR="00731F09" w:rsidRPr="00E1372C">
        <w:rPr>
          <w:lang w:val="fr-FR"/>
        </w:rPr>
        <w:t>’</w:t>
      </w:r>
      <w:r w:rsidR="00933119" w:rsidRPr="00E1372C">
        <w:rPr>
          <w:lang w:val="fr-FR"/>
        </w:rPr>
        <w:t>égard d</w:t>
      </w:r>
      <w:r w:rsidR="00731F09" w:rsidRPr="00E1372C">
        <w:rPr>
          <w:lang w:val="fr-FR"/>
        </w:rPr>
        <w:t>’</w:t>
      </w:r>
      <w:r w:rsidR="00933119" w:rsidRPr="00E1372C">
        <w:rPr>
          <w:lang w:val="fr-FR"/>
        </w:rPr>
        <w:t>autres groupes</w:t>
      </w:r>
      <w:r w:rsidR="00FD0B6E" w:rsidRPr="00E1372C">
        <w:rPr>
          <w:lang w:val="fr-FR"/>
        </w:rPr>
        <w:t>. Une telle perspective, qui constituerait un retour en arrière, ne serait appuyée ni juridiquement ni politiquement.</w:t>
      </w:r>
    </w:p>
    <w:p w:rsidR="00A55A0E" w:rsidRPr="00E1372C" w:rsidRDefault="007A1757" w:rsidP="007A1757">
      <w:pPr>
        <w:pStyle w:val="SingleTxtG"/>
        <w:rPr>
          <w:snapToGrid w:val="0"/>
          <w:lang w:val="fr-FR" w:bidi="en-US"/>
        </w:rPr>
      </w:pPr>
      <w:r w:rsidRPr="00E1372C">
        <w:rPr>
          <w:snapToGrid w:val="0"/>
          <w:lang w:val="fr-FR" w:bidi="en-US"/>
        </w:rPr>
        <w:t>15.</w:t>
      </w:r>
      <w:r w:rsidRPr="00E1372C">
        <w:rPr>
          <w:snapToGrid w:val="0"/>
          <w:lang w:val="fr-FR" w:bidi="en-US"/>
        </w:rPr>
        <w:tab/>
      </w:r>
      <w:r w:rsidR="00FD0B6E" w:rsidRPr="00E1372C">
        <w:rPr>
          <w:lang w:val="fr-FR"/>
        </w:rPr>
        <w:t>Le préambule de la Constitution dispose notamment que le peuple namibien s</w:t>
      </w:r>
      <w:r w:rsidR="00731F09" w:rsidRPr="00E1372C">
        <w:rPr>
          <w:lang w:val="fr-FR"/>
        </w:rPr>
        <w:t>’</w:t>
      </w:r>
      <w:r w:rsidR="00FD0B6E" w:rsidRPr="00E1372C">
        <w:rPr>
          <w:lang w:val="fr-FR"/>
        </w:rPr>
        <w:t>efforcera de réaliser la réconciliation nationale et de promouvoir la paix, l</w:t>
      </w:r>
      <w:r w:rsidR="00731F09" w:rsidRPr="00E1372C">
        <w:rPr>
          <w:lang w:val="fr-FR"/>
        </w:rPr>
        <w:t>’</w:t>
      </w:r>
      <w:r w:rsidR="00FD0B6E" w:rsidRPr="00E1372C">
        <w:rPr>
          <w:lang w:val="fr-FR"/>
        </w:rPr>
        <w:t>unité et l</w:t>
      </w:r>
      <w:r w:rsidR="00731F09" w:rsidRPr="00E1372C">
        <w:rPr>
          <w:lang w:val="fr-FR"/>
        </w:rPr>
        <w:t>’</w:t>
      </w:r>
      <w:r w:rsidR="00FD0B6E" w:rsidRPr="00E1372C">
        <w:rPr>
          <w:lang w:val="fr-FR"/>
        </w:rPr>
        <w:t>attachement commun à un seul État. Le Gouvernement namibien a, par l</w:t>
      </w:r>
      <w:r w:rsidR="00731F09" w:rsidRPr="00E1372C">
        <w:rPr>
          <w:lang w:val="fr-FR"/>
        </w:rPr>
        <w:t>’</w:t>
      </w:r>
      <w:r w:rsidR="00FD0B6E" w:rsidRPr="00E1372C">
        <w:rPr>
          <w:lang w:val="fr-FR"/>
        </w:rPr>
        <w:t>intermédiaire de déclarations constitutionnelles, promu une politique de réconciliation nationale qui impose de pardonner à ceux qui se sont opposés à la liberté et à l</w:t>
      </w:r>
      <w:r w:rsidR="00731F09" w:rsidRPr="00E1372C">
        <w:rPr>
          <w:lang w:val="fr-FR"/>
        </w:rPr>
        <w:t>’</w:t>
      </w:r>
      <w:r w:rsidR="00FD0B6E" w:rsidRPr="00E1372C">
        <w:rPr>
          <w:lang w:val="fr-FR"/>
        </w:rPr>
        <w:t>indépendance.</w:t>
      </w:r>
    </w:p>
    <w:p w:rsidR="00A55A0E" w:rsidRPr="00E1372C" w:rsidRDefault="007A1757" w:rsidP="007A1757">
      <w:pPr>
        <w:pStyle w:val="SingleTxtG"/>
        <w:rPr>
          <w:lang w:val="fr-FR" w:bidi="en-US"/>
        </w:rPr>
      </w:pPr>
      <w:r w:rsidRPr="00E1372C">
        <w:rPr>
          <w:lang w:val="fr-FR" w:bidi="en-US"/>
        </w:rPr>
        <w:t>16.</w:t>
      </w:r>
      <w:r w:rsidRPr="00E1372C">
        <w:rPr>
          <w:lang w:val="fr-FR" w:bidi="en-US"/>
        </w:rPr>
        <w:tab/>
      </w:r>
      <w:r w:rsidR="00FD0B6E" w:rsidRPr="00E1372C">
        <w:rPr>
          <w:lang w:val="fr-FR"/>
        </w:rPr>
        <w:t xml:space="preserve">La Commission </w:t>
      </w:r>
      <w:r w:rsidR="00933119" w:rsidRPr="00E1372C">
        <w:rPr>
          <w:lang w:val="fr-FR"/>
        </w:rPr>
        <w:t xml:space="preserve">du Ministère de la justice </w:t>
      </w:r>
      <w:r w:rsidR="00FD0B6E" w:rsidRPr="00E1372C">
        <w:rPr>
          <w:lang w:val="fr-FR"/>
        </w:rPr>
        <w:t>pour la réforme et le développement du droit</w:t>
      </w:r>
      <w:r w:rsidR="00933119" w:rsidRPr="00E1372C">
        <w:rPr>
          <w:lang w:val="fr-FR"/>
        </w:rPr>
        <w:t xml:space="preserve"> </w:t>
      </w:r>
      <w:r w:rsidR="00FD0B6E" w:rsidRPr="00E1372C">
        <w:rPr>
          <w:lang w:val="fr-FR"/>
        </w:rPr>
        <w:t>est</w:t>
      </w:r>
      <w:r w:rsidR="00817A01" w:rsidRPr="00E1372C">
        <w:rPr>
          <w:lang w:val="fr-FR"/>
        </w:rPr>
        <w:t xml:space="preserve"> </w:t>
      </w:r>
      <w:r w:rsidR="00FD0B6E" w:rsidRPr="00E1372C">
        <w:rPr>
          <w:lang w:val="fr-FR"/>
        </w:rPr>
        <w:t>chargée d</w:t>
      </w:r>
      <w:r w:rsidR="00731F09" w:rsidRPr="00E1372C">
        <w:rPr>
          <w:lang w:val="fr-FR"/>
        </w:rPr>
        <w:t>’</w:t>
      </w:r>
      <w:r w:rsidR="00FD0B6E" w:rsidRPr="00E1372C">
        <w:rPr>
          <w:lang w:val="fr-FR"/>
        </w:rPr>
        <w:t>étudier et de proposer des modifications aux lois existantes qui sont contraires à l</w:t>
      </w:r>
      <w:r w:rsidR="00731F09" w:rsidRPr="00E1372C">
        <w:rPr>
          <w:lang w:val="fr-FR"/>
        </w:rPr>
        <w:t>’</w:t>
      </w:r>
      <w:r w:rsidR="00FD0B6E" w:rsidRPr="00E1372C">
        <w:rPr>
          <w:lang w:val="fr-FR"/>
        </w:rPr>
        <w:t>esprit de la Constitution</w:t>
      </w:r>
      <w:r w:rsidR="00A55A0E" w:rsidRPr="00E1372C">
        <w:rPr>
          <w:lang w:val="fr-FR" w:bidi="en-US"/>
        </w:rPr>
        <w:t>.</w:t>
      </w:r>
    </w:p>
    <w:p w:rsidR="00A55A0E" w:rsidRPr="00E1372C" w:rsidRDefault="007A1757" w:rsidP="007A1757">
      <w:pPr>
        <w:pStyle w:val="SingleTxtG"/>
        <w:rPr>
          <w:lang w:val="fr-FR" w:bidi="en-US"/>
        </w:rPr>
      </w:pPr>
      <w:r w:rsidRPr="00E1372C">
        <w:rPr>
          <w:lang w:val="fr-FR" w:bidi="en-US"/>
        </w:rPr>
        <w:t>17.</w:t>
      </w:r>
      <w:r w:rsidRPr="00E1372C">
        <w:rPr>
          <w:lang w:val="fr-FR" w:bidi="en-US"/>
        </w:rPr>
        <w:tab/>
      </w:r>
      <w:r w:rsidR="00933119" w:rsidRPr="00E1372C">
        <w:rPr>
          <w:lang w:val="fr-FR"/>
        </w:rPr>
        <w:t>L</w:t>
      </w:r>
      <w:r w:rsidR="00731F09" w:rsidRPr="00E1372C">
        <w:rPr>
          <w:lang w:val="fr-FR"/>
        </w:rPr>
        <w:t>’</w:t>
      </w:r>
      <w:r w:rsidR="00817A01" w:rsidRPr="00E1372C">
        <w:rPr>
          <w:lang w:val="fr-FR"/>
        </w:rPr>
        <w:t>article 19 de la Constitution</w:t>
      </w:r>
      <w:r w:rsidR="00933119" w:rsidRPr="00E1372C">
        <w:rPr>
          <w:lang w:val="fr-FR"/>
        </w:rPr>
        <w:t xml:space="preserve"> garantit à c</w:t>
      </w:r>
      <w:r w:rsidR="00B30AA2" w:rsidRPr="00E1372C">
        <w:rPr>
          <w:lang w:val="fr-FR"/>
        </w:rPr>
        <w:t xml:space="preserve">hacun </w:t>
      </w:r>
      <w:r w:rsidR="00817A01" w:rsidRPr="00E1372C">
        <w:rPr>
          <w:lang w:val="fr-FR"/>
        </w:rPr>
        <w:t xml:space="preserve">le droit </w:t>
      </w:r>
      <w:r w:rsidR="00EC2C80" w:rsidRPr="00E1372C">
        <w:rPr>
          <w:lang w:val="fr-FR"/>
        </w:rPr>
        <w:t>d</w:t>
      </w:r>
      <w:r w:rsidR="00731F09" w:rsidRPr="00E1372C">
        <w:rPr>
          <w:lang w:val="fr-FR"/>
        </w:rPr>
        <w:t>’</w:t>
      </w:r>
      <w:r w:rsidR="00EC2C80" w:rsidRPr="00E1372C">
        <w:rPr>
          <w:lang w:val="fr-FR"/>
        </w:rPr>
        <w:t xml:space="preserve">avoir, </w:t>
      </w:r>
      <w:r w:rsidR="00817A01" w:rsidRPr="00E1372C">
        <w:rPr>
          <w:lang w:val="fr-FR"/>
        </w:rPr>
        <w:t>de pratiquer, de manifester, d</w:t>
      </w:r>
      <w:r w:rsidR="00731F09" w:rsidRPr="00E1372C">
        <w:rPr>
          <w:lang w:val="fr-FR"/>
        </w:rPr>
        <w:t>’</w:t>
      </w:r>
      <w:r w:rsidR="00817A01" w:rsidRPr="00E1372C">
        <w:rPr>
          <w:lang w:val="fr-FR"/>
        </w:rPr>
        <w:t>entretenir et de promouvoir une culture, une langue, une tradition ou une religion.</w:t>
      </w:r>
    </w:p>
    <w:p w:rsidR="00A55A0E" w:rsidRPr="00E1372C" w:rsidRDefault="007A1757" w:rsidP="007A1757">
      <w:pPr>
        <w:pStyle w:val="SingleTxtG"/>
        <w:rPr>
          <w:lang w:val="fr-FR" w:bidi="en-US"/>
        </w:rPr>
      </w:pPr>
      <w:r w:rsidRPr="00E1372C">
        <w:rPr>
          <w:lang w:val="fr-FR" w:bidi="en-US"/>
        </w:rPr>
        <w:t>18.</w:t>
      </w:r>
      <w:r w:rsidRPr="00E1372C">
        <w:rPr>
          <w:lang w:val="fr-FR" w:bidi="en-US"/>
        </w:rPr>
        <w:tab/>
      </w:r>
      <w:r w:rsidR="00817A01" w:rsidRPr="00E1372C">
        <w:rPr>
          <w:lang w:val="fr-FR"/>
        </w:rPr>
        <w:t>La Namibie a un patrimoine culturel riche et diversifié, intégra</w:t>
      </w:r>
      <w:r w:rsidR="00DC4369" w:rsidRPr="00E1372C">
        <w:rPr>
          <w:lang w:val="fr-FR"/>
        </w:rPr>
        <w:t xml:space="preserve">nt des traditions africaines et </w:t>
      </w:r>
      <w:r w:rsidR="00817A01" w:rsidRPr="00E1372C">
        <w:rPr>
          <w:lang w:val="fr-FR"/>
        </w:rPr>
        <w:t>des traditions européennes, ainsi qu</w:t>
      </w:r>
      <w:r w:rsidR="00731F09" w:rsidRPr="00E1372C">
        <w:rPr>
          <w:lang w:val="fr-FR"/>
        </w:rPr>
        <w:t>’</w:t>
      </w:r>
      <w:r w:rsidR="00817A01" w:rsidRPr="00E1372C">
        <w:rPr>
          <w:lang w:val="fr-FR"/>
        </w:rPr>
        <w:t>un patrimoine artistique représenté notamment par l</w:t>
      </w:r>
      <w:r w:rsidR="00731F09" w:rsidRPr="00E1372C">
        <w:rPr>
          <w:lang w:val="fr-FR"/>
        </w:rPr>
        <w:t>’</w:t>
      </w:r>
      <w:r w:rsidR="00817A01" w:rsidRPr="00E1372C">
        <w:rPr>
          <w:lang w:val="fr-FR"/>
        </w:rPr>
        <w:t xml:space="preserve">art rupestre. Toutefois, par le passé, les différences culturelles ont été accentuées </w:t>
      </w:r>
      <w:r w:rsidR="0052752E" w:rsidRPr="00E1372C">
        <w:rPr>
          <w:lang w:val="fr-FR"/>
        </w:rPr>
        <w:t xml:space="preserve">par le </w:t>
      </w:r>
      <w:r w:rsidR="00817A01" w:rsidRPr="00E1372C">
        <w:rPr>
          <w:lang w:val="fr-FR"/>
        </w:rPr>
        <w:t xml:space="preserve">racisme, </w:t>
      </w:r>
      <w:r w:rsidR="0052752E" w:rsidRPr="00E1372C">
        <w:rPr>
          <w:lang w:val="fr-FR"/>
        </w:rPr>
        <w:t xml:space="preserve">les allégeances </w:t>
      </w:r>
      <w:r w:rsidR="00817A01" w:rsidRPr="00E1372C">
        <w:rPr>
          <w:lang w:val="fr-FR"/>
        </w:rPr>
        <w:t>ethnique</w:t>
      </w:r>
      <w:r w:rsidR="0052752E" w:rsidRPr="00E1372C">
        <w:rPr>
          <w:lang w:val="fr-FR"/>
        </w:rPr>
        <w:t>s</w:t>
      </w:r>
      <w:r w:rsidR="00817A01" w:rsidRPr="00E1372C">
        <w:rPr>
          <w:lang w:val="fr-FR"/>
        </w:rPr>
        <w:t xml:space="preserve"> exclusive</w:t>
      </w:r>
      <w:r w:rsidR="0052752E" w:rsidRPr="00E1372C">
        <w:rPr>
          <w:lang w:val="fr-FR"/>
        </w:rPr>
        <w:t>s</w:t>
      </w:r>
      <w:r w:rsidR="00817A01" w:rsidRPr="00E1372C">
        <w:rPr>
          <w:lang w:val="fr-FR"/>
        </w:rPr>
        <w:t xml:space="preserve"> et </w:t>
      </w:r>
      <w:r w:rsidR="0052752E" w:rsidRPr="00E1372C">
        <w:rPr>
          <w:lang w:val="fr-FR"/>
        </w:rPr>
        <w:t xml:space="preserve">la </w:t>
      </w:r>
      <w:r w:rsidR="00817A01" w:rsidRPr="00E1372C">
        <w:rPr>
          <w:lang w:val="fr-FR"/>
        </w:rPr>
        <w:t xml:space="preserve">stratégie coloniale </w:t>
      </w:r>
      <w:r w:rsidR="00DC4369" w:rsidRPr="00E1372C">
        <w:rPr>
          <w:lang w:val="fr-FR"/>
        </w:rPr>
        <w:t>du «</w:t>
      </w:r>
      <w:r w:rsidR="00817A01" w:rsidRPr="00E1372C">
        <w:rPr>
          <w:lang w:val="fr-FR"/>
        </w:rPr>
        <w:t>diviser pour régner</w:t>
      </w:r>
      <w:r w:rsidR="00B30AA2" w:rsidRPr="00E1372C">
        <w:rPr>
          <w:lang w:val="fr-FR"/>
        </w:rPr>
        <w:t>»</w:t>
      </w:r>
      <w:r w:rsidR="00817A01" w:rsidRPr="00E1372C">
        <w:rPr>
          <w:lang w:val="fr-FR"/>
        </w:rPr>
        <w:t xml:space="preserve">. </w:t>
      </w:r>
      <w:r w:rsidR="0052752E" w:rsidRPr="00E1372C">
        <w:rPr>
          <w:lang w:val="fr-FR"/>
        </w:rPr>
        <w:t>À l</w:t>
      </w:r>
      <w:r w:rsidR="00731F09" w:rsidRPr="00E1372C">
        <w:rPr>
          <w:lang w:val="fr-FR"/>
        </w:rPr>
        <w:t>’</w:t>
      </w:r>
      <w:r w:rsidR="0052752E" w:rsidRPr="00E1372C">
        <w:rPr>
          <w:lang w:val="fr-FR"/>
        </w:rPr>
        <w:t>inverse, on comprend aujourd</w:t>
      </w:r>
      <w:r w:rsidR="00731F09" w:rsidRPr="00E1372C">
        <w:rPr>
          <w:lang w:val="fr-FR"/>
        </w:rPr>
        <w:t>’</w:t>
      </w:r>
      <w:r w:rsidR="0052752E" w:rsidRPr="00E1372C">
        <w:rPr>
          <w:lang w:val="fr-FR"/>
        </w:rPr>
        <w:t xml:space="preserve">hui </w:t>
      </w:r>
      <w:r w:rsidR="00817A01" w:rsidRPr="00E1372C">
        <w:rPr>
          <w:lang w:val="fr-FR"/>
        </w:rPr>
        <w:t>désormais qu</w:t>
      </w:r>
      <w:r w:rsidR="00731F09" w:rsidRPr="00E1372C">
        <w:rPr>
          <w:lang w:val="fr-FR"/>
        </w:rPr>
        <w:t>’</w:t>
      </w:r>
      <w:r w:rsidR="00817A01" w:rsidRPr="00E1372C">
        <w:rPr>
          <w:lang w:val="fr-FR"/>
        </w:rPr>
        <w:t>à l</w:t>
      </w:r>
      <w:r w:rsidR="00731F09" w:rsidRPr="00E1372C">
        <w:rPr>
          <w:lang w:val="fr-FR"/>
        </w:rPr>
        <w:t>’</w:t>
      </w:r>
      <w:r w:rsidR="00817A01" w:rsidRPr="00E1372C">
        <w:rPr>
          <w:lang w:val="fr-FR"/>
        </w:rPr>
        <w:t xml:space="preserve">heure où se construit une nation nouvelle et unie, les Namibiens </w:t>
      </w:r>
      <w:r w:rsidR="0052752E" w:rsidRPr="00E1372C">
        <w:rPr>
          <w:lang w:val="fr-FR"/>
        </w:rPr>
        <w:t xml:space="preserve">doivent </w:t>
      </w:r>
      <w:r w:rsidR="00817A01" w:rsidRPr="00E1372C">
        <w:rPr>
          <w:lang w:val="fr-FR"/>
        </w:rPr>
        <w:t>développe</w:t>
      </w:r>
      <w:r w:rsidR="0052752E" w:rsidRPr="00E1372C">
        <w:rPr>
          <w:lang w:val="fr-FR"/>
        </w:rPr>
        <w:t>r</w:t>
      </w:r>
      <w:r w:rsidR="00817A01" w:rsidRPr="00E1372C">
        <w:rPr>
          <w:lang w:val="fr-FR"/>
        </w:rPr>
        <w:t xml:space="preserve"> </w:t>
      </w:r>
      <w:r w:rsidR="0052752E" w:rsidRPr="00E1372C">
        <w:rPr>
          <w:lang w:val="fr-FR"/>
        </w:rPr>
        <w:t xml:space="preserve">la </w:t>
      </w:r>
      <w:r w:rsidR="00817A01" w:rsidRPr="00E1372C">
        <w:rPr>
          <w:lang w:val="fr-FR"/>
        </w:rPr>
        <w:t xml:space="preserve">compréhension et </w:t>
      </w:r>
      <w:r w:rsidR="0052752E" w:rsidRPr="00E1372C">
        <w:rPr>
          <w:lang w:val="fr-FR"/>
        </w:rPr>
        <w:t xml:space="preserve">la </w:t>
      </w:r>
      <w:r w:rsidR="00817A01" w:rsidRPr="00E1372C">
        <w:rPr>
          <w:lang w:val="fr-FR"/>
        </w:rPr>
        <w:t xml:space="preserve">tolérance mutuelles </w:t>
      </w:r>
      <w:r w:rsidR="0052752E" w:rsidRPr="00E1372C">
        <w:rPr>
          <w:lang w:val="fr-FR"/>
        </w:rPr>
        <w:t>et se considérer comme des égaux</w:t>
      </w:r>
      <w:r w:rsidR="00A55A0E" w:rsidRPr="00E1372C">
        <w:rPr>
          <w:lang w:val="fr-FR" w:bidi="en-US"/>
        </w:rPr>
        <w:t>.</w:t>
      </w:r>
    </w:p>
    <w:p w:rsidR="00A55A0E" w:rsidRPr="00E1372C" w:rsidRDefault="007A1757" w:rsidP="007A1757">
      <w:pPr>
        <w:pStyle w:val="SingleTxtG"/>
        <w:rPr>
          <w:lang w:val="fr-FR" w:bidi="en-US"/>
        </w:rPr>
      </w:pPr>
      <w:r w:rsidRPr="00E1372C">
        <w:rPr>
          <w:lang w:val="fr-FR" w:bidi="en-US"/>
        </w:rPr>
        <w:t>19.</w:t>
      </w:r>
      <w:r w:rsidRPr="00E1372C">
        <w:rPr>
          <w:lang w:val="fr-FR" w:bidi="en-US"/>
        </w:rPr>
        <w:tab/>
      </w:r>
      <w:r w:rsidR="00817A01" w:rsidRPr="00E1372C">
        <w:rPr>
          <w:lang w:val="fr-FR"/>
        </w:rPr>
        <w:t>L</w:t>
      </w:r>
      <w:r w:rsidR="00731F09" w:rsidRPr="00E1372C">
        <w:rPr>
          <w:lang w:val="fr-FR"/>
        </w:rPr>
        <w:t>’</w:t>
      </w:r>
      <w:r w:rsidR="00817A01" w:rsidRPr="00E1372C">
        <w:rPr>
          <w:lang w:val="fr-FR"/>
        </w:rPr>
        <w:t xml:space="preserve">une des premières préoccupations a donc été de </w:t>
      </w:r>
      <w:r w:rsidR="0052752E" w:rsidRPr="00E1372C">
        <w:rPr>
          <w:lang w:val="fr-FR"/>
        </w:rPr>
        <w:t xml:space="preserve">recenser </w:t>
      </w:r>
      <w:r w:rsidR="00817A01" w:rsidRPr="00E1372C">
        <w:rPr>
          <w:lang w:val="fr-FR"/>
        </w:rPr>
        <w:t>et de compr</w:t>
      </w:r>
      <w:r w:rsidR="00CC4EE4" w:rsidRPr="00E1372C">
        <w:rPr>
          <w:lang w:val="fr-FR"/>
        </w:rPr>
        <w:t xml:space="preserve">endre les cultures </w:t>
      </w:r>
      <w:r w:rsidR="0052752E" w:rsidRPr="00E1372C">
        <w:rPr>
          <w:lang w:val="fr-FR"/>
        </w:rPr>
        <w:t>qui existent en Namibie</w:t>
      </w:r>
      <w:r w:rsidR="00CC4EE4" w:rsidRPr="00E1372C">
        <w:rPr>
          <w:lang w:val="fr-FR"/>
        </w:rPr>
        <w:t>. L</w:t>
      </w:r>
      <w:r w:rsidR="00817A01" w:rsidRPr="00E1372C">
        <w:rPr>
          <w:lang w:val="fr-FR"/>
        </w:rPr>
        <w:t xml:space="preserve">es Archives nationales et le Musée national </w:t>
      </w:r>
      <w:r w:rsidR="0052752E" w:rsidRPr="00E1372C">
        <w:rPr>
          <w:lang w:val="fr-FR"/>
        </w:rPr>
        <w:t xml:space="preserve">mènent </w:t>
      </w:r>
      <w:r w:rsidR="00817A01" w:rsidRPr="00E1372C">
        <w:rPr>
          <w:lang w:val="fr-FR"/>
        </w:rPr>
        <w:t>un travail de recherche et d</w:t>
      </w:r>
      <w:r w:rsidR="00731F09" w:rsidRPr="00E1372C">
        <w:rPr>
          <w:lang w:val="fr-FR"/>
        </w:rPr>
        <w:t>’</w:t>
      </w:r>
      <w:r w:rsidR="00817A01" w:rsidRPr="00E1372C">
        <w:rPr>
          <w:lang w:val="fr-FR"/>
        </w:rPr>
        <w:t xml:space="preserve">éducation </w:t>
      </w:r>
      <w:r w:rsidR="0052752E" w:rsidRPr="00E1372C">
        <w:rPr>
          <w:lang w:val="fr-FR"/>
        </w:rPr>
        <w:t xml:space="preserve">concernant les </w:t>
      </w:r>
      <w:r w:rsidR="00817A01" w:rsidRPr="00E1372C">
        <w:rPr>
          <w:lang w:val="fr-FR"/>
        </w:rPr>
        <w:t>cultures namibiennes</w:t>
      </w:r>
      <w:r w:rsidR="0052752E" w:rsidRPr="00E1372C">
        <w:rPr>
          <w:lang w:val="fr-FR"/>
        </w:rPr>
        <w:t>,</w:t>
      </w:r>
      <w:r w:rsidR="00817A01" w:rsidRPr="00E1372C">
        <w:rPr>
          <w:lang w:val="fr-FR"/>
        </w:rPr>
        <w:t xml:space="preserve"> et la lutte c</w:t>
      </w:r>
      <w:r w:rsidR="009E074D" w:rsidRPr="00E1372C">
        <w:rPr>
          <w:lang w:val="fr-FR"/>
        </w:rPr>
        <w:t xml:space="preserve">ontre le racisme en Namibie. Le </w:t>
      </w:r>
      <w:r w:rsidR="00817A01" w:rsidRPr="00E1372C">
        <w:rPr>
          <w:lang w:val="fr-FR"/>
        </w:rPr>
        <w:t>Musée a organisé des expositions consacrées à la lutte pour la libération de la Namibie et au rôle qu</w:t>
      </w:r>
      <w:r w:rsidR="00731F09" w:rsidRPr="00E1372C">
        <w:rPr>
          <w:lang w:val="fr-FR"/>
        </w:rPr>
        <w:t>’</w:t>
      </w:r>
      <w:r w:rsidR="00817A01" w:rsidRPr="00E1372C">
        <w:rPr>
          <w:lang w:val="fr-FR"/>
        </w:rPr>
        <w:t>ont joué à cet é</w:t>
      </w:r>
      <w:r w:rsidR="00B30AA2" w:rsidRPr="00E1372C">
        <w:rPr>
          <w:lang w:val="fr-FR"/>
        </w:rPr>
        <w:t>gard l</w:t>
      </w:r>
      <w:r w:rsidR="00731F09" w:rsidRPr="00E1372C">
        <w:rPr>
          <w:lang w:val="fr-FR"/>
        </w:rPr>
        <w:t>’</w:t>
      </w:r>
      <w:r w:rsidR="00B30AA2" w:rsidRPr="00E1372C">
        <w:rPr>
          <w:lang w:val="fr-FR"/>
        </w:rPr>
        <w:t xml:space="preserve">Organisation des Nations </w:t>
      </w:r>
      <w:r w:rsidR="00817A01" w:rsidRPr="00E1372C">
        <w:rPr>
          <w:lang w:val="fr-FR"/>
        </w:rPr>
        <w:t>Unies, le mouvement de solidarité</w:t>
      </w:r>
      <w:r w:rsidR="0052752E" w:rsidRPr="00E1372C">
        <w:rPr>
          <w:lang w:val="fr-FR"/>
        </w:rPr>
        <w:t>,</w:t>
      </w:r>
      <w:r w:rsidR="00817A01" w:rsidRPr="00E1372C">
        <w:rPr>
          <w:lang w:val="fr-FR"/>
        </w:rPr>
        <w:t xml:space="preserve"> et les </w:t>
      </w:r>
      <w:r w:rsidR="0052752E" w:rsidRPr="00E1372C">
        <w:rPr>
          <w:lang w:val="fr-FR"/>
        </w:rPr>
        <w:t xml:space="preserve">responsables </w:t>
      </w:r>
      <w:r w:rsidR="00817A01" w:rsidRPr="00E1372C">
        <w:rPr>
          <w:lang w:val="fr-FR"/>
        </w:rPr>
        <w:t>namibiens. On s</w:t>
      </w:r>
      <w:r w:rsidR="00731F09" w:rsidRPr="00E1372C">
        <w:rPr>
          <w:lang w:val="fr-FR"/>
        </w:rPr>
        <w:t>’</w:t>
      </w:r>
      <w:r w:rsidR="00817A01" w:rsidRPr="00E1372C">
        <w:rPr>
          <w:lang w:val="fr-FR"/>
        </w:rPr>
        <w:t xml:space="preserve">efforce aussi de recueillir les savoirs et </w:t>
      </w:r>
      <w:r w:rsidR="0052752E" w:rsidRPr="00E1372C">
        <w:rPr>
          <w:lang w:val="fr-FR"/>
        </w:rPr>
        <w:t xml:space="preserve">les </w:t>
      </w:r>
      <w:r w:rsidR="00817A01" w:rsidRPr="00E1372C">
        <w:rPr>
          <w:lang w:val="fr-FR"/>
        </w:rPr>
        <w:t xml:space="preserve">coutumes traditionnels </w:t>
      </w:r>
      <w:r w:rsidR="0052752E" w:rsidRPr="00E1372C">
        <w:rPr>
          <w:lang w:val="fr-FR"/>
        </w:rPr>
        <w:t xml:space="preserve">pour ce qui est de </w:t>
      </w:r>
      <w:r w:rsidR="00817A01" w:rsidRPr="00E1372C">
        <w:rPr>
          <w:lang w:val="fr-FR"/>
        </w:rPr>
        <w:t>l</w:t>
      </w:r>
      <w:r w:rsidR="00731F09" w:rsidRPr="00E1372C">
        <w:rPr>
          <w:lang w:val="fr-FR"/>
        </w:rPr>
        <w:t>’</w:t>
      </w:r>
      <w:r w:rsidR="00817A01" w:rsidRPr="00E1372C">
        <w:rPr>
          <w:lang w:val="fr-FR"/>
        </w:rPr>
        <w:t>environnement naturel. De grandes expositions d</w:t>
      </w:r>
      <w:r w:rsidR="00731F09" w:rsidRPr="00E1372C">
        <w:rPr>
          <w:lang w:val="fr-FR"/>
        </w:rPr>
        <w:t>’</w:t>
      </w:r>
      <w:r w:rsidR="00817A01" w:rsidRPr="00E1372C">
        <w:rPr>
          <w:lang w:val="fr-FR"/>
        </w:rPr>
        <w:t xml:space="preserve">art rupestre </w:t>
      </w:r>
      <w:r w:rsidR="0052752E" w:rsidRPr="00E1372C">
        <w:rPr>
          <w:lang w:val="fr-FR"/>
        </w:rPr>
        <w:t>et d</w:t>
      </w:r>
      <w:r w:rsidR="00731F09" w:rsidRPr="00E1372C">
        <w:rPr>
          <w:lang w:val="fr-FR"/>
        </w:rPr>
        <w:t>’</w:t>
      </w:r>
      <w:r w:rsidR="0052752E" w:rsidRPr="00E1372C">
        <w:rPr>
          <w:lang w:val="fr-FR"/>
        </w:rPr>
        <w:t xml:space="preserve">autres arts </w:t>
      </w:r>
      <w:r w:rsidR="00817A01" w:rsidRPr="00E1372C">
        <w:rPr>
          <w:lang w:val="fr-FR"/>
        </w:rPr>
        <w:t>namibien</w:t>
      </w:r>
      <w:r w:rsidR="0052752E" w:rsidRPr="00E1372C">
        <w:rPr>
          <w:lang w:val="fr-FR"/>
        </w:rPr>
        <w:t>s</w:t>
      </w:r>
      <w:r w:rsidR="00817A01" w:rsidRPr="00E1372C">
        <w:rPr>
          <w:lang w:val="fr-FR"/>
        </w:rPr>
        <w:t xml:space="preserve"> ont été organisées</w:t>
      </w:r>
      <w:r w:rsidR="0052752E" w:rsidRPr="00E1372C">
        <w:rPr>
          <w:lang w:val="fr-FR"/>
        </w:rPr>
        <w:t xml:space="preserve"> au Musée national</w:t>
      </w:r>
      <w:r w:rsidR="00817A01" w:rsidRPr="00E1372C">
        <w:rPr>
          <w:lang w:val="fr-FR"/>
        </w:rPr>
        <w:t xml:space="preserve"> </w:t>
      </w:r>
      <w:r w:rsidR="00220D06" w:rsidRPr="00E1372C">
        <w:rPr>
          <w:lang w:val="fr-FR"/>
        </w:rPr>
        <w:t xml:space="preserve">afin de montrer non seulement les traditions de tel ou tel </w:t>
      </w:r>
      <w:r w:rsidR="00817A01" w:rsidRPr="00E1372C">
        <w:rPr>
          <w:lang w:val="fr-FR"/>
        </w:rPr>
        <w:t xml:space="preserve">groupe ethnique mais </w:t>
      </w:r>
      <w:r w:rsidR="00220D06" w:rsidRPr="00E1372C">
        <w:rPr>
          <w:lang w:val="fr-FR"/>
        </w:rPr>
        <w:t xml:space="preserve">aussi la contribution inestimable de </w:t>
      </w:r>
      <w:r w:rsidR="00817A01" w:rsidRPr="00E1372C">
        <w:rPr>
          <w:lang w:val="fr-FR"/>
        </w:rPr>
        <w:t>l</w:t>
      </w:r>
      <w:r w:rsidR="00731F09" w:rsidRPr="00E1372C">
        <w:rPr>
          <w:lang w:val="fr-FR"/>
        </w:rPr>
        <w:t>’</w:t>
      </w:r>
      <w:r w:rsidR="00817A01" w:rsidRPr="00E1372C">
        <w:rPr>
          <w:lang w:val="fr-FR"/>
        </w:rPr>
        <w:t>art namibien au monde de l</w:t>
      </w:r>
      <w:r w:rsidR="00731F09" w:rsidRPr="00E1372C">
        <w:rPr>
          <w:lang w:val="fr-FR"/>
        </w:rPr>
        <w:t>’</w:t>
      </w:r>
      <w:r w:rsidR="00817A01" w:rsidRPr="00E1372C">
        <w:rPr>
          <w:lang w:val="fr-FR"/>
        </w:rPr>
        <w:t>art.</w:t>
      </w:r>
    </w:p>
    <w:p w:rsidR="00A55A0E" w:rsidRPr="00E1372C" w:rsidRDefault="007A1757" w:rsidP="007A1757">
      <w:pPr>
        <w:pStyle w:val="SingleTxtG"/>
        <w:rPr>
          <w:lang w:val="fr-FR" w:bidi="en-US"/>
        </w:rPr>
      </w:pPr>
      <w:r w:rsidRPr="00E1372C">
        <w:rPr>
          <w:lang w:val="fr-FR" w:bidi="en-US"/>
        </w:rPr>
        <w:t>20.</w:t>
      </w:r>
      <w:r w:rsidRPr="00E1372C">
        <w:rPr>
          <w:lang w:val="fr-FR" w:bidi="en-US"/>
        </w:rPr>
        <w:tab/>
      </w:r>
      <w:r w:rsidR="00817A01" w:rsidRPr="00E1372C">
        <w:rPr>
          <w:lang w:val="fr-FR"/>
        </w:rPr>
        <w:t>C</w:t>
      </w:r>
      <w:r w:rsidR="007322B5" w:rsidRPr="00E1372C">
        <w:rPr>
          <w:lang w:val="fr-FR"/>
        </w:rPr>
        <w:t>omme c</w:t>
      </w:r>
      <w:r w:rsidR="00817A01" w:rsidRPr="00E1372C">
        <w:rPr>
          <w:lang w:val="fr-FR"/>
        </w:rPr>
        <w:t xml:space="preserve">hacun </w:t>
      </w:r>
      <w:r w:rsidR="007322B5" w:rsidRPr="00E1372C">
        <w:rPr>
          <w:lang w:val="fr-FR"/>
        </w:rPr>
        <w:t xml:space="preserve">le </w:t>
      </w:r>
      <w:r w:rsidR="00817A01" w:rsidRPr="00E1372C">
        <w:rPr>
          <w:lang w:val="fr-FR"/>
        </w:rPr>
        <w:t>sait</w:t>
      </w:r>
      <w:r w:rsidR="007322B5" w:rsidRPr="00E1372C">
        <w:rPr>
          <w:lang w:val="fr-FR"/>
        </w:rPr>
        <w:t xml:space="preserve">, </w:t>
      </w:r>
      <w:r w:rsidR="00817A01" w:rsidRPr="00E1372C">
        <w:rPr>
          <w:lang w:val="fr-FR"/>
        </w:rPr>
        <w:t xml:space="preserve">le </w:t>
      </w:r>
      <w:r w:rsidR="007322B5" w:rsidRPr="00E1372C">
        <w:rPr>
          <w:lang w:val="fr-FR"/>
        </w:rPr>
        <w:t xml:space="preserve">régime </w:t>
      </w:r>
      <w:r w:rsidR="00817A01" w:rsidRPr="00E1372C">
        <w:rPr>
          <w:lang w:val="fr-FR"/>
        </w:rPr>
        <w:t>de l</w:t>
      </w:r>
      <w:r w:rsidR="00731F09" w:rsidRPr="00E1372C">
        <w:rPr>
          <w:lang w:val="fr-FR"/>
        </w:rPr>
        <w:t>’</w:t>
      </w:r>
      <w:r w:rsidR="00817A01" w:rsidRPr="00E1372C">
        <w:rPr>
          <w:lang w:val="fr-FR"/>
        </w:rPr>
        <w:t xml:space="preserve">apartheid </w:t>
      </w:r>
      <w:r w:rsidR="007322B5" w:rsidRPr="00E1372C">
        <w:rPr>
          <w:lang w:val="fr-FR"/>
        </w:rPr>
        <w:t xml:space="preserve">avait divisé délibérément </w:t>
      </w:r>
      <w:r w:rsidR="00817A01" w:rsidRPr="00E1372C">
        <w:rPr>
          <w:lang w:val="fr-FR"/>
        </w:rPr>
        <w:t>les composantes ethniques de la société namibienne.</w:t>
      </w:r>
      <w:r w:rsidR="007322B5" w:rsidRPr="00E1372C">
        <w:rPr>
          <w:lang w:val="fr-FR"/>
        </w:rPr>
        <w:t xml:space="preserve"> Cela a provoqué bon nombre de tensions sociales et de divisions dans la société.</w:t>
      </w:r>
      <w:r w:rsidR="00817A01" w:rsidRPr="00E1372C">
        <w:rPr>
          <w:lang w:val="fr-FR"/>
        </w:rPr>
        <w:t xml:space="preserve"> La Namibie compte </w:t>
      </w:r>
      <w:r w:rsidR="007322B5" w:rsidRPr="00E1372C">
        <w:rPr>
          <w:lang w:val="fr-FR"/>
        </w:rPr>
        <w:t xml:space="preserve">un certain nombre de minorités, dont </w:t>
      </w:r>
      <w:r w:rsidR="00817A01" w:rsidRPr="00E1372C">
        <w:rPr>
          <w:lang w:val="fr-FR"/>
        </w:rPr>
        <w:t>les Khoi-</w:t>
      </w:r>
      <w:r w:rsidR="0070569B" w:rsidRPr="00E1372C">
        <w:rPr>
          <w:lang w:val="fr-FR"/>
        </w:rPr>
        <w:t>k</w:t>
      </w:r>
      <w:r w:rsidR="00CC4EE4" w:rsidRPr="00E1372C">
        <w:rPr>
          <w:lang w:val="fr-FR"/>
        </w:rPr>
        <w:t>hoi</w:t>
      </w:r>
      <w:r w:rsidR="00817A01" w:rsidRPr="00E1372C">
        <w:rPr>
          <w:lang w:val="fr-FR"/>
        </w:rPr>
        <w:t xml:space="preserve">, </w:t>
      </w:r>
      <w:r w:rsidR="00CC4EE4" w:rsidRPr="00E1372C">
        <w:rPr>
          <w:lang w:val="fr-FR"/>
        </w:rPr>
        <w:t>l</w:t>
      </w:r>
      <w:r w:rsidR="00817A01" w:rsidRPr="00E1372C">
        <w:rPr>
          <w:lang w:val="fr-FR"/>
        </w:rPr>
        <w:t xml:space="preserve">es Ovazemba et les Ovahimba. </w:t>
      </w:r>
      <w:r w:rsidR="007322B5" w:rsidRPr="00E1372C">
        <w:rPr>
          <w:lang w:val="fr-FR"/>
        </w:rPr>
        <w:t>Les pouvoirs publics s</w:t>
      </w:r>
      <w:r w:rsidR="00731F09" w:rsidRPr="00E1372C">
        <w:rPr>
          <w:lang w:val="fr-FR"/>
        </w:rPr>
        <w:t>’</w:t>
      </w:r>
      <w:r w:rsidR="007322B5" w:rsidRPr="00E1372C">
        <w:rPr>
          <w:lang w:val="fr-FR"/>
        </w:rPr>
        <w:t>emploient</w:t>
      </w:r>
      <w:r w:rsidR="00817A01" w:rsidRPr="00E1372C">
        <w:rPr>
          <w:lang w:val="fr-FR"/>
        </w:rPr>
        <w:t xml:space="preserve">, selon les moyens </w:t>
      </w:r>
      <w:r w:rsidR="007322B5" w:rsidRPr="00E1372C">
        <w:rPr>
          <w:lang w:val="fr-FR"/>
        </w:rPr>
        <w:t>disponibles</w:t>
      </w:r>
      <w:r w:rsidR="00817A01" w:rsidRPr="00E1372C">
        <w:rPr>
          <w:lang w:val="fr-FR"/>
        </w:rPr>
        <w:t xml:space="preserve">, </w:t>
      </w:r>
      <w:r w:rsidR="007322B5" w:rsidRPr="00E1372C">
        <w:rPr>
          <w:lang w:val="fr-FR"/>
        </w:rPr>
        <w:t xml:space="preserve">à </w:t>
      </w:r>
      <w:r w:rsidR="00817A01" w:rsidRPr="00E1372C">
        <w:rPr>
          <w:lang w:val="fr-FR"/>
        </w:rPr>
        <w:t xml:space="preserve">intégrer </w:t>
      </w:r>
      <w:r w:rsidR="007322B5" w:rsidRPr="00E1372C">
        <w:rPr>
          <w:lang w:val="fr-FR"/>
        </w:rPr>
        <w:t xml:space="preserve">pleinement dans la société ces populations </w:t>
      </w:r>
      <w:r w:rsidR="00817A01" w:rsidRPr="00E1372C">
        <w:rPr>
          <w:lang w:val="fr-FR"/>
        </w:rPr>
        <w:t>naguère marginalisées</w:t>
      </w:r>
      <w:r w:rsidR="007322B5" w:rsidRPr="00E1372C">
        <w:rPr>
          <w:lang w:val="fr-FR"/>
        </w:rPr>
        <w:t xml:space="preserve"> et à leur prêter assistance</w:t>
      </w:r>
      <w:r w:rsidR="00817A01" w:rsidRPr="00E1372C">
        <w:rPr>
          <w:lang w:val="fr-FR"/>
        </w:rPr>
        <w:t>.</w:t>
      </w:r>
    </w:p>
    <w:p w:rsidR="00A55A0E" w:rsidRPr="00E1372C" w:rsidRDefault="007A1757" w:rsidP="007A1757">
      <w:pPr>
        <w:pStyle w:val="SingleTxtG"/>
        <w:rPr>
          <w:lang w:val="fr-FR" w:bidi="en-US"/>
        </w:rPr>
      </w:pPr>
      <w:r w:rsidRPr="00E1372C">
        <w:rPr>
          <w:lang w:val="fr-FR" w:bidi="en-US"/>
        </w:rPr>
        <w:t>21.</w:t>
      </w:r>
      <w:r w:rsidRPr="00E1372C">
        <w:rPr>
          <w:lang w:val="fr-FR" w:bidi="en-US"/>
        </w:rPr>
        <w:tab/>
      </w:r>
      <w:r w:rsidR="00817A01" w:rsidRPr="00E1372C">
        <w:rPr>
          <w:lang w:val="fr-FR" w:bidi="en-US"/>
        </w:rPr>
        <w:t>E</w:t>
      </w:r>
      <w:r w:rsidR="00A55A0E" w:rsidRPr="00E1372C">
        <w:rPr>
          <w:lang w:val="fr-FR" w:bidi="en-US"/>
        </w:rPr>
        <w:t>n 1996</w:t>
      </w:r>
      <w:r w:rsidR="00817A01" w:rsidRPr="00E1372C">
        <w:rPr>
          <w:lang w:val="fr-FR" w:bidi="en-US"/>
        </w:rPr>
        <w:t xml:space="preserve">, le Gouvernement a adopté une politique de décentralisation </w:t>
      </w:r>
      <w:r w:rsidR="00F41196" w:rsidRPr="00E1372C">
        <w:rPr>
          <w:lang w:val="fr-FR" w:bidi="en-US"/>
        </w:rPr>
        <w:t>dont l</w:t>
      </w:r>
      <w:r w:rsidR="00731F09" w:rsidRPr="00E1372C">
        <w:rPr>
          <w:lang w:val="fr-FR" w:bidi="en-US"/>
        </w:rPr>
        <w:t>’</w:t>
      </w:r>
      <w:r w:rsidR="00F41196" w:rsidRPr="00E1372C">
        <w:rPr>
          <w:lang w:val="fr-FR" w:bidi="en-US"/>
        </w:rPr>
        <w:t xml:space="preserve">objectif était de transférer des compétences </w:t>
      </w:r>
      <w:r w:rsidR="00817A01" w:rsidRPr="00E1372C">
        <w:rPr>
          <w:lang w:val="fr-FR" w:bidi="en-US"/>
        </w:rPr>
        <w:t>politique</w:t>
      </w:r>
      <w:r w:rsidR="00F41196" w:rsidRPr="00E1372C">
        <w:rPr>
          <w:lang w:val="fr-FR" w:bidi="en-US"/>
        </w:rPr>
        <w:t>s</w:t>
      </w:r>
      <w:r w:rsidR="00817A01" w:rsidRPr="00E1372C">
        <w:rPr>
          <w:lang w:val="fr-FR" w:bidi="en-US"/>
        </w:rPr>
        <w:t>, administrati</w:t>
      </w:r>
      <w:r w:rsidR="00F41196" w:rsidRPr="00E1372C">
        <w:rPr>
          <w:lang w:val="fr-FR" w:bidi="en-US"/>
        </w:rPr>
        <w:t>ves</w:t>
      </w:r>
      <w:r w:rsidR="00817A01" w:rsidRPr="00E1372C">
        <w:rPr>
          <w:lang w:val="fr-FR" w:bidi="en-US"/>
        </w:rPr>
        <w:t>, législati</w:t>
      </w:r>
      <w:r w:rsidR="00F41196" w:rsidRPr="00E1372C">
        <w:rPr>
          <w:lang w:val="fr-FR" w:bidi="en-US"/>
        </w:rPr>
        <w:t>ves</w:t>
      </w:r>
      <w:r w:rsidR="00817A01" w:rsidRPr="00E1372C">
        <w:rPr>
          <w:lang w:val="fr-FR" w:bidi="en-US"/>
        </w:rPr>
        <w:t>, financi</w:t>
      </w:r>
      <w:r w:rsidR="00F41196" w:rsidRPr="00E1372C">
        <w:rPr>
          <w:lang w:val="fr-FR" w:bidi="en-US"/>
        </w:rPr>
        <w:t>ères</w:t>
      </w:r>
      <w:r w:rsidR="00817A01" w:rsidRPr="00E1372C">
        <w:rPr>
          <w:lang w:val="fr-FR" w:bidi="en-US"/>
        </w:rPr>
        <w:t xml:space="preserve"> et de planification aux conseils des autorités locales. </w:t>
      </w:r>
      <w:r w:rsidR="00F11DD1" w:rsidRPr="00E1372C">
        <w:rPr>
          <w:lang w:val="fr-FR" w:bidi="en-US"/>
        </w:rPr>
        <w:t>L</w:t>
      </w:r>
      <w:r w:rsidR="00817A01" w:rsidRPr="00E1372C">
        <w:rPr>
          <w:lang w:val="fr-FR" w:bidi="en-US"/>
        </w:rPr>
        <w:t>a loi n</w:t>
      </w:r>
      <w:r w:rsidR="00B277C4" w:rsidRPr="00E1372C">
        <w:rPr>
          <w:vertAlign w:val="superscript"/>
          <w:lang w:val="fr-FR" w:bidi="en-US"/>
        </w:rPr>
        <w:t>o</w:t>
      </w:r>
      <w:r w:rsidR="00817A01" w:rsidRPr="00E1372C">
        <w:rPr>
          <w:lang w:val="fr-FR" w:bidi="en-US"/>
        </w:rPr>
        <w:t> </w:t>
      </w:r>
      <w:r w:rsidR="00A55A0E" w:rsidRPr="00E1372C">
        <w:rPr>
          <w:lang w:val="fr-FR" w:bidi="en-US"/>
        </w:rPr>
        <w:t xml:space="preserve">23 </w:t>
      </w:r>
      <w:r w:rsidR="00CC4EE4" w:rsidRPr="00E1372C">
        <w:rPr>
          <w:lang w:val="fr-FR" w:bidi="en-US"/>
        </w:rPr>
        <w:t>de</w:t>
      </w:r>
      <w:r w:rsidR="00A55A0E" w:rsidRPr="00E1372C">
        <w:rPr>
          <w:lang w:val="fr-FR" w:bidi="en-US"/>
        </w:rPr>
        <w:t xml:space="preserve"> 2000</w:t>
      </w:r>
      <w:r w:rsidR="00817A01" w:rsidRPr="00E1372C">
        <w:rPr>
          <w:lang w:val="fr-FR" w:bidi="en-US"/>
        </w:rPr>
        <w:t xml:space="preserve"> relative à la décentralisation, la loi n</w:t>
      </w:r>
      <w:r w:rsidR="00B277C4" w:rsidRPr="00E1372C">
        <w:rPr>
          <w:vertAlign w:val="superscript"/>
          <w:lang w:val="fr-FR" w:bidi="en-US"/>
        </w:rPr>
        <w:t>o</w:t>
      </w:r>
      <w:r w:rsidR="00817A01" w:rsidRPr="00E1372C">
        <w:rPr>
          <w:lang w:val="fr-FR" w:bidi="en-US"/>
        </w:rPr>
        <w:t> </w:t>
      </w:r>
      <w:r w:rsidR="00A55A0E" w:rsidRPr="00E1372C">
        <w:rPr>
          <w:lang w:val="fr-FR" w:bidi="en-US"/>
        </w:rPr>
        <w:t xml:space="preserve">22 </w:t>
      </w:r>
      <w:r w:rsidR="00817A01" w:rsidRPr="00E1372C">
        <w:rPr>
          <w:lang w:val="fr-FR" w:bidi="en-US"/>
        </w:rPr>
        <w:t>de</w:t>
      </w:r>
      <w:r w:rsidR="00A55A0E" w:rsidRPr="00E1372C">
        <w:rPr>
          <w:lang w:val="fr-FR" w:bidi="en-US"/>
        </w:rPr>
        <w:t xml:space="preserve"> 2000</w:t>
      </w:r>
      <w:r w:rsidR="00817A01" w:rsidRPr="00E1372C">
        <w:rPr>
          <w:lang w:val="fr-FR" w:bidi="en-US"/>
        </w:rPr>
        <w:t xml:space="preserve"> </w:t>
      </w:r>
      <w:r w:rsidR="00F41196" w:rsidRPr="00E1372C">
        <w:rPr>
          <w:lang w:val="fr-FR" w:bidi="en-US"/>
        </w:rPr>
        <w:t xml:space="preserve">sur le </w:t>
      </w:r>
      <w:r w:rsidR="00817A01" w:rsidRPr="00E1372C">
        <w:rPr>
          <w:lang w:val="fr-FR" w:bidi="en-US"/>
        </w:rPr>
        <w:t xml:space="preserve">fonds </w:t>
      </w:r>
      <w:r w:rsidR="00F41196" w:rsidRPr="00E1372C">
        <w:rPr>
          <w:lang w:val="fr-FR" w:bidi="en-US"/>
        </w:rPr>
        <w:t>d</w:t>
      </w:r>
      <w:r w:rsidR="00731F09" w:rsidRPr="00E1372C">
        <w:rPr>
          <w:lang w:val="fr-FR" w:bidi="en-US"/>
        </w:rPr>
        <w:t>’</w:t>
      </w:r>
      <w:r w:rsidR="00F41196" w:rsidRPr="00E1372C">
        <w:rPr>
          <w:lang w:val="fr-FR" w:bidi="en-US"/>
        </w:rPr>
        <w:t xml:space="preserve">affectation spéciale </w:t>
      </w:r>
      <w:r w:rsidR="00817A01" w:rsidRPr="00E1372C">
        <w:rPr>
          <w:lang w:val="fr-FR" w:bidi="en-US"/>
        </w:rPr>
        <w:t xml:space="preserve">pour le développement régional et </w:t>
      </w:r>
      <w:r w:rsidR="00F41196" w:rsidRPr="00E1372C">
        <w:rPr>
          <w:lang w:val="fr-FR" w:bidi="en-US"/>
        </w:rPr>
        <w:t xml:space="preserve">les </w:t>
      </w:r>
      <w:r w:rsidR="00817A01" w:rsidRPr="00E1372C">
        <w:rPr>
          <w:lang w:val="fr-FR" w:bidi="en-US"/>
        </w:rPr>
        <w:t xml:space="preserve">dispositions </w:t>
      </w:r>
      <w:r w:rsidR="00F41196" w:rsidRPr="00E1372C">
        <w:rPr>
          <w:lang w:val="fr-FR" w:bidi="en-US"/>
        </w:rPr>
        <w:t xml:space="preserve">financières connexes </w:t>
      </w:r>
      <w:r w:rsidR="00817A01" w:rsidRPr="00E1372C">
        <w:rPr>
          <w:lang w:val="fr-FR" w:bidi="en-US"/>
        </w:rPr>
        <w:t>et la loi n</w:t>
      </w:r>
      <w:r w:rsidR="00B277C4" w:rsidRPr="00E1372C">
        <w:rPr>
          <w:vertAlign w:val="superscript"/>
          <w:lang w:val="fr-FR" w:bidi="en-US"/>
        </w:rPr>
        <w:t>o</w:t>
      </w:r>
      <w:r w:rsidR="00817A01" w:rsidRPr="00E1372C">
        <w:rPr>
          <w:lang w:val="fr-FR" w:bidi="en-US"/>
        </w:rPr>
        <w:t> </w:t>
      </w:r>
      <w:r w:rsidR="00A55A0E" w:rsidRPr="00E1372C">
        <w:rPr>
          <w:lang w:val="fr-FR" w:bidi="en-US"/>
        </w:rPr>
        <w:t xml:space="preserve">28 </w:t>
      </w:r>
      <w:r w:rsidR="00817A01" w:rsidRPr="00E1372C">
        <w:rPr>
          <w:lang w:val="fr-FR" w:bidi="en-US"/>
        </w:rPr>
        <w:t>de</w:t>
      </w:r>
      <w:r w:rsidR="00A55A0E" w:rsidRPr="00E1372C">
        <w:rPr>
          <w:lang w:val="fr-FR" w:bidi="en-US"/>
        </w:rPr>
        <w:t xml:space="preserve"> 2000</w:t>
      </w:r>
      <w:r w:rsidR="00817A01" w:rsidRPr="00E1372C">
        <w:rPr>
          <w:lang w:val="fr-FR" w:bidi="en-US"/>
        </w:rPr>
        <w:t xml:space="preserve"> relative au développement de l</w:t>
      </w:r>
      <w:r w:rsidR="00731F09" w:rsidRPr="00E1372C">
        <w:rPr>
          <w:lang w:val="fr-FR" w:bidi="en-US"/>
        </w:rPr>
        <w:t>’</w:t>
      </w:r>
      <w:r w:rsidR="00817A01" w:rsidRPr="00E1372C">
        <w:rPr>
          <w:lang w:val="fr-FR" w:bidi="en-US"/>
        </w:rPr>
        <w:t xml:space="preserve">habitat </w:t>
      </w:r>
      <w:r w:rsidR="00F11DD1" w:rsidRPr="00E1372C">
        <w:rPr>
          <w:lang w:val="fr-FR" w:bidi="en-US"/>
        </w:rPr>
        <w:t xml:space="preserve">jouent un rôle actif à cet égard, en offrant </w:t>
      </w:r>
      <w:r w:rsidR="00817A01" w:rsidRPr="00E1372C">
        <w:rPr>
          <w:lang w:val="fr-FR" w:bidi="en-US"/>
        </w:rPr>
        <w:t xml:space="preserve">aux autorités locales </w:t>
      </w:r>
      <w:r w:rsidR="00F11DD1" w:rsidRPr="00E1372C">
        <w:rPr>
          <w:lang w:val="fr-FR" w:bidi="en-US"/>
        </w:rPr>
        <w:t>le cadre institutionnel nécessaire pour exercer les compétences de planification et de réalisation du développement qui leur ont été confiées.</w:t>
      </w:r>
      <w:r w:rsidR="00AE017E" w:rsidRPr="00E1372C">
        <w:rPr>
          <w:lang w:val="fr-FR" w:bidi="en-US"/>
        </w:rPr>
        <w:t xml:space="preserve"> </w:t>
      </w:r>
      <w:bookmarkStart w:id="0" w:name="_Toc13632563"/>
    </w:p>
    <w:p w:rsidR="00A55A0E" w:rsidRPr="00E1372C" w:rsidRDefault="00A55A0E" w:rsidP="00783035">
      <w:pPr>
        <w:pStyle w:val="H1G"/>
        <w:rPr>
          <w:lang w:val="fr-FR"/>
        </w:rPr>
      </w:pPr>
      <w:r w:rsidRPr="00E1372C">
        <w:rPr>
          <w:lang w:val="fr-FR"/>
        </w:rPr>
        <w:tab/>
      </w:r>
      <w:r w:rsidRPr="00E1372C">
        <w:rPr>
          <w:lang w:val="fr-FR"/>
        </w:rPr>
        <w:tab/>
        <w:t>Article 2</w:t>
      </w:r>
      <w:bookmarkEnd w:id="0"/>
      <w:r w:rsidR="00B30AA2" w:rsidRPr="00E1372C">
        <w:rPr>
          <w:lang w:val="fr-FR"/>
        </w:rPr>
        <w:br/>
      </w:r>
      <w:r w:rsidR="00F11DD1" w:rsidRPr="00E1372C">
        <w:rPr>
          <w:lang w:val="fr-FR"/>
        </w:rPr>
        <w:t>C</w:t>
      </w:r>
      <w:r w:rsidR="00817A01" w:rsidRPr="00E1372C">
        <w:rPr>
          <w:lang w:val="fr-FR"/>
        </w:rPr>
        <w:t xml:space="preserve">onstitution, législation et autres </w:t>
      </w:r>
      <w:r w:rsidR="00783035" w:rsidRPr="00E1372C">
        <w:rPr>
          <w:lang w:val="fr-FR"/>
        </w:rPr>
        <w:t>mesures</w:t>
      </w:r>
    </w:p>
    <w:p w:rsidR="00817A01" w:rsidRPr="00E1372C" w:rsidRDefault="007A1757" w:rsidP="007A1757">
      <w:pPr>
        <w:pStyle w:val="SingleTxtG"/>
        <w:rPr>
          <w:lang w:val="fr-FR" w:bidi="en-US"/>
        </w:rPr>
      </w:pPr>
      <w:r w:rsidRPr="00E1372C">
        <w:rPr>
          <w:lang w:val="fr-FR" w:bidi="en-US"/>
        </w:rPr>
        <w:t>22.</w:t>
      </w:r>
      <w:r w:rsidRPr="00E1372C">
        <w:rPr>
          <w:lang w:val="fr-FR" w:bidi="en-US"/>
        </w:rPr>
        <w:tab/>
      </w:r>
      <w:r w:rsidR="00817A01" w:rsidRPr="00E1372C">
        <w:rPr>
          <w:lang w:val="fr-FR" w:bidi="en-US"/>
        </w:rPr>
        <w:t>La Namibie</w:t>
      </w:r>
      <w:r w:rsidR="00F11DD1" w:rsidRPr="00E1372C">
        <w:rPr>
          <w:lang w:val="fr-FR" w:bidi="en-US"/>
        </w:rPr>
        <w:t xml:space="preserve"> adhère à un certain nombre d</w:t>
      </w:r>
      <w:r w:rsidR="00731F09" w:rsidRPr="00E1372C">
        <w:rPr>
          <w:lang w:val="fr-FR" w:bidi="en-US"/>
        </w:rPr>
        <w:t>’</w:t>
      </w:r>
      <w:r w:rsidR="00817A01" w:rsidRPr="00E1372C">
        <w:rPr>
          <w:lang w:val="fr-FR" w:bidi="en-US"/>
        </w:rPr>
        <w:t>instruments internationaux relatifs aux droits de l</w:t>
      </w:r>
      <w:r w:rsidR="00731F09" w:rsidRPr="00E1372C">
        <w:rPr>
          <w:lang w:val="fr-FR" w:bidi="en-US"/>
        </w:rPr>
        <w:t>’</w:t>
      </w:r>
      <w:r w:rsidR="00817A01" w:rsidRPr="00E1372C">
        <w:rPr>
          <w:lang w:val="fr-FR" w:bidi="en-US"/>
        </w:rPr>
        <w:t xml:space="preserve">homme – pactes, conventions et protocoles – </w:t>
      </w:r>
      <w:r w:rsidR="00F11DD1" w:rsidRPr="00E1372C">
        <w:rPr>
          <w:lang w:val="fr-FR" w:bidi="en-US"/>
        </w:rPr>
        <w:t xml:space="preserve">et </w:t>
      </w:r>
      <w:r w:rsidR="00817A01" w:rsidRPr="00E1372C">
        <w:rPr>
          <w:lang w:val="fr-FR" w:bidi="en-US"/>
        </w:rPr>
        <w:t xml:space="preserve">est </w:t>
      </w:r>
      <w:r w:rsidR="00F11DD1" w:rsidRPr="00E1372C">
        <w:rPr>
          <w:lang w:val="fr-FR" w:bidi="en-US"/>
        </w:rPr>
        <w:t xml:space="preserve">donc </w:t>
      </w:r>
      <w:r w:rsidR="00817A01" w:rsidRPr="00E1372C">
        <w:rPr>
          <w:lang w:val="fr-FR" w:bidi="en-US"/>
        </w:rPr>
        <w:t xml:space="preserve">tenue </w:t>
      </w:r>
      <w:r w:rsidR="00F11DD1" w:rsidRPr="00E1372C">
        <w:rPr>
          <w:lang w:val="fr-FR" w:bidi="en-US"/>
        </w:rPr>
        <w:t>d</w:t>
      </w:r>
      <w:r w:rsidR="00731F09" w:rsidRPr="00E1372C">
        <w:rPr>
          <w:lang w:val="fr-FR" w:bidi="en-US"/>
        </w:rPr>
        <w:t>’</w:t>
      </w:r>
      <w:r w:rsidR="00F11DD1" w:rsidRPr="00E1372C">
        <w:rPr>
          <w:lang w:val="fr-FR" w:bidi="en-US"/>
        </w:rPr>
        <w:t xml:space="preserve">en </w:t>
      </w:r>
      <w:r w:rsidR="00817A01" w:rsidRPr="00E1372C">
        <w:rPr>
          <w:lang w:val="fr-FR" w:bidi="en-US"/>
        </w:rPr>
        <w:t xml:space="preserve">respecter </w:t>
      </w:r>
      <w:r w:rsidR="00F11DD1" w:rsidRPr="00E1372C">
        <w:rPr>
          <w:lang w:val="fr-FR" w:bidi="en-US"/>
        </w:rPr>
        <w:t xml:space="preserve">les </w:t>
      </w:r>
      <w:r w:rsidR="00817A01" w:rsidRPr="00E1372C">
        <w:rPr>
          <w:lang w:val="fr-FR" w:bidi="en-US"/>
        </w:rPr>
        <w:t xml:space="preserve">objectifs et </w:t>
      </w:r>
      <w:r w:rsidR="00F11DD1" w:rsidRPr="00E1372C">
        <w:rPr>
          <w:lang w:val="fr-FR" w:bidi="en-US"/>
        </w:rPr>
        <w:t xml:space="preserve">les </w:t>
      </w:r>
      <w:r w:rsidR="00817A01" w:rsidRPr="00E1372C">
        <w:rPr>
          <w:lang w:val="fr-FR" w:bidi="en-US"/>
        </w:rPr>
        <w:t xml:space="preserve">obligations. </w:t>
      </w:r>
      <w:r w:rsidR="00F11DD1" w:rsidRPr="00E1372C">
        <w:rPr>
          <w:lang w:val="fr-FR" w:bidi="en-US"/>
        </w:rPr>
        <w:t>L</w:t>
      </w:r>
      <w:r w:rsidR="00817A01" w:rsidRPr="00E1372C">
        <w:rPr>
          <w:lang w:val="fr-FR" w:bidi="en-US"/>
        </w:rPr>
        <w:t xml:space="preserve">a Constitution </w:t>
      </w:r>
      <w:r w:rsidR="00F11DD1" w:rsidRPr="00E1372C">
        <w:rPr>
          <w:lang w:val="fr-FR" w:bidi="en-US"/>
        </w:rPr>
        <w:t>namibienne a souvent été saluée pour l</w:t>
      </w:r>
      <w:r w:rsidR="00731F09" w:rsidRPr="00E1372C">
        <w:rPr>
          <w:lang w:val="fr-FR" w:bidi="en-US"/>
        </w:rPr>
        <w:t>’</w:t>
      </w:r>
      <w:r w:rsidR="00F11DD1" w:rsidRPr="00E1372C">
        <w:rPr>
          <w:lang w:val="fr-FR" w:bidi="en-US"/>
        </w:rPr>
        <w:t>attention particulière qu</w:t>
      </w:r>
      <w:r w:rsidR="00731F09" w:rsidRPr="00E1372C">
        <w:rPr>
          <w:lang w:val="fr-FR" w:bidi="en-US"/>
        </w:rPr>
        <w:t>’</w:t>
      </w:r>
      <w:r w:rsidR="00F11DD1" w:rsidRPr="00E1372C">
        <w:rPr>
          <w:lang w:val="fr-FR" w:bidi="en-US"/>
        </w:rPr>
        <w:t>elle p</w:t>
      </w:r>
      <w:r w:rsidR="00D261A4" w:rsidRPr="00E1372C">
        <w:rPr>
          <w:lang w:val="fr-FR" w:bidi="en-US"/>
        </w:rPr>
        <w:t xml:space="preserve">rête </w:t>
      </w:r>
      <w:r w:rsidR="00817A01" w:rsidRPr="00E1372C">
        <w:rPr>
          <w:lang w:val="fr-FR" w:bidi="en-US"/>
        </w:rPr>
        <w:t>à l</w:t>
      </w:r>
      <w:r w:rsidR="00731F09" w:rsidRPr="00E1372C">
        <w:rPr>
          <w:lang w:val="fr-FR" w:bidi="en-US"/>
        </w:rPr>
        <w:t>’</w:t>
      </w:r>
      <w:r w:rsidR="00817A01" w:rsidRPr="00E1372C">
        <w:rPr>
          <w:lang w:val="fr-FR" w:bidi="en-US"/>
        </w:rPr>
        <w:t xml:space="preserve">égalité </w:t>
      </w:r>
      <w:r w:rsidR="00D261A4" w:rsidRPr="00E1372C">
        <w:rPr>
          <w:lang w:val="fr-FR" w:bidi="en-US"/>
        </w:rPr>
        <w:t xml:space="preserve">des </w:t>
      </w:r>
      <w:r w:rsidR="00817A01" w:rsidRPr="00E1372C">
        <w:rPr>
          <w:lang w:val="fr-FR" w:bidi="en-US"/>
        </w:rPr>
        <w:t>sexes et aux droits des femmes.</w:t>
      </w:r>
    </w:p>
    <w:p w:rsidR="00A55A0E" w:rsidRPr="00E1372C" w:rsidRDefault="007A1757" w:rsidP="007A1757">
      <w:pPr>
        <w:pStyle w:val="SingleTxtG"/>
        <w:rPr>
          <w:lang w:val="fr-FR" w:bidi="en-US"/>
        </w:rPr>
      </w:pPr>
      <w:r w:rsidRPr="00E1372C">
        <w:rPr>
          <w:lang w:val="fr-FR" w:bidi="en-US"/>
        </w:rPr>
        <w:t>23.</w:t>
      </w:r>
      <w:r w:rsidRPr="00E1372C">
        <w:rPr>
          <w:lang w:val="fr-FR" w:bidi="en-US"/>
        </w:rPr>
        <w:tab/>
      </w:r>
      <w:r w:rsidR="00817A01" w:rsidRPr="00E1372C">
        <w:rPr>
          <w:lang w:val="fr-FR" w:bidi="en-US"/>
        </w:rPr>
        <w:t>L</w:t>
      </w:r>
      <w:r w:rsidR="00731F09" w:rsidRPr="00E1372C">
        <w:rPr>
          <w:lang w:val="fr-FR" w:bidi="en-US"/>
        </w:rPr>
        <w:t>’</w:t>
      </w:r>
      <w:r w:rsidR="00817A01" w:rsidRPr="00E1372C">
        <w:rPr>
          <w:lang w:val="fr-FR" w:bidi="en-US"/>
        </w:rPr>
        <w:t xml:space="preserve">article 10 de la Constitution </w:t>
      </w:r>
      <w:r w:rsidR="00D261A4" w:rsidRPr="00E1372C">
        <w:rPr>
          <w:lang w:val="fr-FR" w:bidi="en-US"/>
        </w:rPr>
        <w:t xml:space="preserve">consacre ainsi </w:t>
      </w:r>
      <w:r w:rsidR="00817A01" w:rsidRPr="00E1372C">
        <w:rPr>
          <w:lang w:val="fr-FR" w:bidi="en-US"/>
        </w:rPr>
        <w:t>l</w:t>
      </w:r>
      <w:r w:rsidR="00731F09" w:rsidRPr="00E1372C">
        <w:rPr>
          <w:lang w:val="fr-FR" w:bidi="en-US"/>
        </w:rPr>
        <w:t>’</w:t>
      </w:r>
      <w:r w:rsidR="00817A01" w:rsidRPr="00E1372C">
        <w:rPr>
          <w:lang w:val="fr-FR" w:bidi="en-US"/>
        </w:rPr>
        <w:t xml:space="preserve">égalité et </w:t>
      </w:r>
      <w:r w:rsidR="00D261A4" w:rsidRPr="00E1372C">
        <w:rPr>
          <w:lang w:val="fr-FR" w:bidi="en-US"/>
        </w:rPr>
        <w:t>le droit de ne faire l</w:t>
      </w:r>
      <w:r w:rsidR="00731F09" w:rsidRPr="00E1372C">
        <w:rPr>
          <w:lang w:val="fr-FR" w:bidi="en-US"/>
        </w:rPr>
        <w:t>’</w:t>
      </w:r>
      <w:r w:rsidR="00D261A4" w:rsidRPr="00E1372C">
        <w:rPr>
          <w:lang w:val="fr-FR" w:bidi="en-US"/>
        </w:rPr>
        <w:t>objet d</w:t>
      </w:r>
      <w:r w:rsidR="00731F09" w:rsidRPr="00E1372C">
        <w:rPr>
          <w:lang w:val="fr-FR" w:bidi="en-US"/>
        </w:rPr>
        <w:t>’</w:t>
      </w:r>
      <w:r w:rsidR="00D261A4" w:rsidRPr="00E1372C">
        <w:rPr>
          <w:lang w:val="fr-FR" w:bidi="en-US"/>
        </w:rPr>
        <w:t xml:space="preserve">aucune </w:t>
      </w:r>
      <w:r w:rsidR="00817A01" w:rsidRPr="00E1372C">
        <w:rPr>
          <w:lang w:val="fr-FR" w:bidi="en-US"/>
        </w:rPr>
        <w:t>discrimination:</w:t>
      </w:r>
    </w:p>
    <w:p w:rsidR="00A55A0E" w:rsidRPr="00E1372C" w:rsidRDefault="00AE017E" w:rsidP="00A55A0E">
      <w:pPr>
        <w:pStyle w:val="SingleTxtG"/>
        <w:ind w:firstLine="567"/>
        <w:rPr>
          <w:lang w:val="fr-FR" w:bidi="en-US"/>
        </w:rPr>
      </w:pPr>
      <w:r w:rsidRPr="00E1372C">
        <w:rPr>
          <w:lang w:val="fr-FR" w:bidi="en-US"/>
        </w:rPr>
        <w:t>«</w:t>
      </w:r>
      <w:r w:rsidR="00A55A0E" w:rsidRPr="00E1372C">
        <w:rPr>
          <w:lang w:val="fr-FR" w:bidi="en-US"/>
        </w:rPr>
        <w:t>1)</w:t>
      </w:r>
      <w:r w:rsidR="00A55A0E" w:rsidRPr="00E1372C">
        <w:rPr>
          <w:lang w:val="fr-FR" w:bidi="en-US"/>
        </w:rPr>
        <w:tab/>
      </w:r>
      <w:r w:rsidR="00D261A4" w:rsidRPr="00E1372C">
        <w:rPr>
          <w:lang w:val="fr-FR" w:bidi="en-US"/>
        </w:rPr>
        <w:t xml:space="preserve">[T]ous </w:t>
      </w:r>
      <w:r w:rsidR="00C430F5" w:rsidRPr="00E1372C">
        <w:rPr>
          <w:lang w:val="fr-FR" w:bidi="en-US"/>
        </w:rPr>
        <w:t>sont égaux devant la loi</w:t>
      </w:r>
    </w:p>
    <w:p w:rsidR="00A55A0E" w:rsidRPr="00E1372C" w:rsidRDefault="00A55A0E" w:rsidP="00A55A0E">
      <w:pPr>
        <w:pStyle w:val="SingleTxtG"/>
        <w:ind w:left="1701"/>
        <w:rPr>
          <w:sz w:val="18"/>
          <w:lang w:val="fr-FR" w:bidi="en-US"/>
        </w:rPr>
      </w:pPr>
      <w:r w:rsidRPr="00E1372C">
        <w:rPr>
          <w:lang w:val="fr-FR" w:bidi="en-US"/>
        </w:rPr>
        <w:t>2)</w:t>
      </w:r>
      <w:r w:rsidRPr="00E1372C">
        <w:rPr>
          <w:lang w:val="fr-FR" w:bidi="en-US"/>
        </w:rPr>
        <w:tab/>
      </w:r>
      <w:r w:rsidR="00D261A4" w:rsidRPr="00E1372C">
        <w:rPr>
          <w:lang w:val="fr-FR"/>
        </w:rPr>
        <w:t xml:space="preserve">[n]ul </w:t>
      </w:r>
      <w:r w:rsidR="00C430F5" w:rsidRPr="00E1372C">
        <w:rPr>
          <w:lang w:val="fr-FR"/>
        </w:rPr>
        <w:t xml:space="preserve">ne </w:t>
      </w:r>
      <w:r w:rsidR="00D261A4" w:rsidRPr="00E1372C">
        <w:rPr>
          <w:lang w:val="fr-FR"/>
        </w:rPr>
        <w:t xml:space="preserve">peut faire </w:t>
      </w:r>
      <w:r w:rsidR="00C430F5" w:rsidRPr="00E1372C">
        <w:rPr>
          <w:lang w:val="fr-FR"/>
        </w:rPr>
        <w:t>l</w:t>
      </w:r>
      <w:r w:rsidR="00731F09" w:rsidRPr="00E1372C">
        <w:rPr>
          <w:lang w:val="fr-FR"/>
        </w:rPr>
        <w:t>’</w:t>
      </w:r>
      <w:r w:rsidR="00C430F5" w:rsidRPr="00E1372C">
        <w:rPr>
          <w:lang w:val="fr-FR"/>
        </w:rPr>
        <w:t xml:space="preserve">objet </w:t>
      </w:r>
      <w:r w:rsidR="00D261A4" w:rsidRPr="00E1372C">
        <w:rPr>
          <w:lang w:val="fr-FR"/>
        </w:rPr>
        <w:t xml:space="preserve">de </w:t>
      </w:r>
      <w:r w:rsidR="00C430F5" w:rsidRPr="00E1372C">
        <w:rPr>
          <w:lang w:val="fr-FR"/>
        </w:rPr>
        <w:t xml:space="preserve">discrimination </w:t>
      </w:r>
      <w:r w:rsidR="00D261A4" w:rsidRPr="00E1372C">
        <w:rPr>
          <w:lang w:val="fr-FR"/>
        </w:rPr>
        <w:t>fondée sur le</w:t>
      </w:r>
      <w:r w:rsidR="00C430F5" w:rsidRPr="00E1372C">
        <w:rPr>
          <w:lang w:val="fr-FR"/>
        </w:rPr>
        <w:t xml:space="preserve"> sexe, la race, la couleur, l</w:t>
      </w:r>
      <w:r w:rsidR="00731F09" w:rsidRPr="00E1372C">
        <w:rPr>
          <w:lang w:val="fr-FR"/>
        </w:rPr>
        <w:t>’</w:t>
      </w:r>
      <w:r w:rsidR="00C430F5" w:rsidRPr="00E1372C">
        <w:rPr>
          <w:lang w:val="fr-FR"/>
        </w:rPr>
        <w:t xml:space="preserve">origine ethnique, la religion, </w:t>
      </w:r>
      <w:r w:rsidR="00D261A4" w:rsidRPr="00E1372C">
        <w:rPr>
          <w:lang w:val="fr-FR"/>
        </w:rPr>
        <w:t xml:space="preserve">la croyance </w:t>
      </w:r>
      <w:r w:rsidR="00C430F5" w:rsidRPr="00E1372C">
        <w:rPr>
          <w:lang w:val="fr-FR"/>
        </w:rPr>
        <w:t>ou la situation sociale ou économique.</w:t>
      </w:r>
      <w:r w:rsidR="00AE017E" w:rsidRPr="00E1372C">
        <w:rPr>
          <w:lang w:val="fr-FR"/>
        </w:rPr>
        <w:t>»</w:t>
      </w:r>
    </w:p>
    <w:p w:rsidR="00C430F5" w:rsidRPr="00E1372C" w:rsidRDefault="007A1757" w:rsidP="007A1757">
      <w:pPr>
        <w:pStyle w:val="SingleTxtG"/>
        <w:rPr>
          <w:lang w:val="fr-FR" w:bidi="en-US"/>
        </w:rPr>
      </w:pPr>
      <w:r w:rsidRPr="00E1372C">
        <w:rPr>
          <w:lang w:val="fr-FR" w:bidi="en-US"/>
        </w:rPr>
        <w:t>24.</w:t>
      </w:r>
      <w:r w:rsidRPr="00E1372C">
        <w:rPr>
          <w:lang w:val="fr-FR" w:bidi="en-US"/>
        </w:rPr>
        <w:tab/>
      </w:r>
      <w:r w:rsidR="00C430F5" w:rsidRPr="00E1372C">
        <w:rPr>
          <w:lang w:val="fr-FR" w:bidi="en-US"/>
        </w:rPr>
        <w:t>L</w:t>
      </w:r>
      <w:r w:rsidR="00731F09" w:rsidRPr="00E1372C">
        <w:rPr>
          <w:lang w:val="fr-FR" w:bidi="en-US"/>
        </w:rPr>
        <w:t>’</w:t>
      </w:r>
      <w:r w:rsidR="00C430F5" w:rsidRPr="00E1372C">
        <w:rPr>
          <w:lang w:val="fr-FR" w:bidi="en-US"/>
        </w:rPr>
        <w:t xml:space="preserve">article 14 complète ces dispositions en </w:t>
      </w:r>
      <w:r w:rsidR="00D261A4" w:rsidRPr="00E1372C">
        <w:rPr>
          <w:lang w:val="fr-FR" w:bidi="en-US"/>
        </w:rPr>
        <w:t xml:space="preserve">proclamant </w:t>
      </w:r>
      <w:r w:rsidR="00C430F5" w:rsidRPr="00E1372C">
        <w:rPr>
          <w:lang w:val="fr-FR" w:bidi="en-US"/>
        </w:rPr>
        <w:t>l</w:t>
      </w:r>
      <w:r w:rsidR="00731F09" w:rsidRPr="00E1372C">
        <w:rPr>
          <w:lang w:val="fr-FR" w:bidi="en-US"/>
        </w:rPr>
        <w:t>’</w:t>
      </w:r>
      <w:r w:rsidR="00C430F5" w:rsidRPr="00E1372C">
        <w:rPr>
          <w:lang w:val="fr-FR" w:bidi="en-US"/>
        </w:rPr>
        <w:t xml:space="preserve">égalité entre </w:t>
      </w:r>
      <w:r w:rsidR="00D261A4" w:rsidRPr="00E1372C">
        <w:rPr>
          <w:lang w:val="fr-FR" w:bidi="en-US"/>
        </w:rPr>
        <w:t xml:space="preserve">les </w:t>
      </w:r>
      <w:r w:rsidR="00C430F5" w:rsidRPr="00E1372C">
        <w:rPr>
          <w:lang w:val="fr-FR" w:bidi="en-US"/>
        </w:rPr>
        <w:t xml:space="preserve">hommes et </w:t>
      </w:r>
      <w:r w:rsidR="00D261A4" w:rsidRPr="00E1372C">
        <w:rPr>
          <w:lang w:val="fr-FR" w:bidi="en-US"/>
        </w:rPr>
        <w:t xml:space="preserve">les </w:t>
      </w:r>
      <w:r w:rsidR="00C430F5" w:rsidRPr="00E1372C">
        <w:rPr>
          <w:lang w:val="fr-FR" w:bidi="en-US"/>
        </w:rPr>
        <w:t xml:space="preserve">femmes dans tous les domaines liés au mariage et à la famille. </w:t>
      </w:r>
      <w:r w:rsidR="00D261A4" w:rsidRPr="00E1372C">
        <w:rPr>
          <w:lang w:val="fr-FR" w:bidi="en-US"/>
        </w:rPr>
        <w:t xml:space="preserve">Ces </w:t>
      </w:r>
      <w:r w:rsidR="00C430F5" w:rsidRPr="00E1372C">
        <w:rPr>
          <w:lang w:val="fr-FR" w:bidi="en-US"/>
        </w:rPr>
        <w:t>dispositions sont</w:t>
      </w:r>
      <w:r w:rsidR="00AE017E" w:rsidRPr="00E1372C">
        <w:rPr>
          <w:lang w:val="fr-FR" w:bidi="en-US"/>
        </w:rPr>
        <w:t xml:space="preserve"> </w:t>
      </w:r>
      <w:r w:rsidR="00D261A4" w:rsidRPr="00E1372C">
        <w:rPr>
          <w:lang w:val="fr-FR" w:bidi="en-US"/>
        </w:rPr>
        <w:t xml:space="preserve">complétées des mentions de </w:t>
      </w:r>
      <w:r w:rsidR="00C430F5" w:rsidRPr="00E1372C">
        <w:rPr>
          <w:lang w:val="fr-FR" w:bidi="en-US"/>
        </w:rPr>
        <w:t>l</w:t>
      </w:r>
      <w:r w:rsidR="00731F09" w:rsidRPr="00E1372C">
        <w:rPr>
          <w:lang w:val="fr-FR" w:bidi="en-US"/>
        </w:rPr>
        <w:t>’</w:t>
      </w:r>
      <w:r w:rsidR="00C430F5" w:rsidRPr="00E1372C">
        <w:rPr>
          <w:lang w:val="fr-FR" w:bidi="en-US"/>
        </w:rPr>
        <w:t xml:space="preserve">égalité des femmes au chapitre 11 non contraignant de la Constitution sur les principes de </w:t>
      </w:r>
      <w:r w:rsidR="00D261A4" w:rsidRPr="00E1372C">
        <w:rPr>
          <w:lang w:val="fr-FR" w:bidi="en-US"/>
        </w:rPr>
        <w:t>l</w:t>
      </w:r>
      <w:r w:rsidR="00731F09" w:rsidRPr="00E1372C">
        <w:rPr>
          <w:lang w:val="fr-FR" w:bidi="en-US"/>
        </w:rPr>
        <w:t>’</w:t>
      </w:r>
      <w:r w:rsidR="00D261A4" w:rsidRPr="00E1372C">
        <w:rPr>
          <w:lang w:val="fr-FR" w:bidi="en-US"/>
        </w:rPr>
        <w:t>action publique</w:t>
      </w:r>
      <w:r w:rsidR="00C430F5" w:rsidRPr="00E1372C">
        <w:rPr>
          <w:lang w:val="fr-FR" w:bidi="en-US"/>
        </w:rPr>
        <w:t xml:space="preserve">. </w:t>
      </w:r>
      <w:r w:rsidR="001C34AD" w:rsidRPr="00E1372C">
        <w:rPr>
          <w:lang w:val="fr-FR" w:bidi="en-US"/>
        </w:rPr>
        <w:t>Si c</w:t>
      </w:r>
      <w:r w:rsidR="00C430F5" w:rsidRPr="00E1372C">
        <w:rPr>
          <w:lang w:val="fr-FR" w:bidi="en-US"/>
        </w:rPr>
        <w:t xml:space="preserve">es principes </w:t>
      </w:r>
      <w:r w:rsidR="001C34AD" w:rsidRPr="00E1372C">
        <w:rPr>
          <w:lang w:val="fr-FR" w:bidi="en-US"/>
        </w:rPr>
        <w:t>n</w:t>
      </w:r>
      <w:r w:rsidR="00731F09" w:rsidRPr="00E1372C">
        <w:rPr>
          <w:lang w:val="fr-FR" w:bidi="en-US"/>
        </w:rPr>
        <w:t>’</w:t>
      </w:r>
      <w:r w:rsidR="001C34AD" w:rsidRPr="00E1372C">
        <w:rPr>
          <w:lang w:val="fr-FR" w:bidi="en-US"/>
        </w:rPr>
        <w:t>ont pas force exécutoire</w:t>
      </w:r>
      <w:r w:rsidR="00C430F5" w:rsidRPr="00E1372C">
        <w:rPr>
          <w:lang w:val="fr-FR" w:bidi="en-US"/>
        </w:rPr>
        <w:t xml:space="preserve">, ils </w:t>
      </w:r>
      <w:r w:rsidR="001C34AD" w:rsidRPr="00E1372C">
        <w:rPr>
          <w:lang w:val="fr-FR" w:bidi="en-US"/>
        </w:rPr>
        <w:t xml:space="preserve">visant </w:t>
      </w:r>
      <w:r w:rsidR="00C430F5" w:rsidRPr="00E1372C">
        <w:rPr>
          <w:lang w:val="fr-FR" w:bidi="en-US"/>
        </w:rPr>
        <w:t xml:space="preserve">à orienter </w:t>
      </w:r>
      <w:r w:rsidR="001C34AD" w:rsidRPr="00E1372C">
        <w:rPr>
          <w:lang w:val="fr-FR" w:bidi="en-US"/>
        </w:rPr>
        <w:t xml:space="preserve">les pouvoirs publics </w:t>
      </w:r>
      <w:r w:rsidR="00C430F5" w:rsidRPr="00E1372C">
        <w:rPr>
          <w:lang w:val="fr-FR" w:bidi="en-US"/>
        </w:rPr>
        <w:t>dans l</w:t>
      </w:r>
      <w:r w:rsidR="00731F09" w:rsidRPr="00E1372C">
        <w:rPr>
          <w:lang w:val="fr-FR" w:bidi="en-US"/>
        </w:rPr>
        <w:t>’</w:t>
      </w:r>
      <w:r w:rsidR="00C430F5" w:rsidRPr="00E1372C">
        <w:rPr>
          <w:lang w:val="fr-FR" w:bidi="en-US"/>
        </w:rPr>
        <w:t xml:space="preserve">élaboration et </w:t>
      </w:r>
      <w:r w:rsidR="001C34AD" w:rsidRPr="00E1372C">
        <w:rPr>
          <w:lang w:val="fr-FR" w:bidi="en-US"/>
        </w:rPr>
        <w:t>l</w:t>
      </w:r>
      <w:r w:rsidR="00731F09" w:rsidRPr="00E1372C">
        <w:rPr>
          <w:lang w:val="fr-FR" w:bidi="en-US"/>
        </w:rPr>
        <w:t>’</w:t>
      </w:r>
      <w:r w:rsidR="001C34AD" w:rsidRPr="00E1372C">
        <w:rPr>
          <w:lang w:val="fr-FR" w:bidi="en-US"/>
        </w:rPr>
        <w:t xml:space="preserve">application </w:t>
      </w:r>
      <w:r w:rsidR="00C430F5" w:rsidRPr="00E1372C">
        <w:rPr>
          <w:lang w:val="fr-FR" w:bidi="en-US"/>
        </w:rPr>
        <w:t>des lois</w:t>
      </w:r>
      <w:r w:rsidR="001C34AD" w:rsidRPr="00E1372C">
        <w:rPr>
          <w:lang w:val="fr-FR" w:bidi="en-US"/>
        </w:rPr>
        <w:t xml:space="preserve">, et à orienter </w:t>
      </w:r>
      <w:r w:rsidR="00C430F5" w:rsidRPr="00E1372C">
        <w:rPr>
          <w:lang w:val="fr-FR" w:bidi="en-US"/>
        </w:rPr>
        <w:t>les tribunaux dans l</w:t>
      </w:r>
      <w:r w:rsidR="00731F09" w:rsidRPr="00E1372C">
        <w:rPr>
          <w:lang w:val="fr-FR" w:bidi="en-US"/>
        </w:rPr>
        <w:t>’</w:t>
      </w:r>
      <w:r w:rsidR="00C430F5" w:rsidRPr="00E1372C">
        <w:rPr>
          <w:lang w:val="fr-FR" w:bidi="en-US"/>
        </w:rPr>
        <w:t>interprétation de</w:t>
      </w:r>
      <w:r w:rsidR="001C34AD" w:rsidRPr="00E1372C">
        <w:rPr>
          <w:lang w:val="fr-FR" w:bidi="en-US"/>
        </w:rPr>
        <w:t>s lois afin qu</w:t>
      </w:r>
      <w:r w:rsidR="00731F09" w:rsidRPr="00E1372C">
        <w:rPr>
          <w:lang w:val="fr-FR" w:bidi="en-US"/>
        </w:rPr>
        <w:t>’</w:t>
      </w:r>
      <w:r w:rsidR="001C34AD" w:rsidRPr="00E1372C">
        <w:rPr>
          <w:lang w:val="fr-FR" w:bidi="en-US"/>
        </w:rPr>
        <w:t>ils tiennent compte de ces principes</w:t>
      </w:r>
      <w:r w:rsidR="00C430F5" w:rsidRPr="00E1372C">
        <w:rPr>
          <w:lang w:val="fr-FR" w:bidi="en-US"/>
        </w:rPr>
        <w:t xml:space="preserve">. </w:t>
      </w:r>
      <w:r w:rsidR="001C34AD" w:rsidRPr="00E1372C">
        <w:rPr>
          <w:lang w:val="fr-FR" w:bidi="en-US"/>
        </w:rPr>
        <w:t xml:space="preserve">Les </w:t>
      </w:r>
      <w:r w:rsidR="00C430F5" w:rsidRPr="00E1372C">
        <w:rPr>
          <w:lang w:val="fr-FR" w:bidi="en-US"/>
        </w:rPr>
        <w:t xml:space="preserve">femmes ou </w:t>
      </w:r>
      <w:r w:rsidR="001C34AD" w:rsidRPr="00E1372C">
        <w:rPr>
          <w:lang w:val="fr-FR" w:bidi="en-US"/>
        </w:rPr>
        <w:t xml:space="preserve">les </w:t>
      </w:r>
      <w:r w:rsidR="00C430F5" w:rsidRPr="00E1372C">
        <w:rPr>
          <w:lang w:val="fr-FR" w:bidi="en-US"/>
        </w:rPr>
        <w:t>hommes qui s</w:t>
      </w:r>
      <w:r w:rsidR="00731F09" w:rsidRPr="00E1372C">
        <w:rPr>
          <w:lang w:val="fr-FR" w:bidi="en-US"/>
        </w:rPr>
        <w:t>’</w:t>
      </w:r>
      <w:r w:rsidR="00C430F5" w:rsidRPr="00E1372C">
        <w:rPr>
          <w:lang w:val="fr-FR" w:bidi="en-US"/>
        </w:rPr>
        <w:t xml:space="preserve">estiment victimes de discrimination </w:t>
      </w:r>
      <w:r w:rsidR="001C34AD" w:rsidRPr="00E1372C">
        <w:rPr>
          <w:lang w:val="fr-FR" w:bidi="en-US"/>
        </w:rPr>
        <w:t xml:space="preserve">fondée sur le </w:t>
      </w:r>
      <w:r w:rsidR="00C430F5" w:rsidRPr="00E1372C">
        <w:rPr>
          <w:lang w:val="fr-FR" w:bidi="en-US"/>
        </w:rPr>
        <w:t xml:space="preserve">sexe peuvent </w:t>
      </w:r>
      <w:r w:rsidR="001C34AD" w:rsidRPr="00E1372C">
        <w:rPr>
          <w:lang w:val="fr-FR" w:bidi="en-US"/>
        </w:rPr>
        <w:t xml:space="preserve">se prévaloir </w:t>
      </w:r>
      <w:r w:rsidR="00C430F5" w:rsidRPr="00E1372C">
        <w:rPr>
          <w:lang w:val="fr-FR" w:bidi="en-US"/>
        </w:rPr>
        <w:t>de la Constitution</w:t>
      </w:r>
      <w:r w:rsidR="001C34AD" w:rsidRPr="00E1372C">
        <w:rPr>
          <w:lang w:val="fr-FR" w:bidi="en-US"/>
        </w:rPr>
        <w:t xml:space="preserve"> pour intenter une action en justice</w:t>
      </w:r>
      <w:r w:rsidR="00C430F5" w:rsidRPr="00E1372C">
        <w:rPr>
          <w:lang w:val="fr-FR" w:bidi="en-US"/>
        </w:rPr>
        <w:t>.</w:t>
      </w:r>
    </w:p>
    <w:p w:rsidR="00C430F5" w:rsidRPr="00E1372C" w:rsidRDefault="007A1757" w:rsidP="007A1757">
      <w:pPr>
        <w:pStyle w:val="SingleTxtG"/>
        <w:rPr>
          <w:lang w:val="fr-FR" w:bidi="en-US"/>
        </w:rPr>
      </w:pPr>
      <w:r w:rsidRPr="00E1372C">
        <w:rPr>
          <w:lang w:val="fr-FR" w:bidi="en-US"/>
        </w:rPr>
        <w:t>25.</w:t>
      </w:r>
      <w:r w:rsidRPr="00E1372C">
        <w:rPr>
          <w:lang w:val="fr-FR" w:bidi="en-US"/>
        </w:rPr>
        <w:tab/>
      </w:r>
      <w:r w:rsidR="00C430F5" w:rsidRPr="00E1372C">
        <w:rPr>
          <w:lang w:val="fr-FR" w:bidi="en-US"/>
        </w:rPr>
        <w:t>La loi n</w:t>
      </w:r>
      <w:r w:rsidR="00B277C4" w:rsidRPr="00E1372C">
        <w:rPr>
          <w:vertAlign w:val="superscript"/>
          <w:lang w:val="fr-FR" w:bidi="en-US"/>
        </w:rPr>
        <w:t>o</w:t>
      </w:r>
      <w:r w:rsidR="00C430F5" w:rsidRPr="00E1372C">
        <w:rPr>
          <w:lang w:val="fr-FR" w:bidi="en-US"/>
        </w:rPr>
        <w:t> 1 de 1996 relative à l</w:t>
      </w:r>
      <w:r w:rsidR="00731F09" w:rsidRPr="00E1372C">
        <w:rPr>
          <w:lang w:val="fr-FR" w:bidi="en-US"/>
        </w:rPr>
        <w:t>’</w:t>
      </w:r>
      <w:r w:rsidR="00C430F5" w:rsidRPr="00E1372C">
        <w:rPr>
          <w:lang w:val="fr-FR" w:bidi="en-US"/>
        </w:rPr>
        <w:t xml:space="preserve">égalité des personnes mariées a </w:t>
      </w:r>
      <w:r w:rsidR="008C4EBE" w:rsidRPr="00E1372C">
        <w:rPr>
          <w:lang w:val="fr-FR" w:bidi="en-US"/>
        </w:rPr>
        <w:t xml:space="preserve">apporté des nouveautés de caractère général dans le </w:t>
      </w:r>
      <w:r w:rsidR="00C430F5" w:rsidRPr="00E1372C">
        <w:rPr>
          <w:lang w:val="fr-FR" w:bidi="en-US"/>
        </w:rPr>
        <w:t>statut des Namibien</w:t>
      </w:r>
      <w:r w:rsidR="0070569B" w:rsidRPr="00E1372C">
        <w:rPr>
          <w:lang w:val="fr-FR" w:bidi="en-US"/>
        </w:rPr>
        <w:t>ne</w:t>
      </w:r>
      <w:r w:rsidR="00C430F5" w:rsidRPr="00E1372C">
        <w:rPr>
          <w:lang w:val="fr-FR" w:bidi="en-US"/>
        </w:rPr>
        <w:t xml:space="preserve">s, sans </w:t>
      </w:r>
      <w:r w:rsidR="008C4EBE" w:rsidRPr="00E1372C">
        <w:rPr>
          <w:lang w:val="fr-FR" w:bidi="en-US"/>
        </w:rPr>
        <w:t xml:space="preserve">entrer dans le détail des aspects qui concernent </w:t>
      </w:r>
      <w:r w:rsidR="00C430F5" w:rsidRPr="00E1372C">
        <w:rPr>
          <w:lang w:val="fr-FR" w:bidi="en-US"/>
        </w:rPr>
        <w:t xml:space="preserve">le quotidien de la </w:t>
      </w:r>
      <w:r w:rsidR="008C4EBE" w:rsidRPr="00E1372C">
        <w:rPr>
          <w:lang w:val="fr-FR" w:bidi="en-US"/>
        </w:rPr>
        <w:t xml:space="preserve">plupart </w:t>
      </w:r>
      <w:r w:rsidR="00C430F5" w:rsidRPr="00E1372C">
        <w:rPr>
          <w:lang w:val="fr-FR" w:bidi="en-US"/>
        </w:rPr>
        <w:t xml:space="preserve">des femmes en Namibie. Les femmes rurales représentent un tiers de la population. La loi </w:t>
      </w:r>
      <w:r w:rsidR="008C4EBE" w:rsidRPr="00E1372C">
        <w:rPr>
          <w:lang w:val="fr-FR" w:bidi="en-US"/>
        </w:rPr>
        <w:t xml:space="preserve">de 1996 </w:t>
      </w:r>
      <w:r w:rsidR="00C430F5" w:rsidRPr="00E1372C">
        <w:rPr>
          <w:lang w:val="fr-FR" w:bidi="en-US"/>
        </w:rPr>
        <w:t xml:space="preserve">a aboli </w:t>
      </w:r>
      <w:r w:rsidR="008C4EBE" w:rsidRPr="00E1372C">
        <w:rPr>
          <w:lang w:val="fr-FR" w:bidi="en-US"/>
        </w:rPr>
        <w:t>la notion d</w:t>
      </w:r>
      <w:r w:rsidR="00731F09" w:rsidRPr="00E1372C">
        <w:rPr>
          <w:lang w:val="fr-FR" w:bidi="en-US"/>
        </w:rPr>
        <w:t>’</w:t>
      </w:r>
      <w:r w:rsidR="00C430F5" w:rsidRPr="00E1372C">
        <w:rPr>
          <w:lang w:val="fr-FR" w:bidi="en-US"/>
        </w:rPr>
        <w:t xml:space="preserve">autorité conjugale, </w:t>
      </w:r>
      <w:r w:rsidR="008C4EBE" w:rsidRPr="00E1372C">
        <w:rPr>
          <w:lang w:val="fr-FR" w:bidi="en-US"/>
        </w:rPr>
        <w:t>qui donnait autorité à l</w:t>
      </w:r>
      <w:r w:rsidR="00731F09" w:rsidRPr="00E1372C">
        <w:rPr>
          <w:lang w:val="fr-FR" w:bidi="en-US"/>
        </w:rPr>
        <w:t>’</w:t>
      </w:r>
      <w:r w:rsidR="008C4EBE" w:rsidRPr="00E1372C">
        <w:rPr>
          <w:lang w:val="fr-FR" w:bidi="en-US"/>
        </w:rPr>
        <w:t xml:space="preserve">époux sur les </w:t>
      </w:r>
      <w:r w:rsidR="00C430F5" w:rsidRPr="00E1372C">
        <w:rPr>
          <w:lang w:val="fr-FR" w:bidi="en-US"/>
        </w:rPr>
        <w:t xml:space="preserve">biens de son épouse. Elle a modifié le droit </w:t>
      </w:r>
      <w:r w:rsidR="008C4EBE" w:rsidRPr="00E1372C">
        <w:rPr>
          <w:lang w:val="fr-FR" w:bidi="en-US"/>
        </w:rPr>
        <w:t xml:space="preserve">applicable aux </w:t>
      </w:r>
      <w:r w:rsidR="00C430F5" w:rsidRPr="00E1372C">
        <w:rPr>
          <w:lang w:val="fr-FR" w:bidi="en-US"/>
        </w:rPr>
        <w:t xml:space="preserve">mariages </w:t>
      </w:r>
      <w:r w:rsidR="008C4EBE" w:rsidRPr="00E1372C">
        <w:rPr>
          <w:lang w:val="fr-FR" w:bidi="en-US"/>
        </w:rPr>
        <w:t xml:space="preserve">conclus </w:t>
      </w:r>
      <w:r w:rsidR="00C430F5" w:rsidRPr="00E1372C">
        <w:rPr>
          <w:lang w:val="fr-FR" w:bidi="en-US"/>
        </w:rPr>
        <w:t>sous le régime de la communauté de biens</w:t>
      </w:r>
      <w:r w:rsidR="008C4EBE" w:rsidRPr="00E1372C">
        <w:rPr>
          <w:lang w:val="fr-FR" w:bidi="en-US"/>
        </w:rPr>
        <w:t xml:space="preserve"> et </w:t>
      </w:r>
      <w:r w:rsidR="00765DA6" w:rsidRPr="00E1372C">
        <w:rPr>
          <w:lang w:val="fr-FR" w:bidi="en-US"/>
        </w:rPr>
        <w:t xml:space="preserve">établi </w:t>
      </w:r>
      <w:r w:rsidR="008C4EBE" w:rsidRPr="00E1372C">
        <w:rPr>
          <w:lang w:val="fr-FR" w:bidi="en-US"/>
        </w:rPr>
        <w:t xml:space="preserve">des dispositions </w:t>
      </w:r>
      <w:r w:rsidR="00765DA6" w:rsidRPr="00E1372C">
        <w:rPr>
          <w:lang w:val="fr-FR" w:bidi="en-US"/>
        </w:rPr>
        <w:t xml:space="preserve">concernant </w:t>
      </w:r>
      <w:r w:rsidR="008C4EBE" w:rsidRPr="00E1372C">
        <w:rPr>
          <w:lang w:val="fr-FR" w:bidi="en-US"/>
        </w:rPr>
        <w:t xml:space="preserve">le </w:t>
      </w:r>
      <w:r w:rsidR="00C430F5" w:rsidRPr="00E1372C">
        <w:rPr>
          <w:lang w:val="fr-FR" w:bidi="en-US"/>
        </w:rPr>
        <w:t xml:space="preserve">domicile </w:t>
      </w:r>
      <w:r w:rsidR="00765DA6" w:rsidRPr="00E1372C">
        <w:rPr>
          <w:lang w:val="fr-FR" w:bidi="en-US"/>
        </w:rPr>
        <w:t xml:space="preserve">des </w:t>
      </w:r>
      <w:r w:rsidR="00C430F5" w:rsidRPr="00E1372C">
        <w:rPr>
          <w:lang w:val="fr-FR" w:bidi="en-US"/>
        </w:rPr>
        <w:t>femme</w:t>
      </w:r>
      <w:r w:rsidR="009E074D" w:rsidRPr="00E1372C">
        <w:rPr>
          <w:lang w:val="fr-FR" w:bidi="en-US"/>
        </w:rPr>
        <w:t>s</w:t>
      </w:r>
      <w:r w:rsidR="00C430F5" w:rsidRPr="00E1372C">
        <w:rPr>
          <w:lang w:val="fr-FR" w:bidi="en-US"/>
        </w:rPr>
        <w:t xml:space="preserve"> mariée</w:t>
      </w:r>
      <w:r w:rsidR="008C4EBE" w:rsidRPr="00E1372C">
        <w:rPr>
          <w:lang w:val="fr-FR" w:bidi="en-US"/>
        </w:rPr>
        <w:t xml:space="preserve">s et le </w:t>
      </w:r>
      <w:r w:rsidR="00C430F5" w:rsidRPr="00E1372C">
        <w:rPr>
          <w:lang w:val="fr-FR" w:bidi="en-US"/>
        </w:rPr>
        <w:t xml:space="preserve">domicile et </w:t>
      </w:r>
      <w:r w:rsidR="008C4EBE" w:rsidRPr="00E1372C">
        <w:rPr>
          <w:lang w:val="fr-FR" w:bidi="en-US"/>
        </w:rPr>
        <w:t xml:space="preserve">la </w:t>
      </w:r>
      <w:r w:rsidR="00C430F5" w:rsidRPr="00E1372C">
        <w:rPr>
          <w:lang w:val="fr-FR" w:bidi="en-US"/>
        </w:rPr>
        <w:t>garde des enfants</w:t>
      </w:r>
      <w:r w:rsidR="00D94AF6" w:rsidRPr="00E1372C">
        <w:rPr>
          <w:lang w:val="fr-FR" w:bidi="en-US"/>
        </w:rPr>
        <w:t xml:space="preserve"> mineurs</w:t>
      </w:r>
      <w:r w:rsidR="00C430F5" w:rsidRPr="00E1372C">
        <w:rPr>
          <w:lang w:val="fr-FR" w:bidi="en-US"/>
        </w:rPr>
        <w:t xml:space="preserve">. La loi régit </w:t>
      </w:r>
      <w:r w:rsidR="00765DA6" w:rsidRPr="00E1372C">
        <w:rPr>
          <w:lang w:val="fr-FR" w:bidi="en-US"/>
        </w:rPr>
        <w:t xml:space="preserve">aussi </w:t>
      </w:r>
      <w:r w:rsidR="00C430F5" w:rsidRPr="00E1372C">
        <w:rPr>
          <w:lang w:val="fr-FR" w:bidi="en-US"/>
        </w:rPr>
        <w:t xml:space="preserve">la participation aux charges du ménage des époux mariés </w:t>
      </w:r>
      <w:r w:rsidR="00D94AF6" w:rsidRPr="00E1372C">
        <w:rPr>
          <w:lang w:val="fr-FR" w:bidi="en-US"/>
        </w:rPr>
        <w:t>en dehors du régime de la</w:t>
      </w:r>
      <w:r w:rsidR="00C430F5" w:rsidRPr="00E1372C">
        <w:rPr>
          <w:lang w:val="fr-FR" w:bidi="en-US"/>
        </w:rPr>
        <w:t xml:space="preserve"> communauté de biens.</w:t>
      </w:r>
    </w:p>
    <w:p w:rsidR="00C430F5" w:rsidRPr="00E1372C" w:rsidRDefault="007A1757" w:rsidP="007A1757">
      <w:pPr>
        <w:pStyle w:val="SingleTxtG"/>
        <w:rPr>
          <w:lang w:val="fr-FR" w:bidi="en-US"/>
        </w:rPr>
      </w:pPr>
      <w:r w:rsidRPr="00E1372C">
        <w:rPr>
          <w:lang w:val="fr-FR" w:bidi="en-US"/>
        </w:rPr>
        <w:t>26.</w:t>
      </w:r>
      <w:r w:rsidRPr="00E1372C">
        <w:rPr>
          <w:lang w:val="fr-FR" w:bidi="en-US"/>
        </w:rPr>
        <w:tab/>
      </w:r>
      <w:r w:rsidR="00765DA6" w:rsidRPr="00E1372C">
        <w:rPr>
          <w:lang w:val="fr-FR" w:bidi="en-US"/>
        </w:rPr>
        <w:t xml:space="preserve">Si la </w:t>
      </w:r>
      <w:r w:rsidR="00C430F5" w:rsidRPr="00E1372C">
        <w:rPr>
          <w:lang w:val="fr-FR" w:bidi="en-US"/>
        </w:rPr>
        <w:t xml:space="preserve">Namibie a </w:t>
      </w:r>
      <w:r w:rsidR="00765DA6" w:rsidRPr="00E1372C">
        <w:rPr>
          <w:lang w:val="fr-FR" w:bidi="en-US"/>
        </w:rPr>
        <w:t>beaucoup progressé s</w:t>
      </w:r>
      <w:r w:rsidR="00731F09" w:rsidRPr="00E1372C">
        <w:rPr>
          <w:lang w:val="fr-FR" w:bidi="en-US"/>
        </w:rPr>
        <w:t>’</w:t>
      </w:r>
      <w:r w:rsidR="00765DA6" w:rsidRPr="00E1372C">
        <w:rPr>
          <w:lang w:val="fr-FR" w:bidi="en-US"/>
        </w:rPr>
        <w:t>agissant de l</w:t>
      </w:r>
      <w:r w:rsidR="00731F09" w:rsidRPr="00E1372C">
        <w:rPr>
          <w:lang w:val="fr-FR" w:bidi="en-US"/>
        </w:rPr>
        <w:t>’</w:t>
      </w:r>
      <w:r w:rsidR="00765DA6" w:rsidRPr="00E1372C">
        <w:rPr>
          <w:lang w:val="fr-FR" w:bidi="en-US"/>
        </w:rPr>
        <w:t xml:space="preserve">amélioration des </w:t>
      </w:r>
      <w:r w:rsidR="00C430F5" w:rsidRPr="00E1372C">
        <w:rPr>
          <w:lang w:val="fr-FR" w:bidi="en-US"/>
        </w:rPr>
        <w:t xml:space="preserve">conditions de vie de </w:t>
      </w:r>
      <w:r w:rsidR="00765DA6" w:rsidRPr="00E1372C">
        <w:rPr>
          <w:lang w:val="fr-FR" w:bidi="en-US"/>
        </w:rPr>
        <w:t xml:space="preserve">la </w:t>
      </w:r>
      <w:r w:rsidR="00C430F5" w:rsidRPr="00E1372C">
        <w:rPr>
          <w:lang w:val="fr-FR" w:bidi="en-US"/>
        </w:rPr>
        <w:t>population rurale depuis l</w:t>
      </w:r>
      <w:r w:rsidR="00731F09" w:rsidRPr="00E1372C">
        <w:rPr>
          <w:lang w:val="fr-FR" w:bidi="en-US"/>
        </w:rPr>
        <w:t>’</w:t>
      </w:r>
      <w:r w:rsidR="00C430F5" w:rsidRPr="00E1372C">
        <w:rPr>
          <w:lang w:val="fr-FR" w:bidi="en-US"/>
        </w:rPr>
        <w:t>indépendance en 1990</w:t>
      </w:r>
      <w:r w:rsidR="00765DA6" w:rsidRPr="00E1372C">
        <w:rPr>
          <w:lang w:val="fr-FR" w:bidi="en-US"/>
        </w:rPr>
        <w:t>,</w:t>
      </w:r>
      <w:r w:rsidR="00C430F5" w:rsidRPr="00E1372C">
        <w:rPr>
          <w:lang w:val="fr-FR" w:bidi="en-US"/>
        </w:rPr>
        <w:t xml:space="preserve"> </w:t>
      </w:r>
      <w:r w:rsidR="00765DA6" w:rsidRPr="00E1372C">
        <w:rPr>
          <w:lang w:val="fr-FR" w:bidi="en-US"/>
        </w:rPr>
        <w:t xml:space="preserve">la situation de la plupart </w:t>
      </w:r>
      <w:r w:rsidR="00C430F5" w:rsidRPr="00E1372C">
        <w:rPr>
          <w:lang w:val="fr-FR" w:bidi="en-US"/>
        </w:rPr>
        <w:t xml:space="preserve">des femmes </w:t>
      </w:r>
      <w:r w:rsidR="00765DA6" w:rsidRPr="00E1372C">
        <w:rPr>
          <w:lang w:val="fr-FR" w:bidi="en-US"/>
        </w:rPr>
        <w:t>rurales reste un sujet de préoccupation</w:t>
      </w:r>
      <w:r w:rsidR="00C430F5" w:rsidRPr="00E1372C">
        <w:rPr>
          <w:lang w:val="fr-FR" w:bidi="en-US"/>
        </w:rPr>
        <w:t xml:space="preserve">. </w:t>
      </w:r>
      <w:r w:rsidR="00765DA6" w:rsidRPr="00E1372C">
        <w:rPr>
          <w:lang w:val="fr-FR" w:bidi="en-US"/>
        </w:rPr>
        <w:t>Les pouvoirs publics s</w:t>
      </w:r>
      <w:r w:rsidR="00731F09" w:rsidRPr="00E1372C">
        <w:rPr>
          <w:lang w:val="fr-FR" w:bidi="en-US"/>
        </w:rPr>
        <w:t>’</w:t>
      </w:r>
      <w:r w:rsidR="00765DA6" w:rsidRPr="00E1372C">
        <w:rPr>
          <w:lang w:val="fr-FR" w:bidi="en-US"/>
        </w:rPr>
        <w:t xml:space="preserve">en préoccupent en dépit des </w:t>
      </w:r>
      <w:r w:rsidR="00C430F5" w:rsidRPr="00E1372C">
        <w:rPr>
          <w:lang w:val="fr-FR" w:bidi="en-US"/>
        </w:rPr>
        <w:t xml:space="preserve">pressions exercées par les élites urbaines pour que </w:t>
      </w:r>
      <w:r w:rsidR="00765DA6" w:rsidRPr="00E1372C">
        <w:rPr>
          <w:lang w:val="fr-FR" w:bidi="en-US"/>
        </w:rPr>
        <w:t xml:space="preserve">la préférence soit plutôt accordée aux </w:t>
      </w:r>
      <w:r w:rsidR="00C430F5" w:rsidRPr="00E1372C">
        <w:rPr>
          <w:lang w:val="fr-FR" w:bidi="en-US"/>
        </w:rPr>
        <w:t>villes. La nécessité d</w:t>
      </w:r>
      <w:r w:rsidR="00731F09" w:rsidRPr="00E1372C">
        <w:rPr>
          <w:lang w:val="fr-FR" w:bidi="en-US"/>
        </w:rPr>
        <w:t>’</w:t>
      </w:r>
      <w:r w:rsidR="00C430F5" w:rsidRPr="00E1372C">
        <w:rPr>
          <w:lang w:val="fr-FR" w:bidi="en-US"/>
        </w:rPr>
        <w:t xml:space="preserve">un équilibre entre le développement rural et le développement urbain demeure une </w:t>
      </w:r>
      <w:r w:rsidR="0070569B" w:rsidRPr="00E1372C">
        <w:rPr>
          <w:lang w:val="fr-FR" w:bidi="en-US"/>
        </w:rPr>
        <w:t xml:space="preserve">préoccupation </w:t>
      </w:r>
      <w:r w:rsidR="00C430F5" w:rsidRPr="00E1372C">
        <w:rPr>
          <w:lang w:val="fr-FR" w:bidi="en-US"/>
        </w:rPr>
        <w:t>constante, qu</w:t>
      </w:r>
      <w:r w:rsidR="00731F09" w:rsidRPr="00E1372C">
        <w:rPr>
          <w:lang w:val="fr-FR" w:bidi="en-US"/>
        </w:rPr>
        <w:t>’</w:t>
      </w:r>
      <w:r w:rsidR="00C430F5" w:rsidRPr="00E1372C">
        <w:rPr>
          <w:lang w:val="fr-FR" w:bidi="en-US"/>
        </w:rPr>
        <w:t>il s</w:t>
      </w:r>
      <w:r w:rsidR="00731F09" w:rsidRPr="00E1372C">
        <w:rPr>
          <w:lang w:val="fr-FR" w:bidi="en-US"/>
        </w:rPr>
        <w:t>’</w:t>
      </w:r>
      <w:r w:rsidR="00C430F5" w:rsidRPr="00E1372C">
        <w:rPr>
          <w:lang w:val="fr-FR" w:bidi="en-US"/>
        </w:rPr>
        <w:t>agisse de violence familiale ou de questions d</w:t>
      </w:r>
      <w:r w:rsidR="00731F09" w:rsidRPr="00E1372C">
        <w:rPr>
          <w:lang w:val="fr-FR" w:bidi="en-US"/>
        </w:rPr>
        <w:t>’</w:t>
      </w:r>
      <w:r w:rsidR="00C430F5" w:rsidRPr="00E1372C">
        <w:rPr>
          <w:lang w:val="fr-FR" w:bidi="en-US"/>
        </w:rPr>
        <w:t>héritage et de succession.</w:t>
      </w:r>
    </w:p>
    <w:p w:rsidR="00C430F5" w:rsidRPr="00E1372C" w:rsidRDefault="007A1757" w:rsidP="007A1757">
      <w:pPr>
        <w:pStyle w:val="SingleTxtG"/>
        <w:rPr>
          <w:lang w:val="fr-FR" w:bidi="en-US"/>
        </w:rPr>
      </w:pPr>
      <w:r w:rsidRPr="00E1372C">
        <w:rPr>
          <w:lang w:val="fr-FR" w:bidi="en-US"/>
        </w:rPr>
        <w:t>27.</w:t>
      </w:r>
      <w:r w:rsidRPr="00E1372C">
        <w:rPr>
          <w:lang w:val="fr-FR" w:bidi="en-US"/>
        </w:rPr>
        <w:tab/>
      </w:r>
      <w:r w:rsidR="00765DA6" w:rsidRPr="00E1372C">
        <w:rPr>
          <w:lang w:val="fr-FR" w:bidi="en-US"/>
        </w:rPr>
        <w:t xml:space="preserve">Conformément à </w:t>
      </w:r>
      <w:r w:rsidR="00C430F5" w:rsidRPr="00E1372C">
        <w:rPr>
          <w:lang w:val="fr-FR" w:bidi="en-US"/>
        </w:rPr>
        <w:t>la loi n</w:t>
      </w:r>
      <w:r w:rsidR="00B277C4" w:rsidRPr="00E1372C">
        <w:rPr>
          <w:vertAlign w:val="superscript"/>
          <w:lang w:val="fr-FR" w:bidi="en-US"/>
        </w:rPr>
        <w:t>o</w:t>
      </w:r>
      <w:r w:rsidR="00C430F5" w:rsidRPr="00E1372C">
        <w:rPr>
          <w:lang w:val="fr-FR" w:bidi="en-US"/>
        </w:rPr>
        <w:t> </w:t>
      </w:r>
      <w:r w:rsidR="00A55A0E" w:rsidRPr="00E1372C">
        <w:rPr>
          <w:lang w:val="fr-FR" w:bidi="en-US"/>
        </w:rPr>
        <w:t xml:space="preserve">3 </w:t>
      </w:r>
      <w:r w:rsidR="00C430F5" w:rsidRPr="00E1372C">
        <w:rPr>
          <w:lang w:val="fr-FR" w:bidi="en-US"/>
        </w:rPr>
        <w:t>de</w:t>
      </w:r>
      <w:r w:rsidR="00A55A0E" w:rsidRPr="00E1372C">
        <w:rPr>
          <w:lang w:val="fr-FR" w:bidi="en-US"/>
        </w:rPr>
        <w:t xml:space="preserve"> 2003</w:t>
      </w:r>
      <w:r w:rsidR="00C430F5" w:rsidRPr="00E1372C">
        <w:rPr>
          <w:lang w:val="fr-FR" w:bidi="en-US"/>
        </w:rPr>
        <w:t xml:space="preserve"> relative à la lutte contre la violence familiale</w:t>
      </w:r>
      <w:r w:rsidR="00765DA6" w:rsidRPr="00E1372C">
        <w:rPr>
          <w:lang w:val="fr-FR" w:bidi="en-US"/>
        </w:rPr>
        <w:t xml:space="preserve">, il a été nécessaire </w:t>
      </w:r>
      <w:r w:rsidR="00C430F5" w:rsidRPr="00E1372C">
        <w:rPr>
          <w:lang w:val="fr-FR" w:bidi="en-US"/>
        </w:rPr>
        <w:t xml:space="preserve">de former </w:t>
      </w:r>
      <w:r w:rsidR="00765DA6" w:rsidRPr="00E1372C">
        <w:rPr>
          <w:lang w:val="fr-FR" w:bidi="en-US"/>
        </w:rPr>
        <w:t xml:space="preserve">les membres de la police dans le domaine des </w:t>
      </w:r>
      <w:r w:rsidR="00C430F5" w:rsidRPr="00E1372C">
        <w:rPr>
          <w:lang w:val="fr-FR" w:bidi="en-US"/>
        </w:rPr>
        <w:t>droits de l</w:t>
      </w:r>
      <w:r w:rsidR="00731F09" w:rsidRPr="00E1372C">
        <w:rPr>
          <w:lang w:val="fr-FR" w:bidi="en-US"/>
        </w:rPr>
        <w:t>’</w:t>
      </w:r>
      <w:r w:rsidR="00C430F5" w:rsidRPr="00E1372C">
        <w:rPr>
          <w:lang w:val="fr-FR" w:bidi="en-US"/>
        </w:rPr>
        <w:t xml:space="preserve">homme </w:t>
      </w:r>
      <w:r w:rsidR="00765DA6" w:rsidRPr="00E1372C">
        <w:rPr>
          <w:lang w:val="fr-FR" w:bidi="en-US"/>
        </w:rPr>
        <w:t xml:space="preserve">sur la question de la </w:t>
      </w:r>
      <w:r w:rsidR="00C430F5" w:rsidRPr="00E1372C">
        <w:rPr>
          <w:lang w:val="fr-FR" w:bidi="en-US"/>
        </w:rPr>
        <w:t>violence à l</w:t>
      </w:r>
      <w:r w:rsidR="00731F09" w:rsidRPr="00E1372C">
        <w:rPr>
          <w:lang w:val="fr-FR" w:bidi="en-US"/>
        </w:rPr>
        <w:t>’</w:t>
      </w:r>
      <w:r w:rsidR="00C430F5" w:rsidRPr="00E1372C">
        <w:rPr>
          <w:lang w:val="fr-FR" w:bidi="en-US"/>
        </w:rPr>
        <w:t xml:space="preserve">égard des femmes </w:t>
      </w:r>
      <w:r w:rsidR="007573A8" w:rsidRPr="00E1372C">
        <w:rPr>
          <w:lang w:val="fr-FR" w:bidi="en-US"/>
        </w:rPr>
        <w:t>afin qu</w:t>
      </w:r>
      <w:r w:rsidR="00731F09" w:rsidRPr="00E1372C">
        <w:rPr>
          <w:lang w:val="fr-FR" w:bidi="en-US"/>
        </w:rPr>
        <w:t>’</w:t>
      </w:r>
      <w:r w:rsidR="007573A8" w:rsidRPr="00E1372C">
        <w:rPr>
          <w:lang w:val="fr-FR" w:bidi="en-US"/>
        </w:rPr>
        <w:t xml:space="preserve">ils soient en mesure </w:t>
      </w:r>
      <w:r w:rsidR="00031077" w:rsidRPr="00E1372C">
        <w:rPr>
          <w:lang w:val="fr-FR" w:bidi="en-US"/>
        </w:rPr>
        <w:t>d</w:t>
      </w:r>
      <w:r w:rsidR="00731F09" w:rsidRPr="00E1372C">
        <w:rPr>
          <w:lang w:val="fr-FR" w:bidi="en-US"/>
        </w:rPr>
        <w:t>’</w:t>
      </w:r>
      <w:r w:rsidR="00031077" w:rsidRPr="00E1372C">
        <w:rPr>
          <w:lang w:val="fr-FR" w:bidi="en-US"/>
        </w:rPr>
        <w:t xml:space="preserve">adapter </w:t>
      </w:r>
      <w:r w:rsidR="007573A8" w:rsidRPr="00E1372C">
        <w:rPr>
          <w:lang w:val="fr-FR" w:bidi="en-US"/>
        </w:rPr>
        <w:t>et d</w:t>
      </w:r>
      <w:r w:rsidR="00731F09" w:rsidRPr="00E1372C">
        <w:rPr>
          <w:lang w:val="fr-FR" w:bidi="en-US"/>
        </w:rPr>
        <w:t>’</w:t>
      </w:r>
      <w:r w:rsidR="00C430F5" w:rsidRPr="00E1372C">
        <w:rPr>
          <w:lang w:val="fr-FR" w:bidi="en-US"/>
        </w:rPr>
        <w:t xml:space="preserve">appliquer </w:t>
      </w:r>
      <w:r w:rsidR="007573A8" w:rsidRPr="00E1372C">
        <w:rPr>
          <w:lang w:val="fr-FR" w:bidi="en-US"/>
        </w:rPr>
        <w:t xml:space="preserve">la </w:t>
      </w:r>
      <w:r w:rsidR="00C430F5" w:rsidRPr="00E1372C">
        <w:rPr>
          <w:lang w:val="fr-FR" w:bidi="en-US"/>
        </w:rPr>
        <w:t xml:space="preserve">loi </w:t>
      </w:r>
      <w:r w:rsidR="007573A8" w:rsidRPr="00E1372C">
        <w:rPr>
          <w:lang w:val="fr-FR" w:bidi="en-US"/>
        </w:rPr>
        <w:t xml:space="preserve">dans le contexte </w:t>
      </w:r>
      <w:r w:rsidR="00C430F5" w:rsidRPr="00E1372C">
        <w:rPr>
          <w:lang w:val="fr-FR" w:bidi="en-US"/>
        </w:rPr>
        <w:t xml:space="preserve">rural. Ces </w:t>
      </w:r>
      <w:r w:rsidR="00031077" w:rsidRPr="00E1372C">
        <w:rPr>
          <w:lang w:val="fr-FR" w:bidi="en-US"/>
        </w:rPr>
        <w:t xml:space="preserve">problèmes ont été abordés </w:t>
      </w:r>
      <w:r w:rsidR="00C430F5" w:rsidRPr="00E1372C">
        <w:rPr>
          <w:lang w:val="fr-FR" w:bidi="en-US"/>
        </w:rPr>
        <w:t xml:space="preserve">au sein de la police et des programmes de formation ont été </w:t>
      </w:r>
      <w:r w:rsidR="0058181A" w:rsidRPr="00E1372C">
        <w:rPr>
          <w:lang w:val="fr-FR" w:bidi="en-US"/>
        </w:rPr>
        <w:t xml:space="preserve">menés </w:t>
      </w:r>
      <w:r w:rsidR="00C430F5" w:rsidRPr="00E1372C">
        <w:rPr>
          <w:lang w:val="fr-FR" w:bidi="en-US"/>
        </w:rPr>
        <w:t xml:space="preserve">dans tout le pays </w:t>
      </w:r>
      <w:r w:rsidR="00031077" w:rsidRPr="00E1372C">
        <w:rPr>
          <w:lang w:val="fr-FR" w:bidi="en-US"/>
        </w:rPr>
        <w:t xml:space="preserve">à partir </w:t>
      </w:r>
      <w:r w:rsidR="0058181A" w:rsidRPr="00E1372C">
        <w:rPr>
          <w:lang w:val="fr-FR" w:bidi="en-US"/>
        </w:rPr>
        <w:t xml:space="preserve">de </w:t>
      </w:r>
      <w:r w:rsidR="00C430F5" w:rsidRPr="00E1372C">
        <w:rPr>
          <w:lang w:val="fr-FR" w:bidi="en-US"/>
        </w:rPr>
        <w:t>fin 1998 jusqu</w:t>
      </w:r>
      <w:r w:rsidR="00731F09" w:rsidRPr="00E1372C">
        <w:rPr>
          <w:lang w:val="fr-FR" w:bidi="en-US"/>
        </w:rPr>
        <w:t>’</w:t>
      </w:r>
      <w:r w:rsidR="00C430F5" w:rsidRPr="00E1372C">
        <w:rPr>
          <w:lang w:val="fr-FR" w:bidi="en-US"/>
        </w:rPr>
        <w:t>à fin décembre 2000.</w:t>
      </w:r>
    </w:p>
    <w:p w:rsidR="00C430F5" w:rsidRPr="00E1372C" w:rsidRDefault="007A1757" w:rsidP="007A1757">
      <w:pPr>
        <w:pStyle w:val="SingleTxtG"/>
        <w:rPr>
          <w:lang w:val="fr-FR" w:bidi="en-US"/>
        </w:rPr>
      </w:pPr>
      <w:r w:rsidRPr="00E1372C">
        <w:rPr>
          <w:lang w:val="fr-FR" w:bidi="en-US"/>
        </w:rPr>
        <w:t>28.</w:t>
      </w:r>
      <w:r w:rsidRPr="00E1372C">
        <w:rPr>
          <w:lang w:val="fr-FR" w:bidi="en-US"/>
        </w:rPr>
        <w:tab/>
      </w:r>
      <w:r w:rsidR="00C430F5" w:rsidRPr="00E1372C">
        <w:rPr>
          <w:lang w:val="fr-FR" w:bidi="en-US"/>
        </w:rPr>
        <w:t xml:space="preserve">En ce qui concerne </w:t>
      </w:r>
      <w:r w:rsidR="00345B9F" w:rsidRPr="00E1372C">
        <w:rPr>
          <w:lang w:val="fr-FR" w:bidi="en-US"/>
        </w:rPr>
        <w:t>le problème des successions</w:t>
      </w:r>
      <w:r w:rsidR="00C430F5" w:rsidRPr="00E1372C">
        <w:rPr>
          <w:lang w:val="fr-FR" w:bidi="en-US"/>
        </w:rPr>
        <w:t>, l</w:t>
      </w:r>
      <w:r w:rsidR="00731F09" w:rsidRPr="00E1372C">
        <w:rPr>
          <w:lang w:val="fr-FR" w:bidi="en-US"/>
        </w:rPr>
        <w:t>’</w:t>
      </w:r>
      <w:r w:rsidR="00C430F5" w:rsidRPr="00E1372C">
        <w:rPr>
          <w:lang w:val="fr-FR" w:bidi="en-US"/>
        </w:rPr>
        <w:t>article 18 de la Proclamation</w:t>
      </w:r>
      <w:r w:rsidR="00B30AA2" w:rsidRPr="00E1372C">
        <w:rPr>
          <w:lang w:val="fr-FR" w:bidi="en-US"/>
        </w:rPr>
        <w:t xml:space="preserve"> </w:t>
      </w:r>
      <w:r w:rsidR="00A836A6" w:rsidRPr="00E1372C">
        <w:rPr>
          <w:lang w:val="fr-FR" w:bidi="en-US"/>
        </w:rPr>
        <w:t>n</w:t>
      </w:r>
      <w:r w:rsidR="00B277C4" w:rsidRPr="00E1372C">
        <w:rPr>
          <w:vertAlign w:val="superscript"/>
          <w:lang w:val="fr-FR" w:bidi="en-US"/>
        </w:rPr>
        <w:t>o</w:t>
      </w:r>
      <w:r w:rsidR="00A836A6" w:rsidRPr="00E1372C">
        <w:rPr>
          <w:lang w:val="fr-FR" w:bidi="en-US"/>
        </w:rPr>
        <w:t> </w:t>
      </w:r>
      <w:r w:rsidR="00C430F5" w:rsidRPr="00E1372C">
        <w:rPr>
          <w:lang w:val="fr-FR" w:bidi="en-US"/>
        </w:rPr>
        <w:t>15 de 1928</w:t>
      </w:r>
      <w:r w:rsidR="00A836A6" w:rsidRPr="00E1372C">
        <w:rPr>
          <w:lang w:val="fr-FR" w:bidi="en-US"/>
        </w:rPr>
        <w:t xml:space="preserve">, qui prévoit des règles de </w:t>
      </w:r>
      <w:r w:rsidR="00902846" w:rsidRPr="00E1372C">
        <w:rPr>
          <w:lang w:val="fr-FR" w:bidi="en-US"/>
        </w:rPr>
        <w:t xml:space="preserve">succession </w:t>
      </w:r>
      <w:r w:rsidR="00A836A6" w:rsidRPr="00E1372C">
        <w:rPr>
          <w:lang w:val="fr-FR" w:bidi="en-US"/>
        </w:rPr>
        <w:t xml:space="preserve">spécifiques pour les personnes noires </w:t>
      </w:r>
      <w:r w:rsidR="00902846" w:rsidRPr="00E1372C">
        <w:rPr>
          <w:lang w:val="fr-FR" w:bidi="en-US"/>
        </w:rPr>
        <w:t>décédé</w:t>
      </w:r>
      <w:r w:rsidR="00A836A6" w:rsidRPr="00E1372C">
        <w:rPr>
          <w:lang w:val="fr-FR" w:bidi="en-US"/>
        </w:rPr>
        <w:t>e</w:t>
      </w:r>
      <w:r w:rsidR="00902846" w:rsidRPr="00E1372C">
        <w:rPr>
          <w:lang w:val="fr-FR" w:bidi="en-US"/>
        </w:rPr>
        <w:t xml:space="preserve">s intestat, </w:t>
      </w:r>
      <w:r w:rsidR="00A836A6" w:rsidRPr="00E1372C">
        <w:rPr>
          <w:lang w:val="fr-FR" w:bidi="en-US"/>
        </w:rPr>
        <w:t xml:space="preserve">est toujours en vigueur, ce qui a </w:t>
      </w:r>
      <w:r w:rsidR="0058181A" w:rsidRPr="00E1372C">
        <w:rPr>
          <w:lang w:val="fr-FR" w:bidi="en-US"/>
        </w:rPr>
        <w:t>un effet</w:t>
      </w:r>
      <w:r w:rsidR="00A836A6" w:rsidRPr="00E1372C">
        <w:rPr>
          <w:lang w:val="fr-FR" w:bidi="en-US"/>
        </w:rPr>
        <w:t xml:space="preserve"> important sur </w:t>
      </w:r>
      <w:r w:rsidR="00902846" w:rsidRPr="00E1372C">
        <w:rPr>
          <w:lang w:val="fr-FR" w:bidi="en-US"/>
        </w:rPr>
        <w:t xml:space="preserve">les </w:t>
      </w:r>
      <w:r w:rsidR="00A836A6" w:rsidRPr="00E1372C">
        <w:rPr>
          <w:lang w:val="fr-FR" w:bidi="en-US"/>
        </w:rPr>
        <w:t xml:space="preserve">droits </w:t>
      </w:r>
      <w:r w:rsidR="0058181A" w:rsidRPr="00E1372C">
        <w:rPr>
          <w:lang w:val="fr-FR" w:bidi="en-US"/>
        </w:rPr>
        <w:t>d</w:t>
      </w:r>
      <w:r w:rsidR="00731F09" w:rsidRPr="00E1372C">
        <w:rPr>
          <w:lang w:val="fr-FR" w:bidi="en-US"/>
        </w:rPr>
        <w:t>’</w:t>
      </w:r>
      <w:r w:rsidR="0058181A" w:rsidRPr="00E1372C">
        <w:rPr>
          <w:lang w:val="fr-FR" w:bidi="en-US"/>
        </w:rPr>
        <w:t xml:space="preserve">héritage des femmes et des enfants </w:t>
      </w:r>
      <w:r w:rsidR="00902846" w:rsidRPr="00E1372C">
        <w:rPr>
          <w:lang w:val="fr-FR" w:bidi="en-US"/>
        </w:rPr>
        <w:t>et</w:t>
      </w:r>
      <w:r w:rsidR="0058181A" w:rsidRPr="00E1372C">
        <w:rPr>
          <w:lang w:val="fr-FR" w:bidi="en-US"/>
        </w:rPr>
        <w:t xml:space="preserve"> donc leur </w:t>
      </w:r>
      <w:r w:rsidR="00902846" w:rsidRPr="00E1372C">
        <w:rPr>
          <w:lang w:val="fr-FR" w:bidi="en-US"/>
        </w:rPr>
        <w:t>condition matérielle, en particulier dans le nord du pays</w:t>
      </w:r>
      <w:r w:rsidR="0058181A" w:rsidRPr="00E1372C">
        <w:rPr>
          <w:lang w:val="fr-FR" w:bidi="en-US"/>
        </w:rPr>
        <w:t>.</w:t>
      </w:r>
      <w:r w:rsidR="00902846" w:rsidRPr="00E1372C">
        <w:rPr>
          <w:lang w:val="fr-FR" w:bidi="en-US"/>
        </w:rPr>
        <w:t xml:space="preserve"> </w:t>
      </w:r>
      <w:r w:rsidR="0058181A" w:rsidRPr="00E1372C">
        <w:rPr>
          <w:lang w:val="fr-FR" w:bidi="en-US"/>
        </w:rPr>
        <w:t xml:space="preserve">Cela se traduit par </w:t>
      </w:r>
      <w:r w:rsidR="00AE017E" w:rsidRPr="00E1372C">
        <w:rPr>
          <w:lang w:val="fr-FR" w:bidi="en-US"/>
        </w:rPr>
        <w:t>«</w:t>
      </w:r>
      <w:r w:rsidR="0058181A" w:rsidRPr="00E1372C">
        <w:rPr>
          <w:lang w:val="fr-FR" w:bidi="en-US"/>
        </w:rPr>
        <w:t>l</w:t>
      </w:r>
      <w:r w:rsidR="00731F09" w:rsidRPr="00E1372C">
        <w:rPr>
          <w:lang w:val="fr-FR" w:bidi="en-US"/>
        </w:rPr>
        <w:t>’</w:t>
      </w:r>
      <w:r w:rsidR="0058181A" w:rsidRPr="00E1372C">
        <w:rPr>
          <w:lang w:val="fr-FR" w:bidi="en-US"/>
        </w:rPr>
        <w:t>accaparement</w:t>
      </w:r>
      <w:r w:rsidR="00AE017E" w:rsidRPr="00E1372C">
        <w:rPr>
          <w:lang w:val="fr-FR" w:bidi="en-US"/>
        </w:rPr>
        <w:t>»</w:t>
      </w:r>
      <w:r w:rsidR="00902846" w:rsidRPr="00E1372C">
        <w:rPr>
          <w:lang w:val="fr-FR" w:bidi="en-US"/>
        </w:rPr>
        <w:t xml:space="preserve"> des biens du défunt par </w:t>
      </w:r>
      <w:r w:rsidR="0058181A" w:rsidRPr="00E1372C">
        <w:rPr>
          <w:lang w:val="fr-FR" w:bidi="en-US"/>
        </w:rPr>
        <w:t xml:space="preserve">les </w:t>
      </w:r>
      <w:r w:rsidR="00902846" w:rsidRPr="00E1372C">
        <w:rPr>
          <w:lang w:val="fr-FR" w:bidi="en-US"/>
        </w:rPr>
        <w:t>proches</w:t>
      </w:r>
      <w:r w:rsidR="004402D0" w:rsidRPr="00E1372C">
        <w:rPr>
          <w:lang w:val="fr-FR" w:bidi="en-US"/>
        </w:rPr>
        <w:t xml:space="preserve">, </w:t>
      </w:r>
      <w:r w:rsidR="0058181A" w:rsidRPr="00E1372C">
        <w:rPr>
          <w:lang w:val="fr-FR" w:bidi="en-US"/>
        </w:rPr>
        <w:t xml:space="preserve">qui laisse souvent la </w:t>
      </w:r>
      <w:r w:rsidR="00902846" w:rsidRPr="00E1372C">
        <w:rPr>
          <w:lang w:val="fr-FR" w:bidi="en-US"/>
        </w:rPr>
        <w:t xml:space="preserve">veuve et </w:t>
      </w:r>
      <w:r w:rsidR="0058181A" w:rsidRPr="00E1372C">
        <w:rPr>
          <w:lang w:val="fr-FR" w:bidi="en-US"/>
        </w:rPr>
        <w:t xml:space="preserve">les </w:t>
      </w:r>
      <w:r w:rsidR="00902846" w:rsidRPr="00E1372C">
        <w:rPr>
          <w:lang w:val="fr-FR" w:bidi="en-US"/>
        </w:rPr>
        <w:t>enfants</w:t>
      </w:r>
      <w:r w:rsidR="0058181A" w:rsidRPr="00E1372C">
        <w:rPr>
          <w:lang w:val="fr-FR" w:bidi="en-US"/>
        </w:rPr>
        <w:t xml:space="preserve"> dans le dénuement</w:t>
      </w:r>
      <w:r w:rsidR="00902846" w:rsidRPr="00E1372C">
        <w:rPr>
          <w:lang w:val="fr-FR" w:bidi="en-US"/>
        </w:rPr>
        <w:t>. Ce problème touche en particulier la population rurale.</w:t>
      </w:r>
    </w:p>
    <w:p w:rsidR="004774F7" w:rsidRPr="00E1372C" w:rsidRDefault="007A1757" w:rsidP="007A1757">
      <w:pPr>
        <w:pStyle w:val="SingleTxtG"/>
        <w:rPr>
          <w:lang w:val="fr-FR" w:bidi="en-US"/>
        </w:rPr>
      </w:pPr>
      <w:r w:rsidRPr="00E1372C">
        <w:rPr>
          <w:lang w:val="fr-FR" w:bidi="en-US"/>
        </w:rPr>
        <w:t>29.</w:t>
      </w:r>
      <w:r w:rsidRPr="00E1372C">
        <w:rPr>
          <w:lang w:val="fr-FR" w:bidi="en-US"/>
        </w:rPr>
        <w:tab/>
      </w:r>
      <w:r w:rsidR="00902846" w:rsidRPr="00E1372C">
        <w:rPr>
          <w:lang w:val="fr-FR" w:bidi="en-US"/>
        </w:rPr>
        <w:t xml:space="preserve">Le projet de loi sur les successions </w:t>
      </w:r>
      <w:r w:rsidR="00031077" w:rsidRPr="00E1372C">
        <w:rPr>
          <w:lang w:val="fr-FR" w:bidi="en-US"/>
        </w:rPr>
        <w:t xml:space="preserve">auquel travaille </w:t>
      </w:r>
      <w:r w:rsidR="00902846" w:rsidRPr="00E1372C">
        <w:rPr>
          <w:lang w:val="fr-FR" w:bidi="en-US"/>
        </w:rPr>
        <w:t>le Ministère de la justice</w:t>
      </w:r>
      <w:r w:rsidR="00031077" w:rsidRPr="00E1372C">
        <w:rPr>
          <w:lang w:val="fr-FR" w:bidi="en-US"/>
        </w:rPr>
        <w:t xml:space="preserve"> en est </w:t>
      </w:r>
      <w:r w:rsidR="00902846" w:rsidRPr="00E1372C">
        <w:rPr>
          <w:lang w:val="fr-FR" w:bidi="en-US"/>
        </w:rPr>
        <w:t>à un stade avancé</w:t>
      </w:r>
      <w:r w:rsidR="00031077" w:rsidRPr="00E1372C">
        <w:rPr>
          <w:lang w:val="fr-FR" w:bidi="en-US"/>
        </w:rPr>
        <w:t xml:space="preserve">; il prévoit une seule loi pour tout le pays </w:t>
      </w:r>
      <w:r w:rsidR="00902846" w:rsidRPr="00E1372C">
        <w:rPr>
          <w:lang w:val="fr-FR" w:bidi="en-US"/>
        </w:rPr>
        <w:t xml:space="preserve">indépendamment de la race ou du sexe, </w:t>
      </w:r>
      <w:r w:rsidR="00031077" w:rsidRPr="00E1372C">
        <w:rPr>
          <w:lang w:val="fr-FR" w:bidi="en-US"/>
        </w:rPr>
        <w:t xml:space="preserve">de sorte que </w:t>
      </w:r>
      <w:r w:rsidR="00902846" w:rsidRPr="00E1372C">
        <w:rPr>
          <w:lang w:val="fr-FR" w:bidi="en-US"/>
        </w:rPr>
        <w:t xml:space="preserve">les pratiques coutumières </w:t>
      </w:r>
      <w:r w:rsidR="00031077" w:rsidRPr="00E1372C">
        <w:rPr>
          <w:lang w:val="fr-FR" w:bidi="en-US"/>
        </w:rPr>
        <w:t xml:space="preserve">soient maintenues, </w:t>
      </w:r>
      <w:r w:rsidR="00902846" w:rsidRPr="00E1372C">
        <w:rPr>
          <w:lang w:val="fr-FR" w:bidi="en-US"/>
        </w:rPr>
        <w:t xml:space="preserve">tout en </w:t>
      </w:r>
      <w:r w:rsidR="00D52989" w:rsidRPr="00E1372C">
        <w:rPr>
          <w:lang w:val="fr-FR" w:bidi="en-US"/>
        </w:rPr>
        <w:t>favorisant l</w:t>
      </w:r>
      <w:r w:rsidR="00731F09" w:rsidRPr="00E1372C">
        <w:rPr>
          <w:lang w:val="fr-FR" w:bidi="en-US"/>
        </w:rPr>
        <w:t>’</w:t>
      </w:r>
      <w:r w:rsidR="00D52989" w:rsidRPr="00E1372C">
        <w:rPr>
          <w:lang w:val="fr-FR" w:bidi="en-US"/>
        </w:rPr>
        <w:t xml:space="preserve">établissement </w:t>
      </w:r>
      <w:r w:rsidR="00902846" w:rsidRPr="00E1372C">
        <w:rPr>
          <w:lang w:val="fr-FR" w:bidi="en-US"/>
        </w:rPr>
        <w:t xml:space="preserve">de testaments </w:t>
      </w:r>
      <w:r w:rsidR="00D52989" w:rsidRPr="00E1372C">
        <w:rPr>
          <w:lang w:val="fr-FR" w:bidi="en-US"/>
        </w:rPr>
        <w:t xml:space="preserve">en tant que </w:t>
      </w:r>
      <w:r w:rsidR="00902846" w:rsidRPr="00E1372C">
        <w:rPr>
          <w:lang w:val="fr-FR" w:bidi="en-US"/>
        </w:rPr>
        <w:t xml:space="preserve">moyen sûr </w:t>
      </w:r>
      <w:r w:rsidR="00D94AF6" w:rsidRPr="00E1372C">
        <w:rPr>
          <w:lang w:val="fr-FR" w:bidi="en-US"/>
        </w:rPr>
        <w:t xml:space="preserve">de transmission </w:t>
      </w:r>
      <w:r w:rsidR="00D52989" w:rsidRPr="00E1372C">
        <w:rPr>
          <w:lang w:val="fr-FR" w:bidi="en-US"/>
        </w:rPr>
        <w:t xml:space="preserve">du </w:t>
      </w:r>
      <w:r w:rsidR="00902846" w:rsidRPr="00E1372C">
        <w:rPr>
          <w:lang w:val="fr-FR" w:bidi="en-US"/>
        </w:rPr>
        <w:t xml:space="preserve">patrimoine entre </w:t>
      </w:r>
      <w:r w:rsidR="00D52989" w:rsidRPr="00E1372C">
        <w:rPr>
          <w:lang w:val="fr-FR" w:bidi="en-US"/>
        </w:rPr>
        <w:t xml:space="preserve">les </w:t>
      </w:r>
      <w:r w:rsidR="00902846" w:rsidRPr="00E1372C">
        <w:rPr>
          <w:lang w:val="fr-FR" w:bidi="en-US"/>
        </w:rPr>
        <w:t xml:space="preserve">générations. </w:t>
      </w:r>
      <w:r w:rsidR="00D52989" w:rsidRPr="00E1372C">
        <w:rPr>
          <w:lang w:val="fr-FR" w:bidi="en-US"/>
        </w:rPr>
        <w:t xml:space="preserve">En </w:t>
      </w:r>
      <w:r w:rsidR="00902846" w:rsidRPr="00E1372C">
        <w:rPr>
          <w:lang w:val="fr-FR" w:bidi="en-US"/>
        </w:rPr>
        <w:t xml:space="preserve">tant que groupe, </w:t>
      </w:r>
      <w:r w:rsidR="00D52989" w:rsidRPr="00E1372C">
        <w:rPr>
          <w:lang w:val="fr-FR" w:bidi="en-US"/>
        </w:rPr>
        <w:t xml:space="preserve">les femmes rurales constituent une partie </w:t>
      </w:r>
      <w:r w:rsidR="00902846" w:rsidRPr="00E1372C">
        <w:rPr>
          <w:lang w:val="fr-FR" w:bidi="en-US"/>
        </w:rPr>
        <w:t xml:space="preserve">marginalisée importante de la population. La politique </w:t>
      </w:r>
      <w:r w:rsidR="00D52989" w:rsidRPr="00E1372C">
        <w:rPr>
          <w:lang w:val="fr-FR" w:bidi="en-US"/>
        </w:rPr>
        <w:t xml:space="preserve">du Gouvernement est de garantir </w:t>
      </w:r>
      <w:r w:rsidR="00902846" w:rsidRPr="00E1372C">
        <w:rPr>
          <w:lang w:val="fr-FR" w:bidi="en-US"/>
        </w:rPr>
        <w:t xml:space="preserve">une représentation </w:t>
      </w:r>
      <w:r w:rsidR="00D52989" w:rsidRPr="00E1372C">
        <w:rPr>
          <w:lang w:val="fr-FR" w:bidi="en-US"/>
        </w:rPr>
        <w:t xml:space="preserve">égale </w:t>
      </w:r>
      <w:r w:rsidR="00902846" w:rsidRPr="00E1372C">
        <w:rPr>
          <w:lang w:val="fr-FR" w:bidi="en-US"/>
        </w:rPr>
        <w:t xml:space="preserve">des femmes à tous les postes, dans la mesure du possible. Cette </w:t>
      </w:r>
      <w:r w:rsidR="00D52989" w:rsidRPr="00E1372C">
        <w:rPr>
          <w:lang w:val="fr-FR" w:bidi="en-US"/>
        </w:rPr>
        <w:t xml:space="preserve">politique avisée inspirée de la Constitution </w:t>
      </w:r>
      <w:r w:rsidR="00902846" w:rsidRPr="00E1372C">
        <w:rPr>
          <w:lang w:val="fr-FR" w:bidi="en-US"/>
        </w:rPr>
        <w:t xml:space="preserve">devrait finir par porter ses fruits en garantissant une démocratie renforcée et un développement équilibré. La situation dans les </w:t>
      </w:r>
      <w:r w:rsidR="00D52989" w:rsidRPr="00E1372C">
        <w:rPr>
          <w:lang w:val="fr-FR" w:bidi="en-US"/>
        </w:rPr>
        <w:t xml:space="preserve">exploitations agricoles </w:t>
      </w:r>
      <w:r w:rsidR="00902846" w:rsidRPr="00E1372C">
        <w:rPr>
          <w:lang w:val="fr-FR" w:bidi="en-US"/>
        </w:rPr>
        <w:t xml:space="preserve">et </w:t>
      </w:r>
      <w:r w:rsidR="00D52989" w:rsidRPr="00E1372C">
        <w:rPr>
          <w:lang w:val="fr-FR" w:bidi="en-US"/>
        </w:rPr>
        <w:t xml:space="preserve">dans </w:t>
      </w:r>
      <w:r w:rsidR="00902846" w:rsidRPr="00E1372C">
        <w:rPr>
          <w:lang w:val="fr-FR" w:bidi="en-US"/>
        </w:rPr>
        <w:t>les zones rurales</w:t>
      </w:r>
      <w:r w:rsidR="00D52989" w:rsidRPr="00E1372C">
        <w:rPr>
          <w:lang w:val="fr-FR" w:bidi="en-US"/>
        </w:rPr>
        <w:t>,</w:t>
      </w:r>
      <w:r w:rsidR="00902846" w:rsidRPr="00E1372C">
        <w:rPr>
          <w:lang w:val="fr-FR" w:bidi="en-US"/>
        </w:rPr>
        <w:t xml:space="preserve"> </w:t>
      </w:r>
      <w:r w:rsidR="00D52989" w:rsidRPr="00E1372C">
        <w:rPr>
          <w:lang w:val="fr-FR" w:bidi="en-US"/>
        </w:rPr>
        <w:t>continue de poser des difficultés majeures à l</w:t>
      </w:r>
      <w:r w:rsidR="00731F09" w:rsidRPr="00E1372C">
        <w:rPr>
          <w:lang w:val="fr-FR" w:bidi="en-US"/>
        </w:rPr>
        <w:t>’</w:t>
      </w:r>
      <w:r w:rsidR="00D52989" w:rsidRPr="00E1372C">
        <w:rPr>
          <w:lang w:val="fr-FR" w:bidi="en-US"/>
        </w:rPr>
        <w:t>action des pouvoirs publics dans le domaine des droits de l</w:t>
      </w:r>
      <w:r w:rsidR="00731F09" w:rsidRPr="00E1372C">
        <w:rPr>
          <w:lang w:val="fr-FR" w:bidi="en-US"/>
        </w:rPr>
        <w:t>’</w:t>
      </w:r>
      <w:r w:rsidR="00D52989" w:rsidRPr="00E1372C">
        <w:rPr>
          <w:lang w:val="fr-FR" w:bidi="en-US"/>
        </w:rPr>
        <w:t>homme, compte tenu en particulier de l</w:t>
      </w:r>
      <w:r w:rsidR="00731F09" w:rsidRPr="00E1372C">
        <w:rPr>
          <w:lang w:val="fr-FR" w:bidi="en-US"/>
        </w:rPr>
        <w:t>’</w:t>
      </w:r>
      <w:r w:rsidR="00D714EC" w:rsidRPr="00E1372C">
        <w:rPr>
          <w:lang w:val="fr-FR" w:bidi="en-US"/>
        </w:rPr>
        <w:t>étendue</w:t>
      </w:r>
      <w:r w:rsidR="00D52989" w:rsidRPr="00E1372C">
        <w:rPr>
          <w:lang w:val="fr-FR" w:bidi="en-US"/>
        </w:rPr>
        <w:t xml:space="preserve"> du territoire </w:t>
      </w:r>
      <w:r w:rsidR="00902846" w:rsidRPr="00E1372C">
        <w:rPr>
          <w:lang w:val="fr-FR" w:bidi="en-US"/>
        </w:rPr>
        <w:t xml:space="preserve">et de la faible densité démographique, qui se traduisent par </w:t>
      </w:r>
      <w:r w:rsidR="00D714EC" w:rsidRPr="00E1372C">
        <w:rPr>
          <w:lang w:val="fr-FR" w:bidi="en-US"/>
        </w:rPr>
        <w:t xml:space="preserve">des </w:t>
      </w:r>
      <w:r w:rsidR="00902846" w:rsidRPr="00E1372C">
        <w:rPr>
          <w:lang w:val="fr-FR" w:bidi="en-US"/>
        </w:rPr>
        <w:t>habitat</w:t>
      </w:r>
      <w:r w:rsidR="00D714EC" w:rsidRPr="00E1372C">
        <w:rPr>
          <w:lang w:val="fr-FR" w:bidi="en-US"/>
        </w:rPr>
        <w:t>s isolés,</w:t>
      </w:r>
      <w:r w:rsidR="0006160F" w:rsidRPr="00E1372C">
        <w:rPr>
          <w:lang w:val="fr-FR" w:bidi="en-US"/>
        </w:rPr>
        <w:t xml:space="preserve"> et </w:t>
      </w:r>
      <w:r w:rsidR="00D714EC" w:rsidRPr="00E1372C">
        <w:rPr>
          <w:lang w:val="fr-FR" w:bidi="en-US"/>
        </w:rPr>
        <w:t xml:space="preserve">rendent </w:t>
      </w:r>
      <w:r w:rsidR="0006160F" w:rsidRPr="00E1372C">
        <w:rPr>
          <w:lang w:val="fr-FR" w:bidi="en-US"/>
        </w:rPr>
        <w:t>la centralisation</w:t>
      </w:r>
      <w:r w:rsidR="00D714EC" w:rsidRPr="00E1372C">
        <w:rPr>
          <w:lang w:val="fr-FR" w:bidi="en-US"/>
        </w:rPr>
        <w:t xml:space="preserve"> très difficile</w:t>
      </w:r>
      <w:r w:rsidR="0006160F" w:rsidRPr="00E1372C">
        <w:rPr>
          <w:lang w:val="fr-FR" w:bidi="en-US"/>
        </w:rPr>
        <w:t xml:space="preserve">. </w:t>
      </w:r>
    </w:p>
    <w:p w:rsidR="004774F7" w:rsidRPr="00E1372C" w:rsidRDefault="007A1757" w:rsidP="007A1757">
      <w:pPr>
        <w:pStyle w:val="SingleTxtG"/>
        <w:rPr>
          <w:lang w:val="fr-FR" w:bidi="en-US"/>
        </w:rPr>
      </w:pPr>
      <w:r w:rsidRPr="00E1372C">
        <w:rPr>
          <w:lang w:val="fr-FR" w:bidi="en-US"/>
        </w:rPr>
        <w:t>30.</w:t>
      </w:r>
      <w:r w:rsidRPr="00E1372C">
        <w:rPr>
          <w:lang w:val="fr-FR" w:bidi="en-US"/>
        </w:rPr>
        <w:tab/>
      </w:r>
      <w:r w:rsidR="004774F7" w:rsidRPr="00E1372C">
        <w:rPr>
          <w:lang w:val="fr-FR" w:bidi="en-US"/>
        </w:rPr>
        <w:t>Différents festivals culturels, organisés dans les régions, ont suscité l</w:t>
      </w:r>
      <w:r w:rsidR="00731F09" w:rsidRPr="00E1372C">
        <w:rPr>
          <w:lang w:val="fr-FR" w:bidi="en-US"/>
        </w:rPr>
        <w:t>’</w:t>
      </w:r>
      <w:r w:rsidR="004774F7" w:rsidRPr="00E1372C">
        <w:rPr>
          <w:lang w:val="fr-FR" w:bidi="en-US"/>
        </w:rPr>
        <w:t>intérêt manifeste du public. L</w:t>
      </w:r>
      <w:r w:rsidR="00731F09" w:rsidRPr="00E1372C">
        <w:rPr>
          <w:lang w:val="fr-FR" w:bidi="en-US"/>
        </w:rPr>
        <w:t>’</w:t>
      </w:r>
      <w:r w:rsidR="004774F7" w:rsidRPr="00E1372C">
        <w:rPr>
          <w:lang w:val="fr-FR" w:bidi="en-US"/>
        </w:rPr>
        <w:t>artisanat traditionnel est encouragé</w:t>
      </w:r>
      <w:r w:rsidR="00D94AF6" w:rsidRPr="00E1372C">
        <w:rPr>
          <w:lang w:val="fr-FR" w:bidi="en-US"/>
        </w:rPr>
        <w:t>,</w:t>
      </w:r>
      <w:r w:rsidR="004774F7" w:rsidRPr="00E1372C">
        <w:rPr>
          <w:lang w:val="fr-FR" w:bidi="en-US"/>
        </w:rPr>
        <w:t xml:space="preserve"> non seulement pour transmettre des éléments culturels, mais également comme moyen d</w:t>
      </w:r>
      <w:r w:rsidR="00731F09" w:rsidRPr="00E1372C">
        <w:rPr>
          <w:lang w:val="fr-FR" w:bidi="en-US"/>
        </w:rPr>
        <w:t>’</w:t>
      </w:r>
      <w:r w:rsidR="004774F7" w:rsidRPr="00E1372C">
        <w:rPr>
          <w:lang w:val="fr-FR" w:bidi="en-US"/>
        </w:rPr>
        <w:t>existence. Les programmes scolaires intègrent une nouvelle perspective culturelle que complètent des clubs culturels extrascolaires.</w:t>
      </w:r>
    </w:p>
    <w:p w:rsidR="004774F7" w:rsidRPr="00E1372C" w:rsidRDefault="007A1757" w:rsidP="007A1757">
      <w:pPr>
        <w:pStyle w:val="SingleTxtG"/>
        <w:rPr>
          <w:lang w:val="fr-FR" w:bidi="en-US"/>
        </w:rPr>
      </w:pPr>
      <w:r w:rsidRPr="00E1372C">
        <w:rPr>
          <w:lang w:val="fr-FR" w:bidi="en-US"/>
        </w:rPr>
        <w:t>31.</w:t>
      </w:r>
      <w:r w:rsidRPr="00E1372C">
        <w:rPr>
          <w:lang w:val="fr-FR" w:bidi="en-US"/>
        </w:rPr>
        <w:tab/>
      </w:r>
      <w:r w:rsidR="004774F7" w:rsidRPr="00E1372C">
        <w:rPr>
          <w:lang w:val="fr-FR" w:bidi="en-US"/>
        </w:rPr>
        <w:t>Depuis l</w:t>
      </w:r>
      <w:r w:rsidR="00731F09" w:rsidRPr="00E1372C">
        <w:rPr>
          <w:lang w:val="fr-FR" w:bidi="en-US"/>
        </w:rPr>
        <w:t>’</w:t>
      </w:r>
      <w:r w:rsidR="004774F7" w:rsidRPr="00E1372C">
        <w:rPr>
          <w:lang w:val="fr-FR" w:bidi="en-US"/>
        </w:rPr>
        <w:t>indépendance, la Namibie a souscrit un certain nombre d</w:t>
      </w:r>
      <w:r w:rsidR="00731F09" w:rsidRPr="00E1372C">
        <w:rPr>
          <w:lang w:val="fr-FR" w:bidi="en-US"/>
        </w:rPr>
        <w:t>’</w:t>
      </w:r>
      <w:r w:rsidR="004774F7" w:rsidRPr="00E1372C">
        <w:rPr>
          <w:lang w:val="fr-FR" w:bidi="en-US"/>
        </w:rPr>
        <w:t>accords culturels internationaux qui ont donné lieu à divers échanges encourageants d</w:t>
      </w:r>
      <w:r w:rsidR="00731F09" w:rsidRPr="00E1372C">
        <w:rPr>
          <w:lang w:val="fr-FR" w:bidi="en-US"/>
        </w:rPr>
        <w:t>’</w:t>
      </w:r>
      <w:r w:rsidR="004774F7" w:rsidRPr="00E1372C">
        <w:rPr>
          <w:lang w:val="fr-FR" w:bidi="en-US"/>
        </w:rPr>
        <w:t>artistes avec des pays d</w:t>
      </w:r>
      <w:r w:rsidR="00731F09" w:rsidRPr="00E1372C">
        <w:rPr>
          <w:lang w:val="fr-FR" w:bidi="en-US"/>
        </w:rPr>
        <w:t>’</w:t>
      </w:r>
      <w:r w:rsidR="004774F7" w:rsidRPr="00E1372C">
        <w:rPr>
          <w:lang w:val="fr-FR" w:bidi="en-US"/>
        </w:rPr>
        <w:t>Afrique, d</w:t>
      </w:r>
      <w:r w:rsidR="00731F09" w:rsidRPr="00E1372C">
        <w:rPr>
          <w:lang w:val="fr-FR" w:bidi="en-US"/>
        </w:rPr>
        <w:t>’</w:t>
      </w:r>
      <w:r w:rsidR="004774F7" w:rsidRPr="00E1372C">
        <w:rPr>
          <w:lang w:val="fr-FR" w:bidi="en-US"/>
        </w:rPr>
        <w:t>Asie, d</w:t>
      </w:r>
      <w:r w:rsidR="00731F09" w:rsidRPr="00E1372C">
        <w:rPr>
          <w:lang w:val="fr-FR" w:bidi="en-US"/>
        </w:rPr>
        <w:t>’</w:t>
      </w:r>
      <w:r w:rsidR="004774F7" w:rsidRPr="00E1372C">
        <w:rPr>
          <w:lang w:val="fr-FR" w:bidi="en-US"/>
        </w:rPr>
        <w:t>Amérique et d</w:t>
      </w:r>
      <w:r w:rsidR="00731F09" w:rsidRPr="00E1372C">
        <w:rPr>
          <w:lang w:val="fr-FR" w:bidi="en-US"/>
        </w:rPr>
        <w:t>’</w:t>
      </w:r>
      <w:r w:rsidR="004774F7" w:rsidRPr="00E1372C">
        <w:rPr>
          <w:lang w:val="fr-FR" w:bidi="en-US"/>
        </w:rPr>
        <w:t>Europe. La collaboration dans le domaine culturel s</w:t>
      </w:r>
      <w:r w:rsidR="00731F09" w:rsidRPr="00E1372C">
        <w:rPr>
          <w:lang w:val="fr-FR" w:bidi="en-US"/>
        </w:rPr>
        <w:t>’</w:t>
      </w:r>
      <w:r w:rsidR="004774F7" w:rsidRPr="00E1372C">
        <w:rPr>
          <w:lang w:val="fr-FR" w:bidi="en-US"/>
        </w:rPr>
        <w:t>est renforcée au sein de la communauté de développement de l</w:t>
      </w:r>
      <w:r w:rsidR="00731F09" w:rsidRPr="00E1372C">
        <w:rPr>
          <w:lang w:val="fr-FR" w:bidi="en-US"/>
        </w:rPr>
        <w:t>’</w:t>
      </w:r>
      <w:r w:rsidR="004774F7" w:rsidRPr="00E1372C">
        <w:rPr>
          <w:lang w:val="fr-FR" w:bidi="en-US"/>
        </w:rPr>
        <w:t>Afrique australe.</w:t>
      </w:r>
    </w:p>
    <w:p w:rsidR="00A777A4" w:rsidRPr="00E1372C" w:rsidRDefault="007A1757" w:rsidP="007A1757">
      <w:pPr>
        <w:pStyle w:val="SingleTxtG"/>
        <w:rPr>
          <w:lang w:val="fr-FR" w:bidi="en-US"/>
        </w:rPr>
      </w:pPr>
      <w:r w:rsidRPr="00E1372C">
        <w:rPr>
          <w:lang w:val="fr-FR" w:bidi="en-US"/>
        </w:rPr>
        <w:t>32.</w:t>
      </w:r>
      <w:r w:rsidRPr="00E1372C">
        <w:rPr>
          <w:lang w:val="fr-FR" w:bidi="en-US"/>
        </w:rPr>
        <w:tab/>
      </w:r>
      <w:r w:rsidR="004774F7" w:rsidRPr="00E1372C">
        <w:rPr>
          <w:lang w:val="fr-FR" w:bidi="en-US"/>
        </w:rPr>
        <w:t>L</w:t>
      </w:r>
      <w:r w:rsidR="00731F09" w:rsidRPr="00E1372C">
        <w:rPr>
          <w:lang w:val="fr-FR" w:bidi="en-US"/>
        </w:rPr>
        <w:t>’</w:t>
      </w:r>
      <w:r w:rsidR="00A777A4" w:rsidRPr="00E1372C">
        <w:rPr>
          <w:lang w:val="fr-FR" w:bidi="en-US"/>
        </w:rPr>
        <w:t>École des beaux-a</w:t>
      </w:r>
      <w:r w:rsidR="00A55A0E" w:rsidRPr="00E1372C">
        <w:rPr>
          <w:lang w:val="fr-FR" w:bidi="en-US"/>
        </w:rPr>
        <w:t xml:space="preserve">rts, </w:t>
      </w:r>
      <w:r w:rsidR="00A777A4" w:rsidRPr="00E1372C">
        <w:rPr>
          <w:lang w:val="fr-FR" w:bidi="en-US"/>
        </w:rPr>
        <w:t>principale institution namibienne d</w:t>
      </w:r>
      <w:r w:rsidR="00731F09" w:rsidRPr="00E1372C">
        <w:rPr>
          <w:lang w:val="fr-FR" w:bidi="en-US"/>
        </w:rPr>
        <w:t>’</w:t>
      </w:r>
      <w:r w:rsidR="00A777A4" w:rsidRPr="00E1372C">
        <w:rPr>
          <w:lang w:val="fr-FR" w:bidi="en-US"/>
        </w:rPr>
        <w:t>enseignement et de formation dans ce domaine, s</w:t>
      </w:r>
      <w:r w:rsidR="00731F09" w:rsidRPr="00E1372C">
        <w:rPr>
          <w:lang w:val="fr-FR" w:bidi="en-US"/>
        </w:rPr>
        <w:t>’</w:t>
      </w:r>
      <w:r w:rsidR="00A777A4" w:rsidRPr="00E1372C">
        <w:rPr>
          <w:lang w:val="fr-FR" w:bidi="en-US"/>
        </w:rPr>
        <w:t>est engagée à offrir ses services à un public élargi, à s</w:t>
      </w:r>
      <w:r w:rsidR="00731F09" w:rsidRPr="00E1372C">
        <w:rPr>
          <w:lang w:val="fr-FR" w:bidi="en-US"/>
        </w:rPr>
        <w:t>’</w:t>
      </w:r>
      <w:r w:rsidR="00A777A4" w:rsidRPr="00E1372C">
        <w:rPr>
          <w:lang w:val="fr-FR" w:bidi="en-US"/>
        </w:rPr>
        <w:t xml:space="preserve">attacher davantage aux expressions artistiques africaines et à entreprendre des recherches sur la musique et la danse namibiennes. </w:t>
      </w:r>
    </w:p>
    <w:p w:rsidR="00A777A4" w:rsidRPr="00E1372C" w:rsidRDefault="007A1757" w:rsidP="007A1757">
      <w:pPr>
        <w:pStyle w:val="SingleTxtG"/>
        <w:rPr>
          <w:lang w:val="fr-FR" w:bidi="en-US"/>
        </w:rPr>
      </w:pPr>
      <w:r w:rsidRPr="00E1372C">
        <w:rPr>
          <w:lang w:val="fr-FR" w:bidi="en-US"/>
        </w:rPr>
        <w:t>33.</w:t>
      </w:r>
      <w:r w:rsidRPr="00E1372C">
        <w:rPr>
          <w:lang w:val="fr-FR" w:bidi="en-US"/>
        </w:rPr>
        <w:tab/>
      </w:r>
      <w:r w:rsidR="00A777A4" w:rsidRPr="00E1372C">
        <w:rPr>
          <w:lang w:val="fr-FR" w:bidi="en-US"/>
        </w:rPr>
        <w:t>Plusieurs groupes culturels, de toutes les races, ont également été soutenus par des subventions reçues de donateurs ou d</w:t>
      </w:r>
      <w:r w:rsidR="00731F09" w:rsidRPr="00E1372C">
        <w:rPr>
          <w:lang w:val="fr-FR" w:bidi="en-US"/>
        </w:rPr>
        <w:t>’</w:t>
      </w:r>
      <w:r w:rsidR="00A777A4" w:rsidRPr="00E1372C">
        <w:rPr>
          <w:lang w:val="fr-FR" w:bidi="en-US"/>
        </w:rPr>
        <w:t>institutions, notamment le Théâtre national de Namibie, le Musée national des beaux-arts, le Conseil des monuments nationaux, ainsi que divers groupes restreints.</w:t>
      </w:r>
    </w:p>
    <w:p w:rsidR="00A55A0E" w:rsidRPr="00E1372C" w:rsidRDefault="00B30AA2" w:rsidP="00B30AA2">
      <w:pPr>
        <w:pStyle w:val="H23G"/>
        <w:rPr>
          <w:lang w:val="fr-FR" w:bidi="en-US"/>
        </w:rPr>
      </w:pPr>
      <w:r w:rsidRPr="00E1372C">
        <w:rPr>
          <w:lang w:val="fr-FR" w:bidi="en-US"/>
        </w:rPr>
        <w:tab/>
      </w:r>
      <w:r w:rsidRPr="00E1372C">
        <w:rPr>
          <w:lang w:val="fr-FR" w:bidi="en-US"/>
        </w:rPr>
        <w:tab/>
      </w:r>
      <w:r w:rsidR="00A77D1F" w:rsidRPr="00E1372C">
        <w:rPr>
          <w:lang w:val="fr-FR" w:bidi="en-US"/>
        </w:rPr>
        <w:t>Ac</w:t>
      </w:r>
      <w:r w:rsidR="0049054D" w:rsidRPr="00E1372C">
        <w:rPr>
          <w:lang w:val="fr-FR" w:bidi="en-US"/>
        </w:rPr>
        <w:t>tion positive</w:t>
      </w:r>
    </w:p>
    <w:p w:rsidR="0049054D" w:rsidRPr="00E1372C" w:rsidRDefault="007A1757" w:rsidP="007A1757">
      <w:pPr>
        <w:pStyle w:val="SingleTxtG"/>
        <w:rPr>
          <w:lang w:val="fr-FR" w:bidi="en-US"/>
        </w:rPr>
      </w:pPr>
      <w:r w:rsidRPr="00E1372C">
        <w:rPr>
          <w:lang w:val="fr-FR" w:bidi="en-US"/>
        </w:rPr>
        <w:t>34.</w:t>
      </w:r>
      <w:r w:rsidRPr="00E1372C">
        <w:rPr>
          <w:lang w:val="fr-FR" w:bidi="en-US"/>
        </w:rPr>
        <w:tab/>
      </w:r>
      <w:r w:rsidR="0049054D" w:rsidRPr="00E1372C">
        <w:rPr>
          <w:lang w:val="fr-FR" w:bidi="en-US"/>
        </w:rPr>
        <w:t>L</w:t>
      </w:r>
      <w:r w:rsidR="00731F09" w:rsidRPr="00E1372C">
        <w:rPr>
          <w:lang w:val="fr-FR" w:bidi="en-US"/>
        </w:rPr>
        <w:t>’</w:t>
      </w:r>
      <w:r w:rsidR="00A77D1F" w:rsidRPr="00E1372C">
        <w:rPr>
          <w:lang w:val="fr-FR" w:bidi="en-US"/>
        </w:rPr>
        <w:t>ac</w:t>
      </w:r>
      <w:r w:rsidR="0049054D" w:rsidRPr="00E1372C">
        <w:rPr>
          <w:lang w:val="fr-FR" w:bidi="en-US"/>
        </w:rPr>
        <w:t>tion positive en Namibie se traduit par des politiques de développement et des mesures législatives propres à supprimer les obstacles qui empêchaient les membres de groupes défavorisés de bénéficier à égalité des biens et services publics – emploi, éducation, logement et soins médicaux. Dans le domaine de l</w:t>
      </w:r>
      <w:r w:rsidR="00731F09" w:rsidRPr="00E1372C">
        <w:rPr>
          <w:lang w:val="fr-FR" w:bidi="en-US"/>
        </w:rPr>
        <w:t>’</w:t>
      </w:r>
      <w:r w:rsidR="0049054D" w:rsidRPr="00E1372C">
        <w:rPr>
          <w:lang w:val="fr-FR" w:bidi="en-US"/>
        </w:rPr>
        <w:t>emploi, l</w:t>
      </w:r>
      <w:r w:rsidR="00731F09" w:rsidRPr="00E1372C">
        <w:rPr>
          <w:lang w:val="fr-FR" w:bidi="en-US"/>
        </w:rPr>
        <w:t>’</w:t>
      </w:r>
      <w:r w:rsidR="00A77D1F" w:rsidRPr="00E1372C">
        <w:rPr>
          <w:lang w:val="fr-FR" w:bidi="en-US"/>
        </w:rPr>
        <w:t>ac</w:t>
      </w:r>
      <w:r w:rsidR="0049054D" w:rsidRPr="00E1372C">
        <w:rPr>
          <w:lang w:val="fr-FR" w:bidi="en-US"/>
        </w:rPr>
        <w:t>tion positive vise à garantir que les personnes appartenant à des groupes défavorisés soient représentées équitablement aux différents échelons professionnels des effectifs d</w:t>
      </w:r>
      <w:r w:rsidR="00731F09" w:rsidRPr="00E1372C">
        <w:rPr>
          <w:lang w:val="fr-FR" w:bidi="en-US"/>
        </w:rPr>
        <w:t>’</w:t>
      </w:r>
      <w:r w:rsidR="0049054D" w:rsidRPr="00E1372C">
        <w:rPr>
          <w:lang w:val="fr-FR" w:bidi="en-US"/>
        </w:rPr>
        <w:t>un employeur donné.</w:t>
      </w:r>
    </w:p>
    <w:p w:rsidR="0049054D" w:rsidRPr="00E1372C" w:rsidRDefault="007A1757" w:rsidP="007A1757">
      <w:pPr>
        <w:pStyle w:val="SingleTxtG"/>
        <w:rPr>
          <w:lang w:val="fr-FR" w:bidi="en-US"/>
        </w:rPr>
      </w:pPr>
      <w:r w:rsidRPr="00E1372C">
        <w:rPr>
          <w:lang w:val="fr-FR" w:bidi="en-US"/>
        </w:rPr>
        <w:t>35.</w:t>
      </w:r>
      <w:r w:rsidRPr="00E1372C">
        <w:rPr>
          <w:lang w:val="fr-FR" w:bidi="en-US"/>
        </w:rPr>
        <w:tab/>
      </w:r>
      <w:r w:rsidR="0049054D" w:rsidRPr="00E1372C">
        <w:rPr>
          <w:lang w:val="fr-FR" w:bidi="en-US"/>
        </w:rPr>
        <w:t>La loi n</w:t>
      </w:r>
      <w:r w:rsidR="00B277C4" w:rsidRPr="00E1372C">
        <w:rPr>
          <w:vertAlign w:val="superscript"/>
          <w:lang w:val="fr-FR" w:bidi="en-US"/>
        </w:rPr>
        <w:t>o</w:t>
      </w:r>
      <w:r w:rsidR="0049054D" w:rsidRPr="00E1372C">
        <w:rPr>
          <w:lang w:val="fr-FR" w:bidi="en-US"/>
        </w:rPr>
        <w:t> </w:t>
      </w:r>
      <w:r w:rsidR="00A55A0E" w:rsidRPr="00E1372C">
        <w:rPr>
          <w:lang w:val="fr-FR" w:bidi="en-US"/>
        </w:rPr>
        <w:t xml:space="preserve">29 </w:t>
      </w:r>
      <w:r w:rsidR="0049054D" w:rsidRPr="00E1372C">
        <w:rPr>
          <w:lang w:val="fr-FR" w:bidi="en-US"/>
        </w:rPr>
        <w:t>de</w:t>
      </w:r>
      <w:r w:rsidR="00A55A0E" w:rsidRPr="00E1372C">
        <w:rPr>
          <w:lang w:val="fr-FR" w:bidi="en-US"/>
        </w:rPr>
        <w:t xml:space="preserve"> 1998 </w:t>
      </w:r>
      <w:r w:rsidR="0049054D" w:rsidRPr="00E1372C">
        <w:rPr>
          <w:lang w:val="fr-FR" w:bidi="en-US"/>
        </w:rPr>
        <w:t>relative à l</w:t>
      </w:r>
      <w:r w:rsidR="00731F09" w:rsidRPr="00E1372C">
        <w:rPr>
          <w:lang w:val="fr-FR" w:bidi="en-US"/>
        </w:rPr>
        <w:t>’</w:t>
      </w:r>
      <w:r w:rsidR="00A77D1F" w:rsidRPr="00E1372C">
        <w:rPr>
          <w:lang w:val="fr-FR" w:bidi="en-US"/>
        </w:rPr>
        <w:t>ac</w:t>
      </w:r>
      <w:r w:rsidR="0049054D" w:rsidRPr="00E1372C">
        <w:rPr>
          <w:lang w:val="fr-FR" w:bidi="en-US"/>
        </w:rPr>
        <w:t>tion positive en matière d</w:t>
      </w:r>
      <w:r w:rsidR="00731F09" w:rsidRPr="00E1372C">
        <w:rPr>
          <w:lang w:val="fr-FR" w:bidi="en-US"/>
        </w:rPr>
        <w:t>’</w:t>
      </w:r>
      <w:r w:rsidR="0049054D" w:rsidRPr="00E1372C">
        <w:rPr>
          <w:lang w:val="fr-FR" w:bidi="en-US"/>
        </w:rPr>
        <w:t>emploi porte création de la Commission pour l</w:t>
      </w:r>
      <w:r w:rsidR="00731F09" w:rsidRPr="00E1372C">
        <w:rPr>
          <w:lang w:val="fr-FR" w:bidi="en-US"/>
        </w:rPr>
        <w:t>’</w:t>
      </w:r>
      <w:r w:rsidR="0049054D" w:rsidRPr="00E1372C">
        <w:rPr>
          <w:lang w:val="fr-FR" w:bidi="en-US"/>
        </w:rPr>
        <w:t>équité dans l</w:t>
      </w:r>
      <w:r w:rsidR="00731F09" w:rsidRPr="00E1372C">
        <w:rPr>
          <w:lang w:val="fr-FR" w:bidi="en-US"/>
        </w:rPr>
        <w:t>’</w:t>
      </w:r>
      <w:r w:rsidR="0049054D" w:rsidRPr="00E1372C">
        <w:rPr>
          <w:lang w:val="fr-FR" w:bidi="en-US"/>
        </w:rPr>
        <w:t>emploi, chargée de suivre les mesures d</w:t>
      </w:r>
      <w:r w:rsidR="00731F09" w:rsidRPr="00E1372C">
        <w:rPr>
          <w:lang w:val="fr-FR" w:bidi="en-US"/>
        </w:rPr>
        <w:t>’</w:t>
      </w:r>
      <w:r w:rsidR="0049054D" w:rsidRPr="00E1372C">
        <w:rPr>
          <w:lang w:val="fr-FR" w:bidi="en-US"/>
        </w:rPr>
        <w:t>application visant à promouvoir l</w:t>
      </w:r>
      <w:r w:rsidR="00731F09" w:rsidRPr="00E1372C">
        <w:rPr>
          <w:lang w:val="fr-FR" w:bidi="en-US"/>
        </w:rPr>
        <w:t>’</w:t>
      </w:r>
      <w:r w:rsidR="0049054D" w:rsidRPr="00E1372C">
        <w:rPr>
          <w:lang w:val="fr-FR" w:bidi="en-US"/>
        </w:rPr>
        <w:t>égalité des chances dans l</w:t>
      </w:r>
      <w:r w:rsidR="00731F09" w:rsidRPr="00E1372C">
        <w:rPr>
          <w:lang w:val="fr-FR" w:bidi="en-US"/>
        </w:rPr>
        <w:t>’</w:t>
      </w:r>
      <w:r w:rsidR="0049054D" w:rsidRPr="00E1372C">
        <w:rPr>
          <w:lang w:val="fr-FR" w:bidi="en-US"/>
        </w:rPr>
        <w:t>emploi en conformité avec l</w:t>
      </w:r>
      <w:r w:rsidR="00731F09" w:rsidRPr="00E1372C">
        <w:rPr>
          <w:lang w:val="fr-FR" w:bidi="en-US"/>
        </w:rPr>
        <w:t>’</w:t>
      </w:r>
      <w:r w:rsidR="0049054D" w:rsidRPr="00E1372C">
        <w:rPr>
          <w:lang w:val="fr-FR" w:bidi="en-US"/>
        </w:rPr>
        <w:t>article 10 (égalité et non-discrimination) et l</w:t>
      </w:r>
      <w:r w:rsidR="00731F09" w:rsidRPr="00E1372C">
        <w:rPr>
          <w:lang w:val="fr-FR" w:bidi="en-US"/>
        </w:rPr>
        <w:t>’</w:t>
      </w:r>
      <w:r w:rsidR="0049054D" w:rsidRPr="00E1372C">
        <w:rPr>
          <w:lang w:val="fr-FR" w:bidi="en-US"/>
        </w:rPr>
        <w:t xml:space="preserve">article 23 (apartheid et </w:t>
      </w:r>
      <w:r w:rsidR="00A77D1F" w:rsidRPr="00E1372C">
        <w:rPr>
          <w:lang w:val="fr-FR" w:bidi="en-US"/>
        </w:rPr>
        <w:t>ac</w:t>
      </w:r>
      <w:r w:rsidR="0049054D" w:rsidRPr="00E1372C">
        <w:rPr>
          <w:lang w:val="fr-FR" w:bidi="en-US"/>
        </w:rPr>
        <w:t>tion positive) de la Constitution.</w:t>
      </w:r>
    </w:p>
    <w:p w:rsidR="00501D81" w:rsidRPr="00E1372C" w:rsidRDefault="007A1757" w:rsidP="007A1757">
      <w:pPr>
        <w:pStyle w:val="SingleTxtG"/>
        <w:rPr>
          <w:lang w:val="fr-FR" w:bidi="en-US"/>
        </w:rPr>
      </w:pPr>
      <w:r w:rsidRPr="00E1372C">
        <w:rPr>
          <w:lang w:val="fr-FR" w:bidi="en-US"/>
        </w:rPr>
        <w:t>36.</w:t>
      </w:r>
      <w:r w:rsidRPr="00E1372C">
        <w:rPr>
          <w:lang w:val="fr-FR" w:bidi="en-US"/>
        </w:rPr>
        <w:tab/>
      </w:r>
      <w:r w:rsidR="00501D81" w:rsidRPr="00E1372C">
        <w:rPr>
          <w:lang w:val="fr-FR" w:bidi="en-US"/>
        </w:rPr>
        <w:t>La loi représente une stratégie constitutionnelle destinée à supprimer les obstacles, par des plans appropriés d</w:t>
      </w:r>
      <w:r w:rsidR="00731F09" w:rsidRPr="00E1372C">
        <w:rPr>
          <w:lang w:val="fr-FR" w:bidi="en-US"/>
        </w:rPr>
        <w:t>’</w:t>
      </w:r>
      <w:r w:rsidR="00A77D1F" w:rsidRPr="00E1372C">
        <w:rPr>
          <w:lang w:val="fr-FR" w:bidi="en-US"/>
        </w:rPr>
        <w:t>ac</w:t>
      </w:r>
      <w:r w:rsidR="00501D81" w:rsidRPr="00E1372C">
        <w:rPr>
          <w:lang w:val="fr-FR" w:bidi="en-US"/>
        </w:rPr>
        <w:t>tion positive, les conditions défavorables d</w:t>
      </w:r>
      <w:r w:rsidR="00731F09" w:rsidRPr="00E1372C">
        <w:rPr>
          <w:lang w:val="fr-FR" w:bidi="en-US"/>
        </w:rPr>
        <w:t>’</w:t>
      </w:r>
      <w:r w:rsidR="00501D81" w:rsidRPr="00E1372C">
        <w:rPr>
          <w:lang w:val="fr-FR" w:bidi="en-US"/>
        </w:rPr>
        <w:t>emploi subies par des personnes appartenant à certains groupes, découlant des anciennes lois et pratiques discriminatoires. Elle n</w:t>
      </w:r>
      <w:r w:rsidR="00731F09" w:rsidRPr="00E1372C">
        <w:rPr>
          <w:lang w:val="fr-FR" w:bidi="en-US"/>
        </w:rPr>
        <w:t>’</w:t>
      </w:r>
      <w:r w:rsidR="00501D81" w:rsidRPr="00E1372C">
        <w:rPr>
          <w:lang w:val="fr-FR" w:bidi="en-US"/>
        </w:rPr>
        <w:t>exige pas de l</w:t>
      </w:r>
      <w:r w:rsidR="00731F09" w:rsidRPr="00E1372C">
        <w:rPr>
          <w:lang w:val="fr-FR" w:bidi="en-US"/>
        </w:rPr>
        <w:t>’</w:t>
      </w:r>
      <w:r w:rsidR="00501D81" w:rsidRPr="00E1372C">
        <w:rPr>
          <w:lang w:val="fr-FR" w:bidi="en-US"/>
        </w:rPr>
        <w:t>employeur qu</w:t>
      </w:r>
      <w:r w:rsidR="00731F09" w:rsidRPr="00E1372C">
        <w:rPr>
          <w:lang w:val="fr-FR" w:bidi="en-US"/>
        </w:rPr>
        <w:t>’</w:t>
      </w:r>
      <w:r w:rsidR="00501D81" w:rsidRPr="00E1372C">
        <w:rPr>
          <w:lang w:val="fr-FR" w:bidi="en-US"/>
        </w:rPr>
        <w:t>il crée de nouveaux postes, engage ou promeuve un nombre déterminé de personnes durant une période donnée, ou encore de personnes insuffisamment qualifiées.</w:t>
      </w:r>
    </w:p>
    <w:p w:rsidR="00501D81" w:rsidRPr="00E1372C" w:rsidRDefault="007A1757" w:rsidP="007A1757">
      <w:pPr>
        <w:pStyle w:val="SingleTxtG"/>
        <w:rPr>
          <w:lang w:val="fr-FR" w:bidi="en-US"/>
        </w:rPr>
      </w:pPr>
      <w:r w:rsidRPr="00E1372C">
        <w:rPr>
          <w:lang w:val="fr-FR" w:bidi="en-US"/>
        </w:rPr>
        <w:t>37.</w:t>
      </w:r>
      <w:r w:rsidRPr="00E1372C">
        <w:rPr>
          <w:lang w:val="fr-FR" w:bidi="en-US"/>
        </w:rPr>
        <w:tab/>
      </w:r>
      <w:r w:rsidR="00501D81" w:rsidRPr="00E1372C">
        <w:rPr>
          <w:lang w:val="fr-FR" w:bidi="en-US"/>
        </w:rPr>
        <w:t>Un employeur n</w:t>
      </w:r>
      <w:r w:rsidR="00731F09" w:rsidRPr="00E1372C">
        <w:rPr>
          <w:lang w:val="fr-FR" w:bidi="en-US"/>
        </w:rPr>
        <w:t>’</w:t>
      </w:r>
      <w:r w:rsidR="00501D81" w:rsidRPr="00E1372C">
        <w:rPr>
          <w:lang w:val="fr-FR" w:bidi="en-US"/>
        </w:rPr>
        <w:t>est pas non plus tenu de prendre des décisions qui excluent le recrutement ou la promotion de personnes n</w:t>
      </w:r>
      <w:r w:rsidR="00731F09" w:rsidRPr="00E1372C">
        <w:rPr>
          <w:lang w:val="fr-FR" w:bidi="en-US"/>
        </w:rPr>
        <w:t>’</w:t>
      </w:r>
      <w:r w:rsidR="00501D81" w:rsidRPr="00E1372C">
        <w:rPr>
          <w:lang w:val="fr-FR" w:bidi="en-US"/>
        </w:rPr>
        <w:t>appartenant pas à un groupe déterminé. Au sens de la loi, un traitement préférentiel doit être accordé aux membres dûment qualifiés de groupes déterminés;</w:t>
      </w:r>
      <w:r w:rsidR="001A5A1F" w:rsidRPr="00E1372C">
        <w:rPr>
          <w:lang w:val="fr-FR" w:bidi="en-US"/>
        </w:rPr>
        <w:t xml:space="preserve"> lorsque</w:t>
      </w:r>
      <w:r w:rsidR="00501D81" w:rsidRPr="00E1372C">
        <w:rPr>
          <w:lang w:val="fr-FR" w:bidi="en-US"/>
        </w:rPr>
        <w:t xml:space="preserve"> plus</w:t>
      </w:r>
      <w:r w:rsidR="001A5A1F" w:rsidRPr="00E1372C">
        <w:rPr>
          <w:lang w:val="fr-FR" w:bidi="en-US"/>
        </w:rPr>
        <w:t>ieurs</w:t>
      </w:r>
      <w:r w:rsidR="00501D81" w:rsidRPr="00E1372C">
        <w:rPr>
          <w:lang w:val="fr-FR" w:bidi="en-US"/>
        </w:rPr>
        <w:t xml:space="preserve"> personne</w:t>
      </w:r>
      <w:r w:rsidR="001A5A1F" w:rsidRPr="00E1372C">
        <w:rPr>
          <w:lang w:val="fr-FR" w:bidi="en-US"/>
        </w:rPr>
        <w:t>s sont</w:t>
      </w:r>
      <w:r w:rsidR="00501D81" w:rsidRPr="00E1372C">
        <w:rPr>
          <w:lang w:val="fr-FR" w:bidi="en-US"/>
        </w:rPr>
        <w:t xml:space="preserve"> dûment qualifiée</w:t>
      </w:r>
      <w:r w:rsidR="001A5A1F" w:rsidRPr="00E1372C">
        <w:rPr>
          <w:lang w:val="fr-FR" w:bidi="en-US"/>
        </w:rPr>
        <w:t>s</w:t>
      </w:r>
      <w:r w:rsidR="00501D81" w:rsidRPr="00E1372C">
        <w:rPr>
          <w:lang w:val="fr-FR" w:bidi="en-US"/>
        </w:rPr>
        <w:t xml:space="preserve"> pour un poste, l</w:t>
      </w:r>
      <w:r w:rsidR="00731F09" w:rsidRPr="00E1372C">
        <w:rPr>
          <w:lang w:val="fr-FR" w:bidi="en-US"/>
        </w:rPr>
        <w:t>’</w:t>
      </w:r>
      <w:r w:rsidR="00501D81" w:rsidRPr="00E1372C">
        <w:rPr>
          <w:lang w:val="fr-FR" w:bidi="en-US"/>
        </w:rPr>
        <w:t>employeur doit choisir le candidat qui appartient à plusieurs groupes déterminés. Une personne dûment qualifiée s</w:t>
      </w:r>
      <w:r w:rsidR="00731F09" w:rsidRPr="00E1372C">
        <w:rPr>
          <w:lang w:val="fr-FR" w:bidi="en-US"/>
        </w:rPr>
        <w:t>’</w:t>
      </w:r>
      <w:r w:rsidR="00501D81" w:rsidRPr="00E1372C">
        <w:rPr>
          <w:lang w:val="fr-FR" w:bidi="en-US"/>
        </w:rPr>
        <w:t>entend de toute personne qui possède les compétences, les qualifications voulues ou l</w:t>
      </w:r>
      <w:r w:rsidR="00731F09" w:rsidRPr="00E1372C">
        <w:rPr>
          <w:lang w:val="fr-FR" w:bidi="en-US"/>
        </w:rPr>
        <w:t>’</w:t>
      </w:r>
      <w:r w:rsidR="00501D81" w:rsidRPr="00E1372C">
        <w:rPr>
          <w:lang w:val="fr-FR" w:bidi="en-US"/>
        </w:rPr>
        <w:t xml:space="preserve">expérience correspondante relatives à un poste. Selon la loi, les </w:t>
      </w:r>
      <w:r w:rsidR="00AE017E" w:rsidRPr="00E1372C">
        <w:rPr>
          <w:lang w:val="fr-FR" w:bidi="en-US"/>
        </w:rPr>
        <w:t>«</w:t>
      </w:r>
      <w:r w:rsidR="00501D81" w:rsidRPr="00E1372C">
        <w:rPr>
          <w:lang w:val="fr-FR" w:bidi="en-US"/>
        </w:rPr>
        <w:t>groupes défavorisés</w:t>
      </w:r>
      <w:r w:rsidR="00AE017E" w:rsidRPr="00E1372C">
        <w:rPr>
          <w:lang w:val="fr-FR" w:bidi="en-US"/>
        </w:rPr>
        <w:t>»</w:t>
      </w:r>
      <w:r w:rsidR="00501D81" w:rsidRPr="00E1372C">
        <w:rPr>
          <w:lang w:val="fr-FR" w:bidi="en-US"/>
        </w:rPr>
        <w:t xml:space="preserve"> s</w:t>
      </w:r>
      <w:r w:rsidR="00731F09" w:rsidRPr="00E1372C">
        <w:rPr>
          <w:lang w:val="fr-FR" w:bidi="en-US"/>
        </w:rPr>
        <w:t>’</w:t>
      </w:r>
      <w:r w:rsidR="00501D81" w:rsidRPr="00E1372C">
        <w:rPr>
          <w:lang w:val="fr-FR" w:bidi="en-US"/>
        </w:rPr>
        <w:t>entendent des Noirs, des femmes et des personnes handicapées.</w:t>
      </w:r>
    </w:p>
    <w:p w:rsidR="001A5A1F" w:rsidRPr="00E1372C" w:rsidRDefault="007A1757" w:rsidP="007A1757">
      <w:pPr>
        <w:pStyle w:val="SingleTxtG"/>
        <w:rPr>
          <w:lang w:val="fr-FR" w:bidi="en-US"/>
        </w:rPr>
      </w:pPr>
      <w:r w:rsidRPr="00E1372C">
        <w:rPr>
          <w:lang w:val="fr-FR" w:bidi="en-US"/>
        </w:rPr>
        <w:t>38.</w:t>
      </w:r>
      <w:r w:rsidRPr="00E1372C">
        <w:rPr>
          <w:lang w:val="fr-FR" w:bidi="en-US"/>
        </w:rPr>
        <w:tab/>
      </w:r>
      <w:r w:rsidR="00501D81" w:rsidRPr="00E1372C">
        <w:rPr>
          <w:lang w:val="fr-FR" w:bidi="en-US"/>
        </w:rPr>
        <w:t xml:space="preserve">En ce qui concerne la condition (chap. 3) </w:t>
      </w:r>
      <w:r w:rsidR="001A5A1F" w:rsidRPr="00E1372C">
        <w:rPr>
          <w:lang w:val="fr-FR" w:bidi="en-US"/>
        </w:rPr>
        <w:t>minimale requise pour appliquer le maximum de mesures visant à faire respecter les droits de l</w:t>
      </w:r>
      <w:r w:rsidR="00731F09" w:rsidRPr="00E1372C">
        <w:rPr>
          <w:lang w:val="fr-FR" w:bidi="en-US"/>
        </w:rPr>
        <w:t>’</w:t>
      </w:r>
      <w:r w:rsidR="001A5A1F" w:rsidRPr="00E1372C">
        <w:rPr>
          <w:lang w:val="fr-FR" w:bidi="en-US"/>
        </w:rPr>
        <w:t>homme, la Constitution contient, à cet égard, des dispositions évolutives et non exclusives. Tant les dispositions de la Constitution relatives aux droits de l</w:t>
      </w:r>
      <w:r w:rsidR="00731F09" w:rsidRPr="00E1372C">
        <w:rPr>
          <w:lang w:val="fr-FR" w:bidi="en-US"/>
        </w:rPr>
        <w:t>’</w:t>
      </w:r>
      <w:r w:rsidR="001A5A1F" w:rsidRPr="00E1372C">
        <w:rPr>
          <w:lang w:val="fr-FR" w:bidi="en-US"/>
        </w:rPr>
        <w:t xml:space="preserve">homme </w:t>
      </w:r>
      <w:r w:rsidR="00501D81" w:rsidRPr="00E1372C">
        <w:rPr>
          <w:lang w:val="fr-FR" w:bidi="en-US"/>
        </w:rPr>
        <w:t xml:space="preserve">que </w:t>
      </w:r>
      <w:r w:rsidR="001A5A1F" w:rsidRPr="00E1372C">
        <w:rPr>
          <w:lang w:val="fr-FR" w:bidi="en-US"/>
        </w:rPr>
        <w:t>s</w:t>
      </w:r>
      <w:r w:rsidR="00501D81" w:rsidRPr="00E1372C">
        <w:rPr>
          <w:lang w:val="fr-FR" w:bidi="en-US"/>
        </w:rPr>
        <w:t>es principes concernant la politique gouvernementale prévoient un certain degré d</w:t>
      </w:r>
      <w:r w:rsidR="00731F09" w:rsidRPr="00E1372C">
        <w:rPr>
          <w:lang w:val="fr-FR" w:bidi="en-US"/>
        </w:rPr>
        <w:t>’</w:t>
      </w:r>
      <w:r w:rsidR="00501D81" w:rsidRPr="00E1372C">
        <w:rPr>
          <w:lang w:val="fr-FR" w:bidi="en-US"/>
        </w:rPr>
        <w:t xml:space="preserve">engagement </w:t>
      </w:r>
      <w:r w:rsidR="000633F9" w:rsidRPr="00E1372C">
        <w:rPr>
          <w:lang w:val="fr-FR" w:bidi="en-US"/>
        </w:rPr>
        <w:t>et</w:t>
      </w:r>
      <w:r w:rsidR="00501D81" w:rsidRPr="00E1372C">
        <w:rPr>
          <w:lang w:val="fr-FR" w:bidi="en-US"/>
        </w:rPr>
        <w:t xml:space="preserve"> crée</w:t>
      </w:r>
      <w:r w:rsidR="000633F9" w:rsidRPr="00E1372C">
        <w:rPr>
          <w:lang w:val="fr-FR" w:bidi="en-US"/>
        </w:rPr>
        <w:t>nt</w:t>
      </w:r>
      <w:r w:rsidR="00501D81" w:rsidRPr="00E1372C">
        <w:rPr>
          <w:lang w:val="fr-FR" w:bidi="en-US"/>
        </w:rPr>
        <w:t xml:space="preserve"> un précédent quant à la portée de cet engagement de l</w:t>
      </w:r>
      <w:r w:rsidR="00731F09" w:rsidRPr="00E1372C">
        <w:rPr>
          <w:lang w:val="fr-FR" w:bidi="en-US"/>
        </w:rPr>
        <w:t>’</w:t>
      </w:r>
      <w:r w:rsidR="00501D81" w:rsidRPr="00E1372C">
        <w:rPr>
          <w:lang w:val="fr-FR" w:bidi="en-US"/>
        </w:rPr>
        <w:t>État envers ses citoyens.</w:t>
      </w:r>
      <w:r w:rsidR="00AE017E" w:rsidRPr="00E1372C">
        <w:rPr>
          <w:lang w:val="fr-FR" w:bidi="en-US"/>
        </w:rPr>
        <w:t xml:space="preserve"> </w:t>
      </w:r>
    </w:p>
    <w:p w:rsidR="00FB62D7" w:rsidRPr="00E1372C" w:rsidRDefault="007A1757" w:rsidP="007A1757">
      <w:pPr>
        <w:pStyle w:val="SingleTxtG"/>
        <w:rPr>
          <w:lang w:val="fr-FR" w:bidi="en-US"/>
        </w:rPr>
      </w:pPr>
      <w:r w:rsidRPr="00E1372C">
        <w:rPr>
          <w:lang w:val="fr-FR" w:bidi="en-US"/>
        </w:rPr>
        <w:t>39.</w:t>
      </w:r>
      <w:r w:rsidRPr="00E1372C">
        <w:rPr>
          <w:lang w:val="fr-FR" w:bidi="en-US"/>
        </w:rPr>
        <w:tab/>
      </w:r>
      <w:r w:rsidR="00FB62D7" w:rsidRPr="00E1372C">
        <w:rPr>
          <w:lang w:val="fr-FR" w:bidi="en-US"/>
        </w:rPr>
        <w:t>Certains de ces droits, comme l</w:t>
      </w:r>
      <w:r w:rsidR="00731F09" w:rsidRPr="00E1372C">
        <w:rPr>
          <w:lang w:val="fr-FR" w:bidi="en-US"/>
        </w:rPr>
        <w:t>’</w:t>
      </w:r>
      <w:r w:rsidR="00FB62D7" w:rsidRPr="00E1372C">
        <w:rPr>
          <w:lang w:val="fr-FR" w:bidi="en-US"/>
        </w:rPr>
        <w:t>éduca</w:t>
      </w:r>
      <w:r w:rsidR="00922855" w:rsidRPr="00E1372C">
        <w:rPr>
          <w:lang w:val="fr-FR" w:bidi="en-US"/>
        </w:rPr>
        <w:t>tion pour tous (par. 1 de l</w:t>
      </w:r>
      <w:r w:rsidR="00731F09" w:rsidRPr="00E1372C">
        <w:rPr>
          <w:lang w:val="fr-FR" w:bidi="en-US"/>
        </w:rPr>
        <w:t>’</w:t>
      </w:r>
      <w:r w:rsidR="00922855" w:rsidRPr="00E1372C">
        <w:rPr>
          <w:lang w:val="fr-FR" w:bidi="en-US"/>
        </w:rPr>
        <w:t>article</w:t>
      </w:r>
      <w:r w:rsidR="00FB62D7" w:rsidRPr="00E1372C">
        <w:rPr>
          <w:lang w:val="fr-FR" w:bidi="en-US"/>
        </w:rPr>
        <w:t> 20), sont assortis d</w:t>
      </w:r>
      <w:r w:rsidR="00731F09" w:rsidRPr="00E1372C">
        <w:rPr>
          <w:lang w:val="fr-FR" w:bidi="en-US"/>
        </w:rPr>
        <w:t>’</w:t>
      </w:r>
      <w:r w:rsidR="00FB62D7" w:rsidRPr="00E1372C">
        <w:rPr>
          <w:lang w:val="fr-FR" w:bidi="en-US"/>
        </w:rPr>
        <w:t>objectifs qui exigent une application immédiate. Le Gouvernement a œuvré assidûment pour concrétiser ces droits, comme en témoigne à chaque rentrée sa capacité à faire admettre des étudiants dans les institutions universitaires déjà surchargées.</w:t>
      </w:r>
    </w:p>
    <w:p w:rsidR="00A55A0E" w:rsidRPr="00E1372C" w:rsidRDefault="007A1757" w:rsidP="007A1757">
      <w:pPr>
        <w:pStyle w:val="SingleTxtG"/>
        <w:rPr>
          <w:lang w:val="fr-FR" w:bidi="en-US"/>
        </w:rPr>
      </w:pPr>
      <w:r w:rsidRPr="00E1372C">
        <w:rPr>
          <w:lang w:val="fr-FR" w:bidi="en-US"/>
        </w:rPr>
        <w:t>40.</w:t>
      </w:r>
      <w:r w:rsidRPr="00E1372C">
        <w:rPr>
          <w:lang w:val="fr-FR" w:bidi="en-US"/>
        </w:rPr>
        <w:tab/>
      </w:r>
      <w:r w:rsidR="00FB62D7" w:rsidRPr="00E1372C">
        <w:rPr>
          <w:lang w:val="fr-FR" w:bidi="en-US"/>
        </w:rPr>
        <w:t>Le Gouvernement a créé l</w:t>
      </w:r>
      <w:r w:rsidR="00731F09" w:rsidRPr="00E1372C">
        <w:rPr>
          <w:lang w:val="fr-FR" w:bidi="en-US"/>
        </w:rPr>
        <w:t>’</w:t>
      </w:r>
      <w:r w:rsidR="00FB62D7" w:rsidRPr="00E1372C">
        <w:rPr>
          <w:lang w:val="fr-FR" w:bidi="en-US"/>
        </w:rPr>
        <w:t>Institut national pour le développement de l</w:t>
      </w:r>
      <w:r w:rsidR="00731F09" w:rsidRPr="00E1372C">
        <w:rPr>
          <w:lang w:val="fr-FR" w:bidi="en-US"/>
        </w:rPr>
        <w:t>’</w:t>
      </w:r>
      <w:r w:rsidR="00FB62D7" w:rsidRPr="00E1372C">
        <w:rPr>
          <w:lang w:val="fr-FR" w:bidi="en-US"/>
        </w:rPr>
        <w:t xml:space="preserve">éducation à </w:t>
      </w:r>
      <w:r w:rsidR="00A55A0E" w:rsidRPr="00E1372C">
        <w:rPr>
          <w:lang w:val="fr-FR" w:bidi="en-US"/>
        </w:rPr>
        <w:t>Okahandja,</w:t>
      </w:r>
      <w:r w:rsidR="00FB62D7" w:rsidRPr="00E1372C">
        <w:rPr>
          <w:lang w:val="fr-FR" w:bidi="en-US"/>
        </w:rPr>
        <w:t xml:space="preserve"> aux fins de planification de l</w:t>
      </w:r>
      <w:r w:rsidR="00731F09" w:rsidRPr="00E1372C">
        <w:rPr>
          <w:lang w:val="fr-FR" w:bidi="en-US"/>
        </w:rPr>
        <w:t>’</w:t>
      </w:r>
      <w:r w:rsidR="00FB62D7" w:rsidRPr="00E1372C">
        <w:rPr>
          <w:lang w:val="fr-FR" w:bidi="en-US"/>
        </w:rPr>
        <w:t>enseignement. De nouvelles écoles s</w:t>
      </w:r>
      <w:r w:rsidR="00731F09" w:rsidRPr="00E1372C">
        <w:rPr>
          <w:lang w:val="fr-FR" w:bidi="en-US"/>
        </w:rPr>
        <w:t>’</w:t>
      </w:r>
      <w:r w:rsidR="00FB62D7" w:rsidRPr="00E1372C">
        <w:rPr>
          <w:lang w:val="fr-FR" w:bidi="en-US"/>
        </w:rPr>
        <w:t>ouvrent dans le pays et, parfois, des écoles sont organisées sans structures bâties appropriées</w:t>
      </w:r>
      <w:r w:rsidR="00A55A0E" w:rsidRPr="00E1372C">
        <w:rPr>
          <w:lang w:val="fr-FR" w:bidi="en-US"/>
        </w:rPr>
        <w:t>.</w:t>
      </w:r>
    </w:p>
    <w:p w:rsidR="00FB62D7" w:rsidRPr="00E1372C" w:rsidRDefault="007A1757" w:rsidP="007A1757">
      <w:pPr>
        <w:pStyle w:val="SingleTxtG"/>
        <w:rPr>
          <w:lang w:val="fr-FR" w:bidi="en-US"/>
        </w:rPr>
      </w:pPr>
      <w:r w:rsidRPr="00E1372C">
        <w:rPr>
          <w:lang w:val="fr-FR" w:bidi="en-US"/>
        </w:rPr>
        <w:t>41.</w:t>
      </w:r>
      <w:r w:rsidRPr="00E1372C">
        <w:rPr>
          <w:lang w:val="fr-FR" w:bidi="en-US"/>
        </w:rPr>
        <w:tab/>
      </w:r>
      <w:r w:rsidR="00FB62D7" w:rsidRPr="00E1372C">
        <w:rPr>
          <w:lang w:val="fr-FR" w:bidi="en-US"/>
        </w:rPr>
        <w:t>Le principe d</w:t>
      </w:r>
      <w:r w:rsidR="00731F09" w:rsidRPr="00E1372C">
        <w:rPr>
          <w:lang w:val="fr-FR" w:bidi="en-US"/>
        </w:rPr>
        <w:t>’</w:t>
      </w:r>
      <w:r w:rsidR="00FB62D7" w:rsidRPr="00E1372C">
        <w:rPr>
          <w:lang w:val="fr-FR" w:bidi="en-US"/>
        </w:rPr>
        <w:t>une hiérarchie ou priorité des droits est toujours actuel en fonction des conditions climatiques et les ressources de l</w:t>
      </w:r>
      <w:r w:rsidR="00731F09" w:rsidRPr="00E1372C">
        <w:rPr>
          <w:lang w:val="fr-FR" w:bidi="en-US"/>
        </w:rPr>
        <w:t>’</w:t>
      </w:r>
      <w:r w:rsidR="00FB62D7" w:rsidRPr="00E1372C">
        <w:rPr>
          <w:lang w:val="fr-FR" w:bidi="en-US"/>
        </w:rPr>
        <w:t>État sont limitées. Une sécheresse cyclique frappe la Namibie, qui l</w:t>
      </w:r>
      <w:r w:rsidR="00731F09" w:rsidRPr="00E1372C">
        <w:rPr>
          <w:lang w:val="fr-FR" w:bidi="en-US"/>
        </w:rPr>
        <w:t>’</w:t>
      </w:r>
      <w:r w:rsidR="00FB62D7" w:rsidRPr="00E1372C">
        <w:rPr>
          <w:lang w:val="fr-FR" w:bidi="en-US"/>
        </w:rPr>
        <w:t>oblige à fournir une aide alimentaire aux ménages pauvres, dont les propres ressources ne suffisent pas à satisfaire les besoins.</w:t>
      </w:r>
    </w:p>
    <w:p w:rsidR="00FB62D7" w:rsidRPr="00E1372C" w:rsidRDefault="007A1757" w:rsidP="007A1757">
      <w:pPr>
        <w:pStyle w:val="SingleTxtG"/>
        <w:rPr>
          <w:lang w:val="fr-FR" w:bidi="en-US"/>
        </w:rPr>
      </w:pPr>
      <w:r w:rsidRPr="00E1372C">
        <w:rPr>
          <w:lang w:val="fr-FR" w:bidi="en-US"/>
        </w:rPr>
        <w:t>42.</w:t>
      </w:r>
      <w:r w:rsidRPr="00E1372C">
        <w:rPr>
          <w:lang w:val="fr-FR" w:bidi="en-US"/>
        </w:rPr>
        <w:tab/>
      </w:r>
      <w:r w:rsidR="00FB62D7" w:rsidRPr="00E1372C">
        <w:rPr>
          <w:lang w:val="fr-FR" w:bidi="en-US"/>
        </w:rPr>
        <w:t>Dans ce contexte, l</w:t>
      </w:r>
      <w:r w:rsidR="00731F09" w:rsidRPr="00E1372C">
        <w:rPr>
          <w:lang w:val="fr-FR" w:bidi="en-US"/>
        </w:rPr>
        <w:t>’</w:t>
      </w:r>
      <w:r w:rsidR="00FB62D7" w:rsidRPr="00E1372C">
        <w:rPr>
          <w:lang w:val="fr-FR" w:bidi="en-US"/>
        </w:rPr>
        <w:t>offre d</w:t>
      </w:r>
      <w:r w:rsidR="00731F09" w:rsidRPr="00E1372C">
        <w:rPr>
          <w:lang w:val="fr-FR" w:bidi="en-US"/>
        </w:rPr>
        <w:t>’</w:t>
      </w:r>
      <w:r w:rsidR="00FB62D7" w:rsidRPr="00E1372C">
        <w:rPr>
          <w:lang w:val="fr-FR" w:bidi="en-US"/>
        </w:rPr>
        <w:t xml:space="preserve">aliments de base destinés à la population </w:t>
      </w:r>
      <w:r w:rsidR="000633F9" w:rsidRPr="00E1372C">
        <w:rPr>
          <w:lang w:val="fr-FR" w:bidi="en-US"/>
        </w:rPr>
        <w:t xml:space="preserve">atteinte de </w:t>
      </w:r>
      <w:r w:rsidR="00FB62D7" w:rsidRPr="00E1372C">
        <w:rPr>
          <w:lang w:val="fr-FR" w:bidi="en-US"/>
        </w:rPr>
        <w:t>dénutri</w:t>
      </w:r>
      <w:r w:rsidR="000633F9" w:rsidRPr="00E1372C">
        <w:rPr>
          <w:lang w:val="fr-FR" w:bidi="en-US"/>
        </w:rPr>
        <w:t>tion</w:t>
      </w:r>
      <w:r w:rsidR="00FB62D7" w:rsidRPr="00E1372C">
        <w:rPr>
          <w:lang w:val="fr-FR" w:bidi="en-US"/>
        </w:rPr>
        <w:t xml:space="preserve"> pr</w:t>
      </w:r>
      <w:r w:rsidR="000633F9" w:rsidRPr="00E1372C">
        <w:rPr>
          <w:lang w:val="fr-FR" w:bidi="en-US"/>
        </w:rPr>
        <w:t>évaut</w:t>
      </w:r>
      <w:r w:rsidR="00FB62D7" w:rsidRPr="00E1372C">
        <w:rPr>
          <w:lang w:val="fr-FR" w:bidi="en-US"/>
        </w:rPr>
        <w:t xml:space="preserve"> et </w:t>
      </w:r>
      <w:r w:rsidR="000633F9" w:rsidRPr="00E1372C">
        <w:rPr>
          <w:lang w:val="fr-FR" w:bidi="en-US"/>
        </w:rPr>
        <w:t>il</w:t>
      </w:r>
      <w:r w:rsidR="00FB62D7" w:rsidRPr="00E1372C">
        <w:rPr>
          <w:lang w:val="fr-FR" w:bidi="en-US"/>
        </w:rPr>
        <w:t xml:space="preserve"> serait inhumain</w:t>
      </w:r>
      <w:r w:rsidR="000633F9" w:rsidRPr="00E1372C">
        <w:rPr>
          <w:lang w:val="fr-FR" w:bidi="en-US"/>
        </w:rPr>
        <w:t xml:space="preserve"> d</w:t>
      </w:r>
      <w:r w:rsidR="00731F09" w:rsidRPr="00E1372C">
        <w:rPr>
          <w:lang w:val="fr-FR" w:bidi="en-US"/>
        </w:rPr>
        <w:t>’</w:t>
      </w:r>
      <w:r w:rsidR="000633F9" w:rsidRPr="00E1372C">
        <w:rPr>
          <w:lang w:val="fr-FR" w:bidi="en-US"/>
        </w:rPr>
        <w:t>en faire moins</w:t>
      </w:r>
      <w:r w:rsidR="00FB62D7" w:rsidRPr="00E1372C">
        <w:rPr>
          <w:lang w:val="fr-FR" w:bidi="en-US"/>
        </w:rPr>
        <w:t>. De même, la fourniture de logements est au centre des préoccupations, le Ministère des collectivités régionales et locales, de l</w:t>
      </w:r>
      <w:r w:rsidR="00731F09" w:rsidRPr="00E1372C">
        <w:rPr>
          <w:lang w:val="fr-FR" w:bidi="en-US"/>
        </w:rPr>
        <w:t>’</w:t>
      </w:r>
      <w:r w:rsidR="00FB62D7" w:rsidRPr="00E1372C">
        <w:rPr>
          <w:lang w:val="fr-FR" w:bidi="en-US"/>
        </w:rPr>
        <w:t>habitat et du développement rural étant chargé de loger la population.</w:t>
      </w:r>
    </w:p>
    <w:p w:rsidR="00FB62D7" w:rsidRPr="00E1372C" w:rsidRDefault="007A1757" w:rsidP="007A1757">
      <w:pPr>
        <w:pStyle w:val="SingleTxtG"/>
        <w:rPr>
          <w:lang w:val="fr-FR" w:bidi="en-US"/>
        </w:rPr>
      </w:pPr>
      <w:r w:rsidRPr="00E1372C">
        <w:rPr>
          <w:lang w:val="fr-FR" w:bidi="en-US"/>
        </w:rPr>
        <w:t>43.</w:t>
      </w:r>
      <w:r w:rsidRPr="00E1372C">
        <w:rPr>
          <w:lang w:val="fr-FR" w:bidi="en-US"/>
        </w:rPr>
        <w:tab/>
      </w:r>
      <w:r w:rsidR="00FB62D7" w:rsidRPr="00E1372C">
        <w:rPr>
          <w:lang w:val="fr-FR" w:bidi="en-US"/>
        </w:rPr>
        <w:t>Le colonialisme allemand</w:t>
      </w:r>
      <w:r w:rsidR="00EB515F" w:rsidRPr="00E1372C">
        <w:rPr>
          <w:lang w:val="fr-FR" w:bidi="en-US"/>
        </w:rPr>
        <w:t>,</w:t>
      </w:r>
      <w:r w:rsidR="00FB62D7" w:rsidRPr="00E1372C">
        <w:rPr>
          <w:lang w:val="fr-FR" w:bidi="en-US"/>
        </w:rPr>
        <w:t xml:space="preserve"> puis le pouvoir administratif sud-africain sous l</w:t>
      </w:r>
      <w:r w:rsidR="00731F09" w:rsidRPr="00E1372C">
        <w:rPr>
          <w:lang w:val="fr-FR" w:bidi="en-US"/>
        </w:rPr>
        <w:t>’</w:t>
      </w:r>
      <w:r w:rsidR="00FB62D7" w:rsidRPr="00E1372C">
        <w:rPr>
          <w:lang w:val="fr-FR" w:bidi="en-US"/>
        </w:rPr>
        <w:t>égide de la Société des Nations</w:t>
      </w:r>
      <w:r w:rsidR="00EB515F" w:rsidRPr="00E1372C">
        <w:rPr>
          <w:lang w:val="fr-FR" w:bidi="en-US"/>
        </w:rPr>
        <w:t>,</w:t>
      </w:r>
      <w:r w:rsidR="004B3CA7" w:rsidRPr="00E1372C">
        <w:rPr>
          <w:lang w:val="fr-FR" w:bidi="en-US"/>
        </w:rPr>
        <w:t xml:space="preserve"> ont laissé le pays occupé et exploité par des Allemands et des Sud</w:t>
      </w:r>
      <w:r w:rsidR="007064FC" w:rsidRPr="00E1372C">
        <w:rPr>
          <w:lang w:val="fr-FR" w:bidi="en-US"/>
        </w:rPr>
        <w:t>-</w:t>
      </w:r>
      <w:r w:rsidR="004B3CA7" w:rsidRPr="00E1372C">
        <w:rPr>
          <w:lang w:val="fr-FR" w:bidi="en-US"/>
        </w:rPr>
        <w:t>Africains, qui ont pris les terres les plus adaptées à l</w:t>
      </w:r>
      <w:r w:rsidR="00731F09" w:rsidRPr="00E1372C">
        <w:rPr>
          <w:lang w:val="fr-FR" w:bidi="en-US"/>
        </w:rPr>
        <w:t>’</w:t>
      </w:r>
      <w:r w:rsidR="004B3CA7" w:rsidRPr="00E1372C">
        <w:rPr>
          <w:lang w:val="fr-FR" w:bidi="en-US"/>
        </w:rPr>
        <w:t>élevage d</w:t>
      </w:r>
      <w:r w:rsidR="00EB515F" w:rsidRPr="00E1372C">
        <w:rPr>
          <w:lang w:val="fr-FR" w:bidi="en-US"/>
        </w:rPr>
        <w:t>e</w:t>
      </w:r>
      <w:r w:rsidR="004B3CA7" w:rsidRPr="00E1372C">
        <w:rPr>
          <w:lang w:val="fr-FR" w:bidi="en-US"/>
        </w:rPr>
        <w:t xml:space="preserve"> bétail et d</w:t>
      </w:r>
      <w:r w:rsidR="00EB515F" w:rsidRPr="00E1372C">
        <w:rPr>
          <w:lang w:val="fr-FR" w:bidi="en-US"/>
        </w:rPr>
        <w:t>e</w:t>
      </w:r>
      <w:r w:rsidR="004B3CA7" w:rsidRPr="00E1372C">
        <w:rPr>
          <w:lang w:val="fr-FR" w:bidi="en-US"/>
        </w:rPr>
        <w:t xml:space="preserve"> gibier, les autochtones africains constituant la réserve de main-d</w:t>
      </w:r>
      <w:r w:rsidR="00731F09" w:rsidRPr="00E1372C">
        <w:rPr>
          <w:lang w:val="fr-FR" w:bidi="en-US"/>
        </w:rPr>
        <w:t>’</w:t>
      </w:r>
      <w:r w:rsidR="004B3CA7" w:rsidRPr="00E1372C">
        <w:rPr>
          <w:lang w:val="fr-FR" w:bidi="en-US"/>
        </w:rPr>
        <w:t xml:space="preserve">œuvre au service du </w:t>
      </w:r>
      <w:r w:rsidR="000633F9" w:rsidRPr="00E1372C">
        <w:rPr>
          <w:lang w:val="fr-FR" w:bidi="en-US"/>
        </w:rPr>
        <w:t>S</w:t>
      </w:r>
      <w:r w:rsidR="004B3CA7" w:rsidRPr="00E1372C">
        <w:rPr>
          <w:lang w:val="fr-FR" w:bidi="en-US"/>
        </w:rPr>
        <w:t>ud-</w:t>
      </w:r>
      <w:r w:rsidR="000633F9" w:rsidRPr="00E1372C">
        <w:rPr>
          <w:lang w:val="fr-FR" w:bidi="en-US"/>
        </w:rPr>
        <w:t>O</w:t>
      </w:r>
      <w:r w:rsidR="004B3CA7" w:rsidRPr="00E1372C">
        <w:rPr>
          <w:lang w:val="fr-FR" w:bidi="en-US"/>
        </w:rPr>
        <w:t>uest africain et de l</w:t>
      </w:r>
      <w:r w:rsidR="00731F09" w:rsidRPr="00E1372C">
        <w:rPr>
          <w:lang w:val="fr-FR" w:bidi="en-US"/>
        </w:rPr>
        <w:t>’</w:t>
      </w:r>
      <w:r w:rsidR="004B3CA7" w:rsidRPr="00E1372C">
        <w:rPr>
          <w:lang w:val="fr-FR" w:bidi="en-US"/>
        </w:rPr>
        <w:t>Afrique du Sud. Le pays a également servi de source de minéraux bon marché.</w:t>
      </w:r>
    </w:p>
    <w:p w:rsidR="00A55A0E" w:rsidRPr="00E1372C" w:rsidRDefault="007A1757" w:rsidP="007A1757">
      <w:pPr>
        <w:pStyle w:val="SingleTxtG"/>
        <w:rPr>
          <w:lang w:val="fr-FR" w:bidi="en-US"/>
        </w:rPr>
      </w:pPr>
      <w:r w:rsidRPr="00E1372C">
        <w:rPr>
          <w:lang w:val="fr-FR" w:bidi="en-US"/>
        </w:rPr>
        <w:t>44.</w:t>
      </w:r>
      <w:r w:rsidRPr="00E1372C">
        <w:rPr>
          <w:lang w:val="fr-FR" w:bidi="en-US"/>
        </w:rPr>
        <w:tab/>
      </w:r>
      <w:r w:rsidR="004B3CA7" w:rsidRPr="00E1372C">
        <w:rPr>
          <w:lang w:val="fr-FR" w:bidi="en-US"/>
        </w:rPr>
        <w:t>Dans l</w:t>
      </w:r>
      <w:r w:rsidR="00731F09" w:rsidRPr="00E1372C">
        <w:rPr>
          <w:lang w:val="fr-FR" w:bidi="en-US"/>
        </w:rPr>
        <w:t>’</w:t>
      </w:r>
      <w:r w:rsidR="004B3CA7" w:rsidRPr="00E1372C">
        <w:rPr>
          <w:lang w:val="fr-FR" w:bidi="en-US"/>
        </w:rPr>
        <w:t>actuel système économique, 5</w:t>
      </w:r>
      <w:r w:rsidR="007064FC" w:rsidRPr="00E1372C">
        <w:rPr>
          <w:lang w:val="fr-FR" w:bidi="en-US"/>
        </w:rPr>
        <w:t> %</w:t>
      </w:r>
      <w:r w:rsidR="004B3CA7" w:rsidRPr="00E1372C">
        <w:rPr>
          <w:lang w:val="fr-FR" w:bidi="en-US"/>
        </w:rPr>
        <w:t xml:space="preserve"> de la population représentent 70</w:t>
      </w:r>
      <w:r w:rsidR="007064FC" w:rsidRPr="00E1372C">
        <w:rPr>
          <w:lang w:val="fr-FR" w:bidi="en-US"/>
        </w:rPr>
        <w:t> %</w:t>
      </w:r>
      <w:r w:rsidR="004B3CA7" w:rsidRPr="00E1372C">
        <w:rPr>
          <w:lang w:val="fr-FR" w:bidi="en-US"/>
        </w:rPr>
        <w:t xml:space="preserve"> du produit intérieur brut (PIB) du pays et 11,2</w:t>
      </w:r>
      <w:r w:rsidR="007064FC" w:rsidRPr="00E1372C">
        <w:rPr>
          <w:lang w:val="fr-FR" w:bidi="en-US"/>
        </w:rPr>
        <w:t> %</w:t>
      </w:r>
      <w:r w:rsidR="004B3CA7" w:rsidRPr="00E1372C">
        <w:rPr>
          <w:lang w:val="fr-FR" w:bidi="en-US"/>
        </w:rPr>
        <w:t xml:space="preserve"> de la population totale, d</w:t>
      </w:r>
      <w:r w:rsidR="00731F09" w:rsidRPr="00E1372C">
        <w:rPr>
          <w:lang w:val="fr-FR" w:bidi="en-US"/>
        </w:rPr>
        <w:t>’</w:t>
      </w:r>
      <w:r w:rsidR="004B3CA7" w:rsidRPr="00E1372C">
        <w:rPr>
          <w:lang w:val="fr-FR" w:bidi="en-US"/>
        </w:rPr>
        <w:t>origine européenne, perçoivent 51,5</w:t>
      </w:r>
      <w:r w:rsidR="007064FC" w:rsidRPr="00E1372C">
        <w:rPr>
          <w:lang w:val="fr-FR" w:bidi="en-US"/>
        </w:rPr>
        <w:t> %</w:t>
      </w:r>
      <w:r w:rsidR="004B3CA7" w:rsidRPr="00E1372C">
        <w:rPr>
          <w:lang w:val="fr-FR" w:bidi="en-US"/>
        </w:rPr>
        <w:t xml:space="preserve"> du revenu annuel total.</w:t>
      </w:r>
    </w:p>
    <w:p w:rsidR="004B3CA7" w:rsidRPr="00E1372C" w:rsidRDefault="007A1757" w:rsidP="007A1757">
      <w:pPr>
        <w:pStyle w:val="SingleTxtG"/>
        <w:rPr>
          <w:lang w:val="fr-FR" w:bidi="en-US"/>
        </w:rPr>
      </w:pPr>
      <w:r w:rsidRPr="00E1372C">
        <w:rPr>
          <w:lang w:val="fr-FR" w:bidi="en-US"/>
        </w:rPr>
        <w:t>45.</w:t>
      </w:r>
      <w:r w:rsidRPr="00E1372C">
        <w:rPr>
          <w:lang w:val="fr-FR" w:bidi="en-US"/>
        </w:rPr>
        <w:tab/>
      </w:r>
      <w:r w:rsidR="004B3CA7" w:rsidRPr="00E1372C">
        <w:rPr>
          <w:lang w:val="fr-FR" w:bidi="en-US"/>
        </w:rPr>
        <w:t>La Namibie se relève d</w:t>
      </w:r>
      <w:r w:rsidR="00731F09" w:rsidRPr="00E1372C">
        <w:rPr>
          <w:lang w:val="fr-FR" w:bidi="en-US"/>
        </w:rPr>
        <w:t>’</w:t>
      </w:r>
      <w:r w:rsidR="004B3CA7" w:rsidRPr="00E1372C">
        <w:rPr>
          <w:lang w:val="fr-FR" w:bidi="en-US"/>
        </w:rPr>
        <w:t>une longue période d</w:t>
      </w:r>
      <w:r w:rsidR="00731F09" w:rsidRPr="00E1372C">
        <w:rPr>
          <w:lang w:val="fr-FR" w:bidi="en-US"/>
        </w:rPr>
        <w:t>’</w:t>
      </w:r>
      <w:r w:rsidR="004B3CA7" w:rsidRPr="00E1372C">
        <w:rPr>
          <w:lang w:val="fr-FR" w:bidi="en-US"/>
        </w:rPr>
        <w:t>oppression coloniale. L</w:t>
      </w:r>
      <w:r w:rsidR="00731F09" w:rsidRPr="00E1372C">
        <w:rPr>
          <w:lang w:val="fr-FR" w:bidi="en-US"/>
        </w:rPr>
        <w:t>’</w:t>
      </w:r>
      <w:r w:rsidR="004B3CA7" w:rsidRPr="00E1372C">
        <w:rPr>
          <w:lang w:val="fr-FR" w:bidi="en-US"/>
        </w:rPr>
        <w:t>expropriation des terres à grande échelle qui s</w:t>
      </w:r>
      <w:r w:rsidR="00731F09" w:rsidRPr="00E1372C">
        <w:rPr>
          <w:lang w:val="fr-FR" w:bidi="en-US"/>
        </w:rPr>
        <w:t>’</w:t>
      </w:r>
      <w:r w:rsidR="004B3CA7" w:rsidRPr="00E1372C">
        <w:rPr>
          <w:lang w:val="fr-FR" w:bidi="en-US"/>
        </w:rPr>
        <w:t xml:space="preserve">est produite en Namibie a suscité mécontentement et famine. La part de terres par habitant est, parmi les Blancs, </w:t>
      </w:r>
      <w:r w:rsidR="004402D0" w:rsidRPr="00E1372C">
        <w:rPr>
          <w:lang w:val="fr-FR" w:bidi="en-US"/>
        </w:rPr>
        <w:t>trois cents</w:t>
      </w:r>
      <w:r w:rsidR="004B3CA7" w:rsidRPr="00E1372C">
        <w:rPr>
          <w:lang w:val="fr-FR" w:bidi="en-US"/>
        </w:rPr>
        <w:t> fois supérieure à celle attribuée aux Noirs; ce phénomène explique le sous-développement des zones rurales.</w:t>
      </w:r>
    </w:p>
    <w:p w:rsidR="00A55A0E" w:rsidRPr="00E1372C" w:rsidRDefault="007A1757" w:rsidP="007A1757">
      <w:pPr>
        <w:pStyle w:val="SingleTxtG"/>
        <w:rPr>
          <w:lang w:val="fr-FR" w:bidi="en-US"/>
        </w:rPr>
      </w:pPr>
      <w:r w:rsidRPr="00E1372C">
        <w:rPr>
          <w:lang w:val="fr-FR" w:bidi="en-US"/>
        </w:rPr>
        <w:t>46.</w:t>
      </w:r>
      <w:r w:rsidRPr="00E1372C">
        <w:rPr>
          <w:lang w:val="fr-FR" w:bidi="en-US"/>
        </w:rPr>
        <w:tab/>
      </w:r>
      <w:r w:rsidR="004B3CA7" w:rsidRPr="00E1372C">
        <w:rPr>
          <w:lang w:val="fr-FR" w:bidi="en-US"/>
        </w:rPr>
        <w:t>L</w:t>
      </w:r>
      <w:r w:rsidR="00731F09" w:rsidRPr="00E1372C">
        <w:rPr>
          <w:lang w:val="fr-FR" w:bidi="en-US"/>
        </w:rPr>
        <w:t>’</w:t>
      </w:r>
      <w:r w:rsidR="004B3CA7" w:rsidRPr="00E1372C">
        <w:rPr>
          <w:lang w:val="fr-FR" w:bidi="en-US"/>
        </w:rPr>
        <w:t>économie de la Namibie se caractérise par une activité traditionnellement exportatrice (vers l</w:t>
      </w:r>
      <w:r w:rsidR="00731F09" w:rsidRPr="00E1372C">
        <w:rPr>
          <w:lang w:val="fr-FR" w:bidi="en-US"/>
        </w:rPr>
        <w:t>’</w:t>
      </w:r>
      <w:r w:rsidR="004B3CA7" w:rsidRPr="00E1372C">
        <w:rPr>
          <w:lang w:val="fr-FR" w:bidi="en-US"/>
        </w:rPr>
        <w:t>Afrique du Sud) et, comme la plupart des pays en développement, des produits primaires l</w:t>
      </w:r>
      <w:r w:rsidR="00731F09" w:rsidRPr="00E1372C">
        <w:rPr>
          <w:lang w:val="fr-FR" w:bidi="en-US"/>
        </w:rPr>
        <w:t>’</w:t>
      </w:r>
      <w:r w:rsidR="004B3CA7" w:rsidRPr="00E1372C">
        <w:rPr>
          <w:lang w:val="fr-FR" w:bidi="en-US"/>
        </w:rPr>
        <w:t>exposent aux fluctuations des prix sur le marché mondial. En 1996 et 1997, le PIB s</w:t>
      </w:r>
      <w:r w:rsidR="00731F09" w:rsidRPr="00E1372C">
        <w:rPr>
          <w:lang w:val="fr-FR" w:bidi="en-US"/>
        </w:rPr>
        <w:t>’</w:t>
      </w:r>
      <w:r w:rsidR="004B3CA7" w:rsidRPr="00E1372C">
        <w:rPr>
          <w:lang w:val="fr-FR" w:bidi="en-US"/>
        </w:rPr>
        <w:t xml:space="preserve">élevait en Namibie à </w:t>
      </w:r>
      <w:r w:rsidR="00A55A0E" w:rsidRPr="00E1372C">
        <w:rPr>
          <w:lang w:val="fr-FR" w:bidi="en-US"/>
        </w:rPr>
        <w:t>2</w:t>
      </w:r>
      <w:r w:rsidR="004B3CA7" w:rsidRPr="00E1372C">
        <w:rPr>
          <w:lang w:val="fr-FR" w:bidi="en-US"/>
        </w:rPr>
        <w:t> </w:t>
      </w:r>
      <w:r w:rsidR="00A55A0E" w:rsidRPr="00E1372C">
        <w:rPr>
          <w:lang w:val="fr-FR" w:bidi="en-US"/>
        </w:rPr>
        <w:t>067</w:t>
      </w:r>
      <w:r w:rsidR="004B3CA7" w:rsidRPr="00E1372C">
        <w:rPr>
          <w:lang w:val="fr-FR" w:bidi="en-US"/>
        </w:rPr>
        <w:t> dollars</w:t>
      </w:r>
      <w:r w:rsidR="002D58B3" w:rsidRPr="00E1372C">
        <w:rPr>
          <w:lang w:val="fr-FR" w:bidi="en-US"/>
        </w:rPr>
        <w:t xml:space="preserve"> des États-Unis</w:t>
      </w:r>
      <w:r w:rsidR="004B3CA7" w:rsidRPr="00E1372C">
        <w:rPr>
          <w:lang w:val="fr-FR" w:bidi="en-US"/>
        </w:rPr>
        <w:t>, les pays dont le PIB était plus élevé à l</w:t>
      </w:r>
      <w:r w:rsidR="00731F09" w:rsidRPr="00E1372C">
        <w:rPr>
          <w:lang w:val="fr-FR" w:bidi="en-US"/>
        </w:rPr>
        <w:t>’</w:t>
      </w:r>
      <w:r w:rsidR="004B3CA7" w:rsidRPr="00E1372C">
        <w:rPr>
          <w:lang w:val="fr-FR" w:bidi="en-US"/>
        </w:rPr>
        <w:t>époque</w:t>
      </w:r>
      <w:r w:rsidR="008C2130" w:rsidRPr="00E1372C">
        <w:rPr>
          <w:lang w:val="fr-FR" w:bidi="en-US"/>
        </w:rPr>
        <w:t xml:space="preserve"> en Afrique australe étant le </w:t>
      </w:r>
      <w:r w:rsidR="00A55A0E" w:rsidRPr="00E1372C">
        <w:rPr>
          <w:lang w:val="fr-FR" w:bidi="en-US"/>
        </w:rPr>
        <w:t xml:space="preserve">Botswana </w:t>
      </w:r>
      <w:r w:rsidR="008C2130" w:rsidRPr="00E1372C">
        <w:rPr>
          <w:lang w:val="fr-FR" w:bidi="en-US"/>
        </w:rPr>
        <w:t>(</w:t>
      </w:r>
      <w:r w:rsidR="00A55A0E" w:rsidRPr="00E1372C">
        <w:rPr>
          <w:lang w:val="fr-FR" w:bidi="en-US"/>
        </w:rPr>
        <w:t>4</w:t>
      </w:r>
      <w:r w:rsidR="008C2130" w:rsidRPr="00E1372C">
        <w:rPr>
          <w:lang w:val="fr-FR" w:bidi="en-US"/>
        </w:rPr>
        <w:t> </w:t>
      </w:r>
      <w:r w:rsidR="00A55A0E" w:rsidRPr="00E1372C">
        <w:rPr>
          <w:lang w:val="fr-FR" w:bidi="en-US"/>
        </w:rPr>
        <w:t>936</w:t>
      </w:r>
      <w:r w:rsidR="008C2130" w:rsidRPr="00E1372C">
        <w:rPr>
          <w:lang w:val="fr-FR" w:bidi="en-US"/>
        </w:rPr>
        <w:t> dollars</w:t>
      </w:r>
      <w:r w:rsidR="002D58B3" w:rsidRPr="00E1372C">
        <w:rPr>
          <w:lang w:val="fr-FR" w:bidi="en-US"/>
        </w:rPr>
        <w:t xml:space="preserve"> É.-U.</w:t>
      </w:r>
      <w:r w:rsidR="008C2130" w:rsidRPr="00E1372C">
        <w:rPr>
          <w:lang w:val="fr-FR" w:bidi="en-US"/>
        </w:rPr>
        <w:t>), Maurice (</w:t>
      </w:r>
      <w:r w:rsidR="00A55A0E" w:rsidRPr="00E1372C">
        <w:rPr>
          <w:lang w:val="fr-FR" w:bidi="en-US"/>
        </w:rPr>
        <w:t>4</w:t>
      </w:r>
      <w:r w:rsidR="008C2130" w:rsidRPr="00E1372C">
        <w:rPr>
          <w:lang w:val="fr-FR" w:bidi="en-US"/>
        </w:rPr>
        <w:t> </w:t>
      </w:r>
      <w:r w:rsidR="00A55A0E" w:rsidRPr="00E1372C">
        <w:rPr>
          <w:lang w:val="fr-FR" w:bidi="en-US"/>
        </w:rPr>
        <w:t>173</w:t>
      </w:r>
      <w:r w:rsidR="008C2130" w:rsidRPr="00E1372C">
        <w:rPr>
          <w:lang w:val="fr-FR" w:bidi="en-US"/>
        </w:rPr>
        <w:t> dollars</w:t>
      </w:r>
      <w:r w:rsidR="002D58B3" w:rsidRPr="00E1372C">
        <w:rPr>
          <w:lang w:val="fr-FR" w:bidi="en-US"/>
        </w:rPr>
        <w:t xml:space="preserve"> É.-U.</w:t>
      </w:r>
      <w:r w:rsidR="008C2130" w:rsidRPr="00E1372C">
        <w:rPr>
          <w:lang w:val="fr-FR" w:bidi="en-US"/>
        </w:rPr>
        <w:t>) et l</w:t>
      </w:r>
      <w:r w:rsidR="00731F09" w:rsidRPr="00E1372C">
        <w:rPr>
          <w:lang w:val="fr-FR" w:bidi="en-US"/>
        </w:rPr>
        <w:t>’</w:t>
      </w:r>
      <w:r w:rsidR="008C2130" w:rsidRPr="00E1372C">
        <w:rPr>
          <w:lang w:val="fr-FR" w:bidi="en-US"/>
        </w:rPr>
        <w:t>Afrique du</w:t>
      </w:r>
      <w:r w:rsidR="00AE017E" w:rsidRPr="00E1372C">
        <w:rPr>
          <w:lang w:val="fr-FR" w:bidi="en-US"/>
        </w:rPr>
        <w:t xml:space="preserve"> </w:t>
      </w:r>
      <w:r w:rsidR="008C2130" w:rsidRPr="00E1372C">
        <w:rPr>
          <w:lang w:val="fr-FR" w:bidi="en-US"/>
        </w:rPr>
        <w:t>Sud (</w:t>
      </w:r>
      <w:r w:rsidR="00A55A0E" w:rsidRPr="00E1372C">
        <w:rPr>
          <w:lang w:val="fr-FR" w:bidi="en-US"/>
        </w:rPr>
        <w:t>2</w:t>
      </w:r>
      <w:r w:rsidR="008C2130" w:rsidRPr="00E1372C">
        <w:rPr>
          <w:lang w:val="fr-FR" w:bidi="en-US"/>
        </w:rPr>
        <w:t> </w:t>
      </w:r>
      <w:r w:rsidR="00A55A0E" w:rsidRPr="00E1372C">
        <w:rPr>
          <w:lang w:val="fr-FR" w:bidi="en-US"/>
        </w:rPr>
        <w:t>989</w:t>
      </w:r>
      <w:r w:rsidR="008C2130" w:rsidRPr="00E1372C">
        <w:rPr>
          <w:lang w:val="fr-FR" w:bidi="en-US"/>
        </w:rPr>
        <w:t> dollars</w:t>
      </w:r>
      <w:r w:rsidR="002D58B3" w:rsidRPr="00E1372C">
        <w:rPr>
          <w:lang w:val="fr-FR" w:bidi="en-US"/>
        </w:rPr>
        <w:t xml:space="preserve"> É.-U.</w:t>
      </w:r>
      <w:r w:rsidR="008C2130" w:rsidRPr="00E1372C">
        <w:rPr>
          <w:lang w:val="fr-FR" w:bidi="en-US"/>
        </w:rPr>
        <w:t>)</w:t>
      </w:r>
      <w:r w:rsidR="00A55A0E" w:rsidRPr="00E1372C">
        <w:rPr>
          <w:lang w:val="fr-FR" w:bidi="en-US"/>
        </w:rPr>
        <w:t>.</w:t>
      </w:r>
    </w:p>
    <w:p w:rsidR="00A55A0E" w:rsidRPr="00E1372C" w:rsidRDefault="007064FC" w:rsidP="007064FC">
      <w:pPr>
        <w:pStyle w:val="H23G"/>
        <w:rPr>
          <w:lang w:val="fr-FR" w:bidi="en-US"/>
        </w:rPr>
      </w:pPr>
      <w:r w:rsidRPr="00E1372C">
        <w:rPr>
          <w:lang w:val="fr-FR" w:bidi="en-US"/>
        </w:rPr>
        <w:tab/>
      </w:r>
      <w:r w:rsidRPr="00E1372C">
        <w:rPr>
          <w:lang w:val="fr-FR" w:bidi="en-US"/>
        </w:rPr>
        <w:tab/>
      </w:r>
      <w:r w:rsidR="008C2130" w:rsidRPr="00E1372C">
        <w:rPr>
          <w:lang w:val="fr-FR" w:bidi="en-US"/>
        </w:rPr>
        <w:t>Assistance internationale et développement</w:t>
      </w:r>
    </w:p>
    <w:p w:rsidR="007D7AF8" w:rsidRPr="00E1372C" w:rsidRDefault="007A1757" w:rsidP="007A1757">
      <w:pPr>
        <w:pStyle w:val="SingleTxtG"/>
        <w:rPr>
          <w:lang w:val="fr-FR" w:bidi="en-US"/>
        </w:rPr>
      </w:pPr>
      <w:r w:rsidRPr="00E1372C">
        <w:rPr>
          <w:lang w:val="fr-FR" w:bidi="en-US"/>
        </w:rPr>
        <w:t>47.</w:t>
      </w:r>
      <w:r w:rsidRPr="00E1372C">
        <w:rPr>
          <w:lang w:val="fr-FR" w:bidi="en-US"/>
        </w:rPr>
        <w:tab/>
      </w:r>
      <w:r w:rsidR="007D7AF8" w:rsidRPr="00E1372C">
        <w:rPr>
          <w:lang w:val="fr-FR" w:bidi="en-US"/>
        </w:rPr>
        <w:t>En matière de développement, la Namibie</w:t>
      </w:r>
      <w:r w:rsidR="00EB515F" w:rsidRPr="00E1372C">
        <w:rPr>
          <w:lang w:val="fr-FR" w:bidi="en-US"/>
        </w:rPr>
        <w:t>,</w:t>
      </w:r>
      <w:r w:rsidR="007D7AF8" w:rsidRPr="00E1372C">
        <w:rPr>
          <w:lang w:val="fr-FR" w:bidi="en-US"/>
        </w:rPr>
        <w:t xml:space="preserve"> par la voie de la coopération internationale dans le cadre des droits économiques, sociaux et culturels</w:t>
      </w:r>
      <w:r w:rsidR="00EB515F" w:rsidRPr="00E1372C">
        <w:rPr>
          <w:lang w:val="fr-FR" w:bidi="en-US"/>
        </w:rPr>
        <w:t>,</w:t>
      </w:r>
      <w:r w:rsidR="007D7AF8" w:rsidRPr="00E1372C">
        <w:rPr>
          <w:lang w:val="fr-FR" w:bidi="en-US"/>
        </w:rPr>
        <w:t xml:space="preserve"> recourt</w:t>
      </w:r>
      <w:r w:rsidR="000633F9" w:rsidRPr="00E1372C">
        <w:rPr>
          <w:lang w:val="fr-FR" w:bidi="en-US"/>
        </w:rPr>
        <w:t xml:space="preserve"> à titre prioritaire</w:t>
      </w:r>
      <w:r w:rsidR="00EB515F" w:rsidRPr="00E1372C">
        <w:rPr>
          <w:lang w:val="fr-FR" w:bidi="en-US"/>
        </w:rPr>
        <w:t>,</w:t>
      </w:r>
      <w:r w:rsidR="007D7AF8" w:rsidRPr="00E1372C">
        <w:rPr>
          <w:lang w:val="fr-FR" w:bidi="en-US"/>
        </w:rPr>
        <w:t xml:space="preserve"> pour les promouvoir</w:t>
      </w:r>
      <w:r w:rsidR="00EB515F" w:rsidRPr="00E1372C">
        <w:rPr>
          <w:lang w:val="fr-FR" w:bidi="en-US"/>
        </w:rPr>
        <w:t>,</w:t>
      </w:r>
      <w:r w:rsidR="007D7AF8" w:rsidRPr="00E1372C">
        <w:rPr>
          <w:lang w:val="fr-FR" w:bidi="en-US"/>
        </w:rPr>
        <w:t xml:space="preserve"> à l</w:t>
      </w:r>
      <w:r w:rsidR="00731F09" w:rsidRPr="00E1372C">
        <w:rPr>
          <w:lang w:val="fr-FR" w:bidi="en-US"/>
        </w:rPr>
        <w:t>’</w:t>
      </w:r>
      <w:r w:rsidR="007D7AF8" w:rsidRPr="00E1372C">
        <w:rPr>
          <w:lang w:val="fr-FR" w:bidi="en-US"/>
        </w:rPr>
        <w:t>aide de la coopération au développement.</w:t>
      </w:r>
    </w:p>
    <w:p w:rsidR="007D7AF8" w:rsidRPr="00E1372C" w:rsidRDefault="007A1757" w:rsidP="007A1757">
      <w:pPr>
        <w:pStyle w:val="SingleTxtG"/>
        <w:rPr>
          <w:lang w:val="fr-FR" w:bidi="en-US"/>
        </w:rPr>
      </w:pPr>
      <w:r w:rsidRPr="00E1372C">
        <w:rPr>
          <w:lang w:val="fr-FR" w:bidi="en-US"/>
        </w:rPr>
        <w:t>48.</w:t>
      </w:r>
      <w:r w:rsidRPr="00E1372C">
        <w:rPr>
          <w:lang w:val="fr-FR" w:bidi="en-US"/>
        </w:rPr>
        <w:tab/>
      </w:r>
      <w:r w:rsidR="007D7AF8" w:rsidRPr="00E1372C">
        <w:rPr>
          <w:lang w:val="fr-FR" w:bidi="en-US"/>
        </w:rPr>
        <w:t>Au moment de l</w:t>
      </w:r>
      <w:r w:rsidR="00731F09" w:rsidRPr="00E1372C">
        <w:rPr>
          <w:lang w:val="fr-FR" w:bidi="en-US"/>
        </w:rPr>
        <w:t>’</w:t>
      </w:r>
      <w:r w:rsidR="007D7AF8" w:rsidRPr="00E1372C">
        <w:rPr>
          <w:lang w:val="fr-FR" w:bidi="en-US"/>
        </w:rPr>
        <w:t>indépendance, compte tenu des perspectives économiques médiocres devant lesquelles se trouvait le pays libéré depuis peu, une conférence des donateurs a été organisée sous les auspices de l</w:t>
      </w:r>
      <w:r w:rsidR="00731F09" w:rsidRPr="00E1372C">
        <w:rPr>
          <w:lang w:val="fr-FR" w:bidi="en-US"/>
        </w:rPr>
        <w:t>’</w:t>
      </w:r>
      <w:r w:rsidR="007D7AF8" w:rsidRPr="00E1372C">
        <w:rPr>
          <w:lang w:val="fr-FR" w:bidi="en-US"/>
        </w:rPr>
        <w:t>O</w:t>
      </w:r>
      <w:r w:rsidR="00EB515F" w:rsidRPr="00E1372C">
        <w:rPr>
          <w:lang w:val="fr-FR" w:bidi="en-US"/>
        </w:rPr>
        <w:t>rganisation des Nations Unies</w:t>
      </w:r>
      <w:r w:rsidR="009D6DA3" w:rsidRPr="00E1372C">
        <w:rPr>
          <w:lang w:val="fr-FR" w:bidi="en-US"/>
        </w:rPr>
        <w:t xml:space="preserve"> à New </w:t>
      </w:r>
      <w:r w:rsidR="007D7AF8" w:rsidRPr="00E1372C">
        <w:rPr>
          <w:lang w:val="fr-FR" w:bidi="en-US"/>
        </w:rPr>
        <w:t>York, en juin 1990, en vue d</w:t>
      </w:r>
      <w:r w:rsidR="00731F09" w:rsidRPr="00E1372C">
        <w:rPr>
          <w:lang w:val="fr-FR" w:bidi="en-US"/>
        </w:rPr>
        <w:t>’</w:t>
      </w:r>
      <w:r w:rsidR="007D7AF8" w:rsidRPr="00E1372C">
        <w:rPr>
          <w:lang w:val="fr-FR" w:bidi="en-US"/>
        </w:rPr>
        <w:t>expliquer aux participants les problèmes du pays et de mobiliser des ressources extérieures.</w:t>
      </w:r>
    </w:p>
    <w:p w:rsidR="007D7AF8" w:rsidRPr="00E1372C" w:rsidRDefault="007A1757" w:rsidP="007A1757">
      <w:pPr>
        <w:pStyle w:val="SingleTxtG"/>
        <w:rPr>
          <w:lang w:val="fr-FR" w:bidi="en-US"/>
        </w:rPr>
      </w:pPr>
      <w:r w:rsidRPr="00E1372C">
        <w:rPr>
          <w:lang w:val="fr-FR" w:bidi="en-US"/>
        </w:rPr>
        <w:t>49.</w:t>
      </w:r>
      <w:r w:rsidRPr="00E1372C">
        <w:rPr>
          <w:lang w:val="fr-FR" w:bidi="en-US"/>
        </w:rPr>
        <w:tab/>
      </w:r>
      <w:r w:rsidR="007D7AF8" w:rsidRPr="00E1372C">
        <w:rPr>
          <w:lang w:val="fr-FR" w:bidi="en-US"/>
        </w:rPr>
        <w:t>Ainsi, l</w:t>
      </w:r>
      <w:r w:rsidR="00731F09" w:rsidRPr="00E1372C">
        <w:rPr>
          <w:lang w:val="fr-FR" w:bidi="en-US"/>
        </w:rPr>
        <w:t>’</w:t>
      </w:r>
      <w:r w:rsidR="007D7AF8" w:rsidRPr="00E1372C">
        <w:rPr>
          <w:lang w:val="fr-FR" w:bidi="en-US"/>
        </w:rPr>
        <w:t>aide au développement est apparue comme une conséquence directe de la décolonisation, au cours de laquelle les relations coloniales d</w:t>
      </w:r>
      <w:r w:rsidR="00731F09" w:rsidRPr="00E1372C">
        <w:rPr>
          <w:lang w:val="fr-FR" w:bidi="en-US"/>
        </w:rPr>
        <w:t>’</w:t>
      </w:r>
      <w:r w:rsidR="007D7AF8" w:rsidRPr="00E1372C">
        <w:rPr>
          <w:lang w:val="fr-FR" w:bidi="en-US"/>
        </w:rPr>
        <w:t>exploitation ont fait place à des relations officielles entre États souverains. L</w:t>
      </w:r>
      <w:r w:rsidR="00731F09" w:rsidRPr="00E1372C">
        <w:rPr>
          <w:lang w:val="fr-FR" w:bidi="en-US"/>
        </w:rPr>
        <w:t>’</w:t>
      </w:r>
      <w:r w:rsidR="007D7AF8" w:rsidRPr="00E1372C">
        <w:rPr>
          <w:lang w:val="fr-FR" w:bidi="en-US"/>
        </w:rPr>
        <w:t xml:space="preserve">assistance humanitaire a déterminé la démarche des donateurs, la solidarité </w:t>
      </w:r>
      <w:r w:rsidR="00371945" w:rsidRPr="00E1372C">
        <w:rPr>
          <w:lang w:val="fr-FR" w:bidi="en-US"/>
        </w:rPr>
        <w:t>é</w:t>
      </w:r>
      <w:r w:rsidR="007D7AF8" w:rsidRPr="00E1372C">
        <w:rPr>
          <w:lang w:val="fr-FR" w:bidi="en-US"/>
        </w:rPr>
        <w:t>tant une motivation essentielle pour fournir une aide au nouvel État indépendant.</w:t>
      </w:r>
    </w:p>
    <w:p w:rsidR="007D7AF8" w:rsidRPr="00E1372C" w:rsidRDefault="007A1757" w:rsidP="007A1757">
      <w:pPr>
        <w:pStyle w:val="SingleTxtG"/>
        <w:rPr>
          <w:lang w:val="fr-FR" w:bidi="en-US"/>
        </w:rPr>
      </w:pPr>
      <w:r w:rsidRPr="00E1372C">
        <w:rPr>
          <w:lang w:val="fr-FR" w:bidi="en-US"/>
        </w:rPr>
        <w:t>50.</w:t>
      </w:r>
      <w:r w:rsidRPr="00E1372C">
        <w:rPr>
          <w:lang w:val="fr-FR" w:bidi="en-US"/>
        </w:rPr>
        <w:tab/>
      </w:r>
      <w:r w:rsidR="007D7AF8" w:rsidRPr="00E1372C">
        <w:rPr>
          <w:lang w:val="fr-FR" w:bidi="en-US"/>
        </w:rPr>
        <w:t>Les secteurs bénéficiaires du soutien de la conférence des donateurs correspondaient aux domaines prioritaires définis par le Gouvernement namibien lors de ladite conférence</w:t>
      </w:r>
      <w:r w:rsidR="00AE017E" w:rsidRPr="00E1372C">
        <w:rPr>
          <w:lang w:val="fr-FR" w:bidi="en-US"/>
        </w:rPr>
        <w:t>:</w:t>
      </w:r>
      <w:r w:rsidR="007D7AF8" w:rsidRPr="00E1372C">
        <w:rPr>
          <w:lang w:val="fr-FR" w:bidi="en-US"/>
        </w:rPr>
        <w:t xml:space="preserve"> agriculture, eau et développement rural, y compris sylviculture, éducation à tous les degrés (mais plus particulièrement l</w:t>
      </w:r>
      <w:r w:rsidR="00731F09" w:rsidRPr="00E1372C">
        <w:rPr>
          <w:lang w:val="fr-FR" w:bidi="en-US"/>
        </w:rPr>
        <w:t>’</w:t>
      </w:r>
      <w:r w:rsidR="007D7AF8" w:rsidRPr="00E1372C">
        <w:rPr>
          <w:lang w:val="fr-FR" w:bidi="en-US"/>
        </w:rPr>
        <w:t>enseignement primaire), santé, services sociaux, logement. Ces secteurs demeurent des priorités pour le Gouvernement. De plus, des fonds ont été octroyés pour l</w:t>
      </w:r>
      <w:r w:rsidR="00731F09" w:rsidRPr="00E1372C">
        <w:rPr>
          <w:lang w:val="fr-FR" w:bidi="en-US"/>
        </w:rPr>
        <w:t>’</w:t>
      </w:r>
      <w:r w:rsidR="007D7AF8" w:rsidRPr="00E1372C">
        <w:rPr>
          <w:lang w:val="fr-FR" w:bidi="en-US"/>
        </w:rPr>
        <w:t>approvisionnement en électricité, les routes et les télécommunications à des secteurs</w:t>
      </w:r>
      <w:r w:rsidR="00CF335B" w:rsidRPr="00E1372C">
        <w:rPr>
          <w:lang w:val="fr-FR" w:bidi="en-US"/>
        </w:rPr>
        <w:t xml:space="preserve"> de communautés rurales</w:t>
      </w:r>
      <w:r w:rsidR="007D7AF8" w:rsidRPr="00E1372C">
        <w:rPr>
          <w:lang w:val="fr-FR" w:bidi="en-US"/>
        </w:rPr>
        <w:t xml:space="preserve"> auparavant abandonnés. </w:t>
      </w:r>
    </w:p>
    <w:p w:rsidR="007D7AF8" w:rsidRPr="00E1372C" w:rsidRDefault="007A1757" w:rsidP="007A1757">
      <w:pPr>
        <w:pStyle w:val="SingleTxtG"/>
        <w:rPr>
          <w:lang w:val="fr-FR" w:bidi="en-US"/>
        </w:rPr>
      </w:pPr>
      <w:r w:rsidRPr="00E1372C">
        <w:rPr>
          <w:lang w:val="fr-FR" w:bidi="en-US"/>
        </w:rPr>
        <w:t>51.</w:t>
      </w:r>
      <w:r w:rsidRPr="00E1372C">
        <w:rPr>
          <w:lang w:val="fr-FR" w:bidi="en-US"/>
        </w:rPr>
        <w:tab/>
      </w:r>
      <w:r w:rsidR="007D7AF8" w:rsidRPr="00E1372C">
        <w:rPr>
          <w:lang w:val="fr-FR" w:bidi="en-US"/>
        </w:rPr>
        <w:t>Après avoir conclu avec différents donateurs des accords de coopération au développement, la Namibie a toutefois pu obtenir des fonds supplémentaires en dehors de la dotation propre au pays pour aider les femmes en matière de développement, de culture, d</w:t>
      </w:r>
      <w:r w:rsidR="00731F09" w:rsidRPr="00E1372C">
        <w:rPr>
          <w:lang w:val="fr-FR" w:bidi="en-US"/>
        </w:rPr>
        <w:t>’</w:t>
      </w:r>
      <w:r w:rsidR="007D7AF8" w:rsidRPr="00E1372C">
        <w:rPr>
          <w:lang w:val="fr-FR" w:bidi="en-US"/>
        </w:rPr>
        <w:t>environnement, de démocratie et de droits de l</w:t>
      </w:r>
      <w:r w:rsidR="00731F09" w:rsidRPr="00E1372C">
        <w:rPr>
          <w:lang w:val="fr-FR" w:bidi="en-US"/>
        </w:rPr>
        <w:t>’</w:t>
      </w:r>
      <w:r w:rsidR="007D7AF8" w:rsidRPr="00E1372C">
        <w:rPr>
          <w:lang w:val="fr-FR" w:bidi="en-US"/>
        </w:rPr>
        <w:t>homme.</w:t>
      </w:r>
    </w:p>
    <w:p w:rsidR="005919A9" w:rsidRPr="00E1372C" w:rsidRDefault="007A1757" w:rsidP="007A1757">
      <w:pPr>
        <w:pStyle w:val="SingleTxtG"/>
        <w:rPr>
          <w:lang w:val="fr-FR" w:bidi="en-US"/>
        </w:rPr>
      </w:pPr>
      <w:r w:rsidRPr="00E1372C">
        <w:rPr>
          <w:lang w:val="fr-FR" w:bidi="en-US"/>
        </w:rPr>
        <w:t>52.</w:t>
      </w:r>
      <w:r w:rsidRPr="00E1372C">
        <w:rPr>
          <w:lang w:val="fr-FR" w:bidi="en-US"/>
        </w:rPr>
        <w:tab/>
      </w:r>
      <w:r w:rsidR="005919A9" w:rsidRPr="00E1372C">
        <w:rPr>
          <w:lang w:val="fr-FR" w:bidi="en-US"/>
        </w:rPr>
        <w:t>Au ti</w:t>
      </w:r>
      <w:r w:rsidR="007064FC" w:rsidRPr="00E1372C">
        <w:rPr>
          <w:lang w:val="fr-FR" w:bidi="en-US"/>
        </w:rPr>
        <w:t>t</w:t>
      </w:r>
      <w:r w:rsidR="005919A9" w:rsidRPr="00E1372C">
        <w:rPr>
          <w:lang w:val="fr-FR" w:bidi="en-US"/>
        </w:rPr>
        <w:t>re de l</w:t>
      </w:r>
      <w:r w:rsidR="00731F09" w:rsidRPr="00E1372C">
        <w:rPr>
          <w:lang w:val="fr-FR" w:bidi="en-US"/>
        </w:rPr>
        <w:t>’</w:t>
      </w:r>
      <w:r w:rsidR="005919A9" w:rsidRPr="00E1372C">
        <w:rPr>
          <w:lang w:val="fr-FR" w:bidi="en-US"/>
        </w:rPr>
        <w:t>assistance technique qui a été mise en place, le projet relatif aux droits de l</w:t>
      </w:r>
      <w:r w:rsidR="00731F09" w:rsidRPr="00E1372C">
        <w:rPr>
          <w:lang w:val="fr-FR" w:bidi="en-US"/>
        </w:rPr>
        <w:t>’</w:t>
      </w:r>
      <w:r w:rsidR="005919A9" w:rsidRPr="00E1372C">
        <w:rPr>
          <w:lang w:val="fr-FR" w:bidi="en-US"/>
        </w:rPr>
        <w:t>homme et à l</w:t>
      </w:r>
      <w:r w:rsidR="00731F09" w:rsidRPr="00E1372C">
        <w:rPr>
          <w:lang w:val="fr-FR" w:bidi="en-US"/>
        </w:rPr>
        <w:t>’</w:t>
      </w:r>
      <w:r w:rsidR="005919A9" w:rsidRPr="00E1372C">
        <w:rPr>
          <w:lang w:val="fr-FR" w:bidi="en-US"/>
        </w:rPr>
        <w:t xml:space="preserve">application des lois destinées aux policiers et aux femmes constitue un bon exemple; il est soutenu par les ambassades de Finlande et des Pays-Bas en Namibie, qui œuvrent conjointement avec la </w:t>
      </w:r>
      <w:r w:rsidR="00CF335B" w:rsidRPr="00E1372C">
        <w:rPr>
          <w:lang w:val="fr-FR" w:bidi="en-US"/>
        </w:rPr>
        <w:t>p</w:t>
      </w:r>
      <w:r w:rsidR="005919A9" w:rsidRPr="00E1372C">
        <w:rPr>
          <w:lang w:val="fr-FR" w:bidi="en-US"/>
        </w:rPr>
        <w:t>olice namibienne et le Ministère de la justice.</w:t>
      </w:r>
    </w:p>
    <w:p w:rsidR="00A55A0E" w:rsidRPr="00E1372C" w:rsidRDefault="007A1757" w:rsidP="007A1757">
      <w:pPr>
        <w:pStyle w:val="SingleTxtG"/>
        <w:rPr>
          <w:lang w:val="fr-FR" w:bidi="en-US"/>
        </w:rPr>
      </w:pPr>
      <w:r w:rsidRPr="00E1372C">
        <w:rPr>
          <w:lang w:val="fr-FR" w:bidi="en-US"/>
        </w:rPr>
        <w:t>53.</w:t>
      </w:r>
      <w:r w:rsidRPr="00E1372C">
        <w:rPr>
          <w:lang w:val="fr-FR" w:bidi="en-US"/>
        </w:rPr>
        <w:tab/>
      </w:r>
      <w:r w:rsidR="005919A9" w:rsidRPr="00E1372C">
        <w:rPr>
          <w:lang w:val="fr-FR" w:bidi="en-US"/>
        </w:rPr>
        <w:t>Dans le cadre de cette initiative, des ateliers ont été organisés dans toutes les capitales régionales du pays pendant deux ans. À chacun de ces ateliers, deux instructeurs ont été choisis et chargés de former aux droits de l</w:t>
      </w:r>
      <w:r w:rsidR="00731F09" w:rsidRPr="00E1372C">
        <w:rPr>
          <w:lang w:val="fr-FR" w:bidi="en-US"/>
        </w:rPr>
        <w:t>’</w:t>
      </w:r>
      <w:r w:rsidR="005919A9" w:rsidRPr="00E1372C">
        <w:rPr>
          <w:lang w:val="fr-FR" w:bidi="en-US"/>
        </w:rPr>
        <w:t>homme dans leurs régions. Ces instructeurs, ainsi que deux policiers stagiaires de l</w:t>
      </w:r>
      <w:r w:rsidR="00731F09" w:rsidRPr="00E1372C">
        <w:rPr>
          <w:lang w:val="fr-FR" w:bidi="en-US"/>
        </w:rPr>
        <w:t>’</w:t>
      </w:r>
      <w:r w:rsidR="005919A9" w:rsidRPr="00E1372C">
        <w:rPr>
          <w:lang w:val="fr-FR" w:bidi="en-US"/>
        </w:rPr>
        <w:t xml:space="preserve">École de police ont alors reçu une formation spécialisée dans trois ateliers à </w:t>
      </w:r>
      <w:r w:rsidR="00A55A0E" w:rsidRPr="00E1372C">
        <w:rPr>
          <w:lang w:val="fr-FR" w:bidi="en-US"/>
        </w:rPr>
        <w:t>Windhoek</w:t>
      </w:r>
      <w:r w:rsidR="005919A9" w:rsidRPr="00E1372C">
        <w:rPr>
          <w:lang w:val="fr-FR" w:bidi="en-US"/>
        </w:rPr>
        <w:t xml:space="preserve"> et ont ensuite été déployés dans les régions</w:t>
      </w:r>
      <w:r w:rsidR="00CF335B" w:rsidRPr="00E1372C">
        <w:rPr>
          <w:lang w:val="fr-FR" w:bidi="en-US"/>
        </w:rPr>
        <w:t>,</w:t>
      </w:r>
      <w:r w:rsidR="005919A9" w:rsidRPr="00E1372C">
        <w:rPr>
          <w:lang w:val="fr-FR" w:bidi="en-US"/>
        </w:rPr>
        <w:t xml:space="preserve"> ainsi qu</w:t>
      </w:r>
      <w:r w:rsidR="00731F09" w:rsidRPr="00E1372C">
        <w:rPr>
          <w:lang w:val="fr-FR" w:bidi="en-US"/>
        </w:rPr>
        <w:t>’</w:t>
      </w:r>
      <w:r w:rsidR="005919A9" w:rsidRPr="00E1372C">
        <w:rPr>
          <w:lang w:val="fr-FR" w:bidi="en-US"/>
        </w:rPr>
        <w:t>à l</w:t>
      </w:r>
      <w:r w:rsidR="00731F09" w:rsidRPr="00E1372C">
        <w:rPr>
          <w:lang w:val="fr-FR" w:bidi="en-US"/>
        </w:rPr>
        <w:t>’</w:t>
      </w:r>
      <w:r w:rsidR="005919A9" w:rsidRPr="00E1372C">
        <w:rPr>
          <w:lang w:val="fr-FR" w:bidi="en-US"/>
        </w:rPr>
        <w:t>École de police</w:t>
      </w:r>
      <w:r w:rsidR="00CF335B" w:rsidRPr="00E1372C">
        <w:rPr>
          <w:lang w:val="fr-FR" w:bidi="en-US"/>
        </w:rPr>
        <w:t>,</w:t>
      </w:r>
      <w:r w:rsidR="005919A9" w:rsidRPr="00E1372C">
        <w:rPr>
          <w:lang w:val="fr-FR" w:bidi="en-US"/>
        </w:rPr>
        <w:t xml:space="preserve"> comme formateurs aux droits de l</w:t>
      </w:r>
      <w:r w:rsidR="00731F09" w:rsidRPr="00E1372C">
        <w:rPr>
          <w:lang w:val="fr-FR" w:bidi="en-US"/>
        </w:rPr>
        <w:t>’</w:t>
      </w:r>
      <w:r w:rsidR="005919A9" w:rsidRPr="00E1372C">
        <w:rPr>
          <w:lang w:val="fr-FR" w:bidi="en-US"/>
        </w:rPr>
        <w:t>homme</w:t>
      </w:r>
      <w:r w:rsidR="00A55A0E" w:rsidRPr="00E1372C">
        <w:rPr>
          <w:lang w:val="fr-FR" w:bidi="en-US"/>
        </w:rPr>
        <w:t>.</w:t>
      </w:r>
    </w:p>
    <w:p w:rsidR="005919A9" w:rsidRPr="00E1372C" w:rsidRDefault="007A1757" w:rsidP="007A1757">
      <w:pPr>
        <w:pStyle w:val="SingleTxtG"/>
        <w:rPr>
          <w:lang w:val="fr-FR" w:bidi="en-US"/>
        </w:rPr>
      </w:pPr>
      <w:r w:rsidRPr="00E1372C">
        <w:rPr>
          <w:lang w:val="fr-FR" w:bidi="en-US"/>
        </w:rPr>
        <w:t>54.</w:t>
      </w:r>
      <w:r w:rsidRPr="00E1372C">
        <w:rPr>
          <w:lang w:val="fr-FR" w:bidi="en-US"/>
        </w:rPr>
        <w:tab/>
      </w:r>
      <w:r w:rsidR="005919A9" w:rsidRPr="00E1372C">
        <w:rPr>
          <w:lang w:val="fr-FR" w:bidi="en-US"/>
        </w:rPr>
        <w:t>Ce projet s</w:t>
      </w:r>
      <w:r w:rsidR="00731F09" w:rsidRPr="00E1372C">
        <w:rPr>
          <w:lang w:val="fr-FR" w:bidi="en-US"/>
        </w:rPr>
        <w:t>’</w:t>
      </w:r>
      <w:r w:rsidR="005919A9" w:rsidRPr="00E1372C">
        <w:rPr>
          <w:lang w:val="fr-FR" w:bidi="en-US"/>
        </w:rPr>
        <w:t>est convenablement déroulé jusqu</w:t>
      </w:r>
      <w:r w:rsidR="00731F09" w:rsidRPr="00E1372C">
        <w:rPr>
          <w:lang w:val="fr-FR" w:bidi="en-US"/>
        </w:rPr>
        <w:t>’</w:t>
      </w:r>
      <w:r w:rsidR="00371945" w:rsidRPr="00E1372C">
        <w:rPr>
          <w:lang w:val="fr-FR" w:bidi="en-US"/>
        </w:rPr>
        <w:t>à présent</w:t>
      </w:r>
      <w:r w:rsidR="005919A9" w:rsidRPr="00E1372C">
        <w:rPr>
          <w:lang w:val="fr-FR" w:bidi="en-US"/>
        </w:rPr>
        <w:t xml:space="preserve"> et les premiers groupes de format</w:t>
      </w:r>
      <w:r w:rsidR="009E074D" w:rsidRPr="00E1372C">
        <w:rPr>
          <w:lang w:val="fr-FR" w:bidi="en-US"/>
        </w:rPr>
        <w:t xml:space="preserve">eurs ont reçu leur diplôme le 9 </w:t>
      </w:r>
      <w:r w:rsidR="005919A9" w:rsidRPr="00E1372C">
        <w:rPr>
          <w:lang w:val="fr-FR" w:bidi="en-US"/>
        </w:rPr>
        <w:t>décembre 1999. Il cherche à inculquer un esprit de respect des droits de l</w:t>
      </w:r>
      <w:r w:rsidR="00731F09" w:rsidRPr="00E1372C">
        <w:rPr>
          <w:lang w:val="fr-FR" w:bidi="en-US"/>
        </w:rPr>
        <w:t>’</w:t>
      </w:r>
      <w:r w:rsidR="005919A9" w:rsidRPr="00E1372C">
        <w:rPr>
          <w:lang w:val="fr-FR" w:bidi="en-US"/>
        </w:rPr>
        <w:t>homme au sein de la police. Il a donné lieu à l</w:t>
      </w:r>
      <w:r w:rsidR="00731F09" w:rsidRPr="00E1372C">
        <w:rPr>
          <w:lang w:val="fr-FR" w:bidi="en-US"/>
        </w:rPr>
        <w:t>’</w:t>
      </w:r>
      <w:r w:rsidR="005919A9" w:rsidRPr="00E1372C">
        <w:rPr>
          <w:lang w:val="fr-FR" w:bidi="en-US"/>
        </w:rPr>
        <w:t>édition d</w:t>
      </w:r>
      <w:r w:rsidR="00731F09" w:rsidRPr="00E1372C">
        <w:rPr>
          <w:lang w:val="fr-FR" w:bidi="en-US"/>
        </w:rPr>
        <w:t>’</w:t>
      </w:r>
      <w:r w:rsidR="005919A9" w:rsidRPr="00E1372C">
        <w:rPr>
          <w:lang w:val="fr-FR" w:bidi="en-US"/>
        </w:rPr>
        <w:t>un manuel sur les droits de l</w:t>
      </w:r>
      <w:r w:rsidR="00731F09" w:rsidRPr="00E1372C">
        <w:rPr>
          <w:lang w:val="fr-FR" w:bidi="en-US"/>
        </w:rPr>
        <w:t>’</w:t>
      </w:r>
      <w:r w:rsidR="005919A9" w:rsidRPr="00E1372C">
        <w:rPr>
          <w:lang w:val="fr-FR" w:bidi="en-US"/>
        </w:rPr>
        <w:t>homme destiné à l</w:t>
      </w:r>
      <w:r w:rsidR="00731F09" w:rsidRPr="00E1372C">
        <w:rPr>
          <w:lang w:val="fr-FR" w:bidi="en-US"/>
        </w:rPr>
        <w:t>’</w:t>
      </w:r>
      <w:r w:rsidR="005919A9" w:rsidRPr="00E1372C">
        <w:rPr>
          <w:lang w:val="fr-FR" w:bidi="en-US"/>
        </w:rPr>
        <w:t xml:space="preserve">usage général </w:t>
      </w:r>
      <w:r w:rsidR="00F87B9E" w:rsidRPr="00E1372C">
        <w:rPr>
          <w:lang w:val="fr-FR" w:bidi="en-US"/>
        </w:rPr>
        <w:t xml:space="preserve">de </w:t>
      </w:r>
      <w:r w:rsidR="00371945" w:rsidRPr="00E1372C">
        <w:rPr>
          <w:lang w:val="fr-FR" w:bidi="en-US"/>
        </w:rPr>
        <w:t xml:space="preserve">la </w:t>
      </w:r>
      <w:r w:rsidR="00F87B9E" w:rsidRPr="00E1372C">
        <w:rPr>
          <w:lang w:val="fr-FR" w:bidi="en-US"/>
        </w:rPr>
        <w:t>police namibienne.</w:t>
      </w:r>
    </w:p>
    <w:p w:rsidR="00F87B9E" w:rsidRPr="00E1372C" w:rsidRDefault="007A1757" w:rsidP="007A1757">
      <w:pPr>
        <w:pStyle w:val="SingleTxtG"/>
        <w:rPr>
          <w:lang w:val="fr-FR" w:bidi="en-US"/>
        </w:rPr>
      </w:pPr>
      <w:r w:rsidRPr="00E1372C">
        <w:rPr>
          <w:lang w:val="fr-FR" w:bidi="en-US"/>
        </w:rPr>
        <w:t>55.</w:t>
      </w:r>
      <w:r w:rsidRPr="00E1372C">
        <w:rPr>
          <w:lang w:val="fr-FR" w:bidi="en-US"/>
        </w:rPr>
        <w:tab/>
      </w:r>
      <w:r w:rsidR="00F87B9E" w:rsidRPr="00E1372C">
        <w:rPr>
          <w:lang w:val="fr-FR" w:bidi="en-US"/>
        </w:rPr>
        <w:t>La Namibie porte un vif intérêt à l</w:t>
      </w:r>
      <w:r w:rsidR="00731F09" w:rsidRPr="00E1372C">
        <w:rPr>
          <w:lang w:val="fr-FR" w:bidi="en-US"/>
        </w:rPr>
        <w:t>’</w:t>
      </w:r>
      <w:r w:rsidR="00F87B9E" w:rsidRPr="00E1372C">
        <w:rPr>
          <w:lang w:val="fr-FR" w:bidi="en-US"/>
        </w:rPr>
        <w:t>exercice du droit au développement, qui cherche à corriger les disparités produites par l</w:t>
      </w:r>
      <w:r w:rsidR="00731F09" w:rsidRPr="00E1372C">
        <w:rPr>
          <w:lang w:val="fr-FR" w:bidi="en-US"/>
        </w:rPr>
        <w:t>’</w:t>
      </w:r>
      <w:r w:rsidR="00F87B9E" w:rsidRPr="00E1372C">
        <w:rPr>
          <w:lang w:val="fr-FR" w:bidi="en-US"/>
        </w:rPr>
        <w:t>ordre économique inéquitable et jusqu</w:t>
      </w:r>
      <w:r w:rsidR="00731F09" w:rsidRPr="00E1372C">
        <w:rPr>
          <w:lang w:val="fr-FR" w:bidi="en-US"/>
        </w:rPr>
        <w:t>’</w:t>
      </w:r>
      <w:r w:rsidR="00F87B9E" w:rsidRPr="00E1372C">
        <w:rPr>
          <w:lang w:val="fr-FR" w:bidi="en-US"/>
        </w:rPr>
        <w:t>alors prédominant. Cet intérêt coïncide avec l</w:t>
      </w:r>
      <w:r w:rsidR="00731F09" w:rsidRPr="00E1372C">
        <w:rPr>
          <w:lang w:val="fr-FR" w:bidi="en-US"/>
        </w:rPr>
        <w:t>’</w:t>
      </w:r>
      <w:r w:rsidR="00F87B9E" w:rsidRPr="00E1372C">
        <w:rPr>
          <w:lang w:val="fr-FR" w:bidi="en-US"/>
        </w:rPr>
        <w:t>aspiration du pays à une réforme du système international, notamment celui des Nations Unies dont le Conseil de sécurité, constitué d</w:t>
      </w:r>
      <w:r w:rsidR="00731F09" w:rsidRPr="00E1372C">
        <w:rPr>
          <w:lang w:val="fr-FR" w:bidi="en-US"/>
        </w:rPr>
        <w:t>’</w:t>
      </w:r>
      <w:r w:rsidR="00F87B9E" w:rsidRPr="00E1372C">
        <w:rPr>
          <w:lang w:val="fr-FR" w:bidi="en-US"/>
        </w:rPr>
        <w:t>une manière sélective, prévaut sur l</w:t>
      </w:r>
      <w:r w:rsidR="00731F09" w:rsidRPr="00E1372C">
        <w:rPr>
          <w:lang w:val="fr-FR" w:bidi="en-US"/>
        </w:rPr>
        <w:t>’</w:t>
      </w:r>
      <w:r w:rsidR="00F87B9E" w:rsidRPr="00E1372C">
        <w:rPr>
          <w:lang w:val="fr-FR" w:bidi="en-US"/>
        </w:rPr>
        <w:t>Assemblée générale constituée démocratiquement.</w:t>
      </w:r>
    </w:p>
    <w:p w:rsidR="00F87B9E" w:rsidRPr="00E1372C" w:rsidRDefault="007A1757" w:rsidP="007A1757">
      <w:pPr>
        <w:pStyle w:val="SingleTxtG"/>
        <w:rPr>
          <w:lang w:val="fr-FR" w:bidi="en-US"/>
        </w:rPr>
      </w:pPr>
      <w:r w:rsidRPr="00E1372C">
        <w:rPr>
          <w:lang w:val="fr-FR" w:bidi="en-US"/>
        </w:rPr>
        <w:t>56.</w:t>
      </w:r>
      <w:r w:rsidRPr="00E1372C">
        <w:rPr>
          <w:lang w:val="fr-FR" w:bidi="en-US"/>
        </w:rPr>
        <w:tab/>
      </w:r>
      <w:r w:rsidR="00F87B9E" w:rsidRPr="00E1372C">
        <w:rPr>
          <w:lang w:val="fr-FR" w:bidi="en-US"/>
        </w:rPr>
        <w:t>Le droit au développement vise à créer les conditions propices à l</w:t>
      </w:r>
      <w:r w:rsidR="00731F09" w:rsidRPr="00E1372C">
        <w:rPr>
          <w:lang w:val="fr-FR" w:bidi="en-US"/>
        </w:rPr>
        <w:t>’</w:t>
      </w:r>
      <w:r w:rsidR="00F87B9E" w:rsidRPr="00E1372C">
        <w:rPr>
          <w:lang w:val="fr-FR" w:bidi="en-US"/>
        </w:rPr>
        <w:t xml:space="preserve">autonomie dans les États dits </w:t>
      </w:r>
      <w:r w:rsidR="00AE017E" w:rsidRPr="00E1372C">
        <w:rPr>
          <w:lang w:val="fr-FR" w:bidi="en-US"/>
        </w:rPr>
        <w:t>«</w:t>
      </w:r>
      <w:r w:rsidR="00F87B9E" w:rsidRPr="00E1372C">
        <w:rPr>
          <w:lang w:val="fr-FR" w:bidi="en-US"/>
        </w:rPr>
        <w:t>sous-développés</w:t>
      </w:r>
      <w:r w:rsidR="00AE017E" w:rsidRPr="00E1372C">
        <w:rPr>
          <w:lang w:val="fr-FR" w:bidi="en-US"/>
        </w:rPr>
        <w:t>»</w:t>
      </w:r>
      <w:r w:rsidR="00F87B9E" w:rsidRPr="00E1372C">
        <w:rPr>
          <w:lang w:val="fr-FR" w:bidi="en-US"/>
        </w:rPr>
        <w:t>. Le sous-développement suppose l</w:t>
      </w:r>
      <w:r w:rsidR="00731F09" w:rsidRPr="00E1372C">
        <w:rPr>
          <w:lang w:val="fr-FR" w:bidi="en-US"/>
        </w:rPr>
        <w:t>’</w:t>
      </w:r>
      <w:r w:rsidR="00F87B9E" w:rsidRPr="00E1372C">
        <w:rPr>
          <w:lang w:val="fr-FR" w:bidi="en-US"/>
        </w:rPr>
        <w:t>incapacité de l</w:t>
      </w:r>
      <w:r w:rsidR="00731F09" w:rsidRPr="00E1372C">
        <w:rPr>
          <w:lang w:val="fr-FR" w:bidi="en-US"/>
        </w:rPr>
        <w:t>’</w:t>
      </w:r>
      <w:r w:rsidR="00F87B9E" w:rsidRPr="00E1372C">
        <w:rPr>
          <w:lang w:val="fr-FR" w:bidi="en-US"/>
        </w:rPr>
        <w:t>État à garantir les conditions minimales de survie des citoyens. Les droits à la subsistance touchent aux éléments fondamentaux de l</w:t>
      </w:r>
      <w:r w:rsidR="00731F09" w:rsidRPr="00E1372C">
        <w:rPr>
          <w:lang w:val="fr-FR" w:bidi="en-US"/>
        </w:rPr>
        <w:t>’</w:t>
      </w:r>
      <w:r w:rsidR="00F87B9E" w:rsidRPr="00E1372C">
        <w:rPr>
          <w:lang w:val="fr-FR" w:bidi="en-US"/>
        </w:rPr>
        <w:t>existence humaine – aliments, vêtements et logement. Aucun développement durable n</w:t>
      </w:r>
      <w:r w:rsidR="00731F09" w:rsidRPr="00E1372C">
        <w:rPr>
          <w:lang w:val="fr-FR" w:bidi="en-US"/>
        </w:rPr>
        <w:t>’</w:t>
      </w:r>
      <w:r w:rsidR="00F87B9E" w:rsidRPr="00E1372C">
        <w:rPr>
          <w:lang w:val="fr-FR" w:bidi="en-US"/>
        </w:rPr>
        <w:t>est possible s</w:t>
      </w:r>
      <w:r w:rsidR="00731F09" w:rsidRPr="00E1372C">
        <w:rPr>
          <w:lang w:val="fr-FR" w:bidi="en-US"/>
        </w:rPr>
        <w:t>’</w:t>
      </w:r>
      <w:r w:rsidR="00F87B9E" w:rsidRPr="00E1372C">
        <w:rPr>
          <w:lang w:val="fr-FR" w:bidi="en-US"/>
        </w:rPr>
        <w:t>ils ne sont pas assurés à chaque citoyen.</w:t>
      </w:r>
    </w:p>
    <w:p w:rsidR="00F87B9E" w:rsidRPr="00E1372C" w:rsidRDefault="007A1757" w:rsidP="007A1757">
      <w:pPr>
        <w:pStyle w:val="SingleTxtG"/>
        <w:rPr>
          <w:lang w:val="fr-FR" w:bidi="en-US"/>
        </w:rPr>
      </w:pPr>
      <w:r w:rsidRPr="00E1372C">
        <w:rPr>
          <w:lang w:val="fr-FR" w:bidi="en-US"/>
        </w:rPr>
        <w:t>57.</w:t>
      </w:r>
      <w:r w:rsidRPr="00E1372C">
        <w:rPr>
          <w:lang w:val="fr-FR" w:bidi="en-US"/>
        </w:rPr>
        <w:tab/>
      </w:r>
      <w:r w:rsidR="00F87B9E" w:rsidRPr="00E1372C">
        <w:rPr>
          <w:lang w:val="fr-FR" w:bidi="en-US"/>
        </w:rPr>
        <w:t>Le souci du Gouvernement d</w:t>
      </w:r>
      <w:r w:rsidR="00731F09" w:rsidRPr="00E1372C">
        <w:rPr>
          <w:lang w:val="fr-FR" w:bidi="en-US"/>
        </w:rPr>
        <w:t>’</w:t>
      </w:r>
      <w:r w:rsidR="00F87B9E" w:rsidRPr="00E1372C">
        <w:rPr>
          <w:lang w:val="fr-FR" w:bidi="en-US"/>
        </w:rPr>
        <w:t>assurer au minimum la survie de ses citoyens se manifeste dans ses programmes visant à atténuer la sécheresse, sa campagne nationale de lutte contre le VIH/</w:t>
      </w:r>
      <w:r w:rsidR="00B277C4" w:rsidRPr="00E1372C">
        <w:rPr>
          <w:lang w:val="fr-FR" w:bidi="en-US"/>
        </w:rPr>
        <w:t>sida</w:t>
      </w:r>
      <w:r w:rsidR="00F87B9E" w:rsidRPr="00E1372C">
        <w:rPr>
          <w:lang w:val="fr-FR" w:bidi="en-US"/>
        </w:rPr>
        <w:t xml:space="preserve"> et le forage de puits dans tout le pays pour fournir de l</w:t>
      </w:r>
      <w:r w:rsidR="00731F09" w:rsidRPr="00E1372C">
        <w:rPr>
          <w:lang w:val="fr-FR" w:bidi="en-US"/>
        </w:rPr>
        <w:t>’</w:t>
      </w:r>
      <w:r w:rsidR="00F87B9E" w:rsidRPr="00E1372C">
        <w:rPr>
          <w:lang w:val="fr-FR" w:bidi="en-US"/>
        </w:rPr>
        <w:t>eau potable à sa population. L</w:t>
      </w:r>
      <w:r w:rsidR="00731F09" w:rsidRPr="00E1372C">
        <w:rPr>
          <w:lang w:val="fr-FR" w:bidi="en-US"/>
        </w:rPr>
        <w:t>’</w:t>
      </w:r>
      <w:r w:rsidR="00F87B9E" w:rsidRPr="00E1372C">
        <w:rPr>
          <w:lang w:val="fr-FR" w:bidi="en-US"/>
        </w:rPr>
        <w:t>État octroie également une allocation aux personnes âgées, qui s</w:t>
      </w:r>
      <w:r w:rsidR="00731F09" w:rsidRPr="00E1372C">
        <w:rPr>
          <w:lang w:val="fr-FR" w:bidi="en-US"/>
        </w:rPr>
        <w:t>’</w:t>
      </w:r>
      <w:r w:rsidR="00F87B9E" w:rsidRPr="00E1372C">
        <w:rPr>
          <w:lang w:val="fr-FR" w:bidi="en-US"/>
        </w:rPr>
        <w:t>élève aujourd</w:t>
      </w:r>
      <w:r w:rsidR="00731F09" w:rsidRPr="00E1372C">
        <w:rPr>
          <w:lang w:val="fr-FR" w:bidi="en-US"/>
        </w:rPr>
        <w:t>’</w:t>
      </w:r>
      <w:r w:rsidR="00F87B9E" w:rsidRPr="00E1372C">
        <w:rPr>
          <w:lang w:val="fr-FR" w:bidi="en-US"/>
        </w:rPr>
        <w:t>hui à 550 dollars namibiens (67 dollars</w:t>
      </w:r>
      <w:r w:rsidR="002D58B3" w:rsidRPr="00E1372C">
        <w:rPr>
          <w:lang w:val="fr-FR" w:bidi="en-US"/>
        </w:rPr>
        <w:t xml:space="preserve"> É.-U.</w:t>
      </w:r>
      <w:r w:rsidR="00F87B9E" w:rsidRPr="00E1372C">
        <w:rPr>
          <w:lang w:val="fr-FR" w:bidi="en-US"/>
        </w:rPr>
        <w:t>) par mois.</w:t>
      </w:r>
    </w:p>
    <w:p w:rsidR="00F87B9E" w:rsidRPr="00E1372C" w:rsidRDefault="007A1757" w:rsidP="007A1757">
      <w:pPr>
        <w:pStyle w:val="SingleTxtG"/>
        <w:rPr>
          <w:lang w:val="fr-FR" w:bidi="en-US"/>
        </w:rPr>
      </w:pPr>
      <w:r w:rsidRPr="00E1372C">
        <w:rPr>
          <w:lang w:val="fr-FR" w:bidi="en-US"/>
        </w:rPr>
        <w:t>58.</w:t>
      </w:r>
      <w:r w:rsidRPr="00E1372C">
        <w:rPr>
          <w:lang w:val="fr-FR" w:bidi="en-US"/>
        </w:rPr>
        <w:tab/>
      </w:r>
      <w:r w:rsidR="00F87B9E" w:rsidRPr="00E1372C">
        <w:rPr>
          <w:lang w:val="fr-FR" w:bidi="en-US"/>
        </w:rPr>
        <w:t>En 1994, une étude de faisabilité, entreprise sous les auspices de l</w:t>
      </w:r>
      <w:r w:rsidR="00731F09" w:rsidRPr="00E1372C">
        <w:rPr>
          <w:lang w:val="fr-FR" w:bidi="en-US"/>
        </w:rPr>
        <w:t>’</w:t>
      </w:r>
      <w:r w:rsidR="00F87B9E" w:rsidRPr="00E1372C">
        <w:rPr>
          <w:lang w:val="fr-FR" w:bidi="en-US"/>
        </w:rPr>
        <w:t>UNESCO, a souligné la nécessité d</w:t>
      </w:r>
      <w:r w:rsidR="00731F09" w:rsidRPr="00E1372C">
        <w:rPr>
          <w:lang w:val="fr-FR" w:bidi="en-US"/>
        </w:rPr>
        <w:t>’</w:t>
      </w:r>
      <w:r w:rsidR="00F87B9E" w:rsidRPr="00E1372C">
        <w:rPr>
          <w:lang w:val="fr-FR" w:bidi="en-US"/>
        </w:rPr>
        <w:t>enseigner les droits de l</w:t>
      </w:r>
      <w:r w:rsidR="00731F09" w:rsidRPr="00E1372C">
        <w:rPr>
          <w:lang w:val="fr-FR" w:bidi="en-US"/>
        </w:rPr>
        <w:t>’</w:t>
      </w:r>
      <w:r w:rsidR="00F87B9E" w:rsidRPr="00E1372C">
        <w:rPr>
          <w:lang w:val="fr-FR" w:bidi="en-US"/>
        </w:rPr>
        <w:t>homme en Afrique australe. Un projet pilote a été proposé concernant l</w:t>
      </w:r>
      <w:r w:rsidR="00731F09" w:rsidRPr="00E1372C">
        <w:rPr>
          <w:lang w:val="fr-FR" w:bidi="en-US"/>
        </w:rPr>
        <w:t>’</w:t>
      </w:r>
      <w:r w:rsidR="00F87B9E" w:rsidRPr="00E1372C">
        <w:rPr>
          <w:lang w:val="fr-FR" w:bidi="en-US"/>
        </w:rPr>
        <w:t>élaboration de matériel didactique, de méthodes pédagogiques appropriées et la formation de responsables des programmes scolaires et de formateurs d</w:t>
      </w:r>
      <w:r w:rsidR="00731F09" w:rsidRPr="00E1372C">
        <w:rPr>
          <w:lang w:val="fr-FR" w:bidi="en-US"/>
        </w:rPr>
        <w:t>’</w:t>
      </w:r>
      <w:r w:rsidR="00F87B9E" w:rsidRPr="00E1372C">
        <w:rPr>
          <w:lang w:val="fr-FR" w:bidi="en-US"/>
        </w:rPr>
        <w:t>enseignants.</w:t>
      </w:r>
    </w:p>
    <w:p w:rsidR="00F87B9E" w:rsidRPr="00E1372C" w:rsidRDefault="007A1757" w:rsidP="007A1757">
      <w:pPr>
        <w:pStyle w:val="SingleTxtG"/>
        <w:rPr>
          <w:lang w:val="fr-FR" w:bidi="en-US"/>
        </w:rPr>
      </w:pPr>
      <w:r w:rsidRPr="00E1372C">
        <w:rPr>
          <w:lang w:val="fr-FR" w:bidi="en-US"/>
        </w:rPr>
        <w:t>59.</w:t>
      </w:r>
      <w:r w:rsidRPr="00E1372C">
        <w:rPr>
          <w:lang w:val="fr-FR" w:bidi="en-US"/>
        </w:rPr>
        <w:tab/>
      </w:r>
      <w:r w:rsidR="00F87B9E" w:rsidRPr="00E1372C">
        <w:rPr>
          <w:lang w:val="fr-FR" w:bidi="en-US"/>
        </w:rPr>
        <w:t xml:space="preserve">Enfin, le projet intitulé </w:t>
      </w:r>
      <w:r w:rsidR="00AE017E" w:rsidRPr="00E1372C">
        <w:rPr>
          <w:lang w:val="fr-FR" w:bidi="en-US"/>
        </w:rPr>
        <w:t>«</w:t>
      </w:r>
      <w:r w:rsidR="00F87B9E" w:rsidRPr="00E1372C">
        <w:rPr>
          <w:lang w:val="fr-FR" w:bidi="en-US"/>
        </w:rPr>
        <w:t>Formation aux droits de l</w:t>
      </w:r>
      <w:r w:rsidR="00731F09" w:rsidRPr="00E1372C">
        <w:rPr>
          <w:lang w:val="fr-FR" w:bidi="en-US"/>
        </w:rPr>
        <w:t>’</w:t>
      </w:r>
      <w:r w:rsidR="00F87B9E" w:rsidRPr="00E1372C">
        <w:rPr>
          <w:lang w:val="fr-FR" w:bidi="en-US"/>
        </w:rPr>
        <w:t>homme et à la démocratie en Afrique australe</w:t>
      </w:r>
      <w:r w:rsidR="00AE017E" w:rsidRPr="00E1372C">
        <w:rPr>
          <w:lang w:val="fr-FR" w:bidi="en-US"/>
        </w:rPr>
        <w:t>»</w:t>
      </w:r>
      <w:r w:rsidR="00F87B9E" w:rsidRPr="00E1372C">
        <w:rPr>
          <w:lang w:val="fr-FR" w:bidi="en-US"/>
        </w:rPr>
        <w:t xml:space="preserve"> s</w:t>
      </w:r>
      <w:r w:rsidR="00731F09" w:rsidRPr="00E1372C">
        <w:rPr>
          <w:lang w:val="fr-FR" w:bidi="en-US"/>
        </w:rPr>
        <w:t>’</w:t>
      </w:r>
      <w:r w:rsidR="00F87B9E" w:rsidRPr="00E1372C">
        <w:rPr>
          <w:lang w:val="fr-FR" w:bidi="en-US"/>
        </w:rPr>
        <w:t xml:space="preserve">est appliqué à des pays comme le Mozambique, la Namibie et le Zimbabwe. Il visait à inscrire des questions telles que </w:t>
      </w:r>
      <w:r w:rsidR="00AA13E2" w:rsidRPr="00E1372C">
        <w:rPr>
          <w:lang w:val="fr-FR" w:bidi="en-US"/>
        </w:rPr>
        <w:t xml:space="preserve">les </w:t>
      </w:r>
      <w:r w:rsidR="00F87B9E" w:rsidRPr="00E1372C">
        <w:rPr>
          <w:lang w:val="fr-FR" w:bidi="en-US"/>
        </w:rPr>
        <w:t>droits de l</w:t>
      </w:r>
      <w:r w:rsidR="00731F09" w:rsidRPr="00E1372C">
        <w:rPr>
          <w:lang w:val="fr-FR" w:bidi="en-US"/>
        </w:rPr>
        <w:t>’</w:t>
      </w:r>
      <w:r w:rsidR="00F87B9E" w:rsidRPr="00E1372C">
        <w:rPr>
          <w:lang w:val="fr-FR" w:bidi="en-US"/>
        </w:rPr>
        <w:t xml:space="preserve">homme et </w:t>
      </w:r>
      <w:r w:rsidR="00AA13E2" w:rsidRPr="00E1372C">
        <w:rPr>
          <w:lang w:val="fr-FR" w:bidi="en-US"/>
        </w:rPr>
        <w:t xml:space="preserve">la </w:t>
      </w:r>
      <w:r w:rsidR="00F87B9E" w:rsidRPr="00E1372C">
        <w:rPr>
          <w:lang w:val="fr-FR" w:bidi="en-US"/>
        </w:rPr>
        <w:t>démocratie dans les programmes scolaires généraux des États d</w:t>
      </w:r>
      <w:r w:rsidR="00731F09" w:rsidRPr="00E1372C">
        <w:rPr>
          <w:lang w:val="fr-FR" w:bidi="en-US"/>
        </w:rPr>
        <w:t>’</w:t>
      </w:r>
      <w:r w:rsidR="00F87B9E" w:rsidRPr="00E1372C">
        <w:rPr>
          <w:lang w:val="fr-FR" w:bidi="en-US"/>
        </w:rPr>
        <w:t>Afrique australe. E</w:t>
      </w:r>
      <w:r w:rsidR="008A5779" w:rsidRPr="00E1372C">
        <w:rPr>
          <w:lang w:val="fr-FR" w:bidi="en-US"/>
        </w:rPr>
        <w:t>n</w:t>
      </w:r>
      <w:r w:rsidR="00F87B9E" w:rsidRPr="00E1372C">
        <w:rPr>
          <w:lang w:val="fr-FR" w:bidi="en-US"/>
        </w:rPr>
        <w:t xml:space="preserve"> modifiant les mentalités par l</w:t>
      </w:r>
      <w:r w:rsidR="00731F09" w:rsidRPr="00E1372C">
        <w:rPr>
          <w:lang w:val="fr-FR" w:bidi="en-US"/>
        </w:rPr>
        <w:t>’</w:t>
      </w:r>
      <w:r w:rsidR="00F87B9E" w:rsidRPr="00E1372C">
        <w:rPr>
          <w:lang w:val="fr-FR" w:bidi="en-US"/>
        </w:rPr>
        <w:t>éducation, le projet a créé une culture régionale de respect des droits de l</w:t>
      </w:r>
      <w:r w:rsidR="00731F09" w:rsidRPr="00E1372C">
        <w:rPr>
          <w:lang w:val="fr-FR" w:bidi="en-US"/>
        </w:rPr>
        <w:t>’</w:t>
      </w:r>
      <w:r w:rsidR="00F87B9E" w:rsidRPr="00E1372C">
        <w:rPr>
          <w:lang w:val="fr-FR" w:bidi="en-US"/>
        </w:rPr>
        <w:t xml:space="preserve">homme. </w:t>
      </w:r>
      <w:r w:rsidR="008A5779" w:rsidRPr="00E1372C">
        <w:rPr>
          <w:lang w:val="fr-FR" w:bidi="en-US"/>
        </w:rPr>
        <w:t>En Namibie, il est administré par l</w:t>
      </w:r>
      <w:r w:rsidR="00731F09" w:rsidRPr="00E1372C">
        <w:rPr>
          <w:lang w:val="fr-FR" w:bidi="en-US"/>
        </w:rPr>
        <w:t>’</w:t>
      </w:r>
      <w:r w:rsidR="008A5779" w:rsidRPr="00E1372C">
        <w:rPr>
          <w:lang w:val="fr-FR" w:bidi="en-US"/>
        </w:rPr>
        <w:t>Institut national pour le développement de l</w:t>
      </w:r>
      <w:r w:rsidR="00731F09" w:rsidRPr="00E1372C">
        <w:rPr>
          <w:lang w:val="fr-FR" w:bidi="en-US"/>
        </w:rPr>
        <w:t>’</w:t>
      </w:r>
      <w:r w:rsidR="008A5779" w:rsidRPr="00E1372C">
        <w:rPr>
          <w:lang w:val="fr-FR" w:bidi="en-US"/>
        </w:rPr>
        <w:t>enseignement.</w:t>
      </w:r>
    </w:p>
    <w:p w:rsidR="00A55A0E" w:rsidRPr="00E1372C" w:rsidRDefault="007A1757" w:rsidP="007A1757">
      <w:pPr>
        <w:pStyle w:val="SingleTxtG"/>
        <w:rPr>
          <w:lang w:val="fr-FR" w:bidi="en-US"/>
        </w:rPr>
      </w:pPr>
      <w:r w:rsidRPr="00E1372C">
        <w:rPr>
          <w:lang w:val="fr-FR" w:bidi="en-US"/>
        </w:rPr>
        <w:t>60.</w:t>
      </w:r>
      <w:r w:rsidRPr="00E1372C">
        <w:rPr>
          <w:lang w:val="fr-FR" w:bidi="en-US"/>
        </w:rPr>
        <w:tab/>
      </w:r>
      <w:r w:rsidR="008A5779" w:rsidRPr="00E1372C">
        <w:rPr>
          <w:lang w:val="fr-FR" w:bidi="en-US"/>
        </w:rPr>
        <w:t xml:space="preserve">La première activité a consisté à organiser un atelier à </w:t>
      </w:r>
      <w:r w:rsidR="00A55A0E" w:rsidRPr="00E1372C">
        <w:rPr>
          <w:lang w:val="fr-FR" w:bidi="en-US"/>
        </w:rPr>
        <w:t xml:space="preserve">Windhoek </w:t>
      </w:r>
      <w:r w:rsidR="008A5779" w:rsidRPr="00E1372C">
        <w:rPr>
          <w:lang w:val="fr-FR" w:bidi="en-US"/>
        </w:rPr>
        <w:t>e</w:t>
      </w:r>
      <w:r w:rsidR="00A55A0E" w:rsidRPr="00E1372C">
        <w:rPr>
          <w:lang w:val="fr-FR" w:bidi="en-US"/>
        </w:rPr>
        <w:t xml:space="preserve">n 1998. </w:t>
      </w:r>
      <w:r w:rsidR="008A5779" w:rsidRPr="00E1372C">
        <w:rPr>
          <w:lang w:val="fr-FR" w:bidi="en-US"/>
        </w:rPr>
        <w:t>Un manuel pratique a été conçu à l</w:t>
      </w:r>
      <w:r w:rsidR="00731F09" w:rsidRPr="00E1372C">
        <w:rPr>
          <w:lang w:val="fr-FR" w:bidi="en-US"/>
        </w:rPr>
        <w:t>’</w:t>
      </w:r>
      <w:r w:rsidR="008A5779" w:rsidRPr="00E1372C">
        <w:rPr>
          <w:lang w:val="fr-FR" w:bidi="en-US"/>
        </w:rPr>
        <w:t xml:space="preserve">intention de toutes les écoles des régions. En 1999, </w:t>
      </w:r>
      <w:r w:rsidR="00A55A0E" w:rsidRPr="00E1372C">
        <w:rPr>
          <w:i/>
          <w:lang w:val="fr-FR" w:bidi="en-US"/>
        </w:rPr>
        <w:t>Longman Namibia (PTY) Ltd</w:t>
      </w:r>
      <w:r w:rsidR="008A5779" w:rsidRPr="00E1372C">
        <w:rPr>
          <w:lang w:val="fr-FR" w:bidi="en-US"/>
        </w:rPr>
        <w:t>, en association avec l</w:t>
      </w:r>
      <w:r w:rsidR="00731F09" w:rsidRPr="00E1372C">
        <w:rPr>
          <w:lang w:val="fr-FR" w:bidi="en-US"/>
        </w:rPr>
        <w:t>’</w:t>
      </w:r>
      <w:r w:rsidR="00A55A0E" w:rsidRPr="00E1372C">
        <w:rPr>
          <w:lang w:val="fr-FR" w:bidi="en-US"/>
        </w:rPr>
        <w:t>UNESCO</w:t>
      </w:r>
      <w:r w:rsidR="008A5779" w:rsidRPr="00E1372C">
        <w:rPr>
          <w:lang w:val="fr-FR" w:bidi="en-US"/>
        </w:rPr>
        <w:t>, a édité un guide d</w:t>
      </w:r>
      <w:r w:rsidR="00CF335B" w:rsidRPr="00E1372C">
        <w:rPr>
          <w:lang w:val="fr-FR" w:bidi="en-US"/>
        </w:rPr>
        <w:t>idactique</w:t>
      </w:r>
      <w:r w:rsidR="008A5779" w:rsidRPr="00E1372C">
        <w:rPr>
          <w:lang w:val="fr-FR" w:bidi="en-US"/>
        </w:rPr>
        <w:t xml:space="preserve"> sur la formation aux droits de l</w:t>
      </w:r>
      <w:r w:rsidR="00731F09" w:rsidRPr="00E1372C">
        <w:rPr>
          <w:lang w:val="fr-FR" w:bidi="en-US"/>
        </w:rPr>
        <w:t>’</w:t>
      </w:r>
      <w:r w:rsidR="008A5779" w:rsidRPr="00E1372C">
        <w:rPr>
          <w:lang w:val="fr-FR" w:bidi="en-US"/>
        </w:rPr>
        <w:t>homme et à la démocratie en Afrique australe.</w:t>
      </w:r>
    </w:p>
    <w:p w:rsidR="00A55A0E" w:rsidRPr="00E1372C" w:rsidRDefault="007064FC" w:rsidP="007064FC">
      <w:pPr>
        <w:pStyle w:val="H23G"/>
        <w:rPr>
          <w:lang w:val="fr-FR" w:bidi="en-US"/>
        </w:rPr>
      </w:pPr>
      <w:r w:rsidRPr="00E1372C">
        <w:rPr>
          <w:lang w:val="fr-FR" w:bidi="en-US"/>
        </w:rPr>
        <w:tab/>
      </w:r>
      <w:r w:rsidRPr="00E1372C">
        <w:rPr>
          <w:lang w:val="fr-FR" w:bidi="en-US"/>
        </w:rPr>
        <w:tab/>
      </w:r>
      <w:r w:rsidR="008A5779" w:rsidRPr="00E1372C">
        <w:rPr>
          <w:lang w:val="fr-FR" w:bidi="en-US"/>
        </w:rPr>
        <w:t>Égalité de traitement</w:t>
      </w:r>
    </w:p>
    <w:p w:rsidR="008A2102" w:rsidRPr="00E1372C" w:rsidRDefault="007A1757" w:rsidP="007A1757">
      <w:pPr>
        <w:pStyle w:val="SingleTxtG"/>
        <w:rPr>
          <w:lang w:val="fr-FR" w:bidi="en-US"/>
        </w:rPr>
      </w:pPr>
      <w:r w:rsidRPr="00E1372C">
        <w:rPr>
          <w:lang w:val="fr-FR" w:bidi="en-US"/>
        </w:rPr>
        <w:t>61.</w:t>
      </w:r>
      <w:r w:rsidRPr="00E1372C">
        <w:rPr>
          <w:lang w:val="fr-FR" w:bidi="en-US"/>
        </w:rPr>
        <w:tab/>
      </w:r>
      <w:r w:rsidR="008A2102" w:rsidRPr="00E1372C">
        <w:rPr>
          <w:lang w:val="fr-FR" w:bidi="en-US"/>
        </w:rPr>
        <w:t>La politique de l</w:t>
      </w:r>
      <w:r w:rsidR="00731F09" w:rsidRPr="00E1372C">
        <w:rPr>
          <w:lang w:val="fr-FR" w:bidi="en-US"/>
        </w:rPr>
        <w:t>’</w:t>
      </w:r>
      <w:r w:rsidR="008A2102" w:rsidRPr="00E1372C">
        <w:rPr>
          <w:lang w:val="fr-FR" w:bidi="en-US"/>
        </w:rPr>
        <w:t>égalité de traitement en Namibie se manifeste dans deux domaines</w:t>
      </w:r>
      <w:r w:rsidR="00AE017E" w:rsidRPr="00E1372C">
        <w:rPr>
          <w:lang w:val="fr-FR" w:bidi="en-US"/>
        </w:rPr>
        <w:t>:</w:t>
      </w:r>
      <w:r w:rsidR="008A2102" w:rsidRPr="00E1372C">
        <w:rPr>
          <w:lang w:val="fr-FR" w:bidi="en-US"/>
        </w:rPr>
        <w:t xml:space="preserve"> discrimination raciale et discrimination à l</w:t>
      </w:r>
      <w:r w:rsidR="00731F09" w:rsidRPr="00E1372C">
        <w:rPr>
          <w:lang w:val="fr-FR" w:bidi="en-US"/>
        </w:rPr>
        <w:t>’</w:t>
      </w:r>
      <w:r w:rsidR="008A2102" w:rsidRPr="00E1372C">
        <w:rPr>
          <w:lang w:val="fr-FR" w:bidi="en-US"/>
        </w:rPr>
        <w:t>égard des femmes. L</w:t>
      </w:r>
      <w:r w:rsidR="00731F09" w:rsidRPr="00E1372C">
        <w:rPr>
          <w:lang w:val="fr-FR" w:bidi="en-US"/>
        </w:rPr>
        <w:t>’</w:t>
      </w:r>
      <w:r w:rsidR="008A2102" w:rsidRPr="00E1372C">
        <w:rPr>
          <w:lang w:val="fr-FR" w:bidi="en-US"/>
        </w:rPr>
        <w:t>égalité de traitement de toutes les races est un principe</w:t>
      </w:r>
      <w:r w:rsidR="00CF335B" w:rsidRPr="00E1372C">
        <w:rPr>
          <w:lang w:val="fr-FR" w:bidi="en-US"/>
        </w:rPr>
        <w:t xml:space="preserve"> constitutionnel</w:t>
      </w:r>
      <w:r w:rsidR="008A2102" w:rsidRPr="00E1372C">
        <w:rPr>
          <w:lang w:val="fr-FR" w:bidi="en-US"/>
        </w:rPr>
        <w:t xml:space="preserve"> essentiel, qui découle de la période de l</w:t>
      </w:r>
      <w:r w:rsidR="00731F09" w:rsidRPr="00E1372C">
        <w:rPr>
          <w:lang w:val="fr-FR" w:bidi="en-US"/>
        </w:rPr>
        <w:t>’</w:t>
      </w:r>
      <w:r w:rsidR="008A2102" w:rsidRPr="00E1372C">
        <w:rPr>
          <w:lang w:val="fr-FR" w:bidi="en-US"/>
        </w:rPr>
        <w:t>apartheid. Sous ce régime, la ségrégation raciale constituait le fondement institutionnel de l</w:t>
      </w:r>
      <w:r w:rsidR="00731F09" w:rsidRPr="00E1372C">
        <w:rPr>
          <w:lang w:val="fr-FR" w:bidi="en-US"/>
        </w:rPr>
        <w:t>’</w:t>
      </w:r>
      <w:r w:rsidR="008A2102" w:rsidRPr="00E1372C">
        <w:rPr>
          <w:lang w:val="fr-FR" w:bidi="en-US"/>
        </w:rPr>
        <w:t>état colonial.</w:t>
      </w:r>
    </w:p>
    <w:p w:rsidR="00A55A0E" w:rsidRPr="00E1372C" w:rsidRDefault="007A1757" w:rsidP="007A1757">
      <w:pPr>
        <w:pStyle w:val="SingleTxtG"/>
        <w:rPr>
          <w:lang w:val="fr-FR" w:bidi="en-US"/>
        </w:rPr>
      </w:pPr>
      <w:r w:rsidRPr="00E1372C">
        <w:rPr>
          <w:lang w:val="fr-FR" w:bidi="en-US"/>
        </w:rPr>
        <w:t>62.</w:t>
      </w:r>
      <w:r w:rsidRPr="00E1372C">
        <w:rPr>
          <w:lang w:val="fr-FR" w:bidi="en-US"/>
        </w:rPr>
        <w:tab/>
      </w:r>
      <w:r w:rsidR="008A2102" w:rsidRPr="00E1372C">
        <w:rPr>
          <w:lang w:val="fr-FR"/>
        </w:rPr>
        <w:t>L</w:t>
      </w:r>
      <w:r w:rsidR="00731F09" w:rsidRPr="00E1372C">
        <w:rPr>
          <w:lang w:val="fr-FR"/>
        </w:rPr>
        <w:t>’</w:t>
      </w:r>
      <w:r w:rsidR="008A2102" w:rsidRPr="00E1372C">
        <w:rPr>
          <w:lang w:val="fr-FR"/>
        </w:rPr>
        <w:t>article 10 de la Constitution interdit</w:t>
      </w:r>
      <w:r w:rsidR="00AA13E2" w:rsidRPr="00E1372C">
        <w:rPr>
          <w:lang w:val="fr-FR"/>
        </w:rPr>
        <w:t xml:space="preserve"> expressément</w:t>
      </w:r>
      <w:r w:rsidR="008A2102" w:rsidRPr="00E1372C">
        <w:rPr>
          <w:lang w:val="fr-FR"/>
        </w:rPr>
        <w:t xml:space="preserve"> toute discrimination fondée sur le sexe, la race, la couleur, l</w:t>
      </w:r>
      <w:r w:rsidR="00731F09" w:rsidRPr="00E1372C">
        <w:rPr>
          <w:lang w:val="fr-FR"/>
        </w:rPr>
        <w:t>’</w:t>
      </w:r>
      <w:r w:rsidR="008A2102" w:rsidRPr="00E1372C">
        <w:rPr>
          <w:lang w:val="fr-FR"/>
        </w:rPr>
        <w:t>origine ethnique, la religion, les opinions ou la situation sociale ou économique.</w:t>
      </w:r>
    </w:p>
    <w:p w:rsidR="008A2102" w:rsidRPr="00E1372C" w:rsidRDefault="007A1757" w:rsidP="007A1757">
      <w:pPr>
        <w:pStyle w:val="SingleTxtG"/>
        <w:rPr>
          <w:lang w:val="fr-FR" w:bidi="en-US"/>
        </w:rPr>
      </w:pPr>
      <w:r w:rsidRPr="00E1372C">
        <w:rPr>
          <w:lang w:val="fr-FR" w:bidi="en-US"/>
        </w:rPr>
        <w:t>63.</w:t>
      </w:r>
      <w:r w:rsidRPr="00E1372C">
        <w:rPr>
          <w:lang w:val="fr-FR" w:bidi="en-US"/>
        </w:rPr>
        <w:tab/>
      </w:r>
      <w:r w:rsidR="008A2102" w:rsidRPr="00E1372C">
        <w:rPr>
          <w:lang w:val="fr-FR" w:bidi="en-US"/>
        </w:rPr>
        <w:t>Alors que le principe des droits de l</w:t>
      </w:r>
      <w:r w:rsidR="00731F09" w:rsidRPr="00E1372C">
        <w:rPr>
          <w:lang w:val="fr-FR" w:bidi="en-US"/>
        </w:rPr>
        <w:t>’</w:t>
      </w:r>
      <w:r w:rsidR="008A2102" w:rsidRPr="00E1372C">
        <w:rPr>
          <w:lang w:val="fr-FR" w:bidi="en-US"/>
        </w:rPr>
        <w:t>homme ne constituait pas un élément du régime juridique avant l</w:t>
      </w:r>
      <w:r w:rsidR="00731F09" w:rsidRPr="00E1372C">
        <w:rPr>
          <w:lang w:val="fr-FR" w:bidi="en-US"/>
        </w:rPr>
        <w:t>’</w:t>
      </w:r>
      <w:r w:rsidR="008A2102" w:rsidRPr="00E1372C">
        <w:rPr>
          <w:lang w:val="fr-FR" w:bidi="en-US"/>
        </w:rPr>
        <w:t>indépendance, on peut affirmer que les femmes étaient intrinsèquement l</w:t>
      </w:r>
      <w:r w:rsidR="00731F09" w:rsidRPr="00E1372C">
        <w:rPr>
          <w:lang w:val="fr-FR" w:bidi="en-US"/>
        </w:rPr>
        <w:t>’</w:t>
      </w:r>
      <w:r w:rsidR="008A2102" w:rsidRPr="00E1372C">
        <w:rPr>
          <w:lang w:val="fr-FR" w:bidi="en-US"/>
        </w:rPr>
        <w:t>objet de discrimination et, selon leur origine ethnique, avaient peu de droits, sinon aucun. L</w:t>
      </w:r>
      <w:r w:rsidR="00731F09" w:rsidRPr="00E1372C">
        <w:rPr>
          <w:lang w:val="fr-FR" w:bidi="en-US"/>
        </w:rPr>
        <w:t>’</w:t>
      </w:r>
      <w:r w:rsidR="008A2102" w:rsidRPr="00E1372C">
        <w:rPr>
          <w:lang w:val="fr-FR" w:bidi="en-US"/>
        </w:rPr>
        <w:t>homme blanc régnait en maître et l</w:t>
      </w:r>
      <w:r w:rsidR="00731F09" w:rsidRPr="00E1372C">
        <w:rPr>
          <w:lang w:val="fr-FR" w:bidi="en-US"/>
        </w:rPr>
        <w:t>’</w:t>
      </w:r>
      <w:r w:rsidR="008A2102" w:rsidRPr="00E1372C">
        <w:rPr>
          <w:lang w:val="fr-FR" w:bidi="en-US"/>
        </w:rPr>
        <w:t>autorité conjugale reposait sur le partenaire au point qu</w:t>
      </w:r>
      <w:r w:rsidR="00731F09" w:rsidRPr="00E1372C">
        <w:rPr>
          <w:lang w:val="fr-FR" w:bidi="en-US"/>
        </w:rPr>
        <w:t>’</w:t>
      </w:r>
      <w:r w:rsidR="008A2102" w:rsidRPr="00E1372C">
        <w:rPr>
          <w:lang w:val="fr-FR" w:bidi="en-US"/>
        </w:rPr>
        <w:t>une femme blanche mariée ne pouvait conclure de contrats (autres qu</w:t>
      </w:r>
      <w:r w:rsidR="00CF335B" w:rsidRPr="00E1372C">
        <w:rPr>
          <w:lang w:val="fr-FR" w:bidi="en-US"/>
        </w:rPr>
        <w:t>e pour les besoins</w:t>
      </w:r>
      <w:r w:rsidR="008A2102" w:rsidRPr="00E1372C">
        <w:rPr>
          <w:lang w:val="fr-FR" w:bidi="en-US"/>
        </w:rPr>
        <w:t xml:space="preserve"> du ménage) sans le consentement de son époux.</w:t>
      </w:r>
      <w:r w:rsidR="005A1D96" w:rsidRPr="00E1372C">
        <w:rPr>
          <w:lang w:val="fr-FR" w:bidi="en-US"/>
        </w:rPr>
        <w:t xml:space="preserve"> Dans les zones rurales, les Noires étaient souvent opprimées par des pratiques coutumières archaïques qui en faisaient des objets et des éléments du patrimoine de leurs époux. La loi de 1996 relative à l</w:t>
      </w:r>
      <w:r w:rsidR="00731F09" w:rsidRPr="00E1372C">
        <w:rPr>
          <w:lang w:val="fr-FR" w:bidi="en-US"/>
        </w:rPr>
        <w:t>’</w:t>
      </w:r>
      <w:r w:rsidR="005A1D96" w:rsidRPr="00E1372C">
        <w:rPr>
          <w:lang w:val="fr-FR" w:bidi="en-US"/>
        </w:rPr>
        <w:t>égalité des personnes mariées a aboli l</w:t>
      </w:r>
      <w:r w:rsidR="00731F09" w:rsidRPr="00E1372C">
        <w:rPr>
          <w:lang w:val="fr-FR" w:bidi="en-US"/>
        </w:rPr>
        <w:t>’</w:t>
      </w:r>
      <w:r w:rsidR="005A1D96" w:rsidRPr="00E1372C">
        <w:rPr>
          <w:lang w:val="fr-FR" w:bidi="en-US"/>
        </w:rPr>
        <w:t>obstacle juridique de l</w:t>
      </w:r>
      <w:r w:rsidR="00731F09" w:rsidRPr="00E1372C">
        <w:rPr>
          <w:lang w:val="fr-FR" w:bidi="en-US"/>
        </w:rPr>
        <w:t>’</w:t>
      </w:r>
      <w:r w:rsidR="005A1D96" w:rsidRPr="00E1372C">
        <w:rPr>
          <w:lang w:val="fr-FR" w:bidi="en-US"/>
        </w:rPr>
        <w:t>autorité conjugale.</w:t>
      </w:r>
    </w:p>
    <w:p w:rsidR="00A55A0E" w:rsidRPr="00E1372C" w:rsidRDefault="007A1757" w:rsidP="007A1757">
      <w:pPr>
        <w:pStyle w:val="SingleTxtG"/>
        <w:rPr>
          <w:lang w:val="fr-FR" w:bidi="en-US"/>
        </w:rPr>
      </w:pPr>
      <w:r w:rsidRPr="00E1372C">
        <w:rPr>
          <w:lang w:val="fr-FR" w:bidi="en-US"/>
        </w:rPr>
        <w:t>64.</w:t>
      </w:r>
      <w:r w:rsidRPr="00E1372C">
        <w:rPr>
          <w:lang w:val="fr-FR" w:bidi="en-US"/>
        </w:rPr>
        <w:tab/>
      </w:r>
      <w:r w:rsidR="005A1D96" w:rsidRPr="00E1372C">
        <w:rPr>
          <w:lang w:val="fr-FR" w:bidi="en-US"/>
        </w:rPr>
        <w:t>Reconnaissant la nécessité d</w:t>
      </w:r>
      <w:r w:rsidR="00731F09" w:rsidRPr="00E1372C">
        <w:rPr>
          <w:lang w:val="fr-FR" w:bidi="en-US"/>
        </w:rPr>
        <w:t>’</w:t>
      </w:r>
      <w:r w:rsidR="005A1D96" w:rsidRPr="00E1372C">
        <w:rPr>
          <w:lang w:val="fr-FR" w:bidi="en-US"/>
        </w:rPr>
        <w:t>aborder le problème de la discrimination raciale, l</w:t>
      </w:r>
      <w:r w:rsidR="005A1D96" w:rsidRPr="00E1372C">
        <w:rPr>
          <w:lang w:val="fr-FR"/>
        </w:rPr>
        <w:t>e Gouvernement a créé en 1995 un Département des affaires féminines, rattaché à la présidence de la République, qui est devenu en 1999 un ministère. Comme l</w:t>
      </w:r>
      <w:r w:rsidR="00731F09" w:rsidRPr="00E1372C">
        <w:rPr>
          <w:lang w:val="fr-FR"/>
        </w:rPr>
        <w:t>’</w:t>
      </w:r>
      <w:r w:rsidR="005A1D96" w:rsidRPr="00E1372C">
        <w:rPr>
          <w:lang w:val="fr-FR"/>
        </w:rPr>
        <w:t xml:space="preserve">a déclaré le premier Président </w:t>
      </w:r>
      <w:r w:rsidR="00A55A0E" w:rsidRPr="00E1372C">
        <w:rPr>
          <w:lang w:val="fr-FR" w:bidi="en-US"/>
        </w:rPr>
        <w:t>Sam Nujoma</w:t>
      </w:r>
      <w:r w:rsidR="005A1D96" w:rsidRPr="00E1372C">
        <w:rPr>
          <w:lang w:val="fr-FR" w:bidi="en-US"/>
        </w:rPr>
        <w:t>, en décembre </w:t>
      </w:r>
      <w:r w:rsidR="00A55A0E" w:rsidRPr="00E1372C">
        <w:rPr>
          <w:lang w:val="fr-FR" w:bidi="en-US"/>
        </w:rPr>
        <w:t>1997:</w:t>
      </w:r>
    </w:p>
    <w:p w:rsidR="00A55A0E" w:rsidRPr="00E1372C" w:rsidRDefault="00AE017E" w:rsidP="00A55A0E">
      <w:pPr>
        <w:pStyle w:val="SingleTxtG"/>
        <w:ind w:left="1701"/>
        <w:rPr>
          <w:lang w:val="fr-FR" w:bidi="en-US"/>
        </w:rPr>
      </w:pPr>
      <w:r w:rsidRPr="00E1372C">
        <w:rPr>
          <w:lang w:val="fr-FR" w:bidi="en-US"/>
        </w:rPr>
        <w:t>«</w:t>
      </w:r>
      <w:r w:rsidR="005A1D96" w:rsidRPr="00E1372C">
        <w:rPr>
          <w:lang w:val="fr-FR" w:bidi="en-US"/>
        </w:rPr>
        <w:t>L</w:t>
      </w:r>
      <w:r w:rsidR="00731F09" w:rsidRPr="00E1372C">
        <w:rPr>
          <w:lang w:val="fr-FR" w:bidi="en-US"/>
        </w:rPr>
        <w:t>’</w:t>
      </w:r>
      <w:r w:rsidR="005A1D96" w:rsidRPr="00E1372C">
        <w:rPr>
          <w:lang w:val="fr-FR" w:bidi="en-US"/>
        </w:rPr>
        <w:t>intégration des femmes dans les politiques, les procédures et les programmes gouvernementaux est une nécessité primordiale pour promouvoir et protéger le</w:t>
      </w:r>
      <w:r w:rsidR="00CF335B" w:rsidRPr="00E1372C">
        <w:rPr>
          <w:lang w:val="fr-FR" w:bidi="en-US"/>
        </w:rPr>
        <w:t>ur</w:t>
      </w:r>
      <w:r w:rsidR="005A1D96" w:rsidRPr="00E1372C">
        <w:rPr>
          <w:lang w:val="fr-FR" w:bidi="en-US"/>
        </w:rPr>
        <w:t>s droits.</w:t>
      </w:r>
      <w:r w:rsidRPr="00E1372C">
        <w:rPr>
          <w:lang w:val="fr-FR" w:bidi="en-US"/>
        </w:rPr>
        <w:t>»</w:t>
      </w:r>
    </w:p>
    <w:p w:rsidR="005A1D96" w:rsidRPr="00E1372C" w:rsidRDefault="007A1757" w:rsidP="007A1757">
      <w:pPr>
        <w:pStyle w:val="SingleTxtG"/>
        <w:rPr>
          <w:lang w:val="fr-FR" w:bidi="en-US"/>
        </w:rPr>
      </w:pPr>
      <w:r w:rsidRPr="00E1372C">
        <w:rPr>
          <w:lang w:val="fr-FR" w:bidi="en-US"/>
        </w:rPr>
        <w:t>65.</w:t>
      </w:r>
      <w:r w:rsidRPr="00E1372C">
        <w:rPr>
          <w:lang w:val="fr-FR" w:bidi="en-US"/>
        </w:rPr>
        <w:tab/>
      </w:r>
      <w:r w:rsidR="005A1D96" w:rsidRPr="00E1372C">
        <w:rPr>
          <w:lang w:val="fr-FR" w:bidi="en-US"/>
        </w:rPr>
        <w:t>E</w:t>
      </w:r>
      <w:r w:rsidR="00A55A0E" w:rsidRPr="00E1372C">
        <w:rPr>
          <w:lang w:val="fr-FR" w:bidi="en-US"/>
        </w:rPr>
        <w:t xml:space="preserve">n 1997, </w:t>
      </w:r>
      <w:r w:rsidR="005A1D96" w:rsidRPr="00E1372C">
        <w:rPr>
          <w:lang w:val="fr-FR" w:bidi="en-US"/>
        </w:rPr>
        <w:t>le Gouvernement a adopté la politique nationale d</w:t>
      </w:r>
      <w:r w:rsidR="00731F09" w:rsidRPr="00E1372C">
        <w:rPr>
          <w:lang w:val="fr-FR" w:bidi="en-US"/>
        </w:rPr>
        <w:t>’</w:t>
      </w:r>
      <w:r w:rsidR="005A1D96" w:rsidRPr="00E1372C">
        <w:rPr>
          <w:lang w:val="fr-FR" w:bidi="en-US"/>
        </w:rPr>
        <w:t>égalité des sexes pour corriger les disparités entre hommes et femmes. Cette politique contenait des orientations pratiques et des stratégies relatives à l</w:t>
      </w:r>
      <w:r w:rsidR="00731F09" w:rsidRPr="00E1372C">
        <w:rPr>
          <w:lang w:val="fr-FR" w:bidi="en-US"/>
        </w:rPr>
        <w:t>’</w:t>
      </w:r>
      <w:r w:rsidR="005A1D96" w:rsidRPr="00E1372C">
        <w:rPr>
          <w:lang w:val="fr-FR" w:bidi="en-US"/>
        </w:rPr>
        <w:t>application, au suivi et à l</w:t>
      </w:r>
      <w:r w:rsidR="00731F09" w:rsidRPr="00E1372C">
        <w:rPr>
          <w:lang w:val="fr-FR" w:bidi="en-US"/>
        </w:rPr>
        <w:t>’</w:t>
      </w:r>
      <w:r w:rsidR="005A1D96" w:rsidRPr="00E1372C">
        <w:rPr>
          <w:lang w:val="fr-FR" w:bidi="en-US"/>
        </w:rPr>
        <w:t>évaluation des dispositions constitutionnelles en matière d</w:t>
      </w:r>
      <w:r w:rsidR="00731F09" w:rsidRPr="00E1372C">
        <w:rPr>
          <w:lang w:val="fr-FR" w:bidi="en-US"/>
        </w:rPr>
        <w:t>’</w:t>
      </w:r>
      <w:r w:rsidR="005A1D96" w:rsidRPr="00E1372C">
        <w:rPr>
          <w:lang w:val="fr-FR" w:bidi="en-US"/>
        </w:rPr>
        <w:t>égalité entre les sexes. Elle prévoyait également l</w:t>
      </w:r>
      <w:r w:rsidR="00731F09" w:rsidRPr="00E1372C">
        <w:rPr>
          <w:lang w:val="fr-FR" w:bidi="en-US"/>
        </w:rPr>
        <w:t>’</w:t>
      </w:r>
      <w:r w:rsidR="005A1D96" w:rsidRPr="00E1372C">
        <w:rPr>
          <w:lang w:val="fr-FR" w:bidi="en-US"/>
        </w:rPr>
        <w:t>instauration d</w:t>
      </w:r>
      <w:r w:rsidR="00731F09" w:rsidRPr="00E1372C">
        <w:rPr>
          <w:lang w:val="fr-FR" w:bidi="en-US"/>
        </w:rPr>
        <w:t>’</w:t>
      </w:r>
      <w:r w:rsidR="005A1D96" w:rsidRPr="00E1372C">
        <w:rPr>
          <w:lang w:val="fr-FR" w:bidi="en-US"/>
        </w:rPr>
        <w:t>un mécanisme juridique de recours accessible à tous et la reconnaissance des personnes handicapées.</w:t>
      </w:r>
    </w:p>
    <w:p w:rsidR="00BB45F5" w:rsidRPr="00E1372C" w:rsidRDefault="007A1757" w:rsidP="007A1757">
      <w:pPr>
        <w:pStyle w:val="SingleTxtG"/>
        <w:rPr>
          <w:lang w:val="fr-FR" w:bidi="en-US"/>
        </w:rPr>
      </w:pPr>
      <w:r w:rsidRPr="00E1372C">
        <w:rPr>
          <w:lang w:val="fr-FR" w:bidi="en-US"/>
        </w:rPr>
        <w:t>66.</w:t>
      </w:r>
      <w:r w:rsidRPr="00E1372C">
        <w:rPr>
          <w:lang w:val="fr-FR" w:bidi="en-US"/>
        </w:rPr>
        <w:tab/>
      </w:r>
      <w:r w:rsidR="00BB45F5" w:rsidRPr="00E1372C">
        <w:rPr>
          <w:lang w:val="fr-FR" w:bidi="en-US"/>
        </w:rPr>
        <w:t>À l</w:t>
      </w:r>
      <w:r w:rsidR="00731F09" w:rsidRPr="00E1372C">
        <w:rPr>
          <w:lang w:val="fr-FR" w:bidi="en-US"/>
        </w:rPr>
        <w:t>’</w:t>
      </w:r>
      <w:r w:rsidR="00BB45F5" w:rsidRPr="00E1372C">
        <w:rPr>
          <w:lang w:val="fr-FR" w:bidi="en-US"/>
        </w:rPr>
        <w:t>échelon politique, tout parti confondu, les listes de candidatures contiennent de plus en plus de femmes, souvent autant que d</w:t>
      </w:r>
      <w:r w:rsidR="00731F09" w:rsidRPr="00E1372C">
        <w:rPr>
          <w:lang w:val="fr-FR" w:bidi="en-US"/>
        </w:rPr>
        <w:t>’</w:t>
      </w:r>
      <w:r w:rsidR="00BB45F5" w:rsidRPr="00E1372C">
        <w:rPr>
          <w:lang w:val="fr-FR" w:bidi="en-US"/>
        </w:rPr>
        <w:t>hommes, la seule limitation étant des candidates potentielles. Selon l</w:t>
      </w:r>
      <w:r w:rsidR="00731F09" w:rsidRPr="00E1372C">
        <w:rPr>
          <w:lang w:val="fr-FR" w:bidi="en-US"/>
        </w:rPr>
        <w:t>’</w:t>
      </w:r>
      <w:r w:rsidR="00BB45F5" w:rsidRPr="00E1372C">
        <w:rPr>
          <w:lang w:val="fr-FR" w:bidi="en-US"/>
        </w:rPr>
        <w:t>opinion générale, le développement économique, social et culturel exige la participation des femmes et des hommes de Namibie.</w:t>
      </w:r>
    </w:p>
    <w:p w:rsidR="0086376C" w:rsidRPr="00E1372C" w:rsidRDefault="007A1757" w:rsidP="007A1757">
      <w:pPr>
        <w:pStyle w:val="SingleTxtG"/>
        <w:rPr>
          <w:lang w:val="fr-FR" w:bidi="en-US"/>
        </w:rPr>
      </w:pPr>
      <w:r w:rsidRPr="00E1372C">
        <w:rPr>
          <w:lang w:val="fr-FR" w:bidi="en-US"/>
        </w:rPr>
        <w:t>67.</w:t>
      </w:r>
      <w:r w:rsidRPr="00E1372C">
        <w:rPr>
          <w:lang w:val="fr-FR" w:bidi="en-US"/>
        </w:rPr>
        <w:tab/>
      </w:r>
      <w:r w:rsidR="00BB45F5" w:rsidRPr="00E1372C">
        <w:rPr>
          <w:lang w:val="fr-FR" w:bidi="en-US"/>
        </w:rPr>
        <w:t>La Namibie compte diverses catégories de résid</w:t>
      </w:r>
      <w:r w:rsidR="0086376C" w:rsidRPr="00E1372C">
        <w:rPr>
          <w:lang w:val="fr-FR" w:bidi="en-US"/>
        </w:rPr>
        <w:t>a</w:t>
      </w:r>
      <w:r w:rsidR="00BB45F5" w:rsidRPr="00E1372C">
        <w:rPr>
          <w:lang w:val="fr-FR" w:bidi="en-US"/>
        </w:rPr>
        <w:t>nts</w:t>
      </w:r>
      <w:r w:rsidR="00AE017E" w:rsidRPr="00E1372C">
        <w:rPr>
          <w:lang w:val="fr-FR" w:bidi="en-US"/>
        </w:rPr>
        <w:t>:</w:t>
      </w:r>
      <w:r w:rsidR="00BB45F5" w:rsidRPr="00E1372C">
        <w:rPr>
          <w:lang w:val="fr-FR" w:bidi="en-US"/>
        </w:rPr>
        <w:t xml:space="preserve"> ressortissants, résid</w:t>
      </w:r>
      <w:r w:rsidR="0086376C" w:rsidRPr="00E1372C">
        <w:rPr>
          <w:lang w:val="fr-FR" w:bidi="en-US"/>
        </w:rPr>
        <w:t>a</w:t>
      </w:r>
      <w:r w:rsidR="00BB45F5" w:rsidRPr="00E1372C">
        <w:rPr>
          <w:lang w:val="fr-FR" w:bidi="en-US"/>
        </w:rPr>
        <w:t>nts permanents, résidents temporaires et personnes ayant le statut de réfugié. Le paragraphe 1 de l</w:t>
      </w:r>
      <w:r w:rsidR="00731F09" w:rsidRPr="00E1372C">
        <w:rPr>
          <w:lang w:val="fr-FR" w:bidi="en-US"/>
        </w:rPr>
        <w:t>’</w:t>
      </w:r>
      <w:r w:rsidR="00BB45F5" w:rsidRPr="00E1372C">
        <w:rPr>
          <w:lang w:val="fr-FR" w:bidi="en-US"/>
        </w:rPr>
        <w:t xml:space="preserve">article 21 de la Constitution dispose que toutes les personnes ont le droit de </w:t>
      </w:r>
      <w:r w:rsidR="004D4C53" w:rsidRPr="00E1372C">
        <w:rPr>
          <w:lang w:val="fr-FR" w:bidi="en-US"/>
        </w:rPr>
        <w:t>circul</w:t>
      </w:r>
      <w:r w:rsidR="00BB45F5" w:rsidRPr="00E1372C">
        <w:rPr>
          <w:lang w:val="fr-FR" w:bidi="en-US"/>
        </w:rPr>
        <w:t>er librement dans tout le pays, ainsi que d</w:t>
      </w:r>
      <w:r w:rsidR="00731F09" w:rsidRPr="00E1372C">
        <w:rPr>
          <w:lang w:val="fr-FR" w:bidi="en-US"/>
        </w:rPr>
        <w:t>’</w:t>
      </w:r>
      <w:r w:rsidR="00BB45F5" w:rsidRPr="00E1372C">
        <w:rPr>
          <w:lang w:val="fr-FR" w:bidi="en-US"/>
        </w:rPr>
        <w:t>y résider et de s</w:t>
      </w:r>
      <w:r w:rsidR="00731F09" w:rsidRPr="00E1372C">
        <w:rPr>
          <w:lang w:val="fr-FR" w:bidi="en-US"/>
        </w:rPr>
        <w:t>’</w:t>
      </w:r>
      <w:r w:rsidR="00BB45F5" w:rsidRPr="00E1372C">
        <w:rPr>
          <w:lang w:val="fr-FR" w:bidi="en-US"/>
        </w:rPr>
        <w:t>y établir. La loi n</w:t>
      </w:r>
      <w:r w:rsidR="00B277C4" w:rsidRPr="00E1372C">
        <w:rPr>
          <w:vertAlign w:val="superscript"/>
          <w:lang w:val="fr-FR" w:bidi="en-US"/>
        </w:rPr>
        <w:t>o</w:t>
      </w:r>
      <w:r w:rsidR="00BB45F5" w:rsidRPr="00E1372C">
        <w:rPr>
          <w:lang w:val="fr-FR" w:bidi="en-US"/>
        </w:rPr>
        <w:t xml:space="preserve"> 2 de 1999 relative </w:t>
      </w:r>
      <w:r w:rsidR="00EC2C80" w:rsidRPr="00E1372C">
        <w:rPr>
          <w:lang w:val="fr-FR" w:bidi="en-US"/>
        </w:rPr>
        <w:t xml:space="preserve">à la reconnaissance et </w:t>
      </w:r>
      <w:r w:rsidR="004877DB" w:rsidRPr="00E1372C">
        <w:rPr>
          <w:lang w:val="fr-FR" w:bidi="en-US"/>
        </w:rPr>
        <w:t xml:space="preserve">à </w:t>
      </w:r>
      <w:r w:rsidR="00EC2C80" w:rsidRPr="00E1372C">
        <w:rPr>
          <w:lang w:val="fr-FR" w:bidi="en-US"/>
        </w:rPr>
        <w:t xml:space="preserve">la réglementation du statut de </w:t>
      </w:r>
      <w:r w:rsidR="00BB45F5" w:rsidRPr="00E1372C">
        <w:rPr>
          <w:lang w:val="fr-FR" w:bidi="en-US"/>
        </w:rPr>
        <w:t>réfugié dispose en matière de droits reconnus aux réfugiés.</w:t>
      </w:r>
      <w:r w:rsidR="0086376C" w:rsidRPr="00E1372C">
        <w:rPr>
          <w:lang w:val="fr-FR" w:bidi="en-US"/>
        </w:rPr>
        <w:t xml:space="preserve"> Les ressortissants, les résidents permanents ou temporaires exercent librement des droits dans le cadre de l</w:t>
      </w:r>
      <w:r w:rsidR="00731F09" w:rsidRPr="00E1372C">
        <w:rPr>
          <w:lang w:val="fr-FR" w:bidi="en-US"/>
        </w:rPr>
        <w:t>’</w:t>
      </w:r>
      <w:r w:rsidR="0086376C" w:rsidRPr="00E1372C">
        <w:rPr>
          <w:lang w:val="fr-FR" w:bidi="en-US"/>
        </w:rPr>
        <w:t xml:space="preserve">économie nationale (résidence, emploi, fiscalité); les personnes qui demandent le statut de réfugié en Namibie et tous les membres de leur famille bénéficient du droit de demeurer dans le pays en attendant que ce statut leur soit accordé. Une fois octroyé, elles peuvent rester en Namibie en qualité de réfugiés reconnus. Elles sont tenues de résider dans </w:t>
      </w:r>
      <w:r w:rsidR="00F519B0" w:rsidRPr="00E1372C">
        <w:rPr>
          <w:lang w:val="fr-FR" w:bidi="en-US"/>
        </w:rPr>
        <w:t>une</w:t>
      </w:r>
      <w:r w:rsidR="0086376C" w:rsidRPr="00E1372C">
        <w:rPr>
          <w:lang w:val="fr-FR" w:bidi="en-US"/>
        </w:rPr>
        <w:t xml:space="preserve"> zone d</w:t>
      </w:r>
      <w:r w:rsidR="00731F09" w:rsidRPr="00E1372C">
        <w:rPr>
          <w:lang w:val="fr-FR" w:bidi="en-US"/>
        </w:rPr>
        <w:t>’</w:t>
      </w:r>
      <w:r w:rsidR="0086376C" w:rsidRPr="00E1372C">
        <w:rPr>
          <w:lang w:val="fr-FR" w:bidi="en-US"/>
        </w:rPr>
        <w:t xml:space="preserve">accueil ou </w:t>
      </w:r>
      <w:r w:rsidR="00F519B0" w:rsidRPr="00E1372C">
        <w:rPr>
          <w:lang w:val="fr-FR" w:bidi="en-US"/>
        </w:rPr>
        <w:t>un</w:t>
      </w:r>
      <w:r w:rsidR="0086376C" w:rsidRPr="00E1372C">
        <w:rPr>
          <w:lang w:val="fr-FR" w:bidi="en-US"/>
        </w:rPr>
        <w:t xml:space="preserve"> camp de réfugiés précisé par le Ministère de l</w:t>
      </w:r>
      <w:r w:rsidR="00731F09" w:rsidRPr="00E1372C">
        <w:rPr>
          <w:lang w:val="fr-FR" w:bidi="en-US"/>
        </w:rPr>
        <w:t>’</w:t>
      </w:r>
      <w:r w:rsidR="0086376C" w:rsidRPr="00E1372C">
        <w:rPr>
          <w:lang w:val="fr-FR" w:bidi="en-US"/>
        </w:rPr>
        <w:t>intérieur et de l</w:t>
      </w:r>
      <w:r w:rsidR="00731F09" w:rsidRPr="00E1372C">
        <w:rPr>
          <w:lang w:val="fr-FR" w:bidi="en-US"/>
        </w:rPr>
        <w:t>’</w:t>
      </w:r>
      <w:r w:rsidR="0086376C" w:rsidRPr="00E1372C">
        <w:rPr>
          <w:lang w:val="fr-FR" w:bidi="en-US"/>
        </w:rPr>
        <w:t>immigration. La loi prévoit l</w:t>
      </w:r>
      <w:r w:rsidR="00731F09" w:rsidRPr="00E1372C">
        <w:rPr>
          <w:lang w:val="fr-FR" w:bidi="en-US"/>
        </w:rPr>
        <w:t>’</w:t>
      </w:r>
      <w:r w:rsidR="0086376C" w:rsidRPr="00E1372C">
        <w:rPr>
          <w:lang w:val="fr-FR" w:bidi="en-US"/>
        </w:rPr>
        <w:t>établissement d</w:t>
      </w:r>
      <w:r w:rsidR="00731F09" w:rsidRPr="00E1372C">
        <w:rPr>
          <w:lang w:val="fr-FR" w:bidi="en-US"/>
        </w:rPr>
        <w:t>’</w:t>
      </w:r>
      <w:r w:rsidR="0086376C" w:rsidRPr="00E1372C">
        <w:rPr>
          <w:lang w:val="fr-FR" w:bidi="en-US"/>
        </w:rPr>
        <w:t>une commission de recours qui connaît des recours formés contre les décisions des autorités d</w:t>
      </w:r>
      <w:r w:rsidR="00731F09" w:rsidRPr="00E1372C">
        <w:rPr>
          <w:lang w:val="fr-FR" w:bidi="en-US"/>
        </w:rPr>
        <w:t>’</w:t>
      </w:r>
      <w:r w:rsidR="0086376C" w:rsidRPr="00E1372C">
        <w:rPr>
          <w:lang w:val="fr-FR" w:bidi="en-US"/>
        </w:rPr>
        <w:t>immigration.</w:t>
      </w:r>
    </w:p>
    <w:p w:rsidR="00A55A0E" w:rsidRPr="00E1372C" w:rsidRDefault="00A55A0E" w:rsidP="00A55A0E">
      <w:pPr>
        <w:pStyle w:val="H23G"/>
        <w:rPr>
          <w:lang w:val="fr-FR" w:bidi="en-US"/>
        </w:rPr>
      </w:pPr>
      <w:r w:rsidRPr="00E1372C">
        <w:rPr>
          <w:lang w:val="fr-FR" w:bidi="en-US"/>
        </w:rPr>
        <w:tab/>
      </w:r>
      <w:r w:rsidRPr="00E1372C">
        <w:rPr>
          <w:lang w:val="fr-FR" w:bidi="en-US"/>
        </w:rPr>
        <w:tab/>
        <w:t xml:space="preserve">Application </w:t>
      </w:r>
      <w:r w:rsidR="00B829D2" w:rsidRPr="00E1372C">
        <w:rPr>
          <w:lang w:val="fr-FR" w:bidi="en-US"/>
        </w:rPr>
        <w:t>des instruments internationaux</w:t>
      </w:r>
    </w:p>
    <w:p w:rsidR="00A55A0E" w:rsidRPr="00E1372C" w:rsidRDefault="007A1757" w:rsidP="007A1757">
      <w:pPr>
        <w:pStyle w:val="SingleTxtG"/>
        <w:rPr>
          <w:lang w:val="fr-FR" w:bidi="en-US"/>
        </w:rPr>
      </w:pPr>
      <w:r w:rsidRPr="00E1372C">
        <w:rPr>
          <w:lang w:val="fr-FR" w:bidi="en-US"/>
        </w:rPr>
        <w:t>68.</w:t>
      </w:r>
      <w:r w:rsidRPr="00E1372C">
        <w:rPr>
          <w:lang w:val="fr-FR" w:bidi="en-US"/>
        </w:rPr>
        <w:tab/>
      </w:r>
      <w:r w:rsidR="00B829D2" w:rsidRPr="00E1372C">
        <w:rPr>
          <w:lang w:val="fr-FR" w:bidi="en-US"/>
        </w:rPr>
        <w:t>Depuis l</w:t>
      </w:r>
      <w:r w:rsidR="00731F09" w:rsidRPr="00E1372C">
        <w:rPr>
          <w:lang w:val="fr-FR" w:bidi="en-US"/>
        </w:rPr>
        <w:t>’</w:t>
      </w:r>
      <w:r w:rsidR="00B829D2" w:rsidRPr="00E1372C">
        <w:rPr>
          <w:lang w:val="fr-FR" w:bidi="en-US"/>
        </w:rPr>
        <w:t>indépendance, une nouvelle conception a été formulée, comme il ressort de l</w:t>
      </w:r>
      <w:r w:rsidR="00731F09" w:rsidRPr="00E1372C">
        <w:rPr>
          <w:lang w:val="fr-FR" w:bidi="en-US"/>
        </w:rPr>
        <w:t>’</w:t>
      </w:r>
      <w:r w:rsidR="00B829D2" w:rsidRPr="00E1372C">
        <w:rPr>
          <w:lang w:val="fr-FR" w:bidi="en-US"/>
        </w:rPr>
        <w:t>article 144 de la Constitution ainsi rédigé</w:t>
      </w:r>
      <w:r w:rsidR="00AE017E" w:rsidRPr="00E1372C">
        <w:rPr>
          <w:lang w:val="fr-FR" w:bidi="en-US"/>
        </w:rPr>
        <w:t>:</w:t>
      </w:r>
    </w:p>
    <w:p w:rsidR="00A55A0E" w:rsidRPr="00E1372C" w:rsidRDefault="00AE017E" w:rsidP="00A55A0E">
      <w:pPr>
        <w:pStyle w:val="SingleTxtG"/>
        <w:ind w:left="1701"/>
        <w:rPr>
          <w:lang w:val="fr-FR" w:bidi="en-US"/>
        </w:rPr>
      </w:pPr>
      <w:r w:rsidRPr="00E1372C">
        <w:rPr>
          <w:lang w:val="fr-FR" w:bidi="en-US"/>
        </w:rPr>
        <w:t>«</w:t>
      </w:r>
      <w:r w:rsidR="00B829D2" w:rsidRPr="00E1372C">
        <w:rPr>
          <w:lang w:val="fr-FR"/>
        </w:rPr>
        <w:t>Sauf disposition contraire dans la présente Constitution ou loi du Parlement, les règles générales du droit international public et des accords internationaux engageant la Namibie selon la présente Constitution sont parties intégrantes du droit namibien</w:t>
      </w:r>
      <w:r w:rsidR="00D733A2" w:rsidRPr="00E1372C">
        <w:rPr>
          <w:lang w:val="fr-FR"/>
        </w:rPr>
        <w:t>.</w:t>
      </w:r>
      <w:r w:rsidRPr="00E1372C">
        <w:rPr>
          <w:lang w:val="fr-FR"/>
        </w:rPr>
        <w:t>»</w:t>
      </w:r>
    </w:p>
    <w:p w:rsidR="00B829D2" w:rsidRPr="00E1372C" w:rsidRDefault="007A1757" w:rsidP="007A1757">
      <w:pPr>
        <w:pStyle w:val="SingleTxtG"/>
        <w:rPr>
          <w:lang w:val="fr-FR" w:bidi="en-US"/>
        </w:rPr>
      </w:pPr>
      <w:r w:rsidRPr="00E1372C">
        <w:rPr>
          <w:lang w:val="fr-FR" w:bidi="en-US"/>
        </w:rPr>
        <w:t>69.</w:t>
      </w:r>
      <w:r w:rsidRPr="00E1372C">
        <w:rPr>
          <w:lang w:val="fr-FR" w:bidi="en-US"/>
        </w:rPr>
        <w:tab/>
      </w:r>
      <w:r w:rsidR="00B829D2" w:rsidRPr="00E1372C">
        <w:rPr>
          <w:lang w:val="fr-FR" w:bidi="en-US"/>
        </w:rPr>
        <w:t>Selon les termes dudit article 144, la Namibie a adopté la conception moniste, selon laquelle le droit international est directement applicable dans le système juridique interne en rendant ces règles directement applicables et, partant, sans autres mesures nécessaires pour garantir leur légalité en Namibie. Ainsi, la Constitution énonce explicitement le droit international et l</w:t>
      </w:r>
      <w:r w:rsidR="00731F09" w:rsidRPr="00E1372C">
        <w:rPr>
          <w:lang w:val="fr-FR" w:bidi="en-US"/>
        </w:rPr>
        <w:t>’</w:t>
      </w:r>
      <w:r w:rsidR="00B829D2" w:rsidRPr="00E1372C">
        <w:rPr>
          <w:lang w:val="fr-FR" w:bidi="en-US"/>
        </w:rPr>
        <w:t>intègre dans le droit interne.</w:t>
      </w:r>
    </w:p>
    <w:p w:rsidR="00B829D2" w:rsidRPr="00E1372C" w:rsidRDefault="007A1757" w:rsidP="007A1757">
      <w:pPr>
        <w:pStyle w:val="SingleTxtG"/>
        <w:rPr>
          <w:lang w:val="fr-FR" w:bidi="en-US"/>
        </w:rPr>
      </w:pPr>
      <w:r w:rsidRPr="00E1372C">
        <w:rPr>
          <w:lang w:val="fr-FR" w:bidi="en-US"/>
        </w:rPr>
        <w:t>70.</w:t>
      </w:r>
      <w:r w:rsidRPr="00E1372C">
        <w:rPr>
          <w:lang w:val="fr-FR" w:bidi="en-US"/>
        </w:rPr>
        <w:tab/>
      </w:r>
      <w:r w:rsidR="00B829D2" w:rsidRPr="00E1372C">
        <w:rPr>
          <w:lang w:val="fr-FR" w:bidi="en-US"/>
        </w:rPr>
        <w:t>En Namibie, la Constitution est la loi suprême nationale, qui est garante des droits de l</w:t>
      </w:r>
      <w:r w:rsidR="00731F09" w:rsidRPr="00E1372C">
        <w:rPr>
          <w:lang w:val="fr-FR" w:bidi="en-US"/>
        </w:rPr>
        <w:t>’</w:t>
      </w:r>
      <w:r w:rsidR="00B829D2" w:rsidRPr="00E1372C">
        <w:rPr>
          <w:lang w:val="fr-FR" w:bidi="en-US"/>
        </w:rPr>
        <w:t>homme par sa portée et ses dispositions dans tous les domaines exprimé</w:t>
      </w:r>
      <w:r w:rsidR="00E67BB1" w:rsidRPr="00E1372C">
        <w:rPr>
          <w:lang w:val="fr-FR" w:bidi="en-US"/>
        </w:rPr>
        <w:t>e</w:t>
      </w:r>
      <w:r w:rsidR="00B829D2" w:rsidRPr="00E1372C">
        <w:rPr>
          <w:lang w:val="fr-FR" w:bidi="en-US"/>
        </w:rPr>
        <w:t xml:space="preserve">s dans un langage clair. </w:t>
      </w:r>
      <w:r w:rsidR="00B829D2" w:rsidRPr="00E1372C">
        <w:rPr>
          <w:lang w:val="fr-FR"/>
        </w:rPr>
        <w:t>Tous les instruments relatifs aux droits de l</w:t>
      </w:r>
      <w:r w:rsidR="00731F09" w:rsidRPr="00E1372C">
        <w:rPr>
          <w:lang w:val="fr-FR"/>
        </w:rPr>
        <w:t>’</w:t>
      </w:r>
      <w:r w:rsidR="00B829D2" w:rsidRPr="00E1372C">
        <w:rPr>
          <w:lang w:val="fr-FR"/>
        </w:rPr>
        <w:t>homme qu</w:t>
      </w:r>
      <w:r w:rsidR="00731F09" w:rsidRPr="00E1372C">
        <w:rPr>
          <w:lang w:val="fr-FR"/>
        </w:rPr>
        <w:t>’</w:t>
      </w:r>
      <w:r w:rsidR="00B829D2" w:rsidRPr="00E1372C">
        <w:rPr>
          <w:lang w:val="fr-FR"/>
        </w:rPr>
        <w:t>elle a signés ou ratifiés font partie intégrante du droit interne et doivent s</w:t>
      </w:r>
      <w:r w:rsidR="00731F09" w:rsidRPr="00E1372C">
        <w:rPr>
          <w:lang w:val="fr-FR"/>
        </w:rPr>
        <w:t>’</w:t>
      </w:r>
      <w:r w:rsidR="00B829D2" w:rsidRPr="00E1372C">
        <w:rPr>
          <w:lang w:val="fr-FR"/>
        </w:rPr>
        <w:t xml:space="preserve">appliquer à ce titre. </w:t>
      </w:r>
    </w:p>
    <w:p w:rsidR="00B829D2" w:rsidRPr="00E1372C" w:rsidRDefault="007A1757" w:rsidP="007A1757">
      <w:pPr>
        <w:pStyle w:val="SingleTxtG"/>
        <w:rPr>
          <w:lang w:val="fr-FR" w:bidi="en-US"/>
        </w:rPr>
      </w:pPr>
      <w:r w:rsidRPr="00E1372C">
        <w:rPr>
          <w:lang w:val="fr-FR" w:bidi="en-US"/>
        </w:rPr>
        <w:t>71.</w:t>
      </w:r>
      <w:r w:rsidRPr="00E1372C">
        <w:rPr>
          <w:lang w:val="fr-FR" w:bidi="en-US"/>
        </w:rPr>
        <w:tab/>
      </w:r>
      <w:r w:rsidR="00B829D2" w:rsidRPr="00E1372C">
        <w:rPr>
          <w:lang w:val="fr-FR" w:bidi="en-US"/>
        </w:rPr>
        <w:t>La plupart des questions relatives aux droits de l</w:t>
      </w:r>
      <w:r w:rsidR="00731F09" w:rsidRPr="00E1372C">
        <w:rPr>
          <w:lang w:val="fr-FR" w:bidi="en-US"/>
        </w:rPr>
        <w:t>’</w:t>
      </w:r>
      <w:r w:rsidR="00B829D2" w:rsidRPr="00E1372C">
        <w:rPr>
          <w:lang w:val="fr-FR" w:bidi="en-US"/>
        </w:rPr>
        <w:t>homme peuvent être invoquées en justice; en d</w:t>
      </w:r>
      <w:r w:rsidR="00731F09" w:rsidRPr="00E1372C">
        <w:rPr>
          <w:lang w:val="fr-FR" w:bidi="en-US"/>
        </w:rPr>
        <w:t>’</w:t>
      </w:r>
      <w:r w:rsidR="00B829D2" w:rsidRPr="00E1372C">
        <w:rPr>
          <w:lang w:val="fr-FR" w:bidi="en-US"/>
        </w:rPr>
        <w:t>autres termes, une décision judiciaire peut rendre ces droits exécutoires, leur protection pouvant être garantie par les tribunaux. Selon le paragraphe 2 de l</w:t>
      </w:r>
      <w:r w:rsidR="00731F09" w:rsidRPr="00E1372C">
        <w:rPr>
          <w:lang w:val="fr-FR" w:bidi="en-US"/>
        </w:rPr>
        <w:t>’</w:t>
      </w:r>
      <w:r w:rsidR="00B829D2" w:rsidRPr="00E1372C">
        <w:rPr>
          <w:lang w:val="fr-FR" w:bidi="en-US"/>
        </w:rPr>
        <w:t>article 25 de la Constitution, t</w:t>
      </w:r>
      <w:r w:rsidR="00B829D2" w:rsidRPr="00E1372C">
        <w:rPr>
          <w:lang w:val="fr-FR"/>
        </w:rPr>
        <w:t>oute personne qui estime que ses droits fondamentaux ont été violés ou risquent de l</w:t>
      </w:r>
      <w:r w:rsidR="00731F09" w:rsidRPr="00E1372C">
        <w:rPr>
          <w:lang w:val="fr-FR"/>
        </w:rPr>
        <w:t>’</w:t>
      </w:r>
      <w:r w:rsidR="00B829D2" w:rsidRPr="00E1372C">
        <w:rPr>
          <w:lang w:val="fr-FR"/>
        </w:rPr>
        <w:t>être peut saisir la Haute Cour pour demander réparation. Si elle n</w:t>
      </w:r>
      <w:r w:rsidR="00731F09" w:rsidRPr="00E1372C">
        <w:rPr>
          <w:lang w:val="fr-FR"/>
        </w:rPr>
        <w:t>’</w:t>
      </w:r>
      <w:r w:rsidR="00B829D2" w:rsidRPr="00E1372C">
        <w:rPr>
          <w:lang w:val="fr-FR"/>
        </w:rPr>
        <w:t>est pas satisfaite de la décision ou du jugement de la Haute Cour, elle peut faire appel devant la Cour suprême.</w:t>
      </w:r>
    </w:p>
    <w:p w:rsidR="00A55A0E" w:rsidRPr="00E1372C" w:rsidRDefault="009062F4" w:rsidP="009062F4">
      <w:pPr>
        <w:pStyle w:val="H23G"/>
        <w:rPr>
          <w:lang w:val="fr-FR" w:bidi="en-US"/>
        </w:rPr>
      </w:pPr>
      <w:r w:rsidRPr="00E1372C">
        <w:rPr>
          <w:lang w:val="fr-FR" w:bidi="en-US"/>
        </w:rPr>
        <w:tab/>
      </w:r>
      <w:r w:rsidRPr="00E1372C">
        <w:rPr>
          <w:lang w:val="fr-FR" w:bidi="en-US"/>
        </w:rPr>
        <w:tab/>
      </w:r>
      <w:r w:rsidR="00B829D2" w:rsidRPr="00E1372C">
        <w:rPr>
          <w:lang w:val="fr-FR" w:bidi="en-US"/>
        </w:rPr>
        <w:t>Le pouvoir judiciaire</w:t>
      </w:r>
    </w:p>
    <w:p w:rsidR="00B829D2" w:rsidRPr="00E1372C" w:rsidRDefault="007A1757" w:rsidP="007A1757">
      <w:pPr>
        <w:pStyle w:val="SingleTxtG"/>
        <w:rPr>
          <w:lang w:val="fr-FR" w:bidi="en-US"/>
        </w:rPr>
      </w:pPr>
      <w:r w:rsidRPr="00E1372C">
        <w:rPr>
          <w:lang w:val="fr-FR" w:bidi="en-US"/>
        </w:rPr>
        <w:t>72.</w:t>
      </w:r>
      <w:r w:rsidRPr="00E1372C">
        <w:rPr>
          <w:lang w:val="fr-FR" w:bidi="en-US"/>
        </w:rPr>
        <w:tab/>
      </w:r>
      <w:r w:rsidR="00B829D2" w:rsidRPr="00E1372C">
        <w:rPr>
          <w:lang w:val="fr-FR" w:bidi="en-US"/>
        </w:rPr>
        <w:t>Les paragraphes 2 et 3 de l</w:t>
      </w:r>
      <w:r w:rsidR="00731F09" w:rsidRPr="00E1372C">
        <w:rPr>
          <w:lang w:val="fr-FR" w:bidi="en-US"/>
        </w:rPr>
        <w:t>’</w:t>
      </w:r>
      <w:r w:rsidR="00B829D2" w:rsidRPr="00E1372C">
        <w:rPr>
          <w:lang w:val="fr-FR" w:bidi="en-US"/>
        </w:rPr>
        <w:t>article 78 de la Constitution garantissent l</w:t>
      </w:r>
      <w:r w:rsidR="00731F09" w:rsidRPr="00E1372C">
        <w:rPr>
          <w:lang w:val="fr-FR" w:bidi="en-US"/>
        </w:rPr>
        <w:t>’</w:t>
      </w:r>
      <w:r w:rsidR="00B829D2" w:rsidRPr="00E1372C">
        <w:rPr>
          <w:lang w:val="fr-FR" w:bidi="en-US"/>
        </w:rPr>
        <w:t>indépendance du pouvoir judiciaire et disposent que les tribunaux sont indépendants et ne sont soumis qu</w:t>
      </w:r>
      <w:r w:rsidR="00731F09" w:rsidRPr="00E1372C">
        <w:rPr>
          <w:lang w:val="fr-FR" w:bidi="en-US"/>
        </w:rPr>
        <w:t>’</w:t>
      </w:r>
      <w:r w:rsidR="00B829D2" w:rsidRPr="00E1372C">
        <w:rPr>
          <w:lang w:val="fr-FR" w:bidi="en-US"/>
        </w:rPr>
        <w:t xml:space="preserve">aux règles énoncées par la Constitution et la législation. Le pouvoir judiciaire en Namibie se compose de la Cour suprême, de la Haute Cour et de tribunaux </w:t>
      </w:r>
      <w:r w:rsidR="006E5D4A" w:rsidRPr="00E1372C">
        <w:rPr>
          <w:lang w:val="fr-FR" w:bidi="en-US"/>
        </w:rPr>
        <w:t>de première instance. La Cour suprême est l</w:t>
      </w:r>
      <w:r w:rsidR="00731F09" w:rsidRPr="00E1372C">
        <w:rPr>
          <w:lang w:val="fr-FR" w:bidi="en-US"/>
        </w:rPr>
        <w:t>’</w:t>
      </w:r>
      <w:r w:rsidR="006E5D4A" w:rsidRPr="00E1372C">
        <w:rPr>
          <w:lang w:val="fr-FR" w:bidi="en-US"/>
        </w:rPr>
        <w:t xml:space="preserve">instance auprès de laquelle il peut être fait appel des </w:t>
      </w:r>
      <w:r w:rsidR="004D4C53" w:rsidRPr="00E1372C">
        <w:rPr>
          <w:lang w:val="fr-FR" w:bidi="en-US"/>
        </w:rPr>
        <w:t>décision</w:t>
      </w:r>
      <w:r w:rsidR="006E5D4A" w:rsidRPr="00E1372C">
        <w:rPr>
          <w:lang w:val="fr-FR" w:bidi="en-US"/>
        </w:rPr>
        <w:t xml:space="preserve">s de la Haute Cour. </w:t>
      </w:r>
      <w:r w:rsidR="006E5D4A" w:rsidRPr="00E1372C">
        <w:rPr>
          <w:lang w:val="fr-FR"/>
        </w:rPr>
        <w:t>La Haute Cour a une compétence de première instance pour connaître d</w:t>
      </w:r>
      <w:r w:rsidR="00731F09" w:rsidRPr="00E1372C">
        <w:rPr>
          <w:lang w:val="fr-FR"/>
        </w:rPr>
        <w:t>’</w:t>
      </w:r>
      <w:r w:rsidR="006E5D4A" w:rsidRPr="00E1372C">
        <w:rPr>
          <w:lang w:val="fr-FR"/>
        </w:rPr>
        <w:t xml:space="preserve">affaires civiles et pénales et </w:t>
      </w:r>
      <w:r w:rsidR="004D4C53" w:rsidRPr="00E1372C">
        <w:rPr>
          <w:lang w:val="fr-FR"/>
        </w:rPr>
        <w:t>statuer</w:t>
      </w:r>
      <w:r w:rsidR="006E5D4A" w:rsidRPr="00E1372C">
        <w:rPr>
          <w:lang w:val="fr-FR"/>
        </w:rPr>
        <w:t xml:space="preserve"> sur ces affaires, y compris celles qui nécessitent l</w:t>
      </w:r>
      <w:r w:rsidR="00731F09" w:rsidRPr="00E1372C">
        <w:rPr>
          <w:lang w:val="fr-FR"/>
        </w:rPr>
        <w:t>’</w:t>
      </w:r>
      <w:r w:rsidR="006E5D4A" w:rsidRPr="00E1372C">
        <w:rPr>
          <w:lang w:val="fr-FR"/>
        </w:rPr>
        <w:t>interprétation, l</w:t>
      </w:r>
      <w:r w:rsidR="00731F09" w:rsidRPr="00E1372C">
        <w:rPr>
          <w:lang w:val="fr-FR"/>
        </w:rPr>
        <w:t>’</w:t>
      </w:r>
      <w:r w:rsidR="006E5D4A" w:rsidRPr="00E1372C">
        <w:rPr>
          <w:lang w:val="fr-FR"/>
        </w:rPr>
        <w:t>application et le respect de la Constitution. Les tribunaux traditionnels, reconnus par la Constitution, relèvent de la loi n</w:t>
      </w:r>
      <w:r w:rsidR="00B277C4" w:rsidRPr="00E1372C">
        <w:rPr>
          <w:vertAlign w:val="superscript"/>
          <w:lang w:val="fr-FR"/>
        </w:rPr>
        <w:t>o</w:t>
      </w:r>
      <w:r w:rsidR="006E5D4A" w:rsidRPr="00E1372C">
        <w:rPr>
          <w:lang w:val="fr-FR"/>
        </w:rPr>
        <w:t> 10 de 2003 relative aux juridictions communautaires et continuent de jouer un rôle important dans l</w:t>
      </w:r>
      <w:r w:rsidR="00731F09" w:rsidRPr="00E1372C">
        <w:rPr>
          <w:lang w:val="fr-FR"/>
        </w:rPr>
        <w:t>’</w:t>
      </w:r>
      <w:r w:rsidR="006E5D4A" w:rsidRPr="00E1372C">
        <w:rPr>
          <w:lang w:val="fr-FR"/>
        </w:rPr>
        <w:t>administration du droit coutumier par les différents groupes ethniques.</w:t>
      </w:r>
    </w:p>
    <w:p w:rsidR="006E5D4A" w:rsidRPr="00E1372C" w:rsidRDefault="007A1757" w:rsidP="007A1757">
      <w:pPr>
        <w:pStyle w:val="SingleTxtG"/>
        <w:rPr>
          <w:lang w:val="fr-FR" w:bidi="en-US"/>
        </w:rPr>
      </w:pPr>
      <w:r w:rsidRPr="00E1372C">
        <w:rPr>
          <w:lang w:val="fr-FR" w:bidi="en-US"/>
        </w:rPr>
        <w:t>73.</w:t>
      </w:r>
      <w:r w:rsidRPr="00E1372C">
        <w:rPr>
          <w:lang w:val="fr-FR" w:bidi="en-US"/>
        </w:rPr>
        <w:tab/>
      </w:r>
      <w:r w:rsidR="006E5D4A" w:rsidRPr="00E1372C">
        <w:rPr>
          <w:lang w:val="fr-FR" w:bidi="en-US"/>
        </w:rPr>
        <w:t>Outre la protection judiciaire, l</w:t>
      </w:r>
      <w:r w:rsidR="00731F09" w:rsidRPr="00E1372C">
        <w:rPr>
          <w:lang w:val="fr-FR" w:bidi="en-US"/>
        </w:rPr>
        <w:t>’</w:t>
      </w:r>
      <w:r w:rsidR="006E5D4A" w:rsidRPr="00E1372C">
        <w:rPr>
          <w:lang w:val="fr-FR" w:bidi="en-US"/>
        </w:rPr>
        <w:t xml:space="preserve">article 89 de la Constitution institue </w:t>
      </w:r>
      <w:r w:rsidR="00E240B8" w:rsidRPr="00E1372C">
        <w:rPr>
          <w:lang w:val="fr-FR" w:bidi="en-US"/>
        </w:rPr>
        <w:t>la fonction d</w:t>
      </w:r>
      <w:r w:rsidR="006E5D4A" w:rsidRPr="00E1372C">
        <w:rPr>
          <w:lang w:val="fr-FR" w:bidi="en-US"/>
        </w:rPr>
        <w:t>e médiateur. La loi n</w:t>
      </w:r>
      <w:r w:rsidR="00B277C4" w:rsidRPr="00E1372C">
        <w:rPr>
          <w:vertAlign w:val="superscript"/>
          <w:lang w:val="fr-FR" w:bidi="en-US"/>
        </w:rPr>
        <w:t>o</w:t>
      </w:r>
      <w:r w:rsidR="006E5D4A" w:rsidRPr="00E1372C">
        <w:rPr>
          <w:lang w:val="fr-FR" w:bidi="en-US"/>
        </w:rPr>
        <w:t> 7 de 1990 confère au médiateur un mandat et des pouvoirs constitutionnels pour protéger, promouvoir et faire respecter les droits de l</w:t>
      </w:r>
      <w:r w:rsidR="00731F09" w:rsidRPr="00E1372C">
        <w:rPr>
          <w:lang w:val="fr-FR" w:bidi="en-US"/>
        </w:rPr>
        <w:t>’</w:t>
      </w:r>
      <w:r w:rsidR="006E5D4A" w:rsidRPr="00E1372C">
        <w:rPr>
          <w:lang w:val="fr-FR" w:bidi="en-US"/>
        </w:rPr>
        <w:t xml:space="preserve">homme dans le pays. </w:t>
      </w:r>
      <w:r w:rsidR="00E240B8" w:rsidRPr="00E1372C">
        <w:rPr>
          <w:lang w:val="fr-FR" w:bidi="en-US"/>
        </w:rPr>
        <w:t>Le médiateur</w:t>
      </w:r>
      <w:r w:rsidR="006E5D4A" w:rsidRPr="00E1372C">
        <w:rPr>
          <w:lang w:val="fr-FR"/>
        </w:rPr>
        <w:t xml:space="preserve"> est habilité à enquêter sur des violations présumées des droits de l</w:t>
      </w:r>
      <w:r w:rsidR="00731F09" w:rsidRPr="00E1372C">
        <w:rPr>
          <w:lang w:val="fr-FR"/>
        </w:rPr>
        <w:t>’</w:t>
      </w:r>
      <w:r w:rsidR="006E5D4A" w:rsidRPr="00E1372C">
        <w:rPr>
          <w:lang w:val="fr-FR"/>
        </w:rPr>
        <w:t xml:space="preserve">homme </w:t>
      </w:r>
      <w:r w:rsidR="006E5D4A" w:rsidRPr="00E1372C">
        <w:rPr>
          <w:i/>
          <w:lang w:val="fr-FR"/>
        </w:rPr>
        <w:t>mero motu</w:t>
      </w:r>
      <w:r w:rsidR="006E5D4A" w:rsidRPr="00E1372C">
        <w:rPr>
          <w:lang w:val="fr-FR"/>
        </w:rPr>
        <w:t xml:space="preserve"> ou après avoir reçu une plainte d</w:t>
      </w:r>
      <w:r w:rsidR="00731F09" w:rsidRPr="00E1372C">
        <w:rPr>
          <w:lang w:val="fr-FR"/>
        </w:rPr>
        <w:t>’</w:t>
      </w:r>
      <w:r w:rsidR="006E5D4A" w:rsidRPr="00E1372C">
        <w:rPr>
          <w:lang w:val="fr-FR"/>
        </w:rPr>
        <w:t>un particulier.</w:t>
      </w:r>
    </w:p>
    <w:p w:rsidR="00A55A0E" w:rsidRPr="00E1372C" w:rsidRDefault="007A1757" w:rsidP="007A1757">
      <w:pPr>
        <w:pStyle w:val="SingleTxtG"/>
        <w:rPr>
          <w:lang w:val="fr-FR" w:bidi="en-US"/>
        </w:rPr>
      </w:pPr>
      <w:r w:rsidRPr="00E1372C">
        <w:rPr>
          <w:lang w:val="fr-FR" w:bidi="en-US"/>
        </w:rPr>
        <w:t>74.</w:t>
      </w:r>
      <w:r w:rsidRPr="00E1372C">
        <w:rPr>
          <w:lang w:val="fr-FR" w:bidi="en-US"/>
        </w:rPr>
        <w:tab/>
      </w:r>
      <w:r w:rsidR="006E5D4A" w:rsidRPr="00E1372C">
        <w:rPr>
          <w:lang w:val="fr-FR" w:bidi="en-US"/>
        </w:rPr>
        <w:t>Le médiateur a compétence sur tout fonctionnaire ou agent public élu ou désigné de tout organe de l</w:t>
      </w:r>
      <w:r w:rsidR="00731F09" w:rsidRPr="00E1372C">
        <w:rPr>
          <w:lang w:val="fr-FR" w:bidi="en-US"/>
        </w:rPr>
        <w:t>’</w:t>
      </w:r>
      <w:r w:rsidR="006E5D4A" w:rsidRPr="00E1372C">
        <w:rPr>
          <w:lang w:val="fr-FR" w:bidi="en-US"/>
        </w:rPr>
        <w:t>administration centrale ou locale, tout fonctionnaire d</w:t>
      </w:r>
      <w:r w:rsidR="00731F09" w:rsidRPr="00E1372C">
        <w:rPr>
          <w:lang w:val="fr-FR" w:bidi="en-US"/>
        </w:rPr>
        <w:t>’</w:t>
      </w:r>
      <w:r w:rsidR="006E5D4A" w:rsidRPr="00E1372C">
        <w:rPr>
          <w:lang w:val="fr-FR" w:bidi="en-US"/>
        </w:rPr>
        <w:t>un organe parapublic administré ou détenu par l</w:t>
      </w:r>
      <w:r w:rsidR="00731F09" w:rsidRPr="00E1372C">
        <w:rPr>
          <w:lang w:val="fr-FR" w:bidi="en-US"/>
        </w:rPr>
        <w:t>’</w:t>
      </w:r>
      <w:r w:rsidR="006E5D4A" w:rsidRPr="00E1372C">
        <w:rPr>
          <w:lang w:val="fr-FR" w:bidi="en-US"/>
        </w:rPr>
        <w:t>État ou dans lequel l</w:t>
      </w:r>
      <w:r w:rsidR="00731F09" w:rsidRPr="00E1372C">
        <w:rPr>
          <w:lang w:val="fr-FR" w:bidi="en-US"/>
        </w:rPr>
        <w:t>’</w:t>
      </w:r>
      <w:r w:rsidR="006E5D4A" w:rsidRPr="00E1372C">
        <w:rPr>
          <w:lang w:val="fr-FR" w:bidi="en-US"/>
        </w:rPr>
        <w:t>État ou le Gouvernement a une participation importante. Le médiateur est indépendant et la Constitution interdit toute ingérence dans l</w:t>
      </w:r>
      <w:r w:rsidR="00731F09" w:rsidRPr="00E1372C">
        <w:rPr>
          <w:lang w:val="fr-FR" w:bidi="en-US"/>
        </w:rPr>
        <w:t>’</w:t>
      </w:r>
      <w:r w:rsidR="006E5D4A" w:rsidRPr="00E1372C">
        <w:rPr>
          <w:lang w:val="fr-FR" w:bidi="en-US"/>
        </w:rPr>
        <w:t>exercice de ses fonctions. Il s</w:t>
      </w:r>
      <w:r w:rsidR="00731F09" w:rsidRPr="00E1372C">
        <w:rPr>
          <w:lang w:val="fr-FR" w:bidi="en-US"/>
        </w:rPr>
        <w:t>’</w:t>
      </w:r>
      <w:r w:rsidR="006E5D4A" w:rsidRPr="00E1372C">
        <w:rPr>
          <w:lang w:val="fr-FR" w:bidi="en-US"/>
        </w:rPr>
        <w:t>attache à adjoindre une unité des droits de l</w:t>
      </w:r>
      <w:r w:rsidR="00731F09" w:rsidRPr="00E1372C">
        <w:rPr>
          <w:lang w:val="fr-FR" w:bidi="en-US"/>
        </w:rPr>
        <w:t>’</w:t>
      </w:r>
      <w:r w:rsidR="006E5D4A" w:rsidRPr="00E1372C">
        <w:rPr>
          <w:lang w:val="fr-FR" w:bidi="en-US"/>
        </w:rPr>
        <w:t>homme à son bureau qui est spécialement chargé</w:t>
      </w:r>
      <w:r w:rsidR="00E240B8" w:rsidRPr="00E1372C">
        <w:rPr>
          <w:lang w:val="fr-FR" w:bidi="en-US"/>
        </w:rPr>
        <w:t>e</w:t>
      </w:r>
      <w:r w:rsidR="006E5D4A" w:rsidRPr="00E1372C">
        <w:rPr>
          <w:lang w:val="fr-FR" w:bidi="en-US"/>
        </w:rPr>
        <w:t xml:space="preserve"> de l</w:t>
      </w:r>
      <w:r w:rsidR="00731F09" w:rsidRPr="00E1372C">
        <w:rPr>
          <w:lang w:val="fr-FR" w:bidi="en-US"/>
        </w:rPr>
        <w:t>’</w:t>
      </w:r>
      <w:r w:rsidR="006E5D4A" w:rsidRPr="00E1372C">
        <w:rPr>
          <w:lang w:val="fr-FR" w:bidi="en-US"/>
        </w:rPr>
        <w:t>enseignement des droits de l</w:t>
      </w:r>
      <w:r w:rsidR="00731F09" w:rsidRPr="00E1372C">
        <w:rPr>
          <w:lang w:val="fr-FR" w:bidi="en-US"/>
        </w:rPr>
        <w:t>’</w:t>
      </w:r>
      <w:r w:rsidR="006E5D4A" w:rsidRPr="00E1372C">
        <w:rPr>
          <w:lang w:val="fr-FR" w:bidi="en-US"/>
        </w:rPr>
        <w:t>homme et des campagnes de sensibilisation. Outre</w:t>
      </w:r>
      <w:r w:rsidR="00042300" w:rsidRPr="00E1372C">
        <w:rPr>
          <w:lang w:val="fr-FR" w:bidi="en-US"/>
        </w:rPr>
        <w:t xml:space="preserve"> </w:t>
      </w:r>
      <w:r w:rsidR="006E5D4A" w:rsidRPr="00E1372C">
        <w:rPr>
          <w:lang w:val="fr-FR" w:bidi="en-US"/>
        </w:rPr>
        <w:t xml:space="preserve">son siège à </w:t>
      </w:r>
      <w:r w:rsidR="00A55A0E" w:rsidRPr="00E1372C">
        <w:rPr>
          <w:lang w:val="fr-FR" w:bidi="en-US"/>
        </w:rPr>
        <w:t xml:space="preserve">Windhoek, </w:t>
      </w:r>
      <w:r w:rsidR="006E5D4A" w:rsidRPr="00E1372C">
        <w:rPr>
          <w:lang w:val="fr-FR" w:bidi="en-US"/>
        </w:rPr>
        <w:t>il dispose de deux bureaux régionaux, respectivement dans le sud et le nord du pays.</w:t>
      </w:r>
    </w:p>
    <w:p w:rsidR="00042300" w:rsidRPr="00E1372C" w:rsidRDefault="007A1757" w:rsidP="007A1757">
      <w:pPr>
        <w:pStyle w:val="SingleTxtG"/>
        <w:rPr>
          <w:lang w:val="fr-FR" w:bidi="en-US"/>
        </w:rPr>
      </w:pPr>
      <w:r w:rsidRPr="00E1372C">
        <w:rPr>
          <w:lang w:val="fr-FR" w:bidi="en-US"/>
        </w:rPr>
        <w:t>75.</w:t>
      </w:r>
      <w:r w:rsidRPr="00E1372C">
        <w:rPr>
          <w:lang w:val="fr-FR" w:bidi="en-US"/>
        </w:rPr>
        <w:tab/>
      </w:r>
      <w:r w:rsidR="00042300" w:rsidRPr="00E1372C">
        <w:rPr>
          <w:lang w:val="fr-FR" w:bidi="en-US"/>
        </w:rPr>
        <w:t>Le Gouvernement a créé un C</w:t>
      </w:r>
      <w:r w:rsidR="00042300" w:rsidRPr="00E1372C">
        <w:rPr>
          <w:lang w:val="fr-FR"/>
        </w:rPr>
        <w:t>omité technique interministériel pour les droits de l</w:t>
      </w:r>
      <w:r w:rsidR="00731F09" w:rsidRPr="00E1372C">
        <w:rPr>
          <w:lang w:val="fr-FR"/>
        </w:rPr>
        <w:t>’</w:t>
      </w:r>
      <w:r w:rsidR="00042300" w:rsidRPr="00E1372C">
        <w:rPr>
          <w:lang w:val="fr-FR"/>
        </w:rPr>
        <w:t>homme, qui a son siège au Ministère de la justice et qui est chargé des questions relatives aux droits de l</w:t>
      </w:r>
      <w:r w:rsidR="00731F09" w:rsidRPr="00E1372C">
        <w:rPr>
          <w:lang w:val="fr-FR"/>
        </w:rPr>
        <w:t>’</w:t>
      </w:r>
      <w:r w:rsidR="00042300" w:rsidRPr="00E1372C">
        <w:rPr>
          <w:lang w:val="fr-FR"/>
        </w:rPr>
        <w:t>homme dans le pays et d</w:t>
      </w:r>
      <w:r w:rsidR="00731F09" w:rsidRPr="00E1372C">
        <w:rPr>
          <w:lang w:val="fr-FR"/>
        </w:rPr>
        <w:t>’</w:t>
      </w:r>
      <w:r w:rsidR="00042300" w:rsidRPr="00E1372C">
        <w:rPr>
          <w:lang w:val="fr-FR"/>
        </w:rPr>
        <w:t>élaborer les rapports de l</w:t>
      </w:r>
      <w:r w:rsidR="00731F09" w:rsidRPr="00E1372C">
        <w:rPr>
          <w:lang w:val="fr-FR"/>
        </w:rPr>
        <w:t>’</w:t>
      </w:r>
      <w:r w:rsidR="00042300" w:rsidRPr="00E1372C">
        <w:rPr>
          <w:lang w:val="fr-FR"/>
        </w:rPr>
        <w:t>État sur l</w:t>
      </w:r>
      <w:r w:rsidR="00731F09" w:rsidRPr="00E1372C">
        <w:rPr>
          <w:lang w:val="fr-FR"/>
        </w:rPr>
        <w:t>’</w:t>
      </w:r>
      <w:r w:rsidR="00042300" w:rsidRPr="00E1372C">
        <w:rPr>
          <w:lang w:val="fr-FR"/>
        </w:rPr>
        <w:t>application des différents instruments relatifs aux droits de l</w:t>
      </w:r>
      <w:r w:rsidR="00731F09" w:rsidRPr="00E1372C">
        <w:rPr>
          <w:lang w:val="fr-FR"/>
        </w:rPr>
        <w:t>’</w:t>
      </w:r>
      <w:r w:rsidR="00042300" w:rsidRPr="00E1372C">
        <w:rPr>
          <w:lang w:val="fr-FR"/>
        </w:rPr>
        <w:t>homme. Ce comité se compose de hauts fonctionnaires des ministères exerçant des responsabilités dans le domaine des droits de l</w:t>
      </w:r>
      <w:r w:rsidR="00731F09" w:rsidRPr="00E1372C">
        <w:rPr>
          <w:lang w:val="fr-FR"/>
        </w:rPr>
        <w:t>’</w:t>
      </w:r>
      <w:r w:rsidR="00042300" w:rsidRPr="00E1372C">
        <w:rPr>
          <w:lang w:val="fr-FR"/>
        </w:rPr>
        <w:t>homme.</w:t>
      </w:r>
    </w:p>
    <w:p w:rsidR="00A55A0E" w:rsidRPr="00E1372C" w:rsidRDefault="007A1757" w:rsidP="007A1757">
      <w:pPr>
        <w:pStyle w:val="SingleTxtG"/>
        <w:rPr>
          <w:lang w:val="fr-FR" w:bidi="en-US"/>
        </w:rPr>
      </w:pPr>
      <w:r w:rsidRPr="00E1372C">
        <w:rPr>
          <w:lang w:val="fr-FR" w:bidi="en-US"/>
        </w:rPr>
        <w:t>76.</w:t>
      </w:r>
      <w:r w:rsidRPr="00E1372C">
        <w:rPr>
          <w:lang w:val="fr-FR" w:bidi="en-US"/>
        </w:rPr>
        <w:tab/>
      </w:r>
      <w:r w:rsidR="00042300" w:rsidRPr="00E1372C">
        <w:rPr>
          <w:lang w:val="fr-FR"/>
        </w:rPr>
        <w:t>Il existe également un programme d</w:t>
      </w:r>
      <w:r w:rsidR="00731F09" w:rsidRPr="00E1372C">
        <w:rPr>
          <w:lang w:val="fr-FR"/>
        </w:rPr>
        <w:t>’</w:t>
      </w:r>
      <w:r w:rsidR="00042300" w:rsidRPr="00E1372C">
        <w:rPr>
          <w:lang w:val="fr-FR"/>
        </w:rPr>
        <w:t>aide judiciaire financé par l</w:t>
      </w:r>
      <w:r w:rsidR="00731F09" w:rsidRPr="00E1372C">
        <w:rPr>
          <w:lang w:val="fr-FR"/>
        </w:rPr>
        <w:t>’</w:t>
      </w:r>
      <w:r w:rsidR="00042300" w:rsidRPr="00E1372C">
        <w:rPr>
          <w:lang w:val="fr-FR"/>
        </w:rPr>
        <w:t>État relevant du Ministère de la justice qui offre une assistance juridictionnelle aux indigents et l</w:t>
      </w:r>
      <w:r w:rsidR="00E240B8" w:rsidRPr="00E1372C">
        <w:rPr>
          <w:lang w:val="fr-FR"/>
        </w:rPr>
        <w:t>es représente en</w:t>
      </w:r>
      <w:r w:rsidR="00AE017E" w:rsidRPr="00E1372C">
        <w:rPr>
          <w:lang w:val="fr-FR"/>
        </w:rPr>
        <w:t xml:space="preserve"> </w:t>
      </w:r>
      <w:r w:rsidR="00042300" w:rsidRPr="00E1372C">
        <w:rPr>
          <w:lang w:val="fr-FR"/>
        </w:rPr>
        <w:t>justice lorsqu</w:t>
      </w:r>
      <w:r w:rsidR="00731F09" w:rsidRPr="00E1372C">
        <w:rPr>
          <w:lang w:val="fr-FR"/>
        </w:rPr>
        <w:t>’</w:t>
      </w:r>
      <w:r w:rsidR="00042300" w:rsidRPr="00E1372C">
        <w:rPr>
          <w:lang w:val="fr-FR"/>
        </w:rPr>
        <w:t>ils demandent réparation devant les tribunaux ou le médiateur, pour restriction de leurs droits. De cette façon, le Ministère de la justice joue également un rôle utile dans la protection des droits de l</w:t>
      </w:r>
      <w:r w:rsidR="00731F09" w:rsidRPr="00E1372C">
        <w:rPr>
          <w:lang w:val="fr-FR"/>
        </w:rPr>
        <w:t>’</w:t>
      </w:r>
      <w:r w:rsidR="00042300" w:rsidRPr="00E1372C">
        <w:rPr>
          <w:lang w:val="fr-FR"/>
        </w:rPr>
        <w:t xml:space="preserve">homme en Namibie. Il </w:t>
      </w:r>
      <w:r w:rsidR="00E240B8" w:rsidRPr="00E1372C">
        <w:rPr>
          <w:lang w:val="fr-FR"/>
        </w:rPr>
        <w:t>existe</w:t>
      </w:r>
      <w:r w:rsidR="00042300" w:rsidRPr="00E1372C">
        <w:rPr>
          <w:lang w:val="fr-FR"/>
        </w:rPr>
        <w:t xml:space="preserve"> aussi des juristes indépendants qui conseillent et représentent à titre gracieux les personnes demandant réparation pour des violations présumées des droits de l</w:t>
      </w:r>
      <w:r w:rsidR="00731F09" w:rsidRPr="00E1372C">
        <w:rPr>
          <w:lang w:val="fr-FR"/>
        </w:rPr>
        <w:t>’</w:t>
      </w:r>
      <w:r w:rsidR="00042300" w:rsidRPr="00E1372C">
        <w:rPr>
          <w:lang w:val="fr-FR"/>
        </w:rPr>
        <w:t>homme</w:t>
      </w:r>
      <w:r w:rsidR="00A55A0E" w:rsidRPr="00E1372C">
        <w:rPr>
          <w:lang w:val="fr-FR" w:bidi="en-US"/>
        </w:rPr>
        <w:t>.</w:t>
      </w:r>
    </w:p>
    <w:p w:rsidR="00042300" w:rsidRPr="00E1372C" w:rsidRDefault="007A1757" w:rsidP="007A1757">
      <w:pPr>
        <w:pStyle w:val="SingleTxtG"/>
        <w:rPr>
          <w:lang w:val="fr-FR" w:bidi="en-US"/>
        </w:rPr>
      </w:pPr>
      <w:r w:rsidRPr="00E1372C">
        <w:rPr>
          <w:lang w:val="fr-FR" w:bidi="en-US"/>
        </w:rPr>
        <w:t>77.</w:t>
      </w:r>
      <w:r w:rsidRPr="00E1372C">
        <w:rPr>
          <w:lang w:val="fr-FR" w:bidi="en-US"/>
        </w:rPr>
        <w:tab/>
      </w:r>
      <w:r w:rsidR="00042300" w:rsidRPr="00E1372C">
        <w:rPr>
          <w:lang w:val="fr-FR" w:bidi="en-US"/>
        </w:rPr>
        <w:t xml:space="preserve">En </w:t>
      </w:r>
      <w:r w:rsidR="00A55A0E" w:rsidRPr="00E1372C">
        <w:rPr>
          <w:lang w:val="fr-FR" w:bidi="en-US"/>
        </w:rPr>
        <w:t xml:space="preserve">2005, </w:t>
      </w:r>
      <w:r w:rsidR="00042300" w:rsidRPr="00E1372C">
        <w:rPr>
          <w:lang w:val="fr-FR" w:bidi="en-US"/>
        </w:rPr>
        <w:t xml:space="preserve">le Gouvernement a adopté la politique de partenariat des organisations civiles, dans le but de créer, en consultation avec la société civile, un </w:t>
      </w:r>
      <w:r w:rsidR="00AE017E" w:rsidRPr="00E1372C">
        <w:rPr>
          <w:lang w:val="fr-FR" w:bidi="en-US"/>
        </w:rPr>
        <w:t>«</w:t>
      </w:r>
      <w:r w:rsidR="00042300" w:rsidRPr="00E1372C">
        <w:rPr>
          <w:lang w:val="fr-FR" w:bidi="en-US"/>
        </w:rPr>
        <w:t>partenariat constructif qui serve à l</w:t>
      </w:r>
      <w:r w:rsidR="00731F09" w:rsidRPr="00E1372C">
        <w:rPr>
          <w:lang w:val="fr-FR" w:bidi="en-US"/>
        </w:rPr>
        <w:t>’</w:t>
      </w:r>
      <w:r w:rsidR="00042300" w:rsidRPr="00E1372C">
        <w:rPr>
          <w:lang w:val="fr-FR" w:bidi="en-US"/>
        </w:rPr>
        <w:t>ensemble du pays, à ses citoyens, à leurs organisations civiles ainsi qu</w:t>
      </w:r>
      <w:r w:rsidR="00731F09" w:rsidRPr="00E1372C">
        <w:rPr>
          <w:lang w:val="fr-FR" w:bidi="en-US"/>
        </w:rPr>
        <w:t>’</w:t>
      </w:r>
      <w:r w:rsidR="00042300" w:rsidRPr="00E1372C">
        <w:rPr>
          <w:lang w:val="fr-FR" w:bidi="en-US"/>
        </w:rPr>
        <w:t>au Gouvernement</w:t>
      </w:r>
      <w:r w:rsidR="00AE017E" w:rsidRPr="00E1372C">
        <w:rPr>
          <w:lang w:val="fr-FR" w:bidi="en-US"/>
        </w:rPr>
        <w:t>»</w:t>
      </w:r>
      <w:r w:rsidR="00042300" w:rsidRPr="00E1372C">
        <w:rPr>
          <w:lang w:val="fr-FR" w:bidi="en-US"/>
        </w:rPr>
        <w:t>.</w:t>
      </w:r>
    </w:p>
    <w:p w:rsidR="00A55A0E" w:rsidRPr="00E1372C" w:rsidRDefault="009062F4" w:rsidP="009062F4">
      <w:pPr>
        <w:pStyle w:val="H23G"/>
        <w:rPr>
          <w:lang w:val="fr-FR" w:bidi="en-US"/>
        </w:rPr>
      </w:pPr>
      <w:r w:rsidRPr="00E1372C">
        <w:rPr>
          <w:lang w:val="fr-FR" w:bidi="en-US"/>
        </w:rPr>
        <w:tab/>
      </w:r>
      <w:r w:rsidRPr="00E1372C">
        <w:rPr>
          <w:lang w:val="fr-FR" w:bidi="en-US"/>
        </w:rPr>
        <w:tab/>
      </w:r>
      <w:r w:rsidR="00A55A0E" w:rsidRPr="00E1372C">
        <w:rPr>
          <w:lang w:val="fr-FR" w:bidi="en-US"/>
        </w:rPr>
        <w:t>Acc</w:t>
      </w:r>
      <w:r w:rsidR="00042300" w:rsidRPr="00E1372C">
        <w:rPr>
          <w:lang w:val="fr-FR" w:bidi="en-US"/>
        </w:rPr>
        <w:t>ès à l</w:t>
      </w:r>
      <w:r w:rsidR="00731F09" w:rsidRPr="00E1372C">
        <w:rPr>
          <w:lang w:val="fr-FR" w:bidi="en-US"/>
        </w:rPr>
        <w:t>’</w:t>
      </w:r>
      <w:r w:rsidR="00042300" w:rsidRPr="00E1372C">
        <w:rPr>
          <w:lang w:val="fr-FR" w:bidi="en-US"/>
        </w:rPr>
        <w:t>information</w:t>
      </w:r>
    </w:p>
    <w:p w:rsidR="00042300" w:rsidRPr="00E1372C" w:rsidRDefault="007A1757" w:rsidP="007A1757">
      <w:pPr>
        <w:pStyle w:val="SingleTxtG"/>
        <w:rPr>
          <w:lang w:val="fr-FR" w:bidi="en-US"/>
        </w:rPr>
      </w:pPr>
      <w:r w:rsidRPr="00E1372C">
        <w:rPr>
          <w:lang w:val="fr-FR" w:bidi="en-US"/>
        </w:rPr>
        <w:t>78.</w:t>
      </w:r>
      <w:r w:rsidRPr="00E1372C">
        <w:rPr>
          <w:lang w:val="fr-FR" w:bidi="en-US"/>
        </w:rPr>
        <w:tab/>
      </w:r>
      <w:r w:rsidR="00042300" w:rsidRPr="00E1372C">
        <w:rPr>
          <w:lang w:val="fr-FR" w:bidi="en-US"/>
        </w:rPr>
        <w:t>La Constitution ne contient pas expressément le droit des citoyens d</w:t>
      </w:r>
      <w:r w:rsidR="00731F09" w:rsidRPr="00E1372C">
        <w:rPr>
          <w:lang w:val="fr-FR" w:bidi="en-US"/>
        </w:rPr>
        <w:t>’</w:t>
      </w:r>
      <w:r w:rsidR="00042300" w:rsidRPr="00E1372C">
        <w:rPr>
          <w:lang w:val="fr-FR" w:bidi="en-US"/>
        </w:rPr>
        <w:t>obtenir des informations détenues par le Gouvernement. Toutefois, les dispositions</w:t>
      </w:r>
      <w:r w:rsidR="008A0807" w:rsidRPr="00E1372C">
        <w:rPr>
          <w:lang w:val="fr-FR" w:bidi="en-US"/>
        </w:rPr>
        <w:t>,</w:t>
      </w:r>
      <w:r w:rsidR="00042300" w:rsidRPr="00E1372C">
        <w:rPr>
          <w:lang w:val="fr-FR" w:bidi="en-US"/>
        </w:rPr>
        <w:t xml:space="preserve"> ainsi que d</w:t>
      </w:r>
      <w:r w:rsidR="00731F09" w:rsidRPr="00E1372C">
        <w:rPr>
          <w:lang w:val="fr-FR" w:bidi="en-US"/>
        </w:rPr>
        <w:t>’</w:t>
      </w:r>
      <w:r w:rsidR="00042300" w:rsidRPr="00E1372C">
        <w:rPr>
          <w:lang w:val="fr-FR" w:bidi="en-US"/>
        </w:rPr>
        <w:t xml:space="preserve">autres mesures </w:t>
      </w:r>
      <w:r w:rsidR="008A0807" w:rsidRPr="00E1372C">
        <w:rPr>
          <w:lang w:val="fr-FR" w:bidi="en-US"/>
        </w:rPr>
        <w:t>l</w:t>
      </w:r>
      <w:r w:rsidR="00042300" w:rsidRPr="00E1372C">
        <w:rPr>
          <w:lang w:val="fr-FR" w:bidi="en-US"/>
        </w:rPr>
        <w:t>égales (proclamations et notifications) sont publiées au Journal officiel dès leur promulgation et sont immédiatement disponibles auprès des services du Ministère de la justice et dans la plupart des bibliothèques, notamment celle du Parlement, à un coût modique.</w:t>
      </w:r>
    </w:p>
    <w:p w:rsidR="00042300" w:rsidRPr="00E1372C" w:rsidRDefault="007A1757" w:rsidP="007A1757">
      <w:pPr>
        <w:pStyle w:val="SingleTxtG"/>
        <w:rPr>
          <w:lang w:val="fr-FR" w:bidi="en-US"/>
        </w:rPr>
      </w:pPr>
      <w:r w:rsidRPr="00E1372C">
        <w:rPr>
          <w:lang w:val="fr-FR" w:bidi="en-US"/>
        </w:rPr>
        <w:t>79.</w:t>
      </w:r>
      <w:r w:rsidRPr="00E1372C">
        <w:rPr>
          <w:lang w:val="fr-FR" w:bidi="en-US"/>
        </w:rPr>
        <w:tab/>
      </w:r>
      <w:r w:rsidR="00042300" w:rsidRPr="00E1372C">
        <w:rPr>
          <w:lang w:val="fr-FR" w:bidi="en-US"/>
        </w:rPr>
        <w:t xml:space="preserve">Le chapitre 3 de la Constitution </w:t>
      </w:r>
      <w:r w:rsidR="00042300" w:rsidRPr="00E1372C">
        <w:rPr>
          <w:lang w:val="fr-FR"/>
        </w:rPr>
        <w:t>protège certains des droits fondamentaux visés dans les divers instruments internationaux relatifs aux droits de l</w:t>
      </w:r>
      <w:r w:rsidR="00731F09" w:rsidRPr="00E1372C">
        <w:rPr>
          <w:lang w:val="fr-FR"/>
        </w:rPr>
        <w:t>’</w:t>
      </w:r>
      <w:r w:rsidR="00042300" w:rsidRPr="00E1372C">
        <w:rPr>
          <w:lang w:val="fr-FR"/>
        </w:rPr>
        <w:t xml:space="preserve">homme. </w:t>
      </w:r>
      <w:r w:rsidR="00CF77E1" w:rsidRPr="00E1372C">
        <w:rPr>
          <w:lang w:val="fr-FR"/>
        </w:rPr>
        <w:t xml:space="preserve">Il </w:t>
      </w:r>
      <w:r w:rsidR="00042300" w:rsidRPr="00E1372C">
        <w:rPr>
          <w:lang w:val="fr-FR"/>
        </w:rPr>
        <w:t>protège par exemple le droit à la vie, ce qui explique que la peine capitale a été totalement abolie en Namibie.</w:t>
      </w:r>
      <w:r w:rsidR="00CF77E1" w:rsidRPr="00E1372C">
        <w:rPr>
          <w:lang w:val="fr-FR"/>
        </w:rPr>
        <w:t xml:space="preserve"> Il</w:t>
      </w:r>
      <w:r w:rsidR="00AE017E" w:rsidRPr="00E1372C">
        <w:rPr>
          <w:lang w:val="fr-FR"/>
        </w:rPr>
        <w:t xml:space="preserve"> </w:t>
      </w:r>
      <w:r w:rsidR="00042300" w:rsidRPr="00E1372C">
        <w:rPr>
          <w:lang w:val="fr-FR"/>
        </w:rPr>
        <w:t>protège également la liberté personnelle, ainsi que le droit de ne pas être soumis à la torture ou à une peine ou un traitement cruel, inhumain ou dégradant, ni à l</w:t>
      </w:r>
      <w:r w:rsidR="00731F09" w:rsidRPr="00E1372C">
        <w:rPr>
          <w:lang w:val="fr-FR"/>
        </w:rPr>
        <w:t>’</w:t>
      </w:r>
      <w:r w:rsidR="00042300" w:rsidRPr="00E1372C">
        <w:rPr>
          <w:lang w:val="fr-FR"/>
        </w:rPr>
        <w:t>esclavage ou au travail forcé. Le droit à l</w:t>
      </w:r>
      <w:r w:rsidR="00731F09" w:rsidRPr="00E1372C">
        <w:rPr>
          <w:lang w:val="fr-FR"/>
        </w:rPr>
        <w:t>’</w:t>
      </w:r>
      <w:r w:rsidR="00042300" w:rsidRPr="00E1372C">
        <w:rPr>
          <w:lang w:val="fr-FR"/>
        </w:rPr>
        <w:t>égalité devant la loi est lui aussi protégé, tout comme celui de ne pas faire l</w:t>
      </w:r>
      <w:r w:rsidR="00731F09" w:rsidRPr="00E1372C">
        <w:rPr>
          <w:lang w:val="fr-FR"/>
        </w:rPr>
        <w:t>’</w:t>
      </w:r>
      <w:r w:rsidR="00042300" w:rsidRPr="00E1372C">
        <w:rPr>
          <w:lang w:val="fr-FR"/>
        </w:rPr>
        <w:t>objet d</w:t>
      </w:r>
      <w:r w:rsidR="00731F09" w:rsidRPr="00E1372C">
        <w:rPr>
          <w:lang w:val="fr-FR"/>
        </w:rPr>
        <w:t>’</w:t>
      </w:r>
      <w:r w:rsidR="00042300" w:rsidRPr="00E1372C">
        <w:rPr>
          <w:lang w:val="fr-FR"/>
        </w:rPr>
        <w:t>une discrimination fondée sur le sexe, la race, la couleur, l</w:t>
      </w:r>
      <w:r w:rsidR="00731F09" w:rsidRPr="00E1372C">
        <w:rPr>
          <w:lang w:val="fr-FR"/>
        </w:rPr>
        <w:t>’</w:t>
      </w:r>
      <w:r w:rsidR="00042300" w:rsidRPr="00E1372C">
        <w:rPr>
          <w:lang w:val="fr-FR"/>
        </w:rPr>
        <w:t>origine ethnique, la religion, la croyance ou le statut social ou économique et de ne pas être arbitrairement arrêté ou placé en détention. Le droit de bénéficier d</w:t>
      </w:r>
      <w:r w:rsidR="00731F09" w:rsidRPr="00E1372C">
        <w:rPr>
          <w:lang w:val="fr-FR"/>
        </w:rPr>
        <w:t>’</w:t>
      </w:r>
      <w:r w:rsidR="00042300" w:rsidRPr="00E1372C">
        <w:rPr>
          <w:lang w:val="fr-FR"/>
        </w:rPr>
        <w:t>un procès équitable devant un tribunal indépendant et impartial est lui aussi protégé, tout comme le droit à la vie privée et différents droits de l</w:t>
      </w:r>
      <w:r w:rsidR="00731F09" w:rsidRPr="00E1372C">
        <w:rPr>
          <w:lang w:val="fr-FR"/>
        </w:rPr>
        <w:t>’</w:t>
      </w:r>
      <w:r w:rsidR="00042300" w:rsidRPr="00E1372C">
        <w:rPr>
          <w:lang w:val="fr-FR"/>
        </w:rPr>
        <w:t>enfant, dont le droit à l</w:t>
      </w:r>
      <w:r w:rsidR="00731F09" w:rsidRPr="00E1372C">
        <w:rPr>
          <w:lang w:val="fr-FR"/>
        </w:rPr>
        <w:t>’</w:t>
      </w:r>
      <w:r w:rsidR="00042300" w:rsidRPr="00E1372C">
        <w:rPr>
          <w:lang w:val="fr-FR"/>
        </w:rPr>
        <w:t>éducation. Plusieurs libertés fondamentales le sont aussi, comme la liberté de parole, d</w:t>
      </w:r>
      <w:r w:rsidR="00731F09" w:rsidRPr="00E1372C">
        <w:rPr>
          <w:lang w:val="fr-FR"/>
        </w:rPr>
        <w:t>’</w:t>
      </w:r>
      <w:r w:rsidR="00042300" w:rsidRPr="00E1372C">
        <w:rPr>
          <w:lang w:val="fr-FR"/>
        </w:rPr>
        <w:t>expression, de pensée, de conscience et de croyance, d</w:t>
      </w:r>
      <w:r w:rsidR="00731F09" w:rsidRPr="00E1372C">
        <w:rPr>
          <w:lang w:val="fr-FR"/>
        </w:rPr>
        <w:t>’</w:t>
      </w:r>
      <w:r w:rsidR="00042300" w:rsidRPr="00E1372C">
        <w:rPr>
          <w:lang w:val="fr-FR"/>
        </w:rPr>
        <w:t xml:space="preserve">association et de circulation. </w:t>
      </w:r>
    </w:p>
    <w:p w:rsidR="000202A1" w:rsidRPr="00E1372C" w:rsidRDefault="007A1757" w:rsidP="007A1757">
      <w:pPr>
        <w:pStyle w:val="SingleTxtG"/>
        <w:rPr>
          <w:lang w:val="fr-FR" w:bidi="en-US"/>
        </w:rPr>
      </w:pPr>
      <w:r w:rsidRPr="00E1372C">
        <w:rPr>
          <w:lang w:val="fr-FR" w:bidi="en-US"/>
        </w:rPr>
        <w:t>80.</w:t>
      </w:r>
      <w:r w:rsidRPr="00E1372C">
        <w:rPr>
          <w:lang w:val="fr-FR" w:bidi="en-US"/>
        </w:rPr>
        <w:tab/>
      </w:r>
      <w:r w:rsidR="000202A1" w:rsidRPr="00E1372C">
        <w:rPr>
          <w:lang w:val="fr-FR" w:bidi="en-US"/>
        </w:rPr>
        <w:t>À la différence des droits civils et politiques, les droits économiques et la plupart des droits sociaux et culturels ne figurent pas au chapitre 3 de la Constitution. Ils sont protégés en vertu de l</w:t>
      </w:r>
      <w:r w:rsidR="00731F09" w:rsidRPr="00E1372C">
        <w:rPr>
          <w:lang w:val="fr-FR" w:bidi="en-US"/>
        </w:rPr>
        <w:t>’</w:t>
      </w:r>
      <w:r w:rsidR="000202A1" w:rsidRPr="00E1372C">
        <w:rPr>
          <w:lang w:val="fr-FR" w:bidi="en-US"/>
        </w:rPr>
        <w:t>article 95 de la Constitution en tant que principes pour mieux promouvoir le bien des citoyens. L</w:t>
      </w:r>
      <w:r w:rsidR="00731F09" w:rsidRPr="00E1372C">
        <w:rPr>
          <w:lang w:val="fr-FR" w:bidi="en-US"/>
        </w:rPr>
        <w:t>’</w:t>
      </w:r>
      <w:r w:rsidR="000202A1" w:rsidRPr="00E1372C">
        <w:rPr>
          <w:lang w:val="fr-FR" w:bidi="en-US"/>
        </w:rPr>
        <w:t>État est tenu de prendre en compte ces principes lors de l</w:t>
      </w:r>
      <w:r w:rsidR="00731F09" w:rsidRPr="00E1372C">
        <w:rPr>
          <w:lang w:val="fr-FR" w:bidi="en-US"/>
        </w:rPr>
        <w:t>’</w:t>
      </w:r>
      <w:r w:rsidR="000202A1" w:rsidRPr="00E1372C">
        <w:rPr>
          <w:lang w:val="fr-FR" w:bidi="en-US"/>
        </w:rPr>
        <w:t>élaboration des lois. Néanmoins, théoriquement et dans l</w:t>
      </w:r>
      <w:r w:rsidR="00731F09" w:rsidRPr="00E1372C">
        <w:rPr>
          <w:lang w:val="fr-FR" w:bidi="en-US"/>
        </w:rPr>
        <w:t>’</w:t>
      </w:r>
      <w:r w:rsidR="000202A1" w:rsidRPr="00E1372C">
        <w:rPr>
          <w:lang w:val="fr-FR" w:bidi="en-US"/>
        </w:rPr>
        <w:t>esprit de la Constitution, les droits tant civils et politiques qu</w:t>
      </w:r>
      <w:r w:rsidR="00731F09" w:rsidRPr="00E1372C">
        <w:rPr>
          <w:lang w:val="fr-FR" w:bidi="en-US"/>
        </w:rPr>
        <w:t>’</w:t>
      </w:r>
      <w:r w:rsidR="000202A1" w:rsidRPr="00E1372C">
        <w:rPr>
          <w:lang w:val="fr-FR" w:bidi="en-US"/>
        </w:rPr>
        <w:t>économiques, sociaux et culturels doivent être traités à égalité et avec la même importance par le Gouvernement. Il en a été ainsi établi dans l</w:t>
      </w:r>
      <w:r w:rsidR="00731F09" w:rsidRPr="00E1372C">
        <w:rPr>
          <w:lang w:val="fr-FR" w:bidi="en-US"/>
        </w:rPr>
        <w:t>’</w:t>
      </w:r>
      <w:r w:rsidR="000202A1" w:rsidRPr="00E1372C">
        <w:rPr>
          <w:lang w:val="fr-FR" w:bidi="en-US"/>
        </w:rPr>
        <w:t xml:space="preserve">affaire opposant </w:t>
      </w:r>
      <w:r w:rsidR="000202A1" w:rsidRPr="00E1372C">
        <w:rPr>
          <w:lang w:val="fr-FR"/>
        </w:rPr>
        <w:t xml:space="preserve">le </w:t>
      </w:r>
      <w:r w:rsidR="000202A1" w:rsidRPr="00E1372C">
        <w:rPr>
          <w:i/>
          <w:lang w:val="fr-FR"/>
        </w:rPr>
        <w:t>Gouvernement de la République de Namibie et consorts</w:t>
      </w:r>
      <w:r w:rsidR="000202A1" w:rsidRPr="00E1372C">
        <w:rPr>
          <w:lang w:val="fr-FR"/>
        </w:rPr>
        <w:t xml:space="preserve"> c. </w:t>
      </w:r>
      <w:r w:rsidR="000202A1" w:rsidRPr="00E1372C">
        <w:rPr>
          <w:i/>
          <w:lang w:val="fr-FR"/>
        </w:rPr>
        <w:t>Mwilima et tous les autres accusés du procès pour trahison 2002 NR 235 (SC)</w:t>
      </w:r>
      <w:r w:rsidR="000202A1" w:rsidRPr="00E1372C">
        <w:rPr>
          <w:lang w:val="fr-FR"/>
        </w:rPr>
        <w:t>. Dans cette affaire, les accusés (requérants) étaient tous détenus en attente de jugement dans un procès pour trahison. L</w:t>
      </w:r>
      <w:r w:rsidR="00731F09" w:rsidRPr="00E1372C">
        <w:rPr>
          <w:lang w:val="fr-FR"/>
        </w:rPr>
        <w:t>’</w:t>
      </w:r>
      <w:r w:rsidR="000202A1" w:rsidRPr="00E1372C">
        <w:rPr>
          <w:lang w:val="fr-FR"/>
        </w:rPr>
        <w:t>aide juridique qu</w:t>
      </w:r>
      <w:r w:rsidR="00731F09" w:rsidRPr="00E1372C">
        <w:rPr>
          <w:lang w:val="fr-FR"/>
        </w:rPr>
        <w:t>’</w:t>
      </w:r>
      <w:r w:rsidR="000202A1" w:rsidRPr="00E1372C">
        <w:rPr>
          <w:lang w:val="fr-FR"/>
        </w:rPr>
        <w:t>ils avaient demandée a été rejetée. Les requérants ont demandé à la Haute Cour d</w:t>
      </w:r>
      <w:r w:rsidR="00731F09" w:rsidRPr="00E1372C">
        <w:rPr>
          <w:lang w:val="fr-FR"/>
        </w:rPr>
        <w:t>’</w:t>
      </w:r>
      <w:r w:rsidR="000202A1" w:rsidRPr="00E1372C">
        <w:rPr>
          <w:lang w:val="fr-FR"/>
        </w:rPr>
        <w:t>ordonner à l</w:t>
      </w:r>
      <w:r w:rsidR="00731F09" w:rsidRPr="00E1372C">
        <w:rPr>
          <w:lang w:val="fr-FR"/>
        </w:rPr>
        <w:t>’</w:t>
      </w:r>
      <w:r w:rsidR="000202A1" w:rsidRPr="00E1372C">
        <w:rPr>
          <w:lang w:val="fr-FR"/>
        </w:rPr>
        <w:t>État de leur accorder cette aide. Il a été soutenu au nom des requérants que, conformément à la Constitution, l</w:t>
      </w:r>
      <w:r w:rsidR="00731F09" w:rsidRPr="00E1372C">
        <w:rPr>
          <w:lang w:val="fr-FR"/>
        </w:rPr>
        <w:t>’</w:t>
      </w:r>
      <w:r w:rsidR="000202A1" w:rsidRPr="00E1372C">
        <w:rPr>
          <w:lang w:val="fr-FR"/>
        </w:rPr>
        <w:t>État avait l</w:t>
      </w:r>
      <w:r w:rsidR="00731F09" w:rsidRPr="00E1372C">
        <w:rPr>
          <w:lang w:val="fr-FR"/>
        </w:rPr>
        <w:t>’</w:t>
      </w:r>
      <w:r w:rsidR="000202A1" w:rsidRPr="00E1372C">
        <w:rPr>
          <w:lang w:val="fr-FR"/>
        </w:rPr>
        <w:t>obligation de leur fournir une aide juridique afin qu</w:t>
      </w:r>
      <w:r w:rsidR="00731F09" w:rsidRPr="00E1372C">
        <w:rPr>
          <w:lang w:val="fr-FR"/>
        </w:rPr>
        <w:t>’</w:t>
      </w:r>
      <w:r w:rsidR="000202A1" w:rsidRPr="00E1372C">
        <w:rPr>
          <w:lang w:val="fr-FR"/>
        </w:rPr>
        <w:t>ils bénéficient d</w:t>
      </w:r>
      <w:r w:rsidR="00731F09" w:rsidRPr="00E1372C">
        <w:rPr>
          <w:lang w:val="fr-FR"/>
        </w:rPr>
        <w:t>’</w:t>
      </w:r>
      <w:r w:rsidR="000202A1" w:rsidRPr="00E1372C">
        <w:rPr>
          <w:lang w:val="fr-FR"/>
        </w:rPr>
        <w:t>un procès équitable, comme le prévoit l</w:t>
      </w:r>
      <w:r w:rsidR="00731F09" w:rsidRPr="00E1372C">
        <w:rPr>
          <w:lang w:val="fr-FR"/>
        </w:rPr>
        <w:t>’</w:t>
      </w:r>
      <w:r w:rsidR="000202A1" w:rsidRPr="00E1372C">
        <w:rPr>
          <w:lang w:val="fr-FR"/>
        </w:rPr>
        <w:t>article 12 de la Constitution. Le Gouvernement</w:t>
      </w:r>
      <w:r w:rsidR="008A0807" w:rsidRPr="00E1372C">
        <w:rPr>
          <w:lang w:val="fr-FR"/>
        </w:rPr>
        <w:t>,</w:t>
      </w:r>
      <w:r w:rsidR="000202A1" w:rsidRPr="00E1372C">
        <w:rPr>
          <w:lang w:val="fr-FR"/>
        </w:rPr>
        <w:t xml:space="preserve"> pour sa part</w:t>
      </w:r>
      <w:r w:rsidR="008A0807" w:rsidRPr="00E1372C">
        <w:rPr>
          <w:lang w:val="fr-FR"/>
        </w:rPr>
        <w:t>,</w:t>
      </w:r>
      <w:r w:rsidR="000202A1" w:rsidRPr="00E1372C">
        <w:rPr>
          <w:lang w:val="fr-FR"/>
        </w:rPr>
        <w:t xml:space="preserve"> a fait valoir que l</w:t>
      </w:r>
      <w:r w:rsidR="00731F09" w:rsidRPr="00E1372C">
        <w:rPr>
          <w:lang w:val="fr-FR"/>
        </w:rPr>
        <w:t>’</w:t>
      </w:r>
      <w:r w:rsidR="000202A1" w:rsidRPr="00E1372C">
        <w:rPr>
          <w:lang w:val="fr-FR"/>
        </w:rPr>
        <w:t>aide juridique était prévue à l</w:t>
      </w:r>
      <w:r w:rsidR="00731F09" w:rsidRPr="00E1372C">
        <w:rPr>
          <w:lang w:val="fr-FR"/>
        </w:rPr>
        <w:t>’</w:t>
      </w:r>
      <w:r w:rsidR="000202A1" w:rsidRPr="00E1372C">
        <w:rPr>
          <w:lang w:val="fr-FR"/>
        </w:rPr>
        <w:t>article 95 de la Constitution au titre des principes directeurs des politiques de l</w:t>
      </w:r>
      <w:r w:rsidR="00731F09" w:rsidRPr="00E1372C">
        <w:rPr>
          <w:lang w:val="fr-FR"/>
        </w:rPr>
        <w:t>’</w:t>
      </w:r>
      <w:r w:rsidR="000202A1" w:rsidRPr="00E1372C">
        <w:rPr>
          <w:lang w:val="fr-FR"/>
        </w:rPr>
        <w:t>État, et que, étant subordonnée uniquement à la disponibilité des ressources, elle n</w:t>
      </w:r>
      <w:r w:rsidR="00731F09" w:rsidRPr="00E1372C">
        <w:rPr>
          <w:lang w:val="fr-FR"/>
        </w:rPr>
        <w:t>’</w:t>
      </w:r>
      <w:r w:rsidR="000202A1" w:rsidRPr="00E1372C">
        <w:rPr>
          <w:lang w:val="fr-FR"/>
        </w:rPr>
        <w:t>était donc pas exécutoire. La Haute Cour a tranché en faveur des accusés/requérants et a ordonné au directeur de l</w:t>
      </w:r>
      <w:r w:rsidR="00731F09" w:rsidRPr="00E1372C">
        <w:rPr>
          <w:lang w:val="fr-FR"/>
        </w:rPr>
        <w:t>’</w:t>
      </w:r>
      <w:r w:rsidR="000202A1" w:rsidRPr="00E1372C">
        <w:rPr>
          <w:lang w:val="fr-FR"/>
        </w:rPr>
        <w:t>aide juridique de fournir cette aide. L</w:t>
      </w:r>
      <w:r w:rsidR="00731F09" w:rsidRPr="00E1372C">
        <w:rPr>
          <w:lang w:val="fr-FR"/>
        </w:rPr>
        <w:t>’</w:t>
      </w:r>
      <w:r w:rsidR="000202A1" w:rsidRPr="00E1372C">
        <w:rPr>
          <w:lang w:val="fr-FR"/>
        </w:rPr>
        <w:t>État a interjeté appel devant la Cour suprême qui a confirmé la décision de la Haute Cour</w:t>
      </w:r>
      <w:r w:rsidR="002D7343" w:rsidRPr="00E1372C">
        <w:rPr>
          <w:lang w:val="fr-FR"/>
        </w:rPr>
        <w:t xml:space="preserve"> et déclaré que ce droit découle du droit à un procès équitable au sens de l</w:t>
      </w:r>
      <w:r w:rsidR="00731F09" w:rsidRPr="00E1372C">
        <w:rPr>
          <w:lang w:val="fr-FR"/>
        </w:rPr>
        <w:t>’</w:t>
      </w:r>
      <w:r w:rsidR="009E074D" w:rsidRPr="00E1372C">
        <w:rPr>
          <w:lang w:val="fr-FR"/>
        </w:rPr>
        <w:t xml:space="preserve">article </w:t>
      </w:r>
      <w:r w:rsidR="002D7343" w:rsidRPr="00E1372C">
        <w:rPr>
          <w:lang w:val="fr-FR"/>
        </w:rPr>
        <w:t>12 de la Constitution, précisant que l</w:t>
      </w:r>
      <w:r w:rsidR="00731F09" w:rsidRPr="00E1372C">
        <w:rPr>
          <w:lang w:val="fr-FR"/>
        </w:rPr>
        <w:t>’</w:t>
      </w:r>
      <w:r w:rsidR="002D7343" w:rsidRPr="00E1372C">
        <w:rPr>
          <w:lang w:val="fr-FR"/>
        </w:rPr>
        <w:t>absence de représentation pouvait donner lieu à un procès inéquitable et que le Gouvernement est tenu de protéger les droits contenus dans la Constitution</w:t>
      </w:r>
      <w:r w:rsidR="000202A1" w:rsidRPr="00E1372C">
        <w:rPr>
          <w:lang w:val="fr-FR"/>
        </w:rPr>
        <w:t>.</w:t>
      </w:r>
    </w:p>
    <w:p w:rsidR="00A55A0E" w:rsidRPr="00E1372C" w:rsidRDefault="007A1757" w:rsidP="007A1757">
      <w:pPr>
        <w:pStyle w:val="SingleTxtG"/>
        <w:rPr>
          <w:lang w:val="fr-FR" w:bidi="en-US"/>
        </w:rPr>
      </w:pPr>
      <w:r w:rsidRPr="00E1372C">
        <w:rPr>
          <w:lang w:val="fr-FR" w:bidi="en-US"/>
        </w:rPr>
        <w:t>81.</w:t>
      </w:r>
      <w:r w:rsidRPr="00E1372C">
        <w:rPr>
          <w:lang w:val="fr-FR" w:bidi="en-US"/>
        </w:rPr>
        <w:tab/>
      </w:r>
      <w:r w:rsidR="002D7343" w:rsidRPr="00E1372C">
        <w:rPr>
          <w:lang w:val="fr-FR"/>
        </w:rPr>
        <w:t>Certains droits peuvent faire l</w:t>
      </w:r>
      <w:r w:rsidR="00731F09" w:rsidRPr="00E1372C">
        <w:rPr>
          <w:lang w:val="fr-FR"/>
        </w:rPr>
        <w:t>’</w:t>
      </w:r>
      <w:r w:rsidR="002D7343" w:rsidRPr="00E1372C">
        <w:rPr>
          <w:lang w:val="fr-FR"/>
        </w:rPr>
        <w:t>objet de dérogation pour des raisons de défense nationale ou si l</w:t>
      </w:r>
      <w:r w:rsidR="00731F09" w:rsidRPr="00E1372C">
        <w:rPr>
          <w:lang w:val="fr-FR"/>
        </w:rPr>
        <w:t>’</w:t>
      </w:r>
      <w:r w:rsidR="002D7343" w:rsidRPr="00E1372C">
        <w:rPr>
          <w:lang w:val="fr-FR"/>
        </w:rPr>
        <w:t>état d</w:t>
      </w:r>
      <w:r w:rsidR="00731F09" w:rsidRPr="00E1372C">
        <w:rPr>
          <w:lang w:val="fr-FR"/>
        </w:rPr>
        <w:t>’</w:t>
      </w:r>
      <w:r w:rsidR="002D7343" w:rsidRPr="00E1372C">
        <w:rPr>
          <w:lang w:val="fr-FR"/>
        </w:rPr>
        <w:t>urgence a été déclaré conformément à la Constitution. Toutefois, la dérogation à certains droits ou leur suspension est interdite. C</w:t>
      </w:r>
      <w:r w:rsidR="00731F09" w:rsidRPr="00E1372C">
        <w:rPr>
          <w:lang w:val="fr-FR"/>
        </w:rPr>
        <w:t>’</w:t>
      </w:r>
      <w:r w:rsidR="002D7343" w:rsidRPr="00E1372C">
        <w:rPr>
          <w:lang w:val="fr-FR"/>
        </w:rPr>
        <w:t>est le cas notamment du droit à la vie et, partant, du droit d</w:t>
      </w:r>
      <w:r w:rsidR="00E240B8" w:rsidRPr="00E1372C">
        <w:rPr>
          <w:lang w:val="fr-FR"/>
        </w:rPr>
        <w:t xml:space="preserve">e ne pas </w:t>
      </w:r>
      <w:r w:rsidR="002D7343" w:rsidRPr="00E1372C">
        <w:rPr>
          <w:lang w:val="fr-FR"/>
        </w:rPr>
        <w:t xml:space="preserve">être </w:t>
      </w:r>
      <w:r w:rsidR="00E240B8" w:rsidRPr="00E1372C">
        <w:rPr>
          <w:lang w:val="fr-FR"/>
        </w:rPr>
        <w:t>condamné à</w:t>
      </w:r>
      <w:r w:rsidR="002D7343" w:rsidRPr="00E1372C">
        <w:rPr>
          <w:lang w:val="fr-FR"/>
        </w:rPr>
        <w:t xml:space="preserve"> la peine capitale, du droit de ne pas être soumis à une peine ou à un traitement cruel, inhumain ou dégradant, du droit de ne pas être soumis à l</w:t>
      </w:r>
      <w:r w:rsidR="00731F09" w:rsidRPr="00E1372C">
        <w:rPr>
          <w:lang w:val="fr-FR"/>
        </w:rPr>
        <w:t>’</w:t>
      </w:r>
      <w:r w:rsidR="002D7343" w:rsidRPr="00E1372C">
        <w:rPr>
          <w:lang w:val="fr-FR"/>
        </w:rPr>
        <w:t>esclavage ou au travail forcé, du droit à l</w:t>
      </w:r>
      <w:r w:rsidR="00731F09" w:rsidRPr="00E1372C">
        <w:rPr>
          <w:lang w:val="fr-FR"/>
        </w:rPr>
        <w:t>’</w:t>
      </w:r>
      <w:r w:rsidR="002D7343" w:rsidRPr="00E1372C">
        <w:rPr>
          <w:lang w:val="fr-FR"/>
        </w:rPr>
        <w:t>égalité devant la loi, du droit d</w:t>
      </w:r>
      <w:r w:rsidR="00731F09" w:rsidRPr="00E1372C">
        <w:rPr>
          <w:lang w:val="fr-FR"/>
        </w:rPr>
        <w:t>’</w:t>
      </w:r>
      <w:r w:rsidR="002D7343" w:rsidRPr="00E1372C">
        <w:rPr>
          <w:lang w:val="fr-FR"/>
        </w:rPr>
        <w:t>être à l</w:t>
      </w:r>
      <w:r w:rsidR="00731F09" w:rsidRPr="00E1372C">
        <w:rPr>
          <w:lang w:val="fr-FR"/>
        </w:rPr>
        <w:t>’</w:t>
      </w:r>
      <w:r w:rsidR="002D7343" w:rsidRPr="00E1372C">
        <w:rPr>
          <w:lang w:val="fr-FR"/>
        </w:rPr>
        <w:t>abri de toute forme de discrimination, du droit à un procès équitable, des différents droits de l</w:t>
      </w:r>
      <w:r w:rsidR="00731F09" w:rsidRPr="00E1372C">
        <w:rPr>
          <w:lang w:val="fr-FR"/>
        </w:rPr>
        <w:t>’</w:t>
      </w:r>
      <w:r w:rsidR="002D7343" w:rsidRPr="00E1372C">
        <w:rPr>
          <w:lang w:val="fr-FR"/>
        </w:rPr>
        <w:t>enfant et de la liberté de parole, d</w:t>
      </w:r>
      <w:r w:rsidR="00731F09" w:rsidRPr="00E1372C">
        <w:rPr>
          <w:lang w:val="fr-FR"/>
        </w:rPr>
        <w:t>’</w:t>
      </w:r>
      <w:r w:rsidR="002D7343" w:rsidRPr="00E1372C">
        <w:rPr>
          <w:lang w:val="fr-FR"/>
        </w:rPr>
        <w:t>expression, de pensée, de conscience</w:t>
      </w:r>
      <w:r w:rsidR="00E240B8" w:rsidRPr="00E1372C">
        <w:rPr>
          <w:lang w:val="fr-FR"/>
        </w:rPr>
        <w:t>, ainsi que</w:t>
      </w:r>
      <w:r w:rsidR="002D7343" w:rsidRPr="00E1372C">
        <w:rPr>
          <w:lang w:val="fr-FR"/>
        </w:rPr>
        <w:t xml:space="preserve"> de croyance et d</w:t>
      </w:r>
      <w:r w:rsidR="00731F09" w:rsidRPr="00E1372C">
        <w:rPr>
          <w:lang w:val="fr-FR"/>
        </w:rPr>
        <w:t>’</w:t>
      </w:r>
      <w:r w:rsidR="002D7343" w:rsidRPr="00E1372C">
        <w:rPr>
          <w:lang w:val="fr-FR"/>
        </w:rPr>
        <w:t>association</w:t>
      </w:r>
      <w:r w:rsidR="00A55A0E" w:rsidRPr="00E1372C">
        <w:rPr>
          <w:lang w:val="fr-FR" w:bidi="en-US"/>
        </w:rPr>
        <w:t>.</w:t>
      </w:r>
    </w:p>
    <w:p w:rsidR="00A55A0E" w:rsidRPr="00E1372C" w:rsidRDefault="007A1757" w:rsidP="007A1757">
      <w:pPr>
        <w:pStyle w:val="SingleTxtG"/>
        <w:rPr>
          <w:lang w:val="fr-FR" w:bidi="en-US"/>
        </w:rPr>
      </w:pPr>
      <w:r w:rsidRPr="00E1372C">
        <w:rPr>
          <w:lang w:val="fr-FR" w:bidi="en-US"/>
        </w:rPr>
        <w:t>82.</w:t>
      </w:r>
      <w:r w:rsidRPr="00E1372C">
        <w:rPr>
          <w:lang w:val="fr-FR" w:bidi="en-US"/>
        </w:rPr>
        <w:tab/>
      </w:r>
      <w:r w:rsidR="002D7343" w:rsidRPr="00E1372C">
        <w:rPr>
          <w:lang w:val="fr-FR"/>
        </w:rPr>
        <w:t>En vertu de la Constitution, les accords internationaux qui lient la Namibie font partie de la législation namibienne. Aucune disposition législative n</w:t>
      </w:r>
      <w:r w:rsidR="00731F09" w:rsidRPr="00E1372C">
        <w:rPr>
          <w:lang w:val="fr-FR"/>
        </w:rPr>
        <w:t>’</w:t>
      </w:r>
      <w:r w:rsidR="002D7343" w:rsidRPr="00E1372C">
        <w:rPr>
          <w:lang w:val="fr-FR"/>
        </w:rPr>
        <w:t>interdit à un ministère qui propose un texte de loi sur quelque sujet que ce soit de veiller à ce que les droits de l</w:t>
      </w:r>
      <w:r w:rsidR="00731F09" w:rsidRPr="00E1372C">
        <w:rPr>
          <w:lang w:val="fr-FR"/>
        </w:rPr>
        <w:t>’</w:t>
      </w:r>
      <w:r w:rsidR="002D7343" w:rsidRPr="00E1372C">
        <w:rPr>
          <w:lang w:val="fr-FR"/>
        </w:rPr>
        <w:t>homme protégés par la Constitution ou par un instrument international relatif aux droits de l</w:t>
      </w:r>
      <w:r w:rsidR="00731F09" w:rsidRPr="00E1372C">
        <w:rPr>
          <w:lang w:val="fr-FR"/>
        </w:rPr>
        <w:t>’</w:t>
      </w:r>
      <w:r w:rsidR="002D7343" w:rsidRPr="00E1372C">
        <w:rPr>
          <w:lang w:val="fr-FR"/>
        </w:rPr>
        <w:t>homme soient pris en considération dans le cadre de l</w:t>
      </w:r>
      <w:r w:rsidR="00731F09" w:rsidRPr="00E1372C">
        <w:rPr>
          <w:lang w:val="fr-FR"/>
        </w:rPr>
        <w:t>’</w:t>
      </w:r>
      <w:r w:rsidR="002D7343" w:rsidRPr="00E1372C">
        <w:rPr>
          <w:lang w:val="fr-FR"/>
        </w:rPr>
        <w:t>élaboration de la législation. Cela aide à renforcer la ferme volonté du pays à donner effet aux dispositions de la Charte des droits et des instruments internationaux relatifs aux droits de l</w:t>
      </w:r>
      <w:r w:rsidR="00731F09" w:rsidRPr="00E1372C">
        <w:rPr>
          <w:lang w:val="fr-FR"/>
        </w:rPr>
        <w:t>’</w:t>
      </w:r>
      <w:r w:rsidR="002D7343" w:rsidRPr="00E1372C">
        <w:rPr>
          <w:lang w:val="fr-FR"/>
        </w:rPr>
        <w:t>homme ou à faciliter le suivi et l</w:t>
      </w:r>
      <w:r w:rsidR="00731F09" w:rsidRPr="00E1372C">
        <w:rPr>
          <w:lang w:val="fr-FR"/>
        </w:rPr>
        <w:t>’</w:t>
      </w:r>
      <w:r w:rsidR="002D7343" w:rsidRPr="00E1372C">
        <w:rPr>
          <w:lang w:val="fr-FR"/>
        </w:rPr>
        <w:t>évaluation de leur mise en œuvre</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83.</w:t>
      </w:r>
      <w:r w:rsidRPr="00E1372C">
        <w:rPr>
          <w:lang w:val="fr-FR" w:bidi="en-US"/>
        </w:rPr>
        <w:tab/>
      </w:r>
      <w:r w:rsidR="002D7343" w:rsidRPr="00E1372C">
        <w:rPr>
          <w:lang w:val="fr-FR"/>
        </w:rPr>
        <w:t>Le Ministère de la justice est responsable en dernier ressort de la promotion et de la protection des droits de l</w:t>
      </w:r>
      <w:r w:rsidR="00731F09" w:rsidRPr="00E1372C">
        <w:rPr>
          <w:lang w:val="fr-FR"/>
        </w:rPr>
        <w:t>’</w:t>
      </w:r>
      <w:r w:rsidR="002D7343" w:rsidRPr="00E1372C">
        <w:rPr>
          <w:lang w:val="fr-FR"/>
        </w:rPr>
        <w:t>homme au nom du Gouvernement. À cette fin, il veille à la mise en œuvre des droits de l</w:t>
      </w:r>
      <w:r w:rsidR="00731F09" w:rsidRPr="00E1372C">
        <w:rPr>
          <w:lang w:val="fr-FR"/>
        </w:rPr>
        <w:t>’</w:t>
      </w:r>
      <w:r w:rsidR="002D7343" w:rsidRPr="00E1372C">
        <w:rPr>
          <w:lang w:val="fr-FR"/>
        </w:rPr>
        <w:t>homme, notamment en examinant de près les projets de loi et en s</w:t>
      </w:r>
      <w:r w:rsidR="00731F09" w:rsidRPr="00E1372C">
        <w:rPr>
          <w:lang w:val="fr-FR"/>
        </w:rPr>
        <w:t>’</w:t>
      </w:r>
      <w:r w:rsidR="002D7343" w:rsidRPr="00E1372C">
        <w:rPr>
          <w:lang w:val="fr-FR"/>
        </w:rPr>
        <w:t xml:space="preserve">assurant que ces derniers renforcent ces droits et ne leur </w:t>
      </w:r>
      <w:r w:rsidR="008A0807" w:rsidRPr="00E1372C">
        <w:rPr>
          <w:lang w:val="fr-FR"/>
        </w:rPr>
        <w:t>portent atteinte</w:t>
      </w:r>
      <w:r w:rsidR="002D7343" w:rsidRPr="00E1372C">
        <w:rPr>
          <w:lang w:val="fr-FR"/>
        </w:rPr>
        <w:t>. En collaboration avec l</w:t>
      </w:r>
      <w:r w:rsidR="00731F09" w:rsidRPr="00E1372C">
        <w:rPr>
          <w:lang w:val="fr-FR"/>
        </w:rPr>
        <w:t>’</w:t>
      </w:r>
      <w:r w:rsidR="002D7343" w:rsidRPr="00E1372C">
        <w:rPr>
          <w:lang w:val="fr-FR"/>
        </w:rPr>
        <w:t xml:space="preserve">Université de Namibie, le Ministère a </w:t>
      </w:r>
      <w:r w:rsidR="00E240B8" w:rsidRPr="00E1372C">
        <w:rPr>
          <w:lang w:val="fr-FR"/>
        </w:rPr>
        <w:t>mis en place en 1993</w:t>
      </w:r>
      <w:r w:rsidR="002D7343" w:rsidRPr="00E1372C">
        <w:rPr>
          <w:lang w:val="fr-FR"/>
        </w:rPr>
        <w:t xml:space="preserve"> le Centre de documentation sur les droits de l</w:t>
      </w:r>
      <w:r w:rsidR="00731F09" w:rsidRPr="00E1372C">
        <w:rPr>
          <w:lang w:val="fr-FR"/>
        </w:rPr>
        <w:t>’</w:t>
      </w:r>
      <w:r w:rsidR="002D7343" w:rsidRPr="00E1372C">
        <w:rPr>
          <w:lang w:val="fr-FR"/>
        </w:rPr>
        <w:t xml:space="preserve">homme, qui est chargé de promouvoir et de </w:t>
      </w:r>
      <w:r w:rsidR="00E240B8" w:rsidRPr="00E1372C">
        <w:rPr>
          <w:lang w:val="fr-FR"/>
        </w:rPr>
        <w:t>diffus</w:t>
      </w:r>
      <w:r w:rsidR="002D7343" w:rsidRPr="00E1372C">
        <w:rPr>
          <w:lang w:val="fr-FR"/>
        </w:rPr>
        <w:t>er les droits de l</w:t>
      </w:r>
      <w:r w:rsidR="00731F09" w:rsidRPr="00E1372C">
        <w:rPr>
          <w:lang w:val="fr-FR"/>
        </w:rPr>
        <w:t>’</w:t>
      </w:r>
      <w:r w:rsidR="002D7343" w:rsidRPr="00E1372C">
        <w:rPr>
          <w:lang w:val="fr-FR"/>
        </w:rPr>
        <w:t>homme. Lorsqu</w:t>
      </w:r>
      <w:r w:rsidR="00731F09" w:rsidRPr="00E1372C">
        <w:rPr>
          <w:lang w:val="fr-FR"/>
        </w:rPr>
        <w:t>’</w:t>
      </w:r>
      <w:r w:rsidR="002D7343" w:rsidRPr="00E1372C">
        <w:rPr>
          <w:lang w:val="fr-FR"/>
        </w:rPr>
        <w:t>il s</w:t>
      </w:r>
      <w:r w:rsidR="00731F09" w:rsidRPr="00E1372C">
        <w:rPr>
          <w:lang w:val="fr-FR"/>
        </w:rPr>
        <w:t>’</w:t>
      </w:r>
      <w:r w:rsidR="002D7343" w:rsidRPr="00E1372C">
        <w:rPr>
          <w:lang w:val="fr-FR"/>
        </w:rPr>
        <w:t>agit d</w:t>
      </w:r>
      <w:r w:rsidR="00731F09" w:rsidRPr="00E1372C">
        <w:rPr>
          <w:lang w:val="fr-FR"/>
        </w:rPr>
        <w:t>’</w:t>
      </w:r>
      <w:r w:rsidR="00E240B8" w:rsidRPr="00E1372C">
        <w:rPr>
          <w:lang w:val="fr-FR"/>
        </w:rPr>
        <w:t>appliqu</w:t>
      </w:r>
      <w:r w:rsidR="002D7343" w:rsidRPr="00E1372C">
        <w:rPr>
          <w:lang w:val="fr-FR"/>
        </w:rPr>
        <w:t>er les droits précis visés dans les divers instruments internationaux, le ministère ou l</w:t>
      </w:r>
      <w:r w:rsidR="00731F09" w:rsidRPr="00E1372C">
        <w:rPr>
          <w:lang w:val="fr-FR"/>
        </w:rPr>
        <w:t>’</w:t>
      </w:r>
      <w:r w:rsidR="002D7343" w:rsidRPr="00E1372C">
        <w:rPr>
          <w:lang w:val="fr-FR"/>
        </w:rPr>
        <w:t>organisme public chargé des droits visés dans lesdits instruments a la responsabilité de les mettre en œuvre</w:t>
      </w:r>
      <w:r w:rsidR="00A55A0E" w:rsidRPr="00E1372C">
        <w:rPr>
          <w:lang w:val="fr-FR" w:bidi="en-US"/>
        </w:rPr>
        <w:t xml:space="preserve">. </w:t>
      </w:r>
    </w:p>
    <w:p w:rsidR="00CC5850" w:rsidRPr="00E1372C" w:rsidRDefault="007A1757" w:rsidP="007A1757">
      <w:pPr>
        <w:pStyle w:val="SingleTxtG"/>
        <w:rPr>
          <w:lang w:val="fr-FR" w:bidi="en-US"/>
        </w:rPr>
      </w:pPr>
      <w:r w:rsidRPr="00E1372C">
        <w:rPr>
          <w:lang w:val="fr-FR" w:bidi="en-US"/>
        </w:rPr>
        <w:t>84.</w:t>
      </w:r>
      <w:r w:rsidRPr="00E1372C">
        <w:rPr>
          <w:lang w:val="fr-FR" w:bidi="en-US"/>
        </w:rPr>
        <w:tab/>
      </w:r>
      <w:r w:rsidR="00CA5032" w:rsidRPr="00E1372C">
        <w:rPr>
          <w:lang w:val="fr-FR"/>
        </w:rPr>
        <w:t>Ainsi</w:t>
      </w:r>
      <w:r w:rsidR="002D7343" w:rsidRPr="00E1372C">
        <w:rPr>
          <w:lang w:val="fr-FR"/>
        </w:rPr>
        <w:t>, il appartient au Ministère de la justice de veiller à la réalisation du droit à un procès équitable et du droit de ne pas être soumis à la torture, conjointement avec les Ministères de l</w:t>
      </w:r>
      <w:r w:rsidR="00731F09" w:rsidRPr="00E1372C">
        <w:rPr>
          <w:lang w:val="fr-FR"/>
        </w:rPr>
        <w:t>’</w:t>
      </w:r>
      <w:r w:rsidR="002D7343" w:rsidRPr="00E1372C">
        <w:rPr>
          <w:lang w:val="fr-FR"/>
        </w:rPr>
        <w:t>éducation, de l</w:t>
      </w:r>
      <w:r w:rsidR="00731F09" w:rsidRPr="00E1372C">
        <w:rPr>
          <w:lang w:val="fr-FR"/>
        </w:rPr>
        <w:t>’</w:t>
      </w:r>
      <w:r w:rsidR="002D7343" w:rsidRPr="00E1372C">
        <w:rPr>
          <w:lang w:val="fr-FR"/>
        </w:rPr>
        <w:t>intérieur et de l</w:t>
      </w:r>
      <w:r w:rsidR="00731F09" w:rsidRPr="00E1372C">
        <w:rPr>
          <w:lang w:val="fr-FR"/>
        </w:rPr>
        <w:t>’</w:t>
      </w:r>
      <w:r w:rsidR="002D7343" w:rsidRPr="00E1372C">
        <w:rPr>
          <w:lang w:val="fr-FR"/>
        </w:rPr>
        <w:t xml:space="preserve">immigration, de la sûreté et la sécurité et de la défense. La mise en œuvre </w:t>
      </w:r>
      <w:r w:rsidR="00E439A0" w:rsidRPr="00E1372C">
        <w:rPr>
          <w:lang w:val="fr-FR"/>
        </w:rPr>
        <w:t xml:space="preserve">de certains aspects </w:t>
      </w:r>
      <w:r w:rsidR="002D7343" w:rsidRPr="00E1372C">
        <w:rPr>
          <w:lang w:val="fr-FR"/>
        </w:rPr>
        <w:t>des droits de l</w:t>
      </w:r>
      <w:r w:rsidR="00731F09" w:rsidRPr="00E1372C">
        <w:rPr>
          <w:lang w:val="fr-FR"/>
        </w:rPr>
        <w:t>’</w:t>
      </w:r>
      <w:r w:rsidR="002D7343" w:rsidRPr="00E1372C">
        <w:rPr>
          <w:lang w:val="fr-FR"/>
        </w:rPr>
        <w:t>enfant incombe au Ministère de l</w:t>
      </w:r>
      <w:r w:rsidR="00731F09" w:rsidRPr="00E1372C">
        <w:rPr>
          <w:lang w:val="fr-FR"/>
        </w:rPr>
        <w:t>’</w:t>
      </w:r>
      <w:r w:rsidR="002D7343" w:rsidRPr="00E1372C">
        <w:rPr>
          <w:lang w:val="fr-FR"/>
        </w:rPr>
        <w:t>administration régionale et locale, de l</w:t>
      </w:r>
      <w:r w:rsidR="00731F09" w:rsidRPr="00E1372C">
        <w:rPr>
          <w:lang w:val="fr-FR"/>
        </w:rPr>
        <w:t>’</w:t>
      </w:r>
      <w:r w:rsidR="002D7343" w:rsidRPr="00E1372C">
        <w:rPr>
          <w:lang w:val="fr-FR"/>
        </w:rPr>
        <w:t>habitat et du développement rural, au Ministère de l</w:t>
      </w:r>
      <w:r w:rsidR="00731F09" w:rsidRPr="00E1372C">
        <w:rPr>
          <w:lang w:val="fr-FR"/>
        </w:rPr>
        <w:t>’</w:t>
      </w:r>
      <w:r w:rsidR="002D7343" w:rsidRPr="00E1372C">
        <w:rPr>
          <w:lang w:val="fr-FR"/>
        </w:rPr>
        <w:t>égalité entre les sexes et de la protection de</w:t>
      </w:r>
      <w:r w:rsidR="00CA5032" w:rsidRPr="00E1372C">
        <w:rPr>
          <w:lang w:val="fr-FR"/>
        </w:rPr>
        <w:t xml:space="preserve"> l</w:t>
      </w:r>
      <w:r w:rsidR="00731F09" w:rsidRPr="00E1372C">
        <w:rPr>
          <w:lang w:val="fr-FR"/>
        </w:rPr>
        <w:t>’</w:t>
      </w:r>
      <w:r w:rsidR="002D7343" w:rsidRPr="00E1372C">
        <w:rPr>
          <w:lang w:val="fr-FR"/>
        </w:rPr>
        <w:t>enfan</w:t>
      </w:r>
      <w:r w:rsidR="00CA5032" w:rsidRPr="00E1372C">
        <w:rPr>
          <w:lang w:val="fr-FR"/>
        </w:rPr>
        <w:t>ce</w:t>
      </w:r>
      <w:r w:rsidR="002D7343" w:rsidRPr="00E1372C">
        <w:rPr>
          <w:lang w:val="fr-FR"/>
        </w:rPr>
        <w:t>, ainsi qu</w:t>
      </w:r>
      <w:r w:rsidR="00731F09" w:rsidRPr="00E1372C">
        <w:rPr>
          <w:lang w:val="fr-FR"/>
        </w:rPr>
        <w:t>’</w:t>
      </w:r>
      <w:r w:rsidR="002D7343" w:rsidRPr="00E1372C">
        <w:rPr>
          <w:lang w:val="fr-FR"/>
        </w:rPr>
        <w:t>au Ministère du service national de la jeunesse, des sports et de la culture. Les ministères reçoivent dans l</w:t>
      </w:r>
      <w:r w:rsidR="00731F09" w:rsidRPr="00E1372C">
        <w:rPr>
          <w:lang w:val="fr-FR"/>
        </w:rPr>
        <w:t>’</w:t>
      </w:r>
      <w:r w:rsidR="002D7343" w:rsidRPr="00E1372C">
        <w:rPr>
          <w:lang w:val="fr-FR"/>
        </w:rPr>
        <w:t>accomplissement de leurs tâches le concours de divers organismes gouvernementaux et non gouvernementaux opérant dans différents secteurs socioéconomiques. En outre, l</w:t>
      </w:r>
      <w:r w:rsidR="00731F09" w:rsidRPr="00E1372C">
        <w:rPr>
          <w:lang w:val="fr-FR"/>
        </w:rPr>
        <w:t>’</w:t>
      </w:r>
      <w:r w:rsidR="00D733A2" w:rsidRPr="00E1372C">
        <w:rPr>
          <w:lang w:val="fr-FR"/>
        </w:rPr>
        <w:t xml:space="preserve">article </w:t>
      </w:r>
      <w:r w:rsidR="002D7343" w:rsidRPr="00E1372C">
        <w:rPr>
          <w:lang w:val="fr-FR"/>
        </w:rPr>
        <w:t>18 de la Constitution confère à toute personne lésée le droit de contester des actes ou décisions administratifs devant une cour ou un tribunal compétent. La Constitution oblige les fonctionnaires et les organes administratifs à agir équitablement et judicieusement, tout en respectant les prescriptions que leur impose</w:t>
      </w:r>
      <w:r w:rsidR="00E439A0" w:rsidRPr="00E1372C">
        <w:rPr>
          <w:lang w:val="fr-FR"/>
        </w:rPr>
        <w:t>nt</w:t>
      </w:r>
      <w:r w:rsidR="002D7343" w:rsidRPr="00E1372C">
        <w:rPr>
          <w:lang w:val="fr-FR"/>
        </w:rPr>
        <w:t xml:space="preserve"> le droit coutumier et toute législation appropriée. Un tribunal compétent non seulement a le devoir et le pouvoir de faire respecter et de protéger les droits des personnes lésées à la justice administrative, mais également est habilité à attribuer une somme à titre de dommages-intérêts relative à tout préjudice s</w:t>
      </w:r>
      <w:r w:rsidR="00E439A0" w:rsidRPr="00E1372C">
        <w:rPr>
          <w:lang w:val="fr-FR"/>
        </w:rPr>
        <w:t>ubi</w:t>
      </w:r>
      <w:r w:rsidR="002D7343" w:rsidRPr="00E1372C">
        <w:rPr>
          <w:lang w:val="fr-FR"/>
        </w:rPr>
        <w:t xml:space="preserve"> par la personne lésée par suite de ce déni ou de cette violation illicite de ses droits</w:t>
      </w:r>
      <w:r w:rsidR="00CC5850" w:rsidRPr="00E1372C">
        <w:rPr>
          <w:lang w:val="fr-FR"/>
        </w:rPr>
        <w:t>. L</w:t>
      </w:r>
      <w:r w:rsidR="00731F09" w:rsidRPr="00E1372C">
        <w:rPr>
          <w:lang w:val="fr-FR"/>
        </w:rPr>
        <w:t>’</w:t>
      </w:r>
      <w:r w:rsidR="00CC5850" w:rsidRPr="00E1372C">
        <w:rPr>
          <w:lang w:val="fr-FR"/>
        </w:rPr>
        <w:t>article 5 de la Constitution oblige les trois pouvoirs de l</w:t>
      </w:r>
      <w:r w:rsidR="00731F09" w:rsidRPr="00E1372C">
        <w:rPr>
          <w:lang w:val="fr-FR"/>
        </w:rPr>
        <w:t>’</w:t>
      </w:r>
      <w:r w:rsidR="00CC5850" w:rsidRPr="00E1372C">
        <w:rPr>
          <w:lang w:val="fr-FR"/>
        </w:rPr>
        <w:t>État, y compris l</w:t>
      </w:r>
      <w:r w:rsidR="00731F09" w:rsidRPr="00E1372C">
        <w:rPr>
          <w:lang w:val="fr-FR"/>
        </w:rPr>
        <w:t>’</w:t>
      </w:r>
      <w:r w:rsidR="00CC5850" w:rsidRPr="00E1372C">
        <w:rPr>
          <w:lang w:val="fr-FR"/>
        </w:rPr>
        <w:t>exécutif, à soutenir et respecter les droits et libertés fondamentaux énoncés en son chapitre 3. Il subordonne également les personnes physiques et morales aux dispositions du chapitre 3 dans la mesure où elles leur sont applicables.</w:t>
      </w:r>
    </w:p>
    <w:p w:rsidR="00CC5850" w:rsidRPr="00E1372C" w:rsidRDefault="007A1757" w:rsidP="007A1757">
      <w:pPr>
        <w:pStyle w:val="SingleTxtG"/>
        <w:rPr>
          <w:lang w:val="fr-FR" w:bidi="en-US"/>
        </w:rPr>
      </w:pPr>
      <w:r w:rsidRPr="00E1372C">
        <w:rPr>
          <w:lang w:val="fr-FR" w:bidi="en-US"/>
        </w:rPr>
        <w:t>85.</w:t>
      </w:r>
      <w:r w:rsidRPr="00E1372C">
        <w:rPr>
          <w:lang w:val="fr-FR" w:bidi="en-US"/>
        </w:rPr>
        <w:tab/>
      </w:r>
      <w:r w:rsidR="00CC5850" w:rsidRPr="00E1372C">
        <w:rPr>
          <w:lang w:val="fr-FR" w:bidi="en-US"/>
        </w:rPr>
        <w:t>Le chapitre 3 de la Constitution contient les droits de l</w:t>
      </w:r>
      <w:r w:rsidR="00731F09" w:rsidRPr="00E1372C">
        <w:rPr>
          <w:lang w:val="fr-FR" w:bidi="en-US"/>
        </w:rPr>
        <w:t>’</w:t>
      </w:r>
      <w:r w:rsidR="00CC5850" w:rsidRPr="00E1372C">
        <w:rPr>
          <w:lang w:val="fr-FR" w:bidi="en-US"/>
        </w:rPr>
        <w:t>homme et les libertés fondamentaux, qui doivent être respectés par les pouvoirs exécutif, législatif et judiciaire. Ils sont exigibles par les tribunaux sans qu</w:t>
      </w:r>
      <w:r w:rsidR="00731F09" w:rsidRPr="00E1372C">
        <w:rPr>
          <w:lang w:val="fr-FR" w:bidi="en-US"/>
        </w:rPr>
        <w:t>’</w:t>
      </w:r>
      <w:r w:rsidR="00CC5850" w:rsidRPr="00E1372C">
        <w:rPr>
          <w:lang w:val="fr-FR" w:bidi="en-US"/>
        </w:rPr>
        <w:t>il soit nécessaire de préciser s</w:t>
      </w:r>
      <w:r w:rsidR="00731F09" w:rsidRPr="00E1372C">
        <w:rPr>
          <w:lang w:val="fr-FR" w:bidi="en-US"/>
        </w:rPr>
        <w:t>’</w:t>
      </w:r>
      <w:r w:rsidR="00CC5850" w:rsidRPr="00E1372C">
        <w:rPr>
          <w:lang w:val="fr-FR" w:bidi="en-US"/>
        </w:rPr>
        <w:t>il s</w:t>
      </w:r>
      <w:r w:rsidR="00731F09" w:rsidRPr="00E1372C">
        <w:rPr>
          <w:lang w:val="fr-FR" w:bidi="en-US"/>
        </w:rPr>
        <w:t>’</w:t>
      </w:r>
      <w:r w:rsidR="00CC5850" w:rsidRPr="00E1372C">
        <w:rPr>
          <w:lang w:val="fr-FR" w:bidi="en-US"/>
        </w:rPr>
        <w:t>agit de droits économiques, sociaux et culturels des citoyens. En termes simples, ces droits garantissent la protection de la vie, de la liberté et le respect de la dignité humaine, interdisent l</w:t>
      </w:r>
      <w:r w:rsidR="00731F09" w:rsidRPr="00E1372C">
        <w:rPr>
          <w:lang w:val="fr-FR" w:bidi="en-US"/>
        </w:rPr>
        <w:t>’</w:t>
      </w:r>
      <w:r w:rsidR="00CC5850" w:rsidRPr="00E1372C">
        <w:rPr>
          <w:lang w:val="fr-FR" w:bidi="en-US"/>
        </w:rPr>
        <w:t>esclavage et le travail forcé, favorisent l</w:t>
      </w:r>
      <w:r w:rsidR="00731F09" w:rsidRPr="00E1372C">
        <w:rPr>
          <w:lang w:val="fr-FR" w:bidi="en-US"/>
        </w:rPr>
        <w:t>’</w:t>
      </w:r>
      <w:r w:rsidR="00CC5850" w:rsidRPr="00E1372C">
        <w:rPr>
          <w:lang w:val="fr-FR" w:bidi="en-US"/>
        </w:rPr>
        <w:t>égalité et la non-discrimination, empêchent les arrestations et détentions arbitraires, garantissent un procès équitable, préservent la vie privée, le caractère sacré de la famille, protègent les droits des enfants, préservent les droits patrimoniaux, défendent la liberté politique, la justice administrative et la liberté culturelle, protègent le droit à l</w:t>
      </w:r>
      <w:r w:rsidR="00731F09" w:rsidRPr="00E1372C">
        <w:rPr>
          <w:lang w:val="fr-FR" w:bidi="en-US"/>
        </w:rPr>
        <w:t>’</w:t>
      </w:r>
      <w:r w:rsidR="00CC5850" w:rsidRPr="00E1372C">
        <w:rPr>
          <w:lang w:val="fr-FR" w:bidi="en-US"/>
        </w:rPr>
        <w:t>éducation, énoncent et défendent les libertés fondamentales en définissant la portée de ces libertés, proscrivent l</w:t>
      </w:r>
      <w:r w:rsidR="00731F09" w:rsidRPr="00E1372C">
        <w:rPr>
          <w:lang w:val="fr-FR" w:bidi="en-US"/>
        </w:rPr>
        <w:t>’</w:t>
      </w:r>
      <w:r w:rsidR="00CC5850" w:rsidRPr="00E1372C">
        <w:rPr>
          <w:lang w:val="fr-FR" w:bidi="en-US"/>
        </w:rPr>
        <w:t>apartheid, défendent les groupes jadis exclus ou défavorisés. Les droits et libertés énoncés sont tous intangibles.</w:t>
      </w:r>
    </w:p>
    <w:p w:rsidR="00A55A0E" w:rsidRPr="00E1372C" w:rsidRDefault="009062F4" w:rsidP="009062F4">
      <w:pPr>
        <w:pStyle w:val="H23G"/>
        <w:rPr>
          <w:lang w:val="fr-FR" w:bidi="en-US"/>
        </w:rPr>
      </w:pPr>
      <w:r w:rsidRPr="00E1372C">
        <w:rPr>
          <w:lang w:val="fr-FR" w:bidi="en-US"/>
        </w:rPr>
        <w:tab/>
      </w:r>
      <w:r w:rsidRPr="00E1372C">
        <w:rPr>
          <w:lang w:val="fr-FR" w:bidi="en-US"/>
        </w:rPr>
        <w:tab/>
      </w:r>
      <w:r w:rsidR="00CC5850" w:rsidRPr="00E1372C">
        <w:rPr>
          <w:lang w:val="fr-FR" w:bidi="en-US"/>
        </w:rPr>
        <w:t>Liberté de la presse</w:t>
      </w:r>
    </w:p>
    <w:p w:rsidR="002B7235" w:rsidRPr="00E1372C" w:rsidRDefault="007A1757" w:rsidP="007A1757">
      <w:pPr>
        <w:pStyle w:val="SingleTxtG"/>
        <w:rPr>
          <w:b/>
          <w:lang w:val="fr-FR" w:bidi="en-US"/>
        </w:rPr>
      </w:pPr>
      <w:r w:rsidRPr="00E1372C">
        <w:rPr>
          <w:lang w:val="fr-FR" w:bidi="en-US"/>
        </w:rPr>
        <w:t>86.</w:t>
      </w:r>
      <w:r w:rsidRPr="00E1372C">
        <w:rPr>
          <w:lang w:val="fr-FR" w:bidi="en-US"/>
        </w:rPr>
        <w:tab/>
      </w:r>
      <w:r w:rsidR="002B7235" w:rsidRPr="00E1372C">
        <w:rPr>
          <w:lang w:val="fr-FR" w:bidi="en-US"/>
        </w:rPr>
        <w:t>Les médias jouissent d</w:t>
      </w:r>
      <w:r w:rsidR="00731F09" w:rsidRPr="00E1372C">
        <w:rPr>
          <w:lang w:val="fr-FR" w:bidi="en-US"/>
        </w:rPr>
        <w:t>’</w:t>
      </w:r>
      <w:r w:rsidR="002B7235" w:rsidRPr="00E1372C">
        <w:rPr>
          <w:lang w:val="fr-FR" w:bidi="en-US"/>
        </w:rPr>
        <w:t>une grande liberté depuis l</w:t>
      </w:r>
      <w:r w:rsidR="00731F09" w:rsidRPr="00E1372C">
        <w:rPr>
          <w:lang w:val="fr-FR" w:bidi="en-US"/>
        </w:rPr>
        <w:t>’</w:t>
      </w:r>
      <w:r w:rsidR="002B7235" w:rsidRPr="00E1372C">
        <w:rPr>
          <w:lang w:val="fr-FR" w:bidi="en-US"/>
        </w:rPr>
        <w:t>indépendance. Le classement mondial de la liberté de la presse établi par Reporters sans frontières pour 2010 et 2011 place la Namibie</w:t>
      </w:r>
      <w:r w:rsidR="00331EBA" w:rsidRPr="00E1372C">
        <w:rPr>
          <w:lang w:val="fr-FR" w:bidi="en-US"/>
        </w:rPr>
        <w:t xml:space="preserve"> en tête de l</w:t>
      </w:r>
      <w:r w:rsidR="00731F09" w:rsidRPr="00E1372C">
        <w:rPr>
          <w:lang w:val="fr-FR" w:bidi="en-US"/>
        </w:rPr>
        <w:t>’</w:t>
      </w:r>
      <w:r w:rsidR="00331EBA" w:rsidRPr="00E1372C">
        <w:rPr>
          <w:lang w:val="fr-FR" w:bidi="en-US"/>
        </w:rPr>
        <w:t>Afrique dans ce domaine. En 2008, la Namibie occupait la 24</w:t>
      </w:r>
      <w:r w:rsidR="00331EBA" w:rsidRPr="00E1372C">
        <w:rPr>
          <w:vertAlign w:val="superscript"/>
          <w:lang w:val="fr-FR" w:bidi="en-US"/>
        </w:rPr>
        <w:t>e</w:t>
      </w:r>
      <w:r w:rsidR="00331EBA" w:rsidRPr="00E1372C">
        <w:rPr>
          <w:lang w:val="fr-FR" w:bidi="en-US"/>
        </w:rPr>
        <w:t xml:space="preserve"> place sur 173 pays dans le monde. </w:t>
      </w:r>
      <w:r w:rsidR="00331EBA" w:rsidRPr="00E1372C">
        <w:rPr>
          <w:lang w:val="fr-FR"/>
        </w:rPr>
        <w:t>La Namibie est l</w:t>
      </w:r>
      <w:r w:rsidR="00731F09" w:rsidRPr="00E1372C">
        <w:rPr>
          <w:lang w:val="fr-FR"/>
        </w:rPr>
        <w:t>’</w:t>
      </w:r>
      <w:r w:rsidR="00331EBA" w:rsidRPr="00E1372C">
        <w:rPr>
          <w:lang w:val="fr-FR"/>
        </w:rPr>
        <w:t>un des pays</w:t>
      </w:r>
      <w:r w:rsidR="00831F59" w:rsidRPr="00E1372C">
        <w:rPr>
          <w:lang w:val="fr-FR"/>
        </w:rPr>
        <w:t xml:space="preserve"> en Afrique</w:t>
      </w:r>
      <w:r w:rsidR="00331EBA" w:rsidRPr="00E1372C">
        <w:rPr>
          <w:lang w:val="fr-FR"/>
        </w:rPr>
        <w:t xml:space="preserve"> les plus favorables aux médias. La liberté </w:t>
      </w:r>
      <w:r w:rsidR="00831F59" w:rsidRPr="00E1372C">
        <w:rPr>
          <w:lang w:val="fr-FR"/>
        </w:rPr>
        <w:t xml:space="preserve">tant </w:t>
      </w:r>
      <w:r w:rsidR="00331EBA" w:rsidRPr="00E1372C">
        <w:rPr>
          <w:lang w:val="fr-FR"/>
        </w:rPr>
        <w:t>de parole et d</w:t>
      </w:r>
      <w:r w:rsidR="00731F09" w:rsidRPr="00E1372C">
        <w:rPr>
          <w:lang w:val="fr-FR"/>
        </w:rPr>
        <w:t>’</w:t>
      </w:r>
      <w:r w:rsidR="00331EBA" w:rsidRPr="00E1372C">
        <w:rPr>
          <w:lang w:val="fr-FR"/>
        </w:rPr>
        <w:t xml:space="preserve">expression </w:t>
      </w:r>
      <w:r w:rsidR="00831F59" w:rsidRPr="00E1372C">
        <w:rPr>
          <w:lang w:val="fr-FR"/>
        </w:rPr>
        <w:t>que</w:t>
      </w:r>
      <w:r w:rsidR="00331EBA" w:rsidRPr="00E1372C">
        <w:rPr>
          <w:lang w:val="fr-FR"/>
        </w:rPr>
        <w:t xml:space="preserve"> de la presse et des autres médias </w:t>
      </w:r>
      <w:r w:rsidR="00831F59" w:rsidRPr="00E1372C">
        <w:rPr>
          <w:lang w:val="fr-FR"/>
        </w:rPr>
        <w:t>es</w:t>
      </w:r>
      <w:r w:rsidR="00331EBA" w:rsidRPr="00E1372C">
        <w:rPr>
          <w:lang w:val="fr-FR"/>
        </w:rPr>
        <w:t>t garantie en vertu de l</w:t>
      </w:r>
      <w:r w:rsidR="00731F09" w:rsidRPr="00E1372C">
        <w:rPr>
          <w:lang w:val="fr-FR"/>
        </w:rPr>
        <w:t>’</w:t>
      </w:r>
      <w:r w:rsidR="00331EBA" w:rsidRPr="00E1372C">
        <w:rPr>
          <w:lang w:val="fr-FR"/>
        </w:rPr>
        <w:t xml:space="preserve">article 21 de la Constitution </w:t>
      </w:r>
      <w:r w:rsidR="00831F59" w:rsidRPr="00E1372C">
        <w:rPr>
          <w:lang w:val="fr-FR"/>
        </w:rPr>
        <w:t>et elle est dans l</w:t>
      </w:r>
      <w:r w:rsidR="00731F09" w:rsidRPr="00E1372C">
        <w:rPr>
          <w:lang w:val="fr-FR"/>
        </w:rPr>
        <w:t>’</w:t>
      </w:r>
      <w:r w:rsidR="00831F59" w:rsidRPr="00E1372C">
        <w:rPr>
          <w:lang w:val="fr-FR"/>
        </w:rPr>
        <w:t>ensemble respectée</w:t>
      </w:r>
      <w:r w:rsidR="00331EBA" w:rsidRPr="00E1372C">
        <w:rPr>
          <w:lang w:val="fr-FR"/>
        </w:rPr>
        <w:t xml:space="preserve"> par le Gouvernement. Le Parlement a adopté des lois telles que la loi n</w:t>
      </w:r>
      <w:r w:rsidR="00B277C4" w:rsidRPr="00E1372C">
        <w:rPr>
          <w:vertAlign w:val="superscript"/>
          <w:lang w:val="fr-FR"/>
        </w:rPr>
        <w:t>o</w:t>
      </w:r>
      <w:r w:rsidR="00331EBA" w:rsidRPr="00E1372C">
        <w:rPr>
          <w:lang w:val="fr-FR"/>
        </w:rPr>
        <w:t> 9 de 1991 relative à la radiodiffusion et la loi n</w:t>
      </w:r>
      <w:r w:rsidR="00B277C4" w:rsidRPr="00E1372C">
        <w:rPr>
          <w:vertAlign w:val="superscript"/>
          <w:lang w:val="fr-FR"/>
        </w:rPr>
        <w:t>o</w:t>
      </w:r>
      <w:r w:rsidR="00331EBA" w:rsidRPr="00E1372C">
        <w:rPr>
          <w:lang w:val="fr-FR"/>
        </w:rPr>
        <w:t> 4 de 1992 portant création de la Commission des communications afin d</w:t>
      </w:r>
      <w:r w:rsidR="00731F09" w:rsidRPr="00E1372C">
        <w:rPr>
          <w:lang w:val="fr-FR"/>
        </w:rPr>
        <w:t>’</w:t>
      </w:r>
      <w:r w:rsidR="00331EBA" w:rsidRPr="00E1372C">
        <w:rPr>
          <w:lang w:val="fr-FR"/>
        </w:rPr>
        <w:t>établir un cadre juridique et de créer un environnement libéral pour les médias dans le pays.</w:t>
      </w:r>
    </w:p>
    <w:p w:rsidR="00331EBA" w:rsidRPr="00E1372C" w:rsidRDefault="007A1757" w:rsidP="007A1757">
      <w:pPr>
        <w:pStyle w:val="SingleTxtG"/>
        <w:rPr>
          <w:b/>
          <w:lang w:val="fr-FR" w:bidi="en-US"/>
        </w:rPr>
      </w:pPr>
      <w:r w:rsidRPr="00E1372C">
        <w:rPr>
          <w:lang w:val="fr-FR" w:bidi="en-US"/>
        </w:rPr>
        <w:t>87.</w:t>
      </w:r>
      <w:r w:rsidRPr="00E1372C">
        <w:rPr>
          <w:lang w:val="fr-FR" w:bidi="en-US"/>
        </w:rPr>
        <w:tab/>
      </w:r>
      <w:r w:rsidR="00331EBA" w:rsidRPr="00E1372C">
        <w:rPr>
          <w:lang w:val="fr-FR"/>
        </w:rPr>
        <w:t xml:space="preserve">La </w:t>
      </w:r>
      <w:r w:rsidR="00331EBA" w:rsidRPr="00E1372C">
        <w:rPr>
          <w:i/>
          <w:lang w:val="fr-FR"/>
        </w:rPr>
        <w:t>Namibia Broadcasting Corporation</w:t>
      </w:r>
      <w:r w:rsidR="00331EBA" w:rsidRPr="00E1372C">
        <w:rPr>
          <w:lang w:val="fr-FR"/>
        </w:rPr>
        <w:t xml:space="preserve"> (NBC), qui est le seul radiodiffuseur public, compte huit stations de radio et une chaîne de télévision. Elle diffuse des programmes en six langues depuis Windhoek et dans presque toutes les langues autochtones à partir des émetteurs des différentes régions. Il existe une chaîne de télévision privée (</w:t>
      </w:r>
      <w:r w:rsidR="00331EBA" w:rsidRPr="00E1372C">
        <w:rPr>
          <w:i/>
          <w:lang w:val="fr-FR"/>
        </w:rPr>
        <w:t>One Africa</w:t>
      </w:r>
      <w:r w:rsidR="00331EBA" w:rsidRPr="00E1372C">
        <w:rPr>
          <w:lang w:val="fr-FR"/>
        </w:rPr>
        <w:t>), qui est la chaîne de télévision commerciale en libre accès la plus populaire de Namibie, ainsi que d</w:t>
      </w:r>
      <w:r w:rsidR="00731F09" w:rsidRPr="00E1372C">
        <w:rPr>
          <w:lang w:val="fr-FR"/>
        </w:rPr>
        <w:t>’</w:t>
      </w:r>
      <w:r w:rsidR="00331EBA" w:rsidRPr="00E1372C">
        <w:rPr>
          <w:lang w:val="fr-FR"/>
        </w:rPr>
        <w:t>autres chaînes internationales transmises par satellite comme la BBC, CNN, SABC Africa</w:t>
      </w:r>
      <w:r w:rsidR="000D1328" w:rsidRPr="00E1372C">
        <w:rPr>
          <w:lang w:val="fr-FR"/>
        </w:rPr>
        <w:t>. Le pays compte une vingtaine de stations de radio privées et communautaires,</w:t>
      </w:r>
      <w:r w:rsidR="00331EBA" w:rsidRPr="00E1372C">
        <w:rPr>
          <w:lang w:val="fr-FR"/>
        </w:rPr>
        <w:t xml:space="preserve"> les chaînes mondiales de la BBC disponibles et les émissions de Radio France sur FM dans la capitale.</w:t>
      </w:r>
    </w:p>
    <w:p w:rsidR="00A55A0E" w:rsidRPr="00E1372C" w:rsidRDefault="007A1757" w:rsidP="007A1757">
      <w:pPr>
        <w:pStyle w:val="SingleTxtG"/>
        <w:rPr>
          <w:lang w:val="fr-FR" w:bidi="en-US"/>
        </w:rPr>
      </w:pPr>
      <w:r w:rsidRPr="00E1372C">
        <w:rPr>
          <w:lang w:val="fr-FR" w:bidi="en-US"/>
        </w:rPr>
        <w:t>88.</w:t>
      </w:r>
      <w:r w:rsidRPr="00E1372C">
        <w:rPr>
          <w:lang w:val="fr-FR" w:bidi="en-US"/>
        </w:rPr>
        <w:tab/>
      </w:r>
      <w:r w:rsidR="00B911FE" w:rsidRPr="00E1372C">
        <w:rPr>
          <w:lang w:val="fr-FR"/>
        </w:rPr>
        <w:t>La NBC et la presse privée se font l</w:t>
      </w:r>
      <w:r w:rsidR="00731F09" w:rsidRPr="00E1372C">
        <w:rPr>
          <w:lang w:val="fr-FR"/>
        </w:rPr>
        <w:t>’</w:t>
      </w:r>
      <w:r w:rsidR="00B911FE" w:rsidRPr="00E1372C">
        <w:rPr>
          <w:lang w:val="fr-FR"/>
        </w:rPr>
        <w:t>écho des partis d</w:t>
      </w:r>
      <w:r w:rsidR="00731F09" w:rsidRPr="00E1372C">
        <w:rPr>
          <w:lang w:val="fr-FR"/>
        </w:rPr>
        <w:t>’</w:t>
      </w:r>
      <w:r w:rsidR="00B911FE" w:rsidRPr="00E1372C">
        <w:rPr>
          <w:lang w:val="fr-FR"/>
        </w:rPr>
        <w:t xml:space="preserve">opposition, voire des opinions très critiques envers le gouvernement. </w:t>
      </w:r>
      <w:r w:rsidR="00156A97" w:rsidRPr="00E1372C">
        <w:rPr>
          <w:lang w:val="fr-FR"/>
        </w:rPr>
        <w:t>Au fil des ans, les médias ont continué à opérer dans un environnement pour l</w:t>
      </w:r>
      <w:r w:rsidR="00731F09" w:rsidRPr="00E1372C">
        <w:rPr>
          <w:lang w:val="fr-FR"/>
        </w:rPr>
        <w:t>’</w:t>
      </w:r>
      <w:r w:rsidR="00156A97" w:rsidRPr="00E1372C">
        <w:rPr>
          <w:lang w:val="fr-FR"/>
        </w:rPr>
        <w:t>essentiel libre de toute ingérence du Gouvernement ou du parti au pouvoir</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89.</w:t>
      </w:r>
      <w:r w:rsidRPr="00E1372C">
        <w:rPr>
          <w:lang w:val="fr-FR" w:bidi="en-US"/>
        </w:rPr>
        <w:tab/>
      </w:r>
      <w:r w:rsidR="00845A6A" w:rsidRPr="00E1372C">
        <w:rPr>
          <w:lang w:val="fr-FR"/>
        </w:rPr>
        <w:t xml:space="preserve">Les médias, en particulier les stations de radio communautaires, ont contribué </w:t>
      </w:r>
      <w:r w:rsidR="00B911FE" w:rsidRPr="00E1372C">
        <w:rPr>
          <w:lang w:val="fr-FR"/>
        </w:rPr>
        <w:t>pour beaucoup</w:t>
      </w:r>
      <w:r w:rsidR="00845A6A" w:rsidRPr="00E1372C">
        <w:rPr>
          <w:lang w:val="fr-FR"/>
        </w:rPr>
        <w:t xml:space="preserve"> à mettre l</w:t>
      </w:r>
      <w:r w:rsidR="00731F09" w:rsidRPr="00E1372C">
        <w:rPr>
          <w:lang w:val="fr-FR"/>
        </w:rPr>
        <w:t>’</w:t>
      </w:r>
      <w:r w:rsidR="00845A6A" w:rsidRPr="00E1372C">
        <w:rPr>
          <w:lang w:val="fr-FR"/>
        </w:rPr>
        <w:t>information à la disposition du public et servent de moyen de communication avec les familles et les proches qui vivent dans d</w:t>
      </w:r>
      <w:r w:rsidR="00731F09" w:rsidRPr="00E1372C">
        <w:rPr>
          <w:lang w:val="fr-FR"/>
        </w:rPr>
        <w:t>’</w:t>
      </w:r>
      <w:r w:rsidR="00845A6A" w:rsidRPr="00E1372C">
        <w:rPr>
          <w:lang w:val="fr-FR"/>
        </w:rPr>
        <w:t>autres villes et dans les zones rurales. Les journaux sont également considérés comme des auxiliaires précieux pour lutter contre la corruption et sensibiliser les citoyens aux questions relatives aux droits de l</w:t>
      </w:r>
      <w:r w:rsidR="00731F09" w:rsidRPr="00E1372C">
        <w:rPr>
          <w:lang w:val="fr-FR"/>
        </w:rPr>
        <w:t>’</w:t>
      </w:r>
      <w:r w:rsidR="00845A6A" w:rsidRPr="00E1372C">
        <w:rPr>
          <w:lang w:val="fr-FR"/>
        </w:rPr>
        <w:t>homme</w:t>
      </w:r>
      <w:r w:rsidR="00A55A0E" w:rsidRPr="00E1372C">
        <w:rPr>
          <w:lang w:val="fr-FR" w:bidi="en-US"/>
        </w:rPr>
        <w:t>.</w:t>
      </w:r>
    </w:p>
    <w:p w:rsidR="00A55A0E" w:rsidRPr="00E1372C" w:rsidRDefault="007A1757" w:rsidP="007A1757">
      <w:pPr>
        <w:pStyle w:val="SingleTxtG"/>
        <w:rPr>
          <w:lang w:val="fr-FR" w:bidi="en-US"/>
        </w:rPr>
      </w:pPr>
      <w:r w:rsidRPr="00E1372C">
        <w:rPr>
          <w:lang w:val="fr-FR" w:bidi="en-US"/>
        </w:rPr>
        <w:t>90.</w:t>
      </w:r>
      <w:r w:rsidRPr="00E1372C">
        <w:rPr>
          <w:lang w:val="fr-FR" w:bidi="en-US"/>
        </w:rPr>
        <w:tab/>
      </w:r>
      <w:r w:rsidR="00845A6A" w:rsidRPr="00E1372C">
        <w:rPr>
          <w:lang w:val="fr-FR" w:bidi="en-US"/>
        </w:rPr>
        <w:t xml:space="preserve">Malgré sa population restreinte, la Namibie compte divers organes de presse dynamiques. Parmi la presse écrite, il existe cinq quotidiens – Le </w:t>
      </w:r>
      <w:r w:rsidR="00A55A0E" w:rsidRPr="00E1372C">
        <w:rPr>
          <w:i/>
          <w:lang w:val="fr-FR" w:bidi="en-US"/>
        </w:rPr>
        <w:t>Namibian</w:t>
      </w:r>
      <w:r w:rsidR="00A55A0E" w:rsidRPr="00E1372C">
        <w:rPr>
          <w:lang w:val="fr-FR" w:bidi="en-US"/>
        </w:rPr>
        <w:t xml:space="preserve"> (</w:t>
      </w:r>
      <w:r w:rsidR="00845A6A" w:rsidRPr="00E1372C">
        <w:rPr>
          <w:lang w:val="fr-FR" w:bidi="en-US"/>
        </w:rPr>
        <w:t>anglais et o</w:t>
      </w:r>
      <w:r w:rsidR="00A55A0E" w:rsidRPr="00E1372C">
        <w:rPr>
          <w:lang w:val="fr-FR" w:bidi="en-US"/>
        </w:rPr>
        <w:t xml:space="preserve">shiwambo), </w:t>
      </w:r>
      <w:r w:rsidR="00A55A0E" w:rsidRPr="00E1372C">
        <w:rPr>
          <w:i/>
          <w:lang w:val="fr-FR" w:bidi="en-US"/>
        </w:rPr>
        <w:t>Die Republikein</w:t>
      </w:r>
      <w:r w:rsidR="00A55A0E" w:rsidRPr="00E1372C">
        <w:rPr>
          <w:lang w:val="fr-FR" w:bidi="en-US"/>
        </w:rPr>
        <w:t xml:space="preserve"> (</w:t>
      </w:r>
      <w:r w:rsidR="00845A6A" w:rsidRPr="00E1372C">
        <w:rPr>
          <w:lang w:val="fr-FR" w:bidi="en-US"/>
        </w:rPr>
        <w:t>a</w:t>
      </w:r>
      <w:r w:rsidR="00A55A0E" w:rsidRPr="00E1372C">
        <w:rPr>
          <w:lang w:val="fr-FR" w:bidi="en-US"/>
        </w:rPr>
        <w:t xml:space="preserve">frikaans), </w:t>
      </w:r>
      <w:r w:rsidR="00A55A0E" w:rsidRPr="00E1372C">
        <w:rPr>
          <w:i/>
          <w:lang w:val="fr-FR" w:bidi="en-US"/>
        </w:rPr>
        <w:t>Allgemeine Zeitung</w:t>
      </w:r>
      <w:r w:rsidR="00A55A0E" w:rsidRPr="00E1372C">
        <w:rPr>
          <w:lang w:val="fr-FR" w:bidi="en-US"/>
        </w:rPr>
        <w:t xml:space="preserve"> (</w:t>
      </w:r>
      <w:r w:rsidR="00845A6A" w:rsidRPr="00E1372C">
        <w:rPr>
          <w:lang w:val="fr-FR" w:bidi="en-US"/>
        </w:rPr>
        <w:t>allemand)</w:t>
      </w:r>
      <w:r w:rsidR="00A55A0E" w:rsidRPr="00E1372C">
        <w:rPr>
          <w:lang w:val="fr-FR" w:bidi="en-US"/>
        </w:rPr>
        <w:t xml:space="preserve">, </w:t>
      </w:r>
      <w:r w:rsidR="00A55A0E" w:rsidRPr="00E1372C">
        <w:rPr>
          <w:i/>
          <w:lang w:val="fr-FR" w:bidi="en-US"/>
        </w:rPr>
        <w:t xml:space="preserve">New Era </w:t>
      </w:r>
      <w:r w:rsidR="00845A6A" w:rsidRPr="00E1372C">
        <w:rPr>
          <w:lang w:val="fr-FR" w:bidi="en-US"/>
        </w:rPr>
        <w:t>et</w:t>
      </w:r>
      <w:r w:rsidR="00A55A0E" w:rsidRPr="00E1372C">
        <w:rPr>
          <w:lang w:val="fr-FR" w:bidi="en-US"/>
        </w:rPr>
        <w:t xml:space="preserve"> </w:t>
      </w:r>
      <w:r w:rsidR="00A55A0E" w:rsidRPr="00E1372C">
        <w:rPr>
          <w:i/>
          <w:lang w:val="fr-FR" w:bidi="en-US"/>
        </w:rPr>
        <w:t>Namibia Sun</w:t>
      </w:r>
      <w:r w:rsidR="00A55A0E" w:rsidRPr="00E1372C">
        <w:rPr>
          <w:lang w:val="fr-FR" w:bidi="en-US"/>
        </w:rPr>
        <w:t xml:space="preserve"> </w:t>
      </w:r>
      <w:r w:rsidR="00845A6A" w:rsidRPr="00E1372C">
        <w:rPr>
          <w:lang w:val="fr-FR" w:bidi="en-US"/>
        </w:rPr>
        <w:t>en anglais et dans d</w:t>
      </w:r>
      <w:r w:rsidR="00731F09" w:rsidRPr="00E1372C">
        <w:rPr>
          <w:lang w:val="fr-FR" w:bidi="en-US"/>
        </w:rPr>
        <w:t>’</w:t>
      </w:r>
      <w:r w:rsidR="00845A6A" w:rsidRPr="00E1372C">
        <w:rPr>
          <w:lang w:val="fr-FR" w:bidi="en-US"/>
        </w:rPr>
        <w:t xml:space="preserve">autres langues autochtones. Le </w:t>
      </w:r>
      <w:r w:rsidR="00A55A0E" w:rsidRPr="00E1372C">
        <w:rPr>
          <w:i/>
          <w:lang w:val="fr-FR" w:bidi="en-US"/>
        </w:rPr>
        <w:t xml:space="preserve">Namib Times </w:t>
      </w:r>
      <w:r w:rsidR="00845A6A" w:rsidRPr="00E1372C">
        <w:rPr>
          <w:lang w:val="fr-FR" w:bidi="en-US"/>
        </w:rPr>
        <w:t xml:space="preserve">paraît deux fois par semaine et sept autres périodiques sont hebdomadaires – le </w:t>
      </w:r>
      <w:r w:rsidR="00A55A0E" w:rsidRPr="00E1372C">
        <w:rPr>
          <w:i/>
          <w:lang w:val="fr-FR" w:bidi="en-US"/>
        </w:rPr>
        <w:t>Windhoek Observer</w:t>
      </w:r>
      <w:r w:rsidR="00A55A0E" w:rsidRPr="00E1372C">
        <w:rPr>
          <w:lang w:val="fr-FR" w:bidi="en-US"/>
        </w:rPr>
        <w:t xml:space="preserve">, </w:t>
      </w:r>
      <w:r w:rsidR="00845A6A" w:rsidRPr="00E1372C">
        <w:rPr>
          <w:lang w:val="fr-FR" w:bidi="en-US"/>
        </w:rPr>
        <w:t>l</w:t>
      </w:r>
      <w:r w:rsidR="00A55A0E" w:rsidRPr="00E1372C">
        <w:rPr>
          <w:lang w:val="fr-FR" w:bidi="en-US"/>
        </w:rPr>
        <w:t>e</w:t>
      </w:r>
      <w:r w:rsidR="00A55A0E" w:rsidRPr="00E1372C">
        <w:rPr>
          <w:i/>
          <w:lang w:val="fr-FR" w:bidi="en-US"/>
        </w:rPr>
        <w:t xml:space="preserve"> Villager,</w:t>
      </w:r>
      <w:r w:rsidR="00A55A0E" w:rsidRPr="00E1372C">
        <w:rPr>
          <w:lang w:val="fr-FR" w:bidi="en-US"/>
        </w:rPr>
        <w:t xml:space="preserve"> </w:t>
      </w:r>
      <w:r w:rsidR="00A55A0E" w:rsidRPr="00E1372C">
        <w:rPr>
          <w:i/>
          <w:lang w:val="fr-FR" w:bidi="en-US"/>
        </w:rPr>
        <w:t>Confidante,</w:t>
      </w:r>
      <w:r w:rsidR="00A55A0E" w:rsidRPr="00E1372C">
        <w:rPr>
          <w:lang w:val="fr-FR" w:bidi="en-US"/>
        </w:rPr>
        <w:t xml:space="preserve"> </w:t>
      </w:r>
      <w:r w:rsidR="00B911FE" w:rsidRPr="00E1372C">
        <w:rPr>
          <w:lang w:val="fr-FR" w:bidi="en-US"/>
        </w:rPr>
        <w:t>l</w:t>
      </w:r>
      <w:r w:rsidR="00731F09" w:rsidRPr="00E1372C">
        <w:rPr>
          <w:lang w:val="fr-FR" w:bidi="en-US"/>
        </w:rPr>
        <w:t>’</w:t>
      </w:r>
      <w:r w:rsidR="00A55A0E" w:rsidRPr="00E1372C">
        <w:rPr>
          <w:i/>
          <w:lang w:val="fr-FR" w:bidi="en-US"/>
        </w:rPr>
        <w:t>Economist,</w:t>
      </w:r>
      <w:r w:rsidR="00A55A0E" w:rsidRPr="00E1372C">
        <w:rPr>
          <w:lang w:val="fr-FR" w:bidi="en-US"/>
        </w:rPr>
        <w:t xml:space="preserve"> </w:t>
      </w:r>
      <w:r w:rsidR="00A55A0E" w:rsidRPr="00E1372C">
        <w:rPr>
          <w:i/>
          <w:lang w:val="fr-FR" w:bidi="en-US"/>
        </w:rPr>
        <w:t>Informante,</w:t>
      </w:r>
      <w:r w:rsidR="00A55A0E" w:rsidRPr="00E1372C">
        <w:rPr>
          <w:lang w:val="fr-FR" w:bidi="en-US"/>
        </w:rPr>
        <w:t xml:space="preserve"> </w:t>
      </w:r>
      <w:r w:rsidR="00845A6A" w:rsidRPr="00E1372C">
        <w:rPr>
          <w:lang w:val="fr-FR" w:bidi="en-US"/>
        </w:rPr>
        <w:t>le</w:t>
      </w:r>
      <w:r w:rsidR="00A55A0E" w:rsidRPr="00E1372C">
        <w:rPr>
          <w:lang w:val="fr-FR" w:bidi="en-US"/>
        </w:rPr>
        <w:t xml:space="preserve"> </w:t>
      </w:r>
      <w:r w:rsidR="00A55A0E" w:rsidRPr="00E1372C">
        <w:rPr>
          <w:i/>
          <w:lang w:val="fr-FR" w:bidi="en-US"/>
        </w:rPr>
        <w:t xml:space="preserve">Southern Times </w:t>
      </w:r>
      <w:r w:rsidR="00845A6A" w:rsidRPr="00E1372C">
        <w:rPr>
          <w:lang w:val="fr-FR" w:bidi="en-US"/>
        </w:rPr>
        <w:t>et</w:t>
      </w:r>
      <w:r w:rsidR="00A55A0E" w:rsidRPr="00E1372C">
        <w:rPr>
          <w:lang w:val="fr-FR" w:bidi="en-US"/>
        </w:rPr>
        <w:t xml:space="preserve"> </w:t>
      </w:r>
      <w:r w:rsidR="00A55A0E" w:rsidRPr="00E1372C">
        <w:rPr>
          <w:i/>
          <w:lang w:val="fr-FR" w:bidi="en-US"/>
        </w:rPr>
        <w:t>Namibia Today</w:t>
      </w:r>
      <w:r w:rsidR="00A55A0E" w:rsidRPr="00E1372C">
        <w:rPr>
          <w:lang w:val="fr-FR" w:bidi="en-US"/>
        </w:rPr>
        <w:t>,</w:t>
      </w:r>
      <w:r w:rsidR="00845A6A" w:rsidRPr="00E1372C">
        <w:rPr>
          <w:lang w:val="fr-FR" w:bidi="en-US"/>
        </w:rPr>
        <w:t xml:space="preserve"> tous édités en anglais.</w:t>
      </w:r>
      <w:r w:rsidR="00A55A0E" w:rsidRPr="00E1372C">
        <w:rPr>
          <w:lang w:val="fr-FR" w:bidi="en-US"/>
        </w:rPr>
        <w:t xml:space="preserve"> </w:t>
      </w:r>
      <w:r w:rsidR="00A55A0E" w:rsidRPr="00E1372C">
        <w:rPr>
          <w:i/>
          <w:lang w:val="fr-FR" w:bidi="en-US"/>
        </w:rPr>
        <w:t>Insight Namibia</w:t>
      </w:r>
      <w:r w:rsidR="00A55A0E" w:rsidRPr="00E1372C">
        <w:rPr>
          <w:lang w:val="fr-FR" w:bidi="en-US"/>
        </w:rPr>
        <w:t xml:space="preserve"> </w:t>
      </w:r>
      <w:r w:rsidR="00845A6A" w:rsidRPr="00E1372C">
        <w:rPr>
          <w:lang w:val="fr-FR" w:bidi="en-US"/>
        </w:rPr>
        <w:t>a été lancé en 2004 comme revue mensuelle sur les affaires courantes, qui s</w:t>
      </w:r>
      <w:r w:rsidR="00731F09" w:rsidRPr="00E1372C">
        <w:rPr>
          <w:lang w:val="fr-FR" w:bidi="en-US"/>
        </w:rPr>
        <w:t>’</w:t>
      </w:r>
      <w:r w:rsidR="00845A6A" w:rsidRPr="00E1372C">
        <w:rPr>
          <w:lang w:val="fr-FR" w:bidi="en-US"/>
        </w:rPr>
        <w:t>appuie sur le journalisme d</w:t>
      </w:r>
      <w:r w:rsidR="00731F09" w:rsidRPr="00E1372C">
        <w:rPr>
          <w:lang w:val="fr-FR" w:bidi="en-US"/>
        </w:rPr>
        <w:t>’</w:t>
      </w:r>
      <w:r w:rsidR="00845A6A" w:rsidRPr="00E1372C">
        <w:rPr>
          <w:lang w:val="fr-FR" w:bidi="en-US"/>
        </w:rPr>
        <w:t>enquête</w:t>
      </w:r>
      <w:r w:rsidR="00A55A0E" w:rsidRPr="00E1372C">
        <w:rPr>
          <w:lang w:val="fr-FR" w:bidi="en-US"/>
        </w:rPr>
        <w:t xml:space="preserve">. </w:t>
      </w:r>
    </w:p>
    <w:p w:rsidR="00A55A0E" w:rsidRPr="00E1372C" w:rsidRDefault="00142371" w:rsidP="00142371">
      <w:pPr>
        <w:pStyle w:val="H23G"/>
        <w:rPr>
          <w:lang w:val="fr-FR" w:bidi="en-US"/>
        </w:rPr>
      </w:pPr>
      <w:r w:rsidRPr="00E1372C">
        <w:rPr>
          <w:lang w:val="fr-FR" w:bidi="en-US"/>
        </w:rPr>
        <w:tab/>
      </w:r>
      <w:r w:rsidRPr="00E1372C">
        <w:rPr>
          <w:lang w:val="fr-FR" w:bidi="en-US"/>
        </w:rPr>
        <w:tab/>
      </w:r>
      <w:r w:rsidR="00A55A0E" w:rsidRPr="00E1372C">
        <w:rPr>
          <w:lang w:val="fr-FR" w:bidi="en-US"/>
        </w:rPr>
        <w:t>S</w:t>
      </w:r>
      <w:r w:rsidR="00F91150" w:rsidRPr="00E1372C">
        <w:rPr>
          <w:lang w:val="fr-FR" w:bidi="en-US"/>
        </w:rPr>
        <w:t>écurité s</w:t>
      </w:r>
      <w:r w:rsidR="00A55A0E" w:rsidRPr="00E1372C">
        <w:rPr>
          <w:lang w:val="fr-FR" w:bidi="en-US"/>
        </w:rPr>
        <w:t>ocial</w:t>
      </w:r>
      <w:r w:rsidR="00F91150" w:rsidRPr="00E1372C">
        <w:rPr>
          <w:lang w:val="fr-FR" w:bidi="en-US"/>
        </w:rPr>
        <w:t>e et protection sociale</w:t>
      </w:r>
    </w:p>
    <w:p w:rsidR="001A6B48" w:rsidRPr="00E1372C" w:rsidRDefault="007A1757" w:rsidP="007A1757">
      <w:pPr>
        <w:pStyle w:val="SingleTxtG"/>
        <w:rPr>
          <w:lang w:val="fr-FR" w:bidi="en-US"/>
        </w:rPr>
      </w:pPr>
      <w:r w:rsidRPr="00E1372C">
        <w:rPr>
          <w:lang w:val="fr-FR" w:bidi="en-US"/>
        </w:rPr>
        <w:t>91.</w:t>
      </w:r>
      <w:r w:rsidRPr="00E1372C">
        <w:rPr>
          <w:lang w:val="fr-FR" w:bidi="en-US"/>
        </w:rPr>
        <w:tab/>
      </w:r>
      <w:r w:rsidR="00A55A0E" w:rsidRPr="00E1372C">
        <w:rPr>
          <w:lang w:val="fr-FR" w:bidi="en-US"/>
        </w:rPr>
        <w:t>In</w:t>
      </w:r>
      <w:r w:rsidR="001A6B48" w:rsidRPr="00E1372C">
        <w:rPr>
          <w:lang w:val="fr-FR" w:bidi="en-US"/>
        </w:rPr>
        <w:t>dépendamment de la loi n</w:t>
      </w:r>
      <w:r w:rsidR="00B277C4" w:rsidRPr="00E1372C">
        <w:rPr>
          <w:vertAlign w:val="superscript"/>
          <w:lang w:val="fr-FR" w:bidi="en-US"/>
        </w:rPr>
        <w:t>o</w:t>
      </w:r>
      <w:r w:rsidR="001A6B48" w:rsidRPr="00E1372C">
        <w:rPr>
          <w:lang w:val="fr-FR" w:bidi="en-US"/>
        </w:rPr>
        <w:t> 6 de 1992 sur le travail, le Parlement namibien a adopté diverses lois relatives à la sécurité sociale et la protection sociale</w:t>
      </w:r>
      <w:r w:rsidR="00AE017E" w:rsidRPr="00E1372C">
        <w:rPr>
          <w:lang w:val="fr-FR" w:bidi="en-US"/>
        </w:rPr>
        <w:t>:</w:t>
      </w:r>
      <w:r w:rsidR="001A6B48" w:rsidRPr="00E1372C">
        <w:rPr>
          <w:lang w:val="fr-FR" w:bidi="en-US"/>
        </w:rPr>
        <w:t xml:space="preserve"> loi n</w:t>
      </w:r>
      <w:r w:rsidR="00B277C4" w:rsidRPr="00E1372C">
        <w:rPr>
          <w:vertAlign w:val="superscript"/>
          <w:lang w:val="fr-FR" w:bidi="en-US"/>
        </w:rPr>
        <w:t>o</w:t>
      </w:r>
      <w:r w:rsidR="001A6B48" w:rsidRPr="00E1372C">
        <w:rPr>
          <w:lang w:val="fr-FR" w:bidi="en-US"/>
        </w:rPr>
        <w:t> 34 de 1994 relative à la sécurité sociale, loi n</w:t>
      </w:r>
      <w:r w:rsidR="00B277C4" w:rsidRPr="00E1372C">
        <w:rPr>
          <w:vertAlign w:val="superscript"/>
          <w:lang w:val="fr-FR" w:bidi="en-US"/>
        </w:rPr>
        <w:t>o</w:t>
      </w:r>
      <w:r w:rsidR="001A6B48" w:rsidRPr="00E1372C">
        <w:rPr>
          <w:lang w:val="fr-FR" w:bidi="en-US"/>
        </w:rPr>
        <w:t> 28 de 2000 relative au développement de l</w:t>
      </w:r>
      <w:r w:rsidR="00731F09" w:rsidRPr="00E1372C">
        <w:rPr>
          <w:lang w:val="fr-FR" w:bidi="en-US"/>
        </w:rPr>
        <w:t>’</w:t>
      </w:r>
      <w:r w:rsidR="001A6B48" w:rsidRPr="00E1372C">
        <w:rPr>
          <w:lang w:val="fr-FR" w:bidi="en-US"/>
        </w:rPr>
        <w:t>habitat et loi n</w:t>
      </w:r>
      <w:r w:rsidR="00B277C4" w:rsidRPr="00E1372C">
        <w:rPr>
          <w:vertAlign w:val="superscript"/>
          <w:lang w:val="fr-FR" w:bidi="en-US"/>
        </w:rPr>
        <w:t>o</w:t>
      </w:r>
      <w:r w:rsidR="001A6B48" w:rsidRPr="00E1372C">
        <w:rPr>
          <w:lang w:val="fr-FR" w:bidi="en-US"/>
        </w:rPr>
        <w:t> 26 de 2004 relative au Conseil national sur l</w:t>
      </w:r>
      <w:r w:rsidR="00731F09" w:rsidRPr="00E1372C">
        <w:rPr>
          <w:lang w:val="fr-FR" w:bidi="en-US"/>
        </w:rPr>
        <w:t>’</w:t>
      </w:r>
      <w:r w:rsidR="001A6B48" w:rsidRPr="00E1372C">
        <w:rPr>
          <w:lang w:val="fr-FR" w:bidi="en-US"/>
        </w:rPr>
        <w:t xml:space="preserve">invalidité. Ces lois offrent le cadre juridique propre à promouvoir et garantir la protection sociale de tous les citoyens. La loi relative à la sécurité sociale </w:t>
      </w:r>
      <w:r w:rsidR="00B911FE" w:rsidRPr="00E1372C">
        <w:rPr>
          <w:lang w:val="fr-FR" w:bidi="en-US"/>
        </w:rPr>
        <w:t xml:space="preserve">contient des </w:t>
      </w:r>
      <w:r w:rsidR="001A6B48" w:rsidRPr="00E1372C">
        <w:rPr>
          <w:lang w:val="fr-FR" w:bidi="en-US"/>
        </w:rPr>
        <w:t>dispos</w:t>
      </w:r>
      <w:r w:rsidR="00B911FE" w:rsidRPr="00E1372C">
        <w:rPr>
          <w:lang w:val="fr-FR" w:bidi="en-US"/>
        </w:rPr>
        <w:t>itions</w:t>
      </w:r>
      <w:r w:rsidR="001A6B48" w:rsidRPr="00E1372C">
        <w:rPr>
          <w:lang w:val="fr-FR" w:bidi="en-US"/>
        </w:rPr>
        <w:t xml:space="preserve"> dans les domaines suivants</w:t>
      </w:r>
      <w:r w:rsidR="00AE017E" w:rsidRPr="00E1372C">
        <w:rPr>
          <w:lang w:val="fr-FR" w:bidi="en-US"/>
        </w:rPr>
        <w:t>:</w:t>
      </w:r>
      <w:r w:rsidR="001A6B48" w:rsidRPr="00E1372C">
        <w:rPr>
          <w:lang w:val="fr-FR" w:bidi="en-US"/>
        </w:rPr>
        <w:t xml:space="preserve"> établissement, constitution et pouvoirs, obligations et fonctions de la Commission de la sécurité sociale, versement aux salariés des prestations de congé maternité, de congé maladie, de l</w:t>
      </w:r>
      <w:r w:rsidR="00731F09" w:rsidRPr="00E1372C">
        <w:rPr>
          <w:lang w:val="fr-FR" w:bidi="en-US"/>
        </w:rPr>
        <w:t>’</w:t>
      </w:r>
      <w:r w:rsidR="001A6B48" w:rsidRPr="00E1372C">
        <w:rPr>
          <w:lang w:val="fr-FR" w:bidi="en-US"/>
        </w:rPr>
        <w:t xml:space="preserve">assurance maladie, des pensions de retraite et du capital-décès; financement des programmes de formation destinés aux personnes défavorisées et aux chômeurs et établissement à cet effet du </w:t>
      </w:r>
      <w:r w:rsidR="00D75766" w:rsidRPr="00E1372C">
        <w:rPr>
          <w:lang w:val="fr-FR" w:bidi="en-US"/>
        </w:rPr>
        <w:t>F</w:t>
      </w:r>
      <w:r w:rsidR="001A6B48" w:rsidRPr="00E1372C">
        <w:rPr>
          <w:lang w:val="fr-FR" w:bidi="en-US"/>
        </w:rPr>
        <w:t>onds de développement, ainsi que toutes questions se rapportant à l</w:t>
      </w:r>
      <w:r w:rsidR="00731F09" w:rsidRPr="00E1372C">
        <w:rPr>
          <w:lang w:val="fr-FR" w:bidi="en-US"/>
        </w:rPr>
        <w:t>’</w:t>
      </w:r>
      <w:r w:rsidR="001A6B48" w:rsidRPr="00E1372C">
        <w:rPr>
          <w:lang w:val="fr-FR" w:bidi="en-US"/>
        </w:rPr>
        <w:t>objet de la loi.</w:t>
      </w:r>
    </w:p>
    <w:p w:rsidR="00D75766" w:rsidRPr="00E1372C" w:rsidRDefault="007A1757" w:rsidP="00142371">
      <w:pPr>
        <w:pStyle w:val="SingleTxtG"/>
        <w:rPr>
          <w:lang w:val="fr-FR" w:bidi="en-US"/>
        </w:rPr>
      </w:pPr>
      <w:r w:rsidRPr="00E1372C">
        <w:rPr>
          <w:lang w:val="fr-FR" w:bidi="en-US"/>
        </w:rPr>
        <w:t>92.</w:t>
      </w:r>
      <w:r w:rsidRPr="00E1372C">
        <w:rPr>
          <w:lang w:val="fr-FR" w:bidi="en-US"/>
        </w:rPr>
        <w:tab/>
      </w:r>
      <w:r w:rsidR="00D75766" w:rsidRPr="00E1372C">
        <w:rPr>
          <w:lang w:val="fr-FR" w:bidi="en-US"/>
        </w:rPr>
        <w:t>Le capital</w:t>
      </w:r>
      <w:r w:rsidR="00B911FE" w:rsidRPr="00E1372C">
        <w:rPr>
          <w:lang w:val="fr-FR" w:bidi="en-US"/>
        </w:rPr>
        <w:t>-</w:t>
      </w:r>
      <w:r w:rsidR="00D75766" w:rsidRPr="00E1372C">
        <w:rPr>
          <w:lang w:val="fr-FR" w:bidi="en-US"/>
        </w:rPr>
        <w:t>décès prévu par la loi n</w:t>
      </w:r>
      <w:r w:rsidR="00B277C4" w:rsidRPr="00E1372C">
        <w:rPr>
          <w:vertAlign w:val="superscript"/>
          <w:lang w:val="fr-FR" w:bidi="en-US"/>
        </w:rPr>
        <w:t>o</w:t>
      </w:r>
      <w:r w:rsidR="00D75766" w:rsidRPr="00E1372C">
        <w:rPr>
          <w:lang w:val="fr-FR" w:bidi="en-US"/>
        </w:rPr>
        <w:t> 34 de 1994 ne s</w:t>
      </w:r>
      <w:r w:rsidR="00731F09" w:rsidRPr="00E1372C">
        <w:rPr>
          <w:lang w:val="fr-FR" w:bidi="en-US"/>
        </w:rPr>
        <w:t>’</w:t>
      </w:r>
      <w:r w:rsidR="00D75766" w:rsidRPr="00E1372C">
        <w:rPr>
          <w:lang w:val="fr-FR" w:bidi="en-US"/>
        </w:rPr>
        <w:t>applique pas aux membres actifs des forces de défense, comme il est défini à l</w:t>
      </w:r>
      <w:r w:rsidR="00731F09" w:rsidRPr="00E1372C">
        <w:rPr>
          <w:lang w:val="fr-FR" w:bidi="en-US"/>
        </w:rPr>
        <w:t>’</w:t>
      </w:r>
      <w:r w:rsidR="008A6464" w:rsidRPr="00E1372C">
        <w:rPr>
          <w:lang w:val="fr-FR" w:bidi="en-US"/>
        </w:rPr>
        <w:t xml:space="preserve">alinéa </w:t>
      </w:r>
      <w:r w:rsidR="008A6464" w:rsidRPr="00E1372C">
        <w:rPr>
          <w:iCs/>
          <w:lang w:val="fr-FR" w:bidi="en-US"/>
        </w:rPr>
        <w:t>i)</w:t>
      </w:r>
      <w:r w:rsidR="008A6464" w:rsidRPr="00E1372C">
        <w:rPr>
          <w:lang w:val="fr-FR" w:bidi="en-US"/>
        </w:rPr>
        <w:t xml:space="preserve"> de l</w:t>
      </w:r>
      <w:r w:rsidR="00731F09" w:rsidRPr="00E1372C">
        <w:rPr>
          <w:lang w:val="fr-FR" w:bidi="en-US"/>
        </w:rPr>
        <w:t>’</w:t>
      </w:r>
      <w:r w:rsidR="00D17E3A" w:rsidRPr="00E1372C">
        <w:rPr>
          <w:lang w:val="fr-FR" w:bidi="en-US"/>
        </w:rPr>
        <w:t xml:space="preserve">article </w:t>
      </w:r>
      <w:r w:rsidR="00142371" w:rsidRPr="00E1372C">
        <w:rPr>
          <w:lang w:val="fr-FR" w:bidi="en-US"/>
        </w:rPr>
        <w:t>1</w:t>
      </w:r>
      <w:r w:rsidR="00142371" w:rsidRPr="00E1372C">
        <w:rPr>
          <w:vertAlign w:val="superscript"/>
          <w:lang w:val="fr-FR" w:bidi="en-US"/>
        </w:rPr>
        <w:t>er</w:t>
      </w:r>
      <w:r w:rsidR="00142371" w:rsidRPr="00E1372C">
        <w:rPr>
          <w:lang w:val="fr-FR" w:bidi="en-US"/>
        </w:rPr>
        <w:t xml:space="preserve"> </w:t>
      </w:r>
      <w:r w:rsidR="00D75766" w:rsidRPr="00E1372C">
        <w:rPr>
          <w:lang w:val="fr-FR" w:bidi="en-US"/>
        </w:rPr>
        <w:t>de la loi n</w:t>
      </w:r>
      <w:r w:rsidR="00B277C4" w:rsidRPr="00E1372C">
        <w:rPr>
          <w:vertAlign w:val="superscript"/>
          <w:lang w:val="fr-FR" w:bidi="en-US"/>
        </w:rPr>
        <w:t>o</w:t>
      </w:r>
      <w:r w:rsidR="00D75766" w:rsidRPr="00E1372C">
        <w:rPr>
          <w:lang w:val="fr-FR" w:bidi="en-US"/>
        </w:rPr>
        <w:t> 1 de 2002 relative aux forces de défense. Un plan d</w:t>
      </w:r>
      <w:r w:rsidR="00731F09" w:rsidRPr="00E1372C">
        <w:rPr>
          <w:lang w:val="fr-FR" w:bidi="en-US"/>
        </w:rPr>
        <w:t>’</w:t>
      </w:r>
      <w:r w:rsidR="00D75766" w:rsidRPr="00E1372C">
        <w:rPr>
          <w:lang w:val="fr-FR" w:bidi="en-US"/>
        </w:rPr>
        <w:t>assurance</w:t>
      </w:r>
      <w:r w:rsidR="00B911FE" w:rsidRPr="00E1372C">
        <w:rPr>
          <w:lang w:val="fr-FR" w:bidi="en-US"/>
        </w:rPr>
        <w:t xml:space="preserve">-vie </w:t>
      </w:r>
      <w:r w:rsidR="00D75766" w:rsidRPr="00E1372C">
        <w:rPr>
          <w:lang w:val="fr-FR" w:bidi="en-US"/>
        </w:rPr>
        <w:t xml:space="preserve">collectif obligatoire est en place pour tous les membres des forces de défense. Toutefois, des consultations entre le Ministère de la défense et le Ministère du travail et de la protection sociale en vue de faire bénéficier également ces membres de la loi </w:t>
      </w:r>
      <w:r w:rsidR="00666265" w:rsidRPr="00E1372C">
        <w:rPr>
          <w:lang w:val="fr-FR" w:bidi="en-US"/>
        </w:rPr>
        <w:t xml:space="preserve">relative à la sécurité sociale </w:t>
      </w:r>
      <w:r w:rsidR="00D75766" w:rsidRPr="00E1372C">
        <w:rPr>
          <w:lang w:val="fr-FR" w:bidi="en-US"/>
        </w:rPr>
        <w:t>sont parvenues au point de conclure un arrangement satisfaisant.</w:t>
      </w:r>
    </w:p>
    <w:p w:rsidR="00A55A0E" w:rsidRPr="00E1372C" w:rsidRDefault="007A1757" w:rsidP="007A1757">
      <w:pPr>
        <w:pStyle w:val="SingleTxtG"/>
        <w:rPr>
          <w:lang w:val="fr-FR" w:bidi="en-US"/>
        </w:rPr>
      </w:pPr>
      <w:r w:rsidRPr="00E1372C">
        <w:rPr>
          <w:lang w:val="fr-FR" w:bidi="en-US"/>
        </w:rPr>
        <w:t>93.</w:t>
      </w:r>
      <w:r w:rsidRPr="00E1372C">
        <w:rPr>
          <w:lang w:val="fr-FR" w:bidi="en-US"/>
        </w:rPr>
        <w:tab/>
      </w:r>
      <w:r w:rsidR="00D75766" w:rsidRPr="00E1372C">
        <w:rPr>
          <w:lang w:val="fr-FR" w:bidi="en-US"/>
        </w:rPr>
        <w:t>Les membres des forces de défense et de la police sont également exclus de la définition des travailleurs selon la loi n</w:t>
      </w:r>
      <w:r w:rsidR="00B277C4" w:rsidRPr="00E1372C">
        <w:rPr>
          <w:vertAlign w:val="superscript"/>
          <w:lang w:val="fr-FR" w:bidi="en-US"/>
        </w:rPr>
        <w:t>o</w:t>
      </w:r>
      <w:r w:rsidR="00D75766" w:rsidRPr="00E1372C">
        <w:rPr>
          <w:lang w:val="fr-FR" w:bidi="en-US"/>
        </w:rPr>
        <w:t> 30</w:t>
      </w:r>
      <w:r w:rsidR="00B911FE" w:rsidRPr="00E1372C">
        <w:rPr>
          <w:lang w:val="fr-FR" w:bidi="en-US"/>
        </w:rPr>
        <w:t xml:space="preserve"> de 1941</w:t>
      </w:r>
      <w:r w:rsidR="00D75766" w:rsidRPr="00E1372C">
        <w:rPr>
          <w:lang w:val="fr-FR" w:bidi="en-US"/>
        </w:rPr>
        <w:t xml:space="preserve"> relative à la prévoyance sociale des travailleurs.</w:t>
      </w:r>
      <w:r w:rsidR="00A55A0E" w:rsidRPr="00E1372C">
        <w:rPr>
          <w:lang w:val="fr-FR" w:bidi="en-US"/>
        </w:rPr>
        <w:t xml:space="preserve"> </w:t>
      </w:r>
    </w:p>
    <w:p w:rsidR="00A55A0E" w:rsidRPr="00E1372C" w:rsidRDefault="00A55A0E" w:rsidP="00A55A0E">
      <w:pPr>
        <w:pStyle w:val="H23G"/>
        <w:rPr>
          <w:lang w:val="fr-FR" w:bidi="en-US"/>
        </w:rPr>
      </w:pPr>
      <w:r w:rsidRPr="00E1372C">
        <w:rPr>
          <w:lang w:val="fr-FR" w:bidi="en-US"/>
        </w:rPr>
        <w:tab/>
      </w:r>
      <w:r w:rsidRPr="00E1372C">
        <w:rPr>
          <w:lang w:val="fr-FR" w:bidi="en-US"/>
        </w:rPr>
        <w:tab/>
        <w:t xml:space="preserve">Protection </w:t>
      </w:r>
      <w:r w:rsidR="00D75766" w:rsidRPr="00E1372C">
        <w:rPr>
          <w:lang w:val="fr-FR" w:bidi="en-US"/>
        </w:rPr>
        <w:t>de la famille et des mineurs</w:t>
      </w:r>
    </w:p>
    <w:p w:rsidR="00D75766" w:rsidRPr="00E1372C" w:rsidRDefault="007A1757" w:rsidP="007A1757">
      <w:pPr>
        <w:pStyle w:val="SingleTxtG"/>
        <w:rPr>
          <w:lang w:val="fr-FR" w:bidi="en-US"/>
        </w:rPr>
      </w:pPr>
      <w:r w:rsidRPr="00E1372C">
        <w:rPr>
          <w:lang w:val="fr-FR" w:bidi="en-US"/>
        </w:rPr>
        <w:t>94.</w:t>
      </w:r>
      <w:r w:rsidRPr="00E1372C">
        <w:rPr>
          <w:lang w:val="fr-FR" w:bidi="en-US"/>
        </w:rPr>
        <w:tab/>
      </w:r>
      <w:r w:rsidR="00D75766" w:rsidRPr="00E1372C">
        <w:rPr>
          <w:lang w:val="fr-FR" w:bidi="en-US"/>
        </w:rPr>
        <w:t>L</w:t>
      </w:r>
      <w:r w:rsidR="00731F09" w:rsidRPr="00E1372C">
        <w:rPr>
          <w:lang w:val="fr-FR" w:bidi="en-US"/>
        </w:rPr>
        <w:t>’</w:t>
      </w:r>
      <w:r w:rsidR="00D75766" w:rsidRPr="00E1372C">
        <w:rPr>
          <w:lang w:val="fr-FR" w:bidi="en-US"/>
        </w:rPr>
        <w:t>article 14 de la Constitution dispose que l</w:t>
      </w:r>
      <w:r w:rsidR="00D75766" w:rsidRPr="00E1372C">
        <w:rPr>
          <w:lang w:val="fr-FR"/>
        </w:rPr>
        <w:t>a famille est l</w:t>
      </w:r>
      <w:r w:rsidR="00731F09" w:rsidRPr="00E1372C">
        <w:rPr>
          <w:lang w:val="fr-FR"/>
        </w:rPr>
        <w:t>’</w:t>
      </w:r>
      <w:r w:rsidR="00D75766" w:rsidRPr="00E1372C">
        <w:rPr>
          <w:lang w:val="fr-FR"/>
        </w:rPr>
        <w:t>élément naturel et fondamental de la société et a droit à la protection de la société et de l</w:t>
      </w:r>
      <w:r w:rsidR="00731F09" w:rsidRPr="00E1372C">
        <w:rPr>
          <w:lang w:val="fr-FR"/>
        </w:rPr>
        <w:t>’</w:t>
      </w:r>
      <w:r w:rsidR="00D75766" w:rsidRPr="00E1372C">
        <w:rPr>
          <w:lang w:val="fr-FR"/>
        </w:rPr>
        <w:t>État. En Namibie, par le terme famille, il faut entendre juridiquement la famille nucléaire</w:t>
      </w:r>
      <w:r w:rsidR="00AE017E" w:rsidRPr="00E1372C">
        <w:rPr>
          <w:lang w:val="fr-FR"/>
        </w:rPr>
        <w:t>:</w:t>
      </w:r>
      <w:r w:rsidR="00D75766" w:rsidRPr="00E1372C">
        <w:rPr>
          <w:lang w:val="fr-FR"/>
        </w:rPr>
        <w:t xml:space="preserve"> les deux conjoints et leurs enfants. La Namibie est toutefois une société qui tient compte également de la famille élargie, par exemple les parents (et beaux-parents).</w:t>
      </w:r>
    </w:p>
    <w:p w:rsidR="003A390A" w:rsidRPr="00E1372C" w:rsidRDefault="007A1757" w:rsidP="007A1757">
      <w:pPr>
        <w:pStyle w:val="SingleTxtG"/>
        <w:rPr>
          <w:lang w:val="fr-FR" w:bidi="en-US"/>
        </w:rPr>
      </w:pPr>
      <w:r w:rsidRPr="00E1372C">
        <w:rPr>
          <w:lang w:val="fr-FR" w:bidi="en-US"/>
        </w:rPr>
        <w:t>95.</w:t>
      </w:r>
      <w:r w:rsidRPr="00E1372C">
        <w:rPr>
          <w:lang w:val="fr-FR" w:bidi="en-US"/>
        </w:rPr>
        <w:tab/>
      </w:r>
      <w:r w:rsidR="003A390A" w:rsidRPr="00E1372C">
        <w:rPr>
          <w:lang w:val="fr-FR" w:bidi="en-US"/>
        </w:rPr>
        <w:t>Légalement</w:t>
      </w:r>
      <w:r w:rsidR="00666265" w:rsidRPr="00E1372C">
        <w:rPr>
          <w:lang w:val="fr-FR" w:bidi="en-US"/>
        </w:rPr>
        <w:t xml:space="preserve"> en Namibie</w:t>
      </w:r>
      <w:r w:rsidR="003A390A" w:rsidRPr="00E1372C">
        <w:rPr>
          <w:lang w:val="fr-FR" w:bidi="en-US"/>
        </w:rPr>
        <w:t>, les enfants sont mineurs jusqu</w:t>
      </w:r>
      <w:r w:rsidR="00731F09" w:rsidRPr="00E1372C">
        <w:rPr>
          <w:lang w:val="fr-FR" w:bidi="en-US"/>
        </w:rPr>
        <w:t>’</w:t>
      </w:r>
      <w:r w:rsidR="003A390A" w:rsidRPr="00E1372C">
        <w:rPr>
          <w:lang w:val="fr-FR" w:bidi="en-US"/>
        </w:rPr>
        <w:t>à 21 ans, âge de la majorité où ils peuvent conclure des contrats juridiquement contraignants. Les enfants de moins de 7 ans n</w:t>
      </w:r>
      <w:r w:rsidR="00731F09" w:rsidRPr="00E1372C">
        <w:rPr>
          <w:lang w:val="fr-FR" w:bidi="en-US"/>
        </w:rPr>
        <w:t>’</w:t>
      </w:r>
      <w:r w:rsidR="003A390A" w:rsidRPr="00E1372C">
        <w:rPr>
          <w:lang w:val="fr-FR" w:bidi="en-US"/>
        </w:rPr>
        <w:t>ont pas la capacité juridique pour agir; toutefois, les mineurs de plus de 7 ans peuvent être assistés par leur représentant légal pour passer des contrats juridiquement contraignants. Aux termes de la loi n</w:t>
      </w:r>
      <w:r w:rsidR="00B277C4" w:rsidRPr="00E1372C">
        <w:rPr>
          <w:vertAlign w:val="superscript"/>
          <w:lang w:val="fr-FR" w:bidi="en-US"/>
        </w:rPr>
        <w:t>o</w:t>
      </w:r>
      <w:r w:rsidR="003A390A" w:rsidRPr="00E1372C">
        <w:rPr>
          <w:lang w:val="fr-FR" w:bidi="en-US"/>
        </w:rPr>
        <w:t> 7 de 2000 relative à la lutte contre le viol, les filles et les garçons de moins de 16 ans ne peuvent consentir à des relations sexuelles. Un mineur peut devenir majeur par émancipation. La loi interdit également l</w:t>
      </w:r>
      <w:r w:rsidR="00731F09" w:rsidRPr="00E1372C">
        <w:rPr>
          <w:lang w:val="fr-FR" w:bidi="en-US"/>
        </w:rPr>
        <w:t>’</w:t>
      </w:r>
      <w:r w:rsidR="003A390A" w:rsidRPr="00E1372C">
        <w:rPr>
          <w:lang w:val="fr-FR" w:bidi="en-US"/>
        </w:rPr>
        <w:t>emploi d</w:t>
      </w:r>
      <w:r w:rsidR="00731F09" w:rsidRPr="00E1372C">
        <w:rPr>
          <w:lang w:val="fr-FR" w:bidi="en-US"/>
        </w:rPr>
        <w:t>’</w:t>
      </w:r>
      <w:r w:rsidR="003A390A" w:rsidRPr="00E1372C">
        <w:rPr>
          <w:lang w:val="fr-FR" w:bidi="en-US"/>
        </w:rPr>
        <w:t>un enfant de moins de 14 ans et oblige les enfants à fréquenter l</w:t>
      </w:r>
      <w:r w:rsidR="00731F09" w:rsidRPr="00E1372C">
        <w:rPr>
          <w:lang w:val="fr-FR" w:bidi="en-US"/>
        </w:rPr>
        <w:t>’</w:t>
      </w:r>
      <w:r w:rsidR="003A390A" w:rsidRPr="00E1372C">
        <w:rPr>
          <w:lang w:val="fr-FR" w:bidi="en-US"/>
        </w:rPr>
        <w:t>école jusqu</w:t>
      </w:r>
      <w:r w:rsidR="00731F09" w:rsidRPr="00E1372C">
        <w:rPr>
          <w:lang w:val="fr-FR" w:bidi="en-US"/>
        </w:rPr>
        <w:t>’</w:t>
      </w:r>
      <w:r w:rsidR="003A390A" w:rsidRPr="00E1372C">
        <w:rPr>
          <w:lang w:val="fr-FR" w:bidi="en-US"/>
        </w:rPr>
        <w:t>à 16 ans.</w:t>
      </w:r>
    </w:p>
    <w:p w:rsidR="00A55A0E" w:rsidRPr="00E1372C" w:rsidRDefault="00A55A0E" w:rsidP="00A55A0E">
      <w:pPr>
        <w:pStyle w:val="H23G"/>
        <w:rPr>
          <w:lang w:val="fr-FR" w:bidi="en-US"/>
        </w:rPr>
      </w:pPr>
      <w:r w:rsidRPr="00E1372C">
        <w:rPr>
          <w:lang w:val="fr-FR" w:bidi="en-US"/>
        </w:rPr>
        <w:tab/>
      </w:r>
      <w:r w:rsidRPr="00E1372C">
        <w:rPr>
          <w:lang w:val="fr-FR" w:bidi="en-US"/>
        </w:rPr>
        <w:tab/>
        <w:t>Mariage</w:t>
      </w:r>
    </w:p>
    <w:p w:rsidR="001A5345" w:rsidRPr="00E1372C" w:rsidRDefault="007A1757" w:rsidP="007A1757">
      <w:pPr>
        <w:pStyle w:val="SingleTxtG"/>
        <w:rPr>
          <w:lang w:val="fr-FR" w:bidi="en-US"/>
        </w:rPr>
      </w:pPr>
      <w:r w:rsidRPr="00E1372C">
        <w:rPr>
          <w:lang w:val="fr-FR" w:bidi="en-US"/>
        </w:rPr>
        <w:t>96.</w:t>
      </w:r>
      <w:r w:rsidRPr="00E1372C">
        <w:rPr>
          <w:lang w:val="fr-FR" w:bidi="en-US"/>
        </w:rPr>
        <w:tab/>
      </w:r>
      <w:r w:rsidR="001A5345" w:rsidRPr="00E1372C">
        <w:rPr>
          <w:lang w:val="fr-FR" w:bidi="en-US"/>
        </w:rPr>
        <w:t>L</w:t>
      </w:r>
      <w:r w:rsidR="00731F09" w:rsidRPr="00E1372C">
        <w:rPr>
          <w:lang w:val="fr-FR" w:bidi="en-US"/>
        </w:rPr>
        <w:t>’</w:t>
      </w:r>
      <w:r w:rsidR="001A5345" w:rsidRPr="00E1372C">
        <w:rPr>
          <w:lang w:val="fr-FR" w:bidi="en-US"/>
        </w:rPr>
        <w:t xml:space="preserve">article 14 de la Constitution dispose </w:t>
      </w:r>
      <w:r w:rsidR="001A5345" w:rsidRPr="00E1372C">
        <w:rPr>
          <w:lang w:val="fr-FR"/>
        </w:rPr>
        <w:t>que le mariage ne peut être conclu qu</w:t>
      </w:r>
      <w:r w:rsidR="00731F09" w:rsidRPr="00E1372C">
        <w:rPr>
          <w:lang w:val="fr-FR"/>
        </w:rPr>
        <w:t>’</w:t>
      </w:r>
      <w:r w:rsidR="001A5345" w:rsidRPr="00E1372C">
        <w:rPr>
          <w:lang w:val="fr-FR"/>
        </w:rPr>
        <w:t>avec le libre et plein consentement des futurs époux à partir de l</w:t>
      </w:r>
      <w:r w:rsidR="00731F09" w:rsidRPr="00E1372C">
        <w:rPr>
          <w:lang w:val="fr-FR"/>
        </w:rPr>
        <w:t>’</w:t>
      </w:r>
      <w:r w:rsidR="001A5345" w:rsidRPr="00E1372C">
        <w:rPr>
          <w:lang w:val="fr-FR"/>
        </w:rPr>
        <w:t>âge nubile, entre l</w:t>
      </w:r>
      <w:r w:rsidR="00731F09" w:rsidRPr="00E1372C">
        <w:rPr>
          <w:lang w:val="fr-FR"/>
        </w:rPr>
        <w:t>’</w:t>
      </w:r>
      <w:r w:rsidR="001A5345" w:rsidRPr="00E1372C">
        <w:rPr>
          <w:lang w:val="fr-FR"/>
        </w:rPr>
        <w:t>homme et la femme, sans aucune restriction quant à la race, la couleur, l</w:t>
      </w:r>
      <w:r w:rsidR="00731F09" w:rsidRPr="00E1372C">
        <w:rPr>
          <w:lang w:val="fr-FR"/>
        </w:rPr>
        <w:t>’</w:t>
      </w:r>
      <w:r w:rsidR="001A5345" w:rsidRPr="00E1372C">
        <w:rPr>
          <w:lang w:val="fr-FR"/>
        </w:rPr>
        <w:t>origine ethnique, la nationalité, la religion, la croyance ou la situation sociale ou économique. Les mariages civils relèvent de la loi n</w:t>
      </w:r>
      <w:r w:rsidR="00B277C4" w:rsidRPr="00E1372C">
        <w:rPr>
          <w:vertAlign w:val="superscript"/>
          <w:lang w:val="fr-FR"/>
        </w:rPr>
        <w:t>o</w:t>
      </w:r>
      <w:r w:rsidR="001A5345" w:rsidRPr="00E1372C">
        <w:rPr>
          <w:lang w:val="fr-FR"/>
        </w:rPr>
        <w:t> 25 de 1961 relative au mariage et sont régis par la loi n</w:t>
      </w:r>
      <w:r w:rsidR="00B277C4" w:rsidRPr="00E1372C">
        <w:rPr>
          <w:vertAlign w:val="superscript"/>
          <w:lang w:val="fr-FR"/>
        </w:rPr>
        <w:t>o</w:t>
      </w:r>
      <w:r w:rsidR="001A5345" w:rsidRPr="00E1372C">
        <w:rPr>
          <w:lang w:val="fr-FR"/>
        </w:rPr>
        <w:t> 1 de 1996 relative à l</w:t>
      </w:r>
      <w:r w:rsidR="00731F09" w:rsidRPr="00E1372C">
        <w:rPr>
          <w:lang w:val="fr-FR"/>
        </w:rPr>
        <w:t>’</w:t>
      </w:r>
      <w:r w:rsidR="001A5345" w:rsidRPr="00E1372C">
        <w:rPr>
          <w:lang w:val="fr-FR"/>
        </w:rPr>
        <w:t>égalité des personnes mariées. Les hommes et les femmes âgés d</w:t>
      </w:r>
      <w:r w:rsidR="00731F09" w:rsidRPr="00E1372C">
        <w:rPr>
          <w:lang w:val="fr-FR"/>
        </w:rPr>
        <w:t>’</w:t>
      </w:r>
      <w:r w:rsidR="001A5345" w:rsidRPr="00E1372C">
        <w:rPr>
          <w:lang w:val="fr-FR"/>
        </w:rPr>
        <w:t>au moins 18 ans ont le droit de se marier et de fonder une famille. L</w:t>
      </w:r>
      <w:r w:rsidR="00731F09" w:rsidRPr="00E1372C">
        <w:rPr>
          <w:lang w:val="fr-FR"/>
        </w:rPr>
        <w:t>’</w:t>
      </w:r>
      <w:r w:rsidR="001A5345" w:rsidRPr="00E1372C">
        <w:rPr>
          <w:lang w:val="fr-FR"/>
        </w:rPr>
        <w:t>élément le plus important de la loi est l</w:t>
      </w:r>
      <w:r w:rsidR="00731F09" w:rsidRPr="00E1372C">
        <w:rPr>
          <w:lang w:val="fr-FR"/>
        </w:rPr>
        <w:t>’</w:t>
      </w:r>
      <w:r w:rsidR="001A5345" w:rsidRPr="00E1372C">
        <w:rPr>
          <w:lang w:val="fr-FR"/>
        </w:rPr>
        <w:t xml:space="preserve">abolition de la règle de </w:t>
      </w:r>
      <w:r w:rsidR="001A5345" w:rsidRPr="00E1372C">
        <w:rPr>
          <w:i/>
          <w:lang w:val="fr-FR"/>
        </w:rPr>
        <w:t>common law</w:t>
      </w:r>
      <w:r w:rsidR="001A5345" w:rsidRPr="00E1372C">
        <w:rPr>
          <w:lang w:val="fr-FR"/>
        </w:rPr>
        <w:t xml:space="preserve"> qui conférait au mari l</w:t>
      </w:r>
      <w:r w:rsidR="00731F09" w:rsidRPr="00E1372C">
        <w:rPr>
          <w:lang w:val="fr-FR"/>
        </w:rPr>
        <w:t>’</w:t>
      </w:r>
      <w:r w:rsidR="001A5345" w:rsidRPr="00E1372C">
        <w:rPr>
          <w:lang w:val="fr-FR"/>
        </w:rPr>
        <w:t>autorité conjugale sur son épouse. En conséquence, les femmes mariées sont devenues pleinement émancipées; elles ont le droit de conclure des contrats, de posséder des biens, de diriger des sociétés et de se porter caution. Le droit coutumier ne fixe pas d</w:t>
      </w:r>
      <w:r w:rsidR="00731F09" w:rsidRPr="00E1372C">
        <w:rPr>
          <w:lang w:val="fr-FR"/>
        </w:rPr>
        <w:t>’</w:t>
      </w:r>
      <w:r w:rsidR="001A5345" w:rsidRPr="00E1372C">
        <w:rPr>
          <w:lang w:val="fr-FR"/>
        </w:rPr>
        <w:t>âge minimum pour le mariage, mais celui</w:t>
      </w:r>
      <w:r w:rsidR="007064FC" w:rsidRPr="00E1372C">
        <w:rPr>
          <w:lang w:val="fr-FR"/>
        </w:rPr>
        <w:t>-</w:t>
      </w:r>
      <w:r w:rsidR="001A5345" w:rsidRPr="00E1372C">
        <w:rPr>
          <w:lang w:val="fr-FR"/>
        </w:rPr>
        <w:t>ci n</w:t>
      </w:r>
      <w:r w:rsidR="00731F09" w:rsidRPr="00E1372C">
        <w:rPr>
          <w:lang w:val="fr-FR"/>
        </w:rPr>
        <w:t>’</w:t>
      </w:r>
      <w:r w:rsidR="001A5345" w:rsidRPr="00E1372C">
        <w:rPr>
          <w:lang w:val="fr-FR"/>
        </w:rPr>
        <w:t>a généralement pas lieu avant la puberté ou avant que la personne ait atteint un niveau acceptable de maturité sociale. Le consentement de la famille est nécessaire</w:t>
      </w:r>
      <w:r w:rsidR="009608B0" w:rsidRPr="00E1372C">
        <w:rPr>
          <w:lang w:val="fr-FR"/>
        </w:rPr>
        <w:t>,</w:t>
      </w:r>
      <w:r w:rsidR="001A5345" w:rsidRPr="00E1372C">
        <w:rPr>
          <w:lang w:val="fr-FR"/>
        </w:rPr>
        <w:t xml:space="preserve"> mais</w:t>
      </w:r>
      <w:r w:rsidR="009608B0" w:rsidRPr="00E1372C">
        <w:rPr>
          <w:lang w:val="fr-FR"/>
        </w:rPr>
        <w:t>,</w:t>
      </w:r>
      <w:r w:rsidR="001A5345" w:rsidRPr="00E1372C">
        <w:rPr>
          <w:lang w:val="fr-FR"/>
        </w:rPr>
        <w:t xml:space="preserve"> dans la plupart des communautés</w:t>
      </w:r>
      <w:r w:rsidR="009608B0" w:rsidRPr="00E1372C">
        <w:rPr>
          <w:lang w:val="fr-FR"/>
        </w:rPr>
        <w:t>,</w:t>
      </w:r>
      <w:r w:rsidR="001A5345" w:rsidRPr="00E1372C">
        <w:rPr>
          <w:lang w:val="fr-FR"/>
        </w:rPr>
        <w:t xml:space="preserve"> le consentement des deux futurs époux est également nécessaire. Un mariage coutumier suppose une série de négociations entre les deux groupes et crée des droits et des responsabilités entre tous les membres de la famille.</w:t>
      </w:r>
    </w:p>
    <w:p w:rsidR="001A5345" w:rsidRPr="00E1372C" w:rsidRDefault="007A1757" w:rsidP="007A1757">
      <w:pPr>
        <w:pStyle w:val="SingleTxtG"/>
        <w:rPr>
          <w:lang w:val="fr-FR" w:bidi="en-US"/>
        </w:rPr>
      </w:pPr>
      <w:r w:rsidRPr="00E1372C">
        <w:rPr>
          <w:lang w:val="fr-FR" w:bidi="en-US"/>
        </w:rPr>
        <w:t>97.</w:t>
      </w:r>
      <w:r w:rsidRPr="00E1372C">
        <w:rPr>
          <w:lang w:val="fr-FR" w:bidi="en-US"/>
        </w:rPr>
        <w:tab/>
      </w:r>
      <w:r w:rsidR="001A5345" w:rsidRPr="00E1372C">
        <w:rPr>
          <w:lang w:val="fr-FR" w:bidi="en-US"/>
        </w:rPr>
        <w:t>Malgré le maintien du droit coutumier selon l</w:t>
      </w:r>
      <w:r w:rsidR="00731F09" w:rsidRPr="00E1372C">
        <w:rPr>
          <w:lang w:val="fr-FR" w:bidi="en-US"/>
        </w:rPr>
        <w:t>’</w:t>
      </w:r>
      <w:r w:rsidR="001A5345" w:rsidRPr="00E1372C">
        <w:rPr>
          <w:lang w:val="fr-FR" w:bidi="en-US"/>
        </w:rPr>
        <w:t xml:space="preserve">article 66 de la Constitution, le statut juridique du mariage coutumier demeure incertain, ce type de mariage ne bénéficiant pas de la reconnaissance légale. La Commission de réforme </w:t>
      </w:r>
      <w:r w:rsidR="009608B0" w:rsidRPr="00E1372C">
        <w:rPr>
          <w:lang w:val="fr-FR" w:bidi="en-US"/>
        </w:rPr>
        <w:t xml:space="preserve">et </w:t>
      </w:r>
      <w:r w:rsidR="001A5345" w:rsidRPr="00E1372C">
        <w:rPr>
          <w:lang w:val="fr-FR" w:bidi="en-US"/>
        </w:rPr>
        <w:t xml:space="preserve">de développement de la législation a recommandé de promulguer une loi sur la reconnaissance des mariages coutumiers. </w:t>
      </w:r>
    </w:p>
    <w:p w:rsidR="00A55A0E" w:rsidRPr="00E1372C" w:rsidRDefault="00A55A0E" w:rsidP="00A55A0E">
      <w:pPr>
        <w:pStyle w:val="H23G"/>
        <w:rPr>
          <w:lang w:val="fr-FR" w:bidi="en-US"/>
        </w:rPr>
      </w:pPr>
      <w:r w:rsidRPr="00E1372C">
        <w:rPr>
          <w:lang w:val="fr-FR" w:bidi="en-US"/>
        </w:rPr>
        <w:tab/>
      </w:r>
      <w:r w:rsidRPr="00E1372C">
        <w:rPr>
          <w:lang w:val="fr-FR" w:bidi="en-US"/>
        </w:rPr>
        <w:tab/>
      </w:r>
      <w:r w:rsidR="001A5345" w:rsidRPr="00E1372C">
        <w:rPr>
          <w:lang w:val="fr-FR" w:bidi="en-US"/>
        </w:rPr>
        <w:t>D</w:t>
      </w:r>
      <w:r w:rsidRPr="00E1372C">
        <w:rPr>
          <w:lang w:val="fr-FR" w:bidi="en-US"/>
        </w:rPr>
        <w:t xml:space="preserve">iscrimination </w:t>
      </w:r>
      <w:r w:rsidR="001A5345" w:rsidRPr="00E1372C">
        <w:rPr>
          <w:lang w:val="fr-FR" w:bidi="en-US"/>
        </w:rPr>
        <w:t>raciale et accès au service public</w:t>
      </w:r>
    </w:p>
    <w:p w:rsidR="001A5345" w:rsidRPr="00E1372C" w:rsidRDefault="007A1757" w:rsidP="007A1757">
      <w:pPr>
        <w:pStyle w:val="SingleTxtG"/>
        <w:rPr>
          <w:lang w:val="fr-FR" w:bidi="en-US"/>
        </w:rPr>
      </w:pPr>
      <w:r w:rsidRPr="00E1372C">
        <w:rPr>
          <w:lang w:val="fr-FR" w:bidi="en-US"/>
        </w:rPr>
        <w:t>98.</w:t>
      </w:r>
      <w:r w:rsidRPr="00E1372C">
        <w:rPr>
          <w:lang w:val="fr-FR" w:bidi="en-US"/>
        </w:rPr>
        <w:tab/>
      </w:r>
      <w:r w:rsidR="00A55A0E" w:rsidRPr="00E1372C">
        <w:rPr>
          <w:lang w:val="fr-FR" w:bidi="en-US"/>
        </w:rPr>
        <w:t>Dur</w:t>
      </w:r>
      <w:r w:rsidR="001A5345" w:rsidRPr="00E1372C">
        <w:rPr>
          <w:lang w:val="fr-FR" w:bidi="en-US"/>
        </w:rPr>
        <w:t>ant la période de l</w:t>
      </w:r>
      <w:r w:rsidR="00731F09" w:rsidRPr="00E1372C">
        <w:rPr>
          <w:lang w:val="fr-FR" w:bidi="en-US"/>
        </w:rPr>
        <w:t>’</w:t>
      </w:r>
      <w:r w:rsidR="001A5345" w:rsidRPr="00E1372C">
        <w:rPr>
          <w:lang w:val="fr-FR" w:bidi="en-US"/>
        </w:rPr>
        <w:t xml:space="preserve">occupation </w:t>
      </w:r>
      <w:r w:rsidR="009608B0" w:rsidRPr="00E1372C">
        <w:rPr>
          <w:lang w:val="fr-FR" w:bidi="en-US"/>
        </w:rPr>
        <w:t>il</w:t>
      </w:r>
      <w:r w:rsidR="001A5345" w:rsidRPr="00E1372C">
        <w:rPr>
          <w:lang w:val="fr-FR" w:bidi="en-US"/>
        </w:rPr>
        <w:t>légale de l</w:t>
      </w:r>
      <w:r w:rsidR="00731F09" w:rsidRPr="00E1372C">
        <w:rPr>
          <w:lang w:val="fr-FR" w:bidi="en-US"/>
        </w:rPr>
        <w:t>’</w:t>
      </w:r>
      <w:r w:rsidR="001A5345" w:rsidRPr="00E1372C">
        <w:rPr>
          <w:lang w:val="fr-FR" w:bidi="en-US"/>
        </w:rPr>
        <w:t>Afrique du Sud, un système racial de gouvernement, appelé apartheid, a été mis en place dans le pays. La population a été séparée selon la race et tout le pouvoir transmis à la minorité blanche.</w:t>
      </w:r>
    </w:p>
    <w:p w:rsidR="001A5345" w:rsidRPr="00E1372C" w:rsidRDefault="007A1757" w:rsidP="007A1757">
      <w:pPr>
        <w:pStyle w:val="SingleTxtG"/>
        <w:rPr>
          <w:lang w:val="fr-FR" w:bidi="en-US"/>
        </w:rPr>
      </w:pPr>
      <w:r w:rsidRPr="00E1372C">
        <w:rPr>
          <w:lang w:val="fr-FR" w:bidi="en-US"/>
        </w:rPr>
        <w:t>99.</w:t>
      </w:r>
      <w:r w:rsidRPr="00E1372C">
        <w:rPr>
          <w:lang w:val="fr-FR" w:bidi="en-US"/>
        </w:rPr>
        <w:tab/>
      </w:r>
      <w:r w:rsidR="001A5345" w:rsidRPr="00E1372C">
        <w:rPr>
          <w:lang w:val="fr-FR" w:bidi="en-US"/>
        </w:rPr>
        <w:t>Au cours de l</w:t>
      </w:r>
      <w:r w:rsidR="00731F09" w:rsidRPr="00E1372C">
        <w:rPr>
          <w:lang w:val="fr-FR" w:bidi="en-US"/>
        </w:rPr>
        <w:t>’</w:t>
      </w:r>
      <w:r w:rsidR="001A5345" w:rsidRPr="00E1372C">
        <w:rPr>
          <w:lang w:val="fr-FR" w:bidi="en-US"/>
        </w:rPr>
        <w:t>élaboration de la Constitution, les pères et les mères fondateurs ont proscrit le racisme du passé et adopté la politique de réconciliation nationale, pour que tous les Namibiens conjuguent leurs efforts en vue de développer le pays dans la paix et l</w:t>
      </w:r>
      <w:r w:rsidR="00731F09" w:rsidRPr="00E1372C">
        <w:rPr>
          <w:lang w:val="fr-FR" w:bidi="en-US"/>
        </w:rPr>
        <w:t>’</w:t>
      </w:r>
      <w:r w:rsidR="001A5345" w:rsidRPr="00E1372C">
        <w:rPr>
          <w:lang w:val="fr-FR" w:bidi="en-US"/>
        </w:rPr>
        <w:t>unité, pour tourner la page des iniquités passé</w:t>
      </w:r>
      <w:r w:rsidR="009608B0" w:rsidRPr="00E1372C">
        <w:rPr>
          <w:lang w:val="fr-FR" w:bidi="en-US"/>
        </w:rPr>
        <w:t>e</w:t>
      </w:r>
      <w:r w:rsidR="001A5345" w:rsidRPr="00E1372C">
        <w:rPr>
          <w:lang w:val="fr-FR" w:bidi="en-US"/>
        </w:rPr>
        <w:t>s de l</w:t>
      </w:r>
      <w:r w:rsidR="00731F09" w:rsidRPr="00E1372C">
        <w:rPr>
          <w:lang w:val="fr-FR" w:bidi="en-US"/>
        </w:rPr>
        <w:t>’</w:t>
      </w:r>
      <w:r w:rsidR="001A5345" w:rsidRPr="00E1372C">
        <w:rPr>
          <w:lang w:val="fr-FR" w:bidi="en-US"/>
        </w:rPr>
        <w:t>apartheid.</w:t>
      </w:r>
    </w:p>
    <w:p w:rsidR="001A5345" w:rsidRPr="00E1372C" w:rsidRDefault="007A1757" w:rsidP="007A1757">
      <w:pPr>
        <w:pStyle w:val="SingleTxtG"/>
        <w:rPr>
          <w:lang w:val="fr-FR" w:bidi="en-US"/>
        </w:rPr>
      </w:pPr>
      <w:r w:rsidRPr="00E1372C">
        <w:rPr>
          <w:lang w:val="fr-FR" w:bidi="en-US"/>
        </w:rPr>
        <w:t>100.</w:t>
      </w:r>
      <w:r w:rsidRPr="00E1372C">
        <w:rPr>
          <w:lang w:val="fr-FR" w:bidi="en-US"/>
        </w:rPr>
        <w:tab/>
      </w:r>
      <w:r w:rsidR="001A5345" w:rsidRPr="00E1372C">
        <w:rPr>
          <w:lang w:val="fr-FR" w:bidi="en-US"/>
        </w:rPr>
        <w:t>Le Parlement a adopté la loi de 1991 portant modification de la loi sur l</w:t>
      </w:r>
      <w:r w:rsidR="00731F09" w:rsidRPr="00E1372C">
        <w:rPr>
          <w:lang w:val="fr-FR" w:bidi="en-US"/>
        </w:rPr>
        <w:t>’</w:t>
      </w:r>
      <w:r w:rsidR="001A5345" w:rsidRPr="00E1372C">
        <w:rPr>
          <w:lang w:val="fr-FR" w:bidi="en-US"/>
        </w:rPr>
        <w:t>interdiction de la discrimination raciale, qui a été promulguée en décembre 1991. Cette loi a</w:t>
      </w:r>
      <w:r w:rsidR="001A5345" w:rsidRPr="00E1372C">
        <w:rPr>
          <w:lang w:val="fr-FR"/>
        </w:rPr>
        <w:t xml:space="preserve"> érigé en infraction pénale certains actes et pratiques de discrimination raciale concernant, entre autres, les équipements collectifs, la fourniture de biens et de services, les biens immobiliers, les établissements d</w:t>
      </w:r>
      <w:r w:rsidR="00731F09" w:rsidRPr="00E1372C">
        <w:rPr>
          <w:lang w:val="fr-FR"/>
        </w:rPr>
        <w:t>’</w:t>
      </w:r>
      <w:r w:rsidR="001A5345" w:rsidRPr="00E1372C">
        <w:rPr>
          <w:lang w:val="fr-FR"/>
        </w:rPr>
        <w:t>enseignement et les établissements médicaux, l</w:t>
      </w:r>
      <w:r w:rsidR="00731F09" w:rsidRPr="00E1372C">
        <w:rPr>
          <w:lang w:val="fr-FR"/>
        </w:rPr>
        <w:t>’</w:t>
      </w:r>
      <w:r w:rsidR="001A5345" w:rsidRPr="00E1372C">
        <w:rPr>
          <w:lang w:val="fr-FR"/>
        </w:rPr>
        <w:t>emploi, les associations, les services religieux et l</w:t>
      </w:r>
      <w:r w:rsidR="00731F09" w:rsidRPr="00E1372C">
        <w:rPr>
          <w:lang w:val="fr-FR"/>
        </w:rPr>
        <w:t>’</w:t>
      </w:r>
      <w:r w:rsidR="001A5345" w:rsidRPr="00E1372C">
        <w:rPr>
          <w:lang w:val="fr-FR"/>
        </w:rPr>
        <w:t>incitation à la discorde raciale et aux brimades raciales</w:t>
      </w:r>
      <w:r w:rsidR="009608B0" w:rsidRPr="00E1372C">
        <w:rPr>
          <w:lang w:val="fr-FR"/>
        </w:rPr>
        <w:t>.</w:t>
      </w:r>
    </w:p>
    <w:p w:rsidR="001A5345" w:rsidRPr="00E1372C" w:rsidRDefault="007A1757" w:rsidP="007A1757">
      <w:pPr>
        <w:pStyle w:val="SingleTxtG"/>
        <w:rPr>
          <w:lang w:val="fr-FR" w:bidi="en-US"/>
        </w:rPr>
      </w:pPr>
      <w:r w:rsidRPr="00E1372C">
        <w:rPr>
          <w:lang w:val="fr-FR" w:bidi="en-US"/>
        </w:rPr>
        <w:t>101.</w:t>
      </w:r>
      <w:r w:rsidRPr="00E1372C">
        <w:rPr>
          <w:lang w:val="fr-FR" w:bidi="en-US"/>
        </w:rPr>
        <w:tab/>
      </w:r>
      <w:r w:rsidR="001A5345" w:rsidRPr="00E1372C">
        <w:rPr>
          <w:lang w:val="fr-FR" w:bidi="en-US"/>
        </w:rPr>
        <w:t>Le Gouvernement a pris des mesures législatives</w:t>
      </w:r>
      <w:r w:rsidR="001924BB" w:rsidRPr="00E1372C">
        <w:rPr>
          <w:lang w:val="fr-FR" w:bidi="en-US"/>
        </w:rPr>
        <w:t>,</w:t>
      </w:r>
      <w:r w:rsidR="001A5345" w:rsidRPr="00E1372C">
        <w:rPr>
          <w:lang w:val="fr-FR" w:bidi="en-US"/>
        </w:rPr>
        <w:t xml:space="preserve"> par la promulgation de la loi de 1991 portant interdiction de la discrimination raciale</w:t>
      </w:r>
      <w:r w:rsidR="001924BB" w:rsidRPr="00E1372C">
        <w:rPr>
          <w:lang w:val="fr-FR" w:bidi="en-US"/>
        </w:rPr>
        <w:t>,</w:t>
      </w:r>
      <w:r w:rsidR="001A5345" w:rsidRPr="00E1372C">
        <w:rPr>
          <w:lang w:val="fr-FR" w:bidi="en-US"/>
        </w:rPr>
        <w:t xml:space="preserve"> pour interdire à toute personne, aux organes de l</w:t>
      </w:r>
      <w:r w:rsidR="00731F09" w:rsidRPr="00E1372C">
        <w:rPr>
          <w:lang w:val="fr-FR" w:bidi="en-US"/>
        </w:rPr>
        <w:t>’</w:t>
      </w:r>
      <w:r w:rsidR="001A5345" w:rsidRPr="00E1372C">
        <w:rPr>
          <w:lang w:val="fr-FR" w:bidi="en-US"/>
        </w:rPr>
        <w:t xml:space="preserve">administration centrale ou locale, ou à des institutions privées de </w:t>
      </w:r>
      <w:r w:rsidR="001A5345" w:rsidRPr="00E1372C">
        <w:rPr>
          <w:lang w:val="fr-FR"/>
        </w:rPr>
        <w:t>refuser à quiconque l</w:t>
      </w:r>
      <w:r w:rsidR="00731F09" w:rsidRPr="00E1372C">
        <w:rPr>
          <w:lang w:val="fr-FR"/>
        </w:rPr>
        <w:t>’</w:t>
      </w:r>
      <w:r w:rsidR="001A5345" w:rsidRPr="00E1372C">
        <w:rPr>
          <w:lang w:val="fr-FR"/>
        </w:rPr>
        <w:t>accès à des équipements ou des services collectifs, ou l</w:t>
      </w:r>
      <w:r w:rsidR="00731F09" w:rsidRPr="00E1372C">
        <w:rPr>
          <w:lang w:val="fr-FR"/>
        </w:rPr>
        <w:t>’</w:t>
      </w:r>
      <w:r w:rsidR="001A5345" w:rsidRPr="00E1372C">
        <w:rPr>
          <w:lang w:val="fr-FR"/>
        </w:rPr>
        <w:t>utilisation de ceux</w:t>
      </w:r>
      <w:r w:rsidR="007064FC" w:rsidRPr="00E1372C">
        <w:rPr>
          <w:lang w:val="fr-FR"/>
        </w:rPr>
        <w:t>-</w:t>
      </w:r>
      <w:r w:rsidR="001A5345" w:rsidRPr="00E1372C">
        <w:rPr>
          <w:lang w:val="fr-FR"/>
        </w:rPr>
        <w:t>ci en raison de l</w:t>
      </w:r>
      <w:r w:rsidR="00731F09" w:rsidRPr="00E1372C">
        <w:rPr>
          <w:lang w:val="fr-FR"/>
        </w:rPr>
        <w:t>’</w:t>
      </w:r>
      <w:r w:rsidR="001A5345" w:rsidRPr="00E1372C">
        <w:rPr>
          <w:lang w:val="fr-FR"/>
        </w:rPr>
        <w:t>appartenance de l</w:t>
      </w:r>
      <w:r w:rsidR="00731F09" w:rsidRPr="00E1372C">
        <w:rPr>
          <w:lang w:val="fr-FR"/>
        </w:rPr>
        <w:t>’</w:t>
      </w:r>
      <w:r w:rsidR="001A5345" w:rsidRPr="00E1372C">
        <w:rPr>
          <w:lang w:val="fr-FR"/>
        </w:rPr>
        <w:t xml:space="preserve">intéressé à un groupe racial particulier. </w:t>
      </w:r>
      <w:r w:rsidR="001A3C72" w:rsidRPr="00E1372C">
        <w:rPr>
          <w:lang w:val="fr-FR"/>
        </w:rPr>
        <w:t>La loi interdit en outre à toute personne, institution privée ou organisme local ou central d</w:t>
      </w:r>
      <w:r w:rsidR="00731F09" w:rsidRPr="00E1372C">
        <w:rPr>
          <w:lang w:val="fr-FR"/>
        </w:rPr>
        <w:t>’</w:t>
      </w:r>
      <w:r w:rsidR="001A3C72" w:rsidRPr="00E1372C">
        <w:rPr>
          <w:lang w:val="fr-FR"/>
        </w:rPr>
        <w:t>a</w:t>
      </w:r>
      <w:r w:rsidR="001A5345" w:rsidRPr="00E1372C">
        <w:rPr>
          <w:lang w:val="fr-FR"/>
        </w:rPr>
        <w:t>dopter comme politique ou pour pratique, s</w:t>
      </w:r>
      <w:r w:rsidR="00731F09" w:rsidRPr="00E1372C">
        <w:rPr>
          <w:lang w:val="fr-FR"/>
        </w:rPr>
        <w:t>’</w:t>
      </w:r>
      <w:r w:rsidR="001A5345" w:rsidRPr="00E1372C">
        <w:rPr>
          <w:lang w:val="fr-FR"/>
        </w:rPr>
        <w:t>agissant d</w:t>
      </w:r>
      <w:r w:rsidR="00731F09" w:rsidRPr="00E1372C">
        <w:rPr>
          <w:lang w:val="fr-FR"/>
        </w:rPr>
        <w:t>’</w:t>
      </w:r>
      <w:r w:rsidR="001A5345" w:rsidRPr="00E1372C">
        <w:rPr>
          <w:lang w:val="fr-FR"/>
        </w:rPr>
        <w:t>équipements collectifs, d</w:t>
      </w:r>
      <w:r w:rsidR="00731F09" w:rsidRPr="00E1372C">
        <w:rPr>
          <w:lang w:val="fr-FR"/>
        </w:rPr>
        <w:t>’</w:t>
      </w:r>
      <w:r w:rsidR="001A5345" w:rsidRPr="00E1372C">
        <w:rPr>
          <w:lang w:val="fr-FR"/>
        </w:rPr>
        <w:t>autoriser l</w:t>
      </w:r>
      <w:r w:rsidR="00731F09" w:rsidRPr="00E1372C">
        <w:rPr>
          <w:lang w:val="fr-FR"/>
        </w:rPr>
        <w:t>’</w:t>
      </w:r>
      <w:r w:rsidR="001A5345" w:rsidRPr="00E1372C">
        <w:rPr>
          <w:lang w:val="fr-FR"/>
        </w:rPr>
        <w:t>accès du public à ces équipements ou aux services qui y sont offerts sur la base d</w:t>
      </w:r>
      <w:r w:rsidR="00731F09" w:rsidRPr="00E1372C">
        <w:rPr>
          <w:lang w:val="fr-FR"/>
        </w:rPr>
        <w:t>’</w:t>
      </w:r>
      <w:r w:rsidR="001A5345" w:rsidRPr="00E1372C">
        <w:rPr>
          <w:lang w:val="fr-FR"/>
        </w:rPr>
        <w:t>une ségrégation fondée sur la couleur, la race ou l</w:t>
      </w:r>
      <w:r w:rsidR="00731F09" w:rsidRPr="00E1372C">
        <w:rPr>
          <w:lang w:val="fr-FR"/>
        </w:rPr>
        <w:t>’</w:t>
      </w:r>
      <w:r w:rsidR="001A5345" w:rsidRPr="00E1372C">
        <w:rPr>
          <w:lang w:val="fr-FR"/>
        </w:rPr>
        <w:t>origine ethnique ou nationale</w:t>
      </w:r>
      <w:r w:rsidR="00225CB4" w:rsidRPr="00E1372C">
        <w:rPr>
          <w:lang w:val="fr-FR"/>
        </w:rPr>
        <w:t>.</w:t>
      </w:r>
    </w:p>
    <w:p w:rsidR="001A3C72" w:rsidRPr="00E1372C" w:rsidRDefault="007A1757" w:rsidP="007A1757">
      <w:pPr>
        <w:pStyle w:val="SingleTxtG"/>
        <w:rPr>
          <w:lang w:val="fr-FR" w:bidi="en-US"/>
        </w:rPr>
      </w:pPr>
      <w:r w:rsidRPr="00E1372C">
        <w:rPr>
          <w:lang w:val="fr-FR" w:bidi="en-US"/>
        </w:rPr>
        <w:t>102.</w:t>
      </w:r>
      <w:r w:rsidRPr="00E1372C">
        <w:rPr>
          <w:lang w:val="fr-FR" w:bidi="en-US"/>
        </w:rPr>
        <w:tab/>
      </w:r>
      <w:r w:rsidR="001A3C72" w:rsidRPr="00E1372C">
        <w:rPr>
          <w:lang w:val="fr-FR" w:bidi="en-US"/>
        </w:rPr>
        <w:t xml:space="preserve">Le Gouvernement a également modifié </w:t>
      </w:r>
      <w:r w:rsidR="00810FA2" w:rsidRPr="00E1372C">
        <w:rPr>
          <w:lang w:val="fr-FR" w:bidi="en-US"/>
        </w:rPr>
        <w:t>d</w:t>
      </w:r>
      <w:r w:rsidR="001A3C72" w:rsidRPr="00E1372C">
        <w:rPr>
          <w:lang w:val="fr-FR" w:bidi="en-US"/>
        </w:rPr>
        <w:t>es lois coloniales qui visaient à perpétuer la discrimination raciale et ainsi à refuser aux Noirs la possibilité de vivre ou de posséder un bien immeuble dans les secteurs urbains. De plus, la loi interdit à quiconque est engagé dans une activité économique, commerciale ou professionnelle de fournitures de biens ou services au public de refuser ou s</w:t>
      </w:r>
      <w:r w:rsidR="00731F09" w:rsidRPr="00E1372C">
        <w:rPr>
          <w:lang w:val="fr-FR" w:bidi="en-US"/>
        </w:rPr>
        <w:t>’</w:t>
      </w:r>
      <w:r w:rsidR="001A3C72" w:rsidRPr="00E1372C">
        <w:rPr>
          <w:lang w:val="fr-FR" w:bidi="en-US"/>
        </w:rPr>
        <w:t>abstenir de fournir ces biens ou services à un tiers en raison de son appartenance à un groupe racial particulier.</w:t>
      </w:r>
    </w:p>
    <w:p w:rsidR="001A3C72" w:rsidRPr="00E1372C" w:rsidRDefault="007A1757" w:rsidP="007A1757">
      <w:pPr>
        <w:pStyle w:val="SingleTxtG"/>
        <w:rPr>
          <w:lang w:val="fr-FR" w:bidi="en-US"/>
        </w:rPr>
      </w:pPr>
      <w:r w:rsidRPr="00E1372C">
        <w:rPr>
          <w:lang w:val="fr-FR" w:bidi="en-US"/>
        </w:rPr>
        <w:t>103.</w:t>
      </w:r>
      <w:r w:rsidRPr="00E1372C">
        <w:rPr>
          <w:lang w:val="fr-FR" w:bidi="en-US"/>
        </w:rPr>
        <w:tab/>
      </w:r>
      <w:r w:rsidR="001A3C72" w:rsidRPr="00E1372C">
        <w:rPr>
          <w:lang w:val="fr-FR" w:bidi="en-US"/>
        </w:rPr>
        <w:t xml:space="preserve">Selon la loi, aucune association ne peut, par une disposition de </w:t>
      </w:r>
      <w:r w:rsidR="009149E8" w:rsidRPr="00E1372C">
        <w:rPr>
          <w:lang w:val="fr-FR" w:bidi="en-US"/>
        </w:rPr>
        <w:t>ses statuts ou en application d</w:t>
      </w:r>
      <w:r w:rsidR="00731F09" w:rsidRPr="00E1372C">
        <w:rPr>
          <w:lang w:val="fr-FR" w:bidi="en-US"/>
        </w:rPr>
        <w:t>’</w:t>
      </w:r>
      <w:r w:rsidR="009149E8" w:rsidRPr="00E1372C">
        <w:rPr>
          <w:lang w:val="fr-FR" w:bidi="en-US"/>
        </w:rPr>
        <w:t xml:space="preserve">une politique ou pratique, refuser à quiconque </w:t>
      </w:r>
      <w:r w:rsidR="00810FA2" w:rsidRPr="00E1372C">
        <w:rPr>
          <w:lang w:val="fr-FR" w:bidi="en-US"/>
        </w:rPr>
        <w:t xml:space="preserve">son </w:t>
      </w:r>
      <w:r w:rsidR="009149E8" w:rsidRPr="00E1372C">
        <w:rPr>
          <w:lang w:val="fr-FR" w:bidi="en-US"/>
        </w:rPr>
        <w:t xml:space="preserve">admission comme membre </w:t>
      </w:r>
      <w:r w:rsidR="00810FA2" w:rsidRPr="00E1372C">
        <w:rPr>
          <w:lang w:val="fr-FR" w:bidi="en-US"/>
        </w:rPr>
        <w:t>au motif qu</w:t>
      </w:r>
      <w:r w:rsidR="00731F09" w:rsidRPr="00E1372C">
        <w:rPr>
          <w:lang w:val="fr-FR" w:bidi="en-US"/>
        </w:rPr>
        <w:t>’</w:t>
      </w:r>
      <w:r w:rsidR="00810FA2" w:rsidRPr="00E1372C">
        <w:rPr>
          <w:lang w:val="fr-FR" w:bidi="en-US"/>
        </w:rPr>
        <w:t xml:space="preserve">il appartient à </w:t>
      </w:r>
      <w:r w:rsidR="009149E8" w:rsidRPr="00E1372C">
        <w:rPr>
          <w:lang w:val="fr-FR" w:bidi="en-US"/>
        </w:rPr>
        <w:t>un groupe racial particulier. En réalité, il n</w:t>
      </w:r>
      <w:r w:rsidR="00731F09" w:rsidRPr="00E1372C">
        <w:rPr>
          <w:lang w:val="fr-FR" w:bidi="en-US"/>
        </w:rPr>
        <w:t>’</w:t>
      </w:r>
      <w:r w:rsidR="009149E8" w:rsidRPr="00E1372C">
        <w:rPr>
          <w:lang w:val="fr-FR" w:bidi="en-US"/>
        </w:rPr>
        <w:t>existe actuellement aucune association où l</w:t>
      </w:r>
      <w:r w:rsidR="00731F09" w:rsidRPr="00E1372C">
        <w:rPr>
          <w:lang w:val="fr-FR" w:bidi="en-US"/>
        </w:rPr>
        <w:t>’</w:t>
      </w:r>
      <w:r w:rsidR="009149E8" w:rsidRPr="00E1372C">
        <w:rPr>
          <w:lang w:val="fr-FR" w:bidi="en-US"/>
        </w:rPr>
        <w:t>adhésion est fondée sur la race, la couleur ou l</w:t>
      </w:r>
      <w:r w:rsidR="00731F09" w:rsidRPr="00E1372C">
        <w:rPr>
          <w:lang w:val="fr-FR" w:bidi="en-US"/>
        </w:rPr>
        <w:t>’</w:t>
      </w:r>
      <w:r w:rsidR="009149E8" w:rsidRPr="00E1372C">
        <w:rPr>
          <w:lang w:val="fr-FR" w:bidi="en-US"/>
        </w:rPr>
        <w:t>origine ethnique. Ainsi, la composition de syndicats, du barreau, d</w:t>
      </w:r>
      <w:r w:rsidR="00731F09" w:rsidRPr="00E1372C">
        <w:rPr>
          <w:lang w:val="fr-FR" w:bidi="en-US"/>
        </w:rPr>
        <w:t>’</w:t>
      </w:r>
      <w:r w:rsidR="009149E8" w:rsidRPr="00E1372C">
        <w:rPr>
          <w:lang w:val="fr-FR" w:bidi="en-US"/>
        </w:rPr>
        <w:t>associations d</w:t>
      </w:r>
      <w:r w:rsidR="00731F09" w:rsidRPr="00E1372C">
        <w:rPr>
          <w:lang w:val="fr-FR" w:bidi="en-US"/>
        </w:rPr>
        <w:t>’</w:t>
      </w:r>
      <w:r w:rsidR="009149E8" w:rsidRPr="00E1372C">
        <w:rPr>
          <w:lang w:val="fr-FR" w:bidi="en-US"/>
        </w:rPr>
        <w:t>agriculteurs, de chambres de commerce, d</w:t>
      </w:r>
      <w:r w:rsidR="00731F09" w:rsidRPr="00E1372C">
        <w:rPr>
          <w:lang w:val="fr-FR" w:bidi="en-US"/>
        </w:rPr>
        <w:t>’</w:t>
      </w:r>
      <w:r w:rsidR="009149E8" w:rsidRPr="00E1372C">
        <w:rPr>
          <w:lang w:val="fr-FR" w:bidi="en-US"/>
        </w:rPr>
        <w:t>organisations de femmes, de syndicats d</w:t>
      </w:r>
      <w:r w:rsidR="00731F09" w:rsidRPr="00E1372C">
        <w:rPr>
          <w:lang w:val="fr-FR" w:bidi="en-US"/>
        </w:rPr>
        <w:t>’</w:t>
      </w:r>
      <w:r w:rsidR="009149E8" w:rsidRPr="00E1372C">
        <w:rPr>
          <w:lang w:val="fr-FR" w:bidi="en-US"/>
        </w:rPr>
        <w:t>étudiants, de l</w:t>
      </w:r>
      <w:r w:rsidR="00731F09" w:rsidRPr="00E1372C">
        <w:rPr>
          <w:lang w:val="fr-FR" w:bidi="en-US"/>
        </w:rPr>
        <w:t>’</w:t>
      </w:r>
      <w:r w:rsidR="009149E8" w:rsidRPr="00E1372C">
        <w:rPr>
          <w:lang w:val="fr-FR" w:bidi="en-US"/>
        </w:rPr>
        <w:t>Institut des comptables et autres organes professionnels et partis politiques témoigne d</w:t>
      </w:r>
      <w:r w:rsidR="00731F09" w:rsidRPr="00E1372C">
        <w:rPr>
          <w:lang w:val="fr-FR" w:bidi="en-US"/>
        </w:rPr>
        <w:t>’</w:t>
      </w:r>
      <w:r w:rsidR="009149E8" w:rsidRPr="00E1372C">
        <w:rPr>
          <w:lang w:val="fr-FR" w:bidi="en-US"/>
        </w:rPr>
        <w:t>un caractère multiracial.</w:t>
      </w:r>
    </w:p>
    <w:p w:rsidR="00810FA2" w:rsidRPr="00E1372C" w:rsidRDefault="007A1757" w:rsidP="007A1757">
      <w:pPr>
        <w:pStyle w:val="SingleTxtG"/>
        <w:rPr>
          <w:lang w:val="fr-FR" w:bidi="en-US"/>
        </w:rPr>
      </w:pPr>
      <w:r w:rsidRPr="00E1372C">
        <w:rPr>
          <w:lang w:val="fr-FR" w:bidi="en-US"/>
        </w:rPr>
        <w:t>104.</w:t>
      </w:r>
      <w:r w:rsidRPr="00E1372C">
        <w:rPr>
          <w:lang w:val="fr-FR" w:bidi="en-US"/>
        </w:rPr>
        <w:tab/>
      </w:r>
      <w:r w:rsidR="009149E8" w:rsidRPr="00E1372C">
        <w:rPr>
          <w:lang w:val="fr-FR" w:bidi="en-US"/>
        </w:rPr>
        <w:t>La politique d</w:t>
      </w:r>
      <w:r w:rsidR="00731F09" w:rsidRPr="00E1372C">
        <w:rPr>
          <w:lang w:val="fr-FR" w:bidi="en-US"/>
        </w:rPr>
        <w:t>’</w:t>
      </w:r>
      <w:r w:rsidR="009149E8" w:rsidRPr="00E1372C">
        <w:rPr>
          <w:lang w:val="fr-FR" w:bidi="en-US"/>
        </w:rPr>
        <w:t>action positive a déployé ses effets dans les domaines de l</w:t>
      </w:r>
      <w:r w:rsidR="00731F09" w:rsidRPr="00E1372C">
        <w:rPr>
          <w:lang w:val="fr-FR" w:bidi="en-US"/>
        </w:rPr>
        <w:t>’</w:t>
      </w:r>
      <w:r w:rsidR="009149E8" w:rsidRPr="00E1372C">
        <w:rPr>
          <w:lang w:val="fr-FR" w:bidi="en-US"/>
        </w:rPr>
        <w:t>éducation et de l</w:t>
      </w:r>
      <w:r w:rsidR="00731F09" w:rsidRPr="00E1372C">
        <w:rPr>
          <w:lang w:val="fr-FR" w:bidi="en-US"/>
        </w:rPr>
        <w:t>’</w:t>
      </w:r>
      <w:r w:rsidR="009149E8" w:rsidRPr="00E1372C">
        <w:rPr>
          <w:lang w:val="fr-FR" w:bidi="en-US"/>
        </w:rPr>
        <w:t>emploi. Au sens du paragraphe 2 de l</w:t>
      </w:r>
      <w:r w:rsidR="00731F09" w:rsidRPr="00E1372C">
        <w:rPr>
          <w:lang w:val="fr-FR" w:bidi="en-US"/>
        </w:rPr>
        <w:t>’</w:t>
      </w:r>
      <w:r w:rsidR="009149E8" w:rsidRPr="00E1372C">
        <w:rPr>
          <w:lang w:val="fr-FR" w:bidi="en-US"/>
        </w:rPr>
        <w:t>article 23 de la Constitution, le Parlement peut adopter une loi prévoyant, directement ou indirectement, l</w:t>
      </w:r>
      <w:r w:rsidR="00731F09" w:rsidRPr="00E1372C">
        <w:rPr>
          <w:lang w:val="fr-FR" w:bidi="en-US"/>
        </w:rPr>
        <w:t>’</w:t>
      </w:r>
      <w:r w:rsidR="009149E8" w:rsidRPr="00E1372C">
        <w:rPr>
          <w:lang w:val="fr-FR" w:bidi="en-US"/>
        </w:rPr>
        <w:t xml:space="preserve">avancement de personnes </w:t>
      </w:r>
      <w:r w:rsidR="009149E8" w:rsidRPr="00E1372C">
        <w:rPr>
          <w:lang w:val="fr-FR"/>
        </w:rPr>
        <w:t>qui ont été défavorisées sur le plan social, économique ou en matière d</w:t>
      </w:r>
      <w:r w:rsidR="00731F09" w:rsidRPr="00E1372C">
        <w:rPr>
          <w:lang w:val="fr-FR"/>
        </w:rPr>
        <w:t>’</w:t>
      </w:r>
      <w:r w:rsidR="009149E8" w:rsidRPr="00E1372C">
        <w:rPr>
          <w:lang w:val="fr-FR"/>
        </w:rPr>
        <w:t>éducation du fait de lois ou de pratiques discriminatoires passées, ou l</w:t>
      </w:r>
      <w:r w:rsidR="00731F09" w:rsidRPr="00E1372C">
        <w:rPr>
          <w:lang w:val="fr-FR"/>
        </w:rPr>
        <w:t>’</w:t>
      </w:r>
      <w:r w:rsidR="009149E8" w:rsidRPr="00E1372C">
        <w:rPr>
          <w:lang w:val="fr-FR"/>
        </w:rPr>
        <w:t>application de politiques et de programmes visant à corriger des déséquilibres sociaux, économiques ou en matière d</w:t>
      </w:r>
      <w:r w:rsidR="00731F09" w:rsidRPr="00E1372C">
        <w:rPr>
          <w:lang w:val="fr-FR"/>
        </w:rPr>
        <w:t>’</w:t>
      </w:r>
      <w:r w:rsidR="009149E8" w:rsidRPr="00E1372C">
        <w:rPr>
          <w:lang w:val="fr-FR"/>
        </w:rPr>
        <w:t xml:space="preserve">éducation existant dans la société namibienne du fait de lois ou de pratiques discriminatoires passées. </w:t>
      </w:r>
      <w:r w:rsidR="009149E8" w:rsidRPr="00E1372C">
        <w:rPr>
          <w:lang w:val="fr-FR" w:bidi="en-US"/>
        </w:rPr>
        <w:t>La politique, au titre de la loi, est appliquée aux cas méritants. Qu</w:t>
      </w:r>
      <w:r w:rsidR="00731F09" w:rsidRPr="00E1372C">
        <w:rPr>
          <w:lang w:val="fr-FR" w:bidi="en-US"/>
        </w:rPr>
        <w:t>’</w:t>
      </w:r>
      <w:r w:rsidR="009149E8" w:rsidRPr="00E1372C">
        <w:rPr>
          <w:lang w:val="fr-FR" w:bidi="en-US"/>
        </w:rPr>
        <w:t xml:space="preserve">est-ce que cela signifie? </w:t>
      </w:r>
    </w:p>
    <w:p w:rsidR="00A55A0E" w:rsidRPr="00E1372C" w:rsidRDefault="007A1757" w:rsidP="007A1757">
      <w:pPr>
        <w:pStyle w:val="SingleTxtG"/>
        <w:rPr>
          <w:lang w:val="fr-FR" w:bidi="en-US"/>
        </w:rPr>
      </w:pPr>
      <w:r w:rsidRPr="00E1372C">
        <w:rPr>
          <w:lang w:val="fr-FR" w:bidi="en-US"/>
        </w:rPr>
        <w:t>105.</w:t>
      </w:r>
      <w:r w:rsidRPr="00E1372C">
        <w:rPr>
          <w:lang w:val="fr-FR" w:bidi="en-US"/>
        </w:rPr>
        <w:tab/>
      </w:r>
      <w:r w:rsidR="009149E8" w:rsidRPr="00E1372C">
        <w:rPr>
          <w:lang w:val="fr-FR" w:bidi="en-US"/>
        </w:rPr>
        <w:t>La politique gouvernementale de réconciliation nationale a été pleinement approuvée par tous les Namibiens. Durant les années qui ont suivi l</w:t>
      </w:r>
      <w:r w:rsidR="00731F09" w:rsidRPr="00E1372C">
        <w:rPr>
          <w:lang w:val="fr-FR" w:bidi="en-US"/>
        </w:rPr>
        <w:t>’</w:t>
      </w:r>
      <w:r w:rsidR="009149E8" w:rsidRPr="00E1372C">
        <w:rPr>
          <w:lang w:val="fr-FR" w:bidi="en-US"/>
        </w:rPr>
        <w:t>indépendance, seules quelques affaires liées à la discrimination raciale ont été déférées devant les tribunaux en vertu de la loi de 1991 relative à la lutte contre la discrimination raciale.</w:t>
      </w:r>
    </w:p>
    <w:p w:rsidR="00CB26BD" w:rsidRPr="00E1372C" w:rsidRDefault="007A1757" w:rsidP="007A1757">
      <w:pPr>
        <w:pStyle w:val="SingleTxtG"/>
        <w:rPr>
          <w:lang w:val="fr-FR" w:bidi="en-US"/>
        </w:rPr>
      </w:pPr>
      <w:r w:rsidRPr="00E1372C">
        <w:rPr>
          <w:lang w:val="fr-FR" w:bidi="en-US"/>
        </w:rPr>
        <w:t>106.</w:t>
      </w:r>
      <w:r w:rsidRPr="00E1372C">
        <w:rPr>
          <w:lang w:val="fr-FR" w:bidi="en-US"/>
        </w:rPr>
        <w:tab/>
      </w:r>
      <w:r w:rsidR="00CB26BD" w:rsidRPr="00E1372C">
        <w:rPr>
          <w:lang w:val="fr-FR" w:bidi="en-US"/>
        </w:rPr>
        <w:t>L</w:t>
      </w:r>
      <w:r w:rsidR="00731F09" w:rsidRPr="00E1372C">
        <w:rPr>
          <w:lang w:val="fr-FR" w:bidi="en-US"/>
        </w:rPr>
        <w:t>’</w:t>
      </w:r>
      <w:r w:rsidR="00CB26BD" w:rsidRPr="00E1372C">
        <w:rPr>
          <w:lang w:val="fr-FR" w:bidi="en-US"/>
        </w:rPr>
        <w:t>une des méthodes utilisées pour neutraliser la discrimination raciale s</w:t>
      </w:r>
      <w:r w:rsidR="00731F09" w:rsidRPr="00E1372C">
        <w:rPr>
          <w:lang w:val="fr-FR" w:bidi="en-US"/>
        </w:rPr>
        <w:t>’</w:t>
      </w:r>
      <w:r w:rsidR="00CB26BD" w:rsidRPr="00E1372C">
        <w:rPr>
          <w:lang w:val="fr-FR" w:bidi="en-US"/>
        </w:rPr>
        <w:t>est appuyée sur les travaux du Ministère de l</w:t>
      </w:r>
      <w:r w:rsidR="00731F09" w:rsidRPr="00E1372C">
        <w:rPr>
          <w:lang w:val="fr-FR" w:bidi="en-US"/>
        </w:rPr>
        <w:t>’</w:t>
      </w:r>
      <w:r w:rsidR="00CB26BD" w:rsidRPr="00E1372C">
        <w:rPr>
          <w:lang w:val="fr-FR" w:bidi="en-US"/>
        </w:rPr>
        <w:t>éducation et de la culture de l</w:t>
      </w:r>
      <w:r w:rsidR="00731F09" w:rsidRPr="00E1372C">
        <w:rPr>
          <w:lang w:val="fr-FR" w:bidi="en-US"/>
        </w:rPr>
        <w:t>’</w:t>
      </w:r>
      <w:r w:rsidR="00CB26BD" w:rsidRPr="00E1372C">
        <w:rPr>
          <w:lang w:val="fr-FR" w:bidi="en-US"/>
        </w:rPr>
        <w:t>époque. Un Comité interministériel de l</w:t>
      </w:r>
      <w:r w:rsidR="00731F09" w:rsidRPr="00E1372C">
        <w:rPr>
          <w:lang w:val="fr-FR" w:bidi="en-US"/>
        </w:rPr>
        <w:t>’</w:t>
      </w:r>
      <w:r w:rsidR="00CB26BD" w:rsidRPr="00E1372C">
        <w:rPr>
          <w:lang w:val="fr-FR" w:bidi="en-US"/>
        </w:rPr>
        <w:t>instruction civique a été constitué avec des institutions gouvernementales, des organisations privées et des institutions de la société civile namibienne. Il a élaboré un modèle de cadre d</w:t>
      </w:r>
      <w:r w:rsidR="00731F09" w:rsidRPr="00E1372C">
        <w:rPr>
          <w:lang w:val="fr-FR" w:bidi="en-US"/>
        </w:rPr>
        <w:t>’</w:t>
      </w:r>
      <w:r w:rsidR="00CB26BD" w:rsidRPr="00E1372C">
        <w:rPr>
          <w:lang w:val="fr-FR" w:bidi="en-US"/>
        </w:rPr>
        <w:t xml:space="preserve">instruction civique en Namibie, dont certains éléments ont été inscrits dans différents programmes scolaires. </w:t>
      </w:r>
    </w:p>
    <w:p w:rsidR="00CB26BD" w:rsidRPr="00E1372C" w:rsidRDefault="007A1757" w:rsidP="007A1757">
      <w:pPr>
        <w:pStyle w:val="SingleTxtG"/>
        <w:rPr>
          <w:b/>
          <w:lang w:val="fr-FR" w:bidi="en-US"/>
        </w:rPr>
      </w:pPr>
      <w:r w:rsidRPr="00E1372C">
        <w:rPr>
          <w:lang w:val="fr-FR" w:bidi="en-US"/>
        </w:rPr>
        <w:t>107.</w:t>
      </w:r>
      <w:r w:rsidRPr="00E1372C">
        <w:rPr>
          <w:lang w:val="fr-FR" w:bidi="en-US"/>
        </w:rPr>
        <w:tab/>
      </w:r>
      <w:r w:rsidR="00CB26BD" w:rsidRPr="00E1372C">
        <w:rPr>
          <w:lang w:val="fr-FR" w:bidi="en-US"/>
        </w:rPr>
        <w:t>La Namibie a également lutté contre la discrimination raciale par le truchement de programmes d</w:t>
      </w:r>
      <w:r w:rsidR="00731F09" w:rsidRPr="00E1372C">
        <w:rPr>
          <w:lang w:val="fr-FR" w:bidi="en-US"/>
        </w:rPr>
        <w:t>’</w:t>
      </w:r>
      <w:r w:rsidR="00CB26BD" w:rsidRPr="00E1372C">
        <w:rPr>
          <w:lang w:val="fr-FR" w:bidi="en-US"/>
        </w:rPr>
        <w:t>études sociales (4</w:t>
      </w:r>
      <w:r w:rsidR="00CB26BD" w:rsidRPr="00E1372C">
        <w:rPr>
          <w:vertAlign w:val="superscript"/>
          <w:lang w:val="fr-FR" w:bidi="en-US"/>
        </w:rPr>
        <w:t>e</w:t>
      </w:r>
      <w:r w:rsidR="00CB26BD" w:rsidRPr="00E1372C">
        <w:rPr>
          <w:lang w:val="fr-FR" w:bidi="en-US"/>
        </w:rPr>
        <w:t xml:space="preserve"> à 7</w:t>
      </w:r>
      <w:r w:rsidR="00CB26BD" w:rsidRPr="00E1372C">
        <w:rPr>
          <w:vertAlign w:val="superscript"/>
          <w:lang w:val="fr-FR" w:bidi="en-US"/>
        </w:rPr>
        <w:t>e</w:t>
      </w:r>
      <w:r w:rsidR="00CB26BD" w:rsidRPr="00E1372C">
        <w:rPr>
          <w:lang w:val="fr-FR" w:bidi="en-US"/>
        </w:rPr>
        <w:t> années) qui aborde</w:t>
      </w:r>
      <w:r w:rsidR="00810FA2" w:rsidRPr="00E1372C">
        <w:rPr>
          <w:lang w:val="fr-FR" w:bidi="en-US"/>
        </w:rPr>
        <w:t>nt</w:t>
      </w:r>
      <w:r w:rsidR="00CB26BD" w:rsidRPr="00E1372C">
        <w:rPr>
          <w:lang w:val="fr-FR" w:bidi="en-US"/>
        </w:rPr>
        <w:t xml:space="preserve"> les valeurs civil</w:t>
      </w:r>
      <w:r w:rsidR="00F747EE" w:rsidRPr="00E1372C">
        <w:rPr>
          <w:lang w:val="fr-FR" w:bidi="en-US"/>
        </w:rPr>
        <w:t>e</w:t>
      </w:r>
      <w:r w:rsidR="00CB26BD" w:rsidRPr="00E1372C">
        <w:rPr>
          <w:lang w:val="fr-FR" w:bidi="en-US"/>
        </w:rPr>
        <w:t>s, les droits et responsabilités, les causes de changement et de développement qui influent sur la paix et l</w:t>
      </w:r>
      <w:r w:rsidR="00731F09" w:rsidRPr="00E1372C">
        <w:rPr>
          <w:lang w:val="fr-FR" w:bidi="en-US"/>
        </w:rPr>
        <w:t>’</w:t>
      </w:r>
      <w:r w:rsidR="00CB26BD" w:rsidRPr="00E1372C">
        <w:rPr>
          <w:lang w:val="fr-FR" w:bidi="en-US"/>
        </w:rPr>
        <w:t>harmonie au sein de la famille, dans la communauté, le pays et le monde. Le pays encourage la mise en valeur de comportements comme l</w:t>
      </w:r>
      <w:r w:rsidR="00731F09" w:rsidRPr="00E1372C">
        <w:rPr>
          <w:lang w:val="fr-FR" w:bidi="en-US"/>
        </w:rPr>
        <w:t>’</w:t>
      </w:r>
      <w:r w:rsidR="00CB26BD" w:rsidRPr="00E1372C">
        <w:rPr>
          <w:lang w:val="fr-FR" w:bidi="en-US"/>
        </w:rPr>
        <w:t>attachement aux valeurs humaines de justice, d</w:t>
      </w:r>
      <w:r w:rsidR="00731F09" w:rsidRPr="00E1372C">
        <w:rPr>
          <w:lang w:val="fr-FR" w:bidi="en-US"/>
        </w:rPr>
        <w:t>’</w:t>
      </w:r>
      <w:r w:rsidR="00CB26BD" w:rsidRPr="00E1372C">
        <w:rPr>
          <w:lang w:val="fr-FR" w:bidi="en-US"/>
        </w:rPr>
        <w:t>égalité, de diversité et aux droits de l</w:t>
      </w:r>
      <w:r w:rsidR="00731F09" w:rsidRPr="00E1372C">
        <w:rPr>
          <w:lang w:val="fr-FR" w:bidi="en-US"/>
        </w:rPr>
        <w:t>’</w:t>
      </w:r>
      <w:r w:rsidR="00CB26BD" w:rsidRPr="00E1372C">
        <w:rPr>
          <w:lang w:val="fr-FR" w:bidi="en-US"/>
        </w:rPr>
        <w:t>homme, ainsi que le renforcement des compétences à rendre des décisions avisées dans les domaines de la justice, de l</w:t>
      </w:r>
      <w:r w:rsidR="00731F09" w:rsidRPr="00E1372C">
        <w:rPr>
          <w:lang w:val="fr-FR" w:bidi="en-US"/>
        </w:rPr>
        <w:t>’</w:t>
      </w:r>
      <w:r w:rsidR="00CB26BD" w:rsidRPr="00E1372C">
        <w:rPr>
          <w:lang w:val="fr-FR" w:bidi="en-US"/>
        </w:rPr>
        <w:t>équité et d</w:t>
      </w:r>
      <w:r w:rsidR="00731F09" w:rsidRPr="00E1372C">
        <w:rPr>
          <w:lang w:val="fr-FR" w:bidi="en-US"/>
        </w:rPr>
        <w:t>’</w:t>
      </w:r>
      <w:r w:rsidR="00CB26BD" w:rsidRPr="00E1372C">
        <w:rPr>
          <w:lang w:val="fr-FR" w:bidi="en-US"/>
        </w:rPr>
        <w:t>autres valeurs démocratiques. En conséquence, un certain nombre de matières de base inscrites au programme d</w:t>
      </w:r>
      <w:r w:rsidR="00731F09" w:rsidRPr="00E1372C">
        <w:rPr>
          <w:lang w:val="fr-FR" w:bidi="en-US"/>
        </w:rPr>
        <w:t>’</w:t>
      </w:r>
      <w:r w:rsidR="00CB26BD" w:rsidRPr="00E1372C">
        <w:rPr>
          <w:lang w:val="fr-FR" w:bidi="en-US"/>
        </w:rPr>
        <w:t>études de 4</w:t>
      </w:r>
      <w:r w:rsidR="00CB26BD" w:rsidRPr="00E1372C">
        <w:rPr>
          <w:vertAlign w:val="superscript"/>
          <w:lang w:val="fr-FR" w:bidi="en-US"/>
        </w:rPr>
        <w:t>e</w:t>
      </w:r>
      <w:r w:rsidR="00CB26BD" w:rsidRPr="00E1372C">
        <w:rPr>
          <w:lang w:val="fr-FR" w:bidi="en-US"/>
        </w:rPr>
        <w:t> année abordent directement ou indirectement les questions de meilleure compréhension d</w:t>
      </w:r>
      <w:r w:rsidR="00731F09" w:rsidRPr="00E1372C">
        <w:rPr>
          <w:lang w:val="fr-FR" w:bidi="en-US"/>
        </w:rPr>
        <w:t>’</w:t>
      </w:r>
      <w:r w:rsidR="00CB26BD" w:rsidRPr="00E1372C">
        <w:rPr>
          <w:lang w:val="fr-FR" w:bidi="en-US"/>
        </w:rPr>
        <w:t>autrui, de tolérance et d</w:t>
      </w:r>
      <w:r w:rsidR="00731F09" w:rsidRPr="00E1372C">
        <w:rPr>
          <w:lang w:val="fr-FR" w:bidi="en-US"/>
        </w:rPr>
        <w:t>’</w:t>
      </w:r>
      <w:r w:rsidR="00CB26BD" w:rsidRPr="00E1372C">
        <w:rPr>
          <w:lang w:val="fr-FR" w:bidi="en-US"/>
        </w:rPr>
        <w:t>amitié.</w:t>
      </w:r>
    </w:p>
    <w:p w:rsidR="00A55A0E" w:rsidRPr="00E1372C" w:rsidRDefault="00142371" w:rsidP="00142371">
      <w:pPr>
        <w:pStyle w:val="H23G"/>
        <w:rPr>
          <w:lang w:val="fr-FR" w:bidi="en-US"/>
        </w:rPr>
      </w:pPr>
      <w:r w:rsidRPr="00E1372C">
        <w:rPr>
          <w:lang w:val="fr-FR" w:bidi="en-US"/>
        </w:rPr>
        <w:tab/>
      </w:r>
      <w:r w:rsidRPr="00E1372C">
        <w:rPr>
          <w:lang w:val="fr-FR" w:bidi="en-US"/>
        </w:rPr>
        <w:tab/>
      </w:r>
      <w:r w:rsidR="00CB26BD" w:rsidRPr="00E1372C">
        <w:rPr>
          <w:lang w:val="fr-FR" w:bidi="en-US"/>
        </w:rPr>
        <w:t>S</w:t>
      </w:r>
      <w:r w:rsidR="00A55A0E" w:rsidRPr="00E1372C">
        <w:rPr>
          <w:lang w:val="fr-FR" w:bidi="en-US"/>
        </w:rPr>
        <w:t>tatu</w:t>
      </w:r>
      <w:r w:rsidR="00CB26BD" w:rsidRPr="00E1372C">
        <w:rPr>
          <w:lang w:val="fr-FR" w:bidi="en-US"/>
        </w:rPr>
        <w:t>t juridique et application du Pacte</w:t>
      </w:r>
    </w:p>
    <w:p w:rsidR="00697BC8" w:rsidRPr="00E1372C" w:rsidRDefault="007A1757" w:rsidP="007A1B1C">
      <w:pPr>
        <w:pStyle w:val="SingleTxtG"/>
        <w:rPr>
          <w:lang w:val="fr-FR" w:bidi="en-US"/>
        </w:rPr>
      </w:pPr>
      <w:r w:rsidRPr="00E1372C">
        <w:rPr>
          <w:lang w:val="fr-FR" w:bidi="en-US"/>
        </w:rPr>
        <w:t>108.</w:t>
      </w:r>
      <w:r w:rsidRPr="00E1372C">
        <w:rPr>
          <w:lang w:val="fr-FR" w:bidi="en-US"/>
        </w:rPr>
        <w:tab/>
      </w:r>
      <w:r w:rsidR="00697BC8" w:rsidRPr="00E1372C">
        <w:rPr>
          <w:lang w:val="fr-FR" w:bidi="en-US"/>
        </w:rPr>
        <w:t>Le peuple namibien a subi plus d</w:t>
      </w:r>
      <w:r w:rsidR="00731F09" w:rsidRPr="00E1372C">
        <w:rPr>
          <w:lang w:val="fr-FR" w:bidi="en-US"/>
        </w:rPr>
        <w:t>’</w:t>
      </w:r>
      <w:r w:rsidR="00697BC8" w:rsidRPr="00E1372C">
        <w:rPr>
          <w:lang w:val="fr-FR" w:bidi="en-US"/>
        </w:rPr>
        <w:t xml:space="preserve">un siècle de régime colonial. </w:t>
      </w:r>
      <w:r w:rsidR="00245BE1" w:rsidRPr="00E1372C">
        <w:rPr>
          <w:lang w:val="fr-FR"/>
        </w:rPr>
        <w:t>Après une longue lutte armée pour la libération, le pays a tenu ses premières él</w:t>
      </w:r>
      <w:r w:rsidR="007A1B1C" w:rsidRPr="00E1372C">
        <w:rPr>
          <w:lang w:val="fr-FR"/>
        </w:rPr>
        <w:t xml:space="preserve">ections libres et régulières du </w:t>
      </w:r>
      <w:r w:rsidR="00245BE1" w:rsidRPr="00E1372C">
        <w:rPr>
          <w:lang w:val="fr-FR"/>
        </w:rPr>
        <w:t>7</w:t>
      </w:r>
      <w:r w:rsidR="007A1B1C" w:rsidRPr="00E1372C">
        <w:rPr>
          <w:lang w:val="fr-FR"/>
        </w:rPr>
        <w:t> </w:t>
      </w:r>
      <w:r w:rsidR="00245BE1" w:rsidRPr="00E1372C">
        <w:rPr>
          <w:lang w:val="fr-FR"/>
        </w:rPr>
        <w:t>au 11 novembre 1989, sous l</w:t>
      </w:r>
      <w:r w:rsidR="00731F09" w:rsidRPr="00E1372C">
        <w:rPr>
          <w:lang w:val="fr-FR"/>
        </w:rPr>
        <w:t>’</w:t>
      </w:r>
      <w:r w:rsidR="001924BB" w:rsidRPr="00E1372C">
        <w:rPr>
          <w:lang w:val="fr-FR"/>
        </w:rPr>
        <w:t>égide</w:t>
      </w:r>
      <w:r w:rsidR="00245BE1" w:rsidRPr="00E1372C">
        <w:rPr>
          <w:lang w:val="fr-FR"/>
        </w:rPr>
        <w:t xml:space="preserve"> de l</w:t>
      </w:r>
      <w:r w:rsidR="00731F09" w:rsidRPr="00E1372C">
        <w:rPr>
          <w:lang w:val="fr-FR"/>
        </w:rPr>
        <w:t>’</w:t>
      </w:r>
      <w:r w:rsidR="00245BE1" w:rsidRPr="00E1372C">
        <w:rPr>
          <w:lang w:val="fr-FR"/>
        </w:rPr>
        <w:t>ONU. Depuis l</w:t>
      </w:r>
      <w:r w:rsidR="00731F09" w:rsidRPr="00E1372C">
        <w:rPr>
          <w:lang w:val="fr-FR"/>
        </w:rPr>
        <w:t>’</w:t>
      </w:r>
      <w:r w:rsidR="00245BE1" w:rsidRPr="00E1372C">
        <w:rPr>
          <w:lang w:val="fr-FR"/>
        </w:rPr>
        <w:t>indépendance du pays, proclamée le 21 mars 1990, plusieurs élections</w:t>
      </w:r>
      <w:r w:rsidR="009F02BA" w:rsidRPr="00E1372C">
        <w:rPr>
          <w:lang w:val="fr-FR"/>
        </w:rPr>
        <w:t>,</w:t>
      </w:r>
      <w:r w:rsidR="00245BE1" w:rsidRPr="00E1372C">
        <w:rPr>
          <w:lang w:val="fr-FR"/>
        </w:rPr>
        <w:t xml:space="preserve"> également reconnues comme libres et régulières par les observateurs internationaux</w:t>
      </w:r>
      <w:r w:rsidR="009F02BA" w:rsidRPr="00E1372C">
        <w:rPr>
          <w:lang w:val="fr-FR"/>
        </w:rPr>
        <w:t>,</w:t>
      </w:r>
      <w:r w:rsidR="00245BE1" w:rsidRPr="00E1372C">
        <w:rPr>
          <w:lang w:val="fr-FR"/>
        </w:rPr>
        <w:t xml:space="preserve"> ont eu lieu aux niveaux national et régional.</w:t>
      </w:r>
    </w:p>
    <w:p w:rsidR="00245BE1" w:rsidRPr="00E1372C" w:rsidRDefault="007A1757" w:rsidP="00142371">
      <w:pPr>
        <w:pStyle w:val="SingleTxtG"/>
        <w:rPr>
          <w:lang w:val="fr-FR" w:bidi="en-US"/>
        </w:rPr>
      </w:pPr>
      <w:r w:rsidRPr="00E1372C">
        <w:rPr>
          <w:lang w:val="fr-FR" w:bidi="en-US"/>
        </w:rPr>
        <w:t>109.</w:t>
      </w:r>
      <w:r w:rsidRPr="00E1372C">
        <w:rPr>
          <w:lang w:val="fr-FR" w:bidi="en-US"/>
        </w:rPr>
        <w:tab/>
      </w:r>
      <w:r w:rsidR="00245BE1" w:rsidRPr="00E1372C">
        <w:rPr>
          <w:lang w:val="fr-FR" w:bidi="en-US"/>
        </w:rPr>
        <w:t>L</w:t>
      </w:r>
      <w:r w:rsidR="00731F09" w:rsidRPr="00E1372C">
        <w:rPr>
          <w:lang w:val="fr-FR" w:bidi="en-US"/>
        </w:rPr>
        <w:t>’</w:t>
      </w:r>
      <w:r w:rsidR="00D17E3A" w:rsidRPr="00E1372C">
        <w:rPr>
          <w:lang w:val="fr-FR" w:bidi="en-US"/>
        </w:rPr>
        <w:t xml:space="preserve">article </w:t>
      </w:r>
      <w:r w:rsidR="00142371" w:rsidRPr="00E1372C">
        <w:rPr>
          <w:lang w:val="fr-FR" w:bidi="en-US"/>
        </w:rPr>
        <w:t>1</w:t>
      </w:r>
      <w:r w:rsidR="00142371" w:rsidRPr="00E1372C">
        <w:rPr>
          <w:vertAlign w:val="superscript"/>
          <w:lang w:val="fr-FR" w:bidi="en-US"/>
        </w:rPr>
        <w:t>er</w:t>
      </w:r>
      <w:r w:rsidR="00142371" w:rsidRPr="00E1372C">
        <w:rPr>
          <w:lang w:val="fr-FR" w:bidi="en-US"/>
        </w:rPr>
        <w:t xml:space="preserve"> </w:t>
      </w:r>
      <w:r w:rsidR="00245BE1" w:rsidRPr="00E1372C">
        <w:rPr>
          <w:lang w:val="fr-FR" w:bidi="en-US"/>
        </w:rPr>
        <w:t xml:space="preserve">de la Constitution dispose que </w:t>
      </w:r>
      <w:r w:rsidR="00245BE1" w:rsidRPr="00E1372C">
        <w:rPr>
          <w:lang w:val="fr-FR"/>
        </w:rPr>
        <w:t>le pouvoir appartient au peuple namibien, qui exerce sa souveraineté par le biais des institutions démocratiques de l</w:t>
      </w:r>
      <w:r w:rsidR="00731F09" w:rsidRPr="00E1372C">
        <w:rPr>
          <w:lang w:val="fr-FR"/>
        </w:rPr>
        <w:t>’</w:t>
      </w:r>
      <w:r w:rsidR="00245BE1" w:rsidRPr="00E1372C">
        <w:rPr>
          <w:lang w:val="fr-FR"/>
        </w:rPr>
        <w:t>État.</w:t>
      </w:r>
    </w:p>
    <w:p w:rsidR="00A55A0E" w:rsidRPr="00E1372C" w:rsidRDefault="007A1757" w:rsidP="007A1757">
      <w:pPr>
        <w:pStyle w:val="SingleTxtG"/>
        <w:rPr>
          <w:lang w:val="fr-FR" w:bidi="en-US"/>
        </w:rPr>
      </w:pPr>
      <w:r w:rsidRPr="00E1372C">
        <w:rPr>
          <w:lang w:val="fr-FR" w:bidi="en-US"/>
        </w:rPr>
        <w:t>110.</w:t>
      </w:r>
      <w:r w:rsidRPr="00E1372C">
        <w:rPr>
          <w:lang w:val="fr-FR" w:bidi="en-US"/>
        </w:rPr>
        <w:tab/>
      </w:r>
      <w:r w:rsidR="00245BE1" w:rsidRPr="00E1372C">
        <w:rPr>
          <w:lang w:val="fr-FR"/>
        </w:rPr>
        <w:t xml:space="preserve">La Namibie a un système politique multipartite. Tous les citoyens ont le droit de participer librement à tous les organes </w:t>
      </w:r>
      <w:r w:rsidR="009F02BA" w:rsidRPr="00E1372C">
        <w:rPr>
          <w:lang w:val="fr-FR"/>
        </w:rPr>
        <w:t>g</w:t>
      </w:r>
      <w:r w:rsidR="00245BE1" w:rsidRPr="00E1372C">
        <w:rPr>
          <w:lang w:val="fr-FR"/>
        </w:rPr>
        <w:t>ouvernement</w:t>
      </w:r>
      <w:r w:rsidR="009F02BA" w:rsidRPr="00E1372C">
        <w:rPr>
          <w:lang w:val="fr-FR"/>
        </w:rPr>
        <w:t>aux</w:t>
      </w:r>
      <w:r w:rsidR="00245BE1" w:rsidRPr="00E1372C">
        <w:rPr>
          <w:lang w:val="fr-FR"/>
        </w:rPr>
        <w:t>, soit directement, soit par l</w:t>
      </w:r>
      <w:r w:rsidR="00731F09" w:rsidRPr="00E1372C">
        <w:rPr>
          <w:lang w:val="fr-FR"/>
        </w:rPr>
        <w:t>’</w:t>
      </w:r>
      <w:r w:rsidR="00245BE1" w:rsidRPr="00E1372C">
        <w:rPr>
          <w:lang w:val="fr-FR"/>
        </w:rPr>
        <w:t xml:space="preserve">intermédiaire de leurs représentants librement choisis, aux niveaux national, régional et local. Les élections se déroulent dans le respect de la Constitution et de la loi électorale </w:t>
      </w:r>
      <w:r w:rsidR="009F02BA" w:rsidRPr="00E1372C">
        <w:rPr>
          <w:lang w:val="fr-FR"/>
        </w:rPr>
        <w:t>n</w:t>
      </w:r>
      <w:r w:rsidR="00B277C4" w:rsidRPr="00E1372C">
        <w:rPr>
          <w:vertAlign w:val="superscript"/>
          <w:lang w:val="fr-FR"/>
        </w:rPr>
        <w:t>o</w:t>
      </w:r>
      <w:r w:rsidR="007A1B1C" w:rsidRPr="00E1372C">
        <w:rPr>
          <w:lang w:val="fr-FR"/>
        </w:rPr>
        <w:t> </w:t>
      </w:r>
      <w:r w:rsidR="009F02BA" w:rsidRPr="00E1372C">
        <w:rPr>
          <w:lang w:val="fr-FR"/>
        </w:rPr>
        <w:t xml:space="preserve">24 </w:t>
      </w:r>
      <w:r w:rsidR="00245BE1" w:rsidRPr="00E1372C">
        <w:rPr>
          <w:lang w:val="fr-FR"/>
        </w:rPr>
        <w:t>de 1992</w:t>
      </w:r>
      <w:r w:rsidR="009F02BA" w:rsidRPr="00E1372C">
        <w:rPr>
          <w:lang w:val="fr-FR"/>
        </w:rPr>
        <w:t xml:space="preserve">. </w:t>
      </w:r>
      <w:r w:rsidR="00245BE1" w:rsidRPr="00E1372C">
        <w:rPr>
          <w:lang w:val="fr-FR"/>
        </w:rPr>
        <w:t>L</w:t>
      </w:r>
      <w:r w:rsidR="00731F09" w:rsidRPr="00E1372C">
        <w:rPr>
          <w:lang w:val="fr-FR"/>
        </w:rPr>
        <w:t>’</w:t>
      </w:r>
      <w:r w:rsidR="00245BE1" w:rsidRPr="00E1372C">
        <w:rPr>
          <w:lang w:val="fr-FR"/>
        </w:rPr>
        <w:t xml:space="preserve">article 3 de cette loi établit une commission électorale indépendante qui seule a qualité pour </w:t>
      </w:r>
      <w:r w:rsidR="00AE017E" w:rsidRPr="00E1372C">
        <w:rPr>
          <w:lang w:val="fr-FR"/>
        </w:rPr>
        <w:t>«</w:t>
      </w:r>
      <w:r w:rsidR="00245BE1" w:rsidRPr="00E1372C">
        <w:rPr>
          <w:lang w:val="fr-FR"/>
        </w:rPr>
        <w:t>organiser, superviser et contrôler de façon loyale et impartiale les élections régies par la présente loi</w:t>
      </w:r>
      <w:r w:rsidR="00AE017E" w:rsidRPr="00E1372C">
        <w:rPr>
          <w:lang w:val="fr-FR"/>
        </w:rPr>
        <w:t>»</w:t>
      </w:r>
      <w:r w:rsidR="00245BE1" w:rsidRPr="00E1372C">
        <w:rPr>
          <w:lang w:val="fr-FR"/>
        </w:rPr>
        <w:t>. Conformément à l</w:t>
      </w:r>
      <w:r w:rsidR="00731F09" w:rsidRPr="00E1372C">
        <w:rPr>
          <w:lang w:val="fr-FR"/>
        </w:rPr>
        <w:t>’</w:t>
      </w:r>
      <w:r w:rsidR="00245BE1" w:rsidRPr="00E1372C">
        <w:rPr>
          <w:lang w:val="fr-FR"/>
        </w:rPr>
        <w:t>article 5 de la loi, la Commission comprend</w:t>
      </w:r>
      <w:r w:rsidR="00AE017E" w:rsidRPr="00E1372C">
        <w:rPr>
          <w:lang w:val="fr-FR"/>
        </w:rPr>
        <w:t>:</w:t>
      </w:r>
    </w:p>
    <w:p w:rsidR="00A55A0E" w:rsidRPr="00E1372C" w:rsidRDefault="00A55A0E" w:rsidP="007A1B1C">
      <w:pPr>
        <w:pStyle w:val="SingleTxtG"/>
        <w:ind w:left="1701"/>
        <w:rPr>
          <w:lang w:val="fr-FR"/>
        </w:rPr>
      </w:pPr>
      <w:r w:rsidRPr="00E1372C">
        <w:rPr>
          <w:lang w:val="fr-FR"/>
        </w:rPr>
        <w:t>i)</w:t>
      </w:r>
      <w:r w:rsidRPr="00E1372C">
        <w:rPr>
          <w:lang w:val="fr-FR"/>
        </w:rPr>
        <w:tab/>
      </w:r>
      <w:r w:rsidR="007A1B1C" w:rsidRPr="00E1372C">
        <w:rPr>
          <w:lang w:val="fr-FR"/>
        </w:rPr>
        <w:t xml:space="preserve">Le </w:t>
      </w:r>
      <w:r w:rsidR="00245BE1" w:rsidRPr="00E1372C">
        <w:rPr>
          <w:lang w:val="fr-FR"/>
        </w:rPr>
        <w:t>Président de la Commission; et</w:t>
      </w:r>
    </w:p>
    <w:p w:rsidR="00A55A0E" w:rsidRPr="00E1372C" w:rsidRDefault="00A55A0E" w:rsidP="007A1B1C">
      <w:pPr>
        <w:pStyle w:val="SingleTxtG"/>
        <w:ind w:left="1701"/>
        <w:rPr>
          <w:lang w:val="fr-FR"/>
        </w:rPr>
      </w:pPr>
      <w:r w:rsidRPr="00E1372C">
        <w:rPr>
          <w:lang w:val="fr-FR"/>
        </w:rPr>
        <w:t>ii)</w:t>
      </w:r>
      <w:r w:rsidRPr="00E1372C">
        <w:rPr>
          <w:lang w:val="fr-FR"/>
        </w:rPr>
        <w:tab/>
      </w:r>
      <w:r w:rsidR="007A1B1C" w:rsidRPr="00E1372C">
        <w:rPr>
          <w:lang w:val="fr-FR"/>
        </w:rPr>
        <w:t xml:space="preserve">Quatre </w:t>
      </w:r>
      <w:r w:rsidR="00245BE1" w:rsidRPr="00E1372C">
        <w:rPr>
          <w:lang w:val="fr-FR"/>
        </w:rPr>
        <w:t>autres personnes, qui ont qualité de membre, nommées par le Président, sous réserve de l</w:t>
      </w:r>
      <w:r w:rsidR="00731F09" w:rsidRPr="00E1372C">
        <w:rPr>
          <w:lang w:val="fr-FR"/>
        </w:rPr>
        <w:t>’</w:t>
      </w:r>
      <w:r w:rsidR="00245BE1" w:rsidRPr="00E1372C">
        <w:rPr>
          <w:lang w:val="fr-FR"/>
        </w:rPr>
        <w:t>approbation de ce choix au moyen d</w:t>
      </w:r>
      <w:r w:rsidR="00731F09" w:rsidRPr="00E1372C">
        <w:rPr>
          <w:lang w:val="fr-FR"/>
        </w:rPr>
        <w:t>’</w:t>
      </w:r>
      <w:r w:rsidR="00245BE1" w:rsidRPr="00E1372C">
        <w:rPr>
          <w:lang w:val="fr-FR"/>
        </w:rPr>
        <w:t>une résolution de l</w:t>
      </w:r>
      <w:r w:rsidR="00731F09" w:rsidRPr="00E1372C">
        <w:rPr>
          <w:lang w:val="fr-FR"/>
        </w:rPr>
        <w:t>’</w:t>
      </w:r>
      <w:r w:rsidR="00245BE1" w:rsidRPr="00E1372C">
        <w:rPr>
          <w:lang w:val="fr-FR"/>
        </w:rPr>
        <w:t>Assemblée nationale. En vertu des dispositions de la loi n</w:t>
      </w:r>
      <w:r w:rsidR="00B277C4" w:rsidRPr="00E1372C">
        <w:rPr>
          <w:lang w:val="fr-FR"/>
        </w:rPr>
        <w:t>o</w:t>
      </w:r>
      <w:r w:rsidR="00245BE1" w:rsidRPr="00E1372C">
        <w:rPr>
          <w:lang w:val="fr-FR"/>
        </w:rPr>
        <w:t xml:space="preserve"> 29 de 1998 </w:t>
      </w:r>
      <w:r w:rsidR="008A6464" w:rsidRPr="00E1372C">
        <w:rPr>
          <w:lang w:val="fr-FR"/>
        </w:rPr>
        <w:t>relative à l</w:t>
      </w:r>
      <w:r w:rsidR="00731F09" w:rsidRPr="00E1372C">
        <w:rPr>
          <w:lang w:val="fr-FR"/>
        </w:rPr>
        <w:t>’</w:t>
      </w:r>
      <w:r w:rsidR="00A77D1F" w:rsidRPr="00E1372C">
        <w:rPr>
          <w:lang w:val="fr-FR"/>
        </w:rPr>
        <w:t>ac</w:t>
      </w:r>
      <w:r w:rsidR="008A6464" w:rsidRPr="00E1372C">
        <w:rPr>
          <w:lang w:val="fr-FR"/>
        </w:rPr>
        <w:t xml:space="preserve">tion </w:t>
      </w:r>
      <w:r w:rsidR="00245BE1" w:rsidRPr="00E1372C">
        <w:rPr>
          <w:lang w:val="fr-FR"/>
        </w:rPr>
        <w:t xml:space="preserve">positive, qui est actuellement soumise au Parlement, les citoyens appartenant à des groupes ayant subi une discrimination sous le régime précédent </w:t>
      </w:r>
      <w:r w:rsidR="008A6464" w:rsidRPr="00E1372C">
        <w:rPr>
          <w:lang w:val="fr-FR"/>
        </w:rPr>
        <w:t xml:space="preserve">quant à leur participation aux affaires publiques </w:t>
      </w:r>
      <w:r w:rsidR="00245BE1" w:rsidRPr="00E1372C">
        <w:rPr>
          <w:lang w:val="fr-FR"/>
        </w:rPr>
        <w:t>bénéficient d</w:t>
      </w:r>
      <w:r w:rsidR="00731F09" w:rsidRPr="00E1372C">
        <w:rPr>
          <w:lang w:val="fr-FR"/>
        </w:rPr>
        <w:t>’</w:t>
      </w:r>
      <w:r w:rsidR="00245BE1" w:rsidRPr="00E1372C">
        <w:rPr>
          <w:lang w:val="fr-FR"/>
        </w:rPr>
        <w:t>un traitement favorable.</w:t>
      </w:r>
    </w:p>
    <w:p w:rsidR="00A55A0E" w:rsidRPr="00E1372C" w:rsidRDefault="00A55A0E" w:rsidP="00351A1D">
      <w:pPr>
        <w:pStyle w:val="H23G"/>
        <w:rPr>
          <w:lang w:val="fr-FR" w:bidi="en-US"/>
        </w:rPr>
      </w:pPr>
      <w:r w:rsidRPr="00E1372C">
        <w:rPr>
          <w:lang w:val="fr-FR" w:bidi="en-US"/>
        </w:rPr>
        <w:tab/>
      </w:r>
      <w:r w:rsidRPr="00E1372C">
        <w:rPr>
          <w:lang w:val="fr-FR" w:bidi="en-US"/>
        </w:rPr>
        <w:tab/>
      </w:r>
      <w:r w:rsidR="00245BE1" w:rsidRPr="00E1372C">
        <w:rPr>
          <w:lang w:val="fr-FR" w:bidi="en-US"/>
        </w:rPr>
        <w:t>Exercice des droits et statut de réfugié</w:t>
      </w:r>
    </w:p>
    <w:p w:rsidR="00245BE1" w:rsidRPr="00E1372C" w:rsidRDefault="007A1757" w:rsidP="007A1757">
      <w:pPr>
        <w:pStyle w:val="SingleTxtG"/>
        <w:rPr>
          <w:lang w:val="fr-FR" w:bidi="en-US"/>
        </w:rPr>
      </w:pPr>
      <w:r w:rsidRPr="00E1372C">
        <w:rPr>
          <w:lang w:val="fr-FR" w:bidi="en-US"/>
        </w:rPr>
        <w:t>111.</w:t>
      </w:r>
      <w:r w:rsidRPr="00E1372C">
        <w:rPr>
          <w:lang w:val="fr-FR" w:bidi="en-US"/>
        </w:rPr>
        <w:tab/>
      </w:r>
      <w:r w:rsidR="00245BE1" w:rsidRPr="00E1372C">
        <w:rPr>
          <w:lang w:val="fr-FR" w:bidi="en-US"/>
        </w:rPr>
        <w:t>Le chapitre 3 de la Constitution énonce et garantit les droits de l</w:t>
      </w:r>
      <w:r w:rsidR="00731F09" w:rsidRPr="00E1372C">
        <w:rPr>
          <w:lang w:val="fr-FR" w:bidi="en-US"/>
        </w:rPr>
        <w:t>’</w:t>
      </w:r>
      <w:r w:rsidR="00245BE1" w:rsidRPr="00E1372C">
        <w:rPr>
          <w:lang w:val="fr-FR" w:bidi="en-US"/>
        </w:rPr>
        <w:t>homme et les libertés fondamentaux.</w:t>
      </w:r>
    </w:p>
    <w:p w:rsidR="00245BE1" w:rsidRPr="00E1372C" w:rsidRDefault="007A1757" w:rsidP="007A1757">
      <w:pPr>
        <w:pStyle w:val="SingleTxtG"/>
        <w:rPr>
          <w:lang w:val="fr-FR" w:bidi="en-US"/>
        </w:rPr>
      </w:pPr>
      <w:r w:rsidRPr="00E1372C">
        <w:rPr>
          <w:lang w:val="fr-FR" w:bidi="en-US"/>
        </w:rPr>
        <w:t>112.</w:t>
      </w:r>
      <w:r w:rsidRPr="00E1372C">
        <w:rPr>
          <w:lang w:val="fr-FR" w:bidi="en-US"/>
        </w:rPr>
        <w:tab/>
      </w:r>
      <w:r w:rsidR="00245BE1" w:rsidRPr="00E1372C">
        <w:rPr>
          <w:lang w:val="fr-FR" w:bidi="en-US"/>
        </w:rPr>
        <w:t xml:space="preserve">Toutes les personnes qui résident légalement en Namibie, y compris les réfugiés, jouissent des droits et libertés fondamentaux énoncés au chapitre 3. </w:t>
      </w:r>
      <w:r w:rsidR="00245BE1" w:rsidRPr="00E1372C">
        <w:rPr>
          <w:lang w:val="fr-FR"/>
        </w:rPr>
        <w:t>Le statut de réfugié en Namibie est régi par les obligations internationales découlant de la Charte des Nations Unies et de la Charte de l</w:t>
      </w:r>
      <w:r w:rsidR="00731F09" w:rsidRPr="00E1372C">
        <w:rPr>
          <w:lang w:val="fr-FR"/>
        </w:rPr>
        <w:t>’</w:t>
      </w:r>
      <w:r w:rsidR="00245BE1" w:rsidRPr="00E1372C">
        <w:rPr>
          <w:lang w:val="fr-FR"/>
        </w:rPr>
        <w:t>Organisation de l</w:t>
      </w:r>
      <w:r w:rsidR="00731F09" w:rsidRPr="00E1372C">
        <w:rPr>
          <w:lang w:val="fr-FR"/>
        </w:rPr>
        <w:t>’</w:t>
      </w:r>
      <w:r w:rsidR="00245BE1" w:rsidRPr="00E1372C">
        <w:rPr>
          <w:lang w:val="fr-FR"/>
        </w:rPr>
        <w:t>Unité africaine </w:t>
      </w:r>
      <w:r w:rsidR="001924BB" w:rsidRPr="00E1372C">
        <w:rPr>
          <w:lang w:val="fr-FR"/>
        </w:rPr>
        <w:t>(</w:t>
      </w:r>
      <w:r w:rsidR="00245BE1" w:rsidRPr="00E1372C">
        <w:rPr>
          <w:lang w:val="fr-FR"/>
        </w:rPr>
        <w:t>OUA).</w:t>
      </w:r>
    </w:p>
    <w:p w:rsidR="00245BE1" w:rsidRPr="00E1372C" w:rsidRDefault="007A1757" w:rsidP="007A1757">
      <w:pPr>
        <w:pStyle w:val="SingleTxtG"/>
        <w:rPr>
          <w:lang w:val="fr-FR" w:bidi="en-US"/>
        </w:rPr>
      </w:pPr>
      <w:r w:rsidRPr="00E1372C">
        <w:rPr>
          <w:lang w:val="fr-FR" w:bidi="en-US"/>
        </w:rPr>
        <w:t>113.</w:t>
      </w:r>
      <w:r w:rsidRPr="00E1372C">
        <w:rPr>
          <w:lang w:val="fr-FR" w:bidi="en-US"/>
        </w:rPr>
        <w:tab/>
      </w:r>
      <w:r w:rsidR="00245BE1" w:rsidRPr="00E1372C">
        <w:rPr>
          <w:lang w:val="fr-FR" w:bidi="en-US"/>
        </w:rPr>
        <w:t>La loi applicable en Namibie aux réfugiés est la loi n</w:t>
      </w:r>
      <w:r w:rsidR="00B277C4" w:rsidRPr="00E1372C">
        <w:rPr>
          <w:vertAlign w:val="superscript"/>
          <w:lang w:val="fr-FR" w:bidi="en-US"/>
        </w:rPr>
        <w:t>o</w:t>
      </w:r>
      <w:r w:rsidR="00245BE1" w:rsidRPr="00E1372C">
        <w:rPr>
          <w:lang w:val="fr-FR" w:bidi="en-US"/>
        </w:rPr>
        <w:t xml:space="preserve"> 2 de 1999 relative </w:t>
      </w:r>
      <w:r w:rsidR="00CA5032" w:rsidRPr="00E1372C">
        <w:rPr>
          <w:lang w:val="fr-FR" w:bidi="en-US"/>
        </w:rPr>
        <w:t>à la</w:t>
      </w:r>
      <w:r w:rsidR="00245BE1" w:rsidRPr="00E1372C">
        <w:rPr>
          <w:lang w:val="fr-FR" w:bidi="en-US"/>
        </w:rPr>
        <w:t xml:space="preserve"> </w:t>
      </w:r>
      <w:r w:rsidR="00CA5032" w:rsidRPr="00E1372C">
        <w:rPr>
          <w:lang w:val="fr-FR" w:bidi="en-US"/>
        </w:rPr>
        <w:t xml:space="preserve">reconnaissance et </w:t>
      </w:r>
      <w:r w:rsidR="004877DB" w:rsidRPr="00E1372C">
        <w:rPr>
          <w:lang w:val="fr-FR" w:bidi="en-US"/>
        </w:rPr>
        <w:t xml:space="preserve">à </w:t>
      </w:r>
      <w:r w:rsidR="00CA5032" w:rsidRPr="00E1372C">
        <w:rPr>
          <w:lang w:val="fr-FR" w:bidi="en-US"/>
        </w:rPr>
        <w:t xml:space="preserve">la réglementation du statut de </w:t>
      </w:r>
      <w:r w:rsidR="00245BE1" w:rsidRPr="00E1372C">
        <w:rPr>
          <w:lang w:val="fr-FR" w:bidi="en-US"/>
        </w:rPr>
        <w:t>réfugié qui donne effet aux conventions relatives aux réfugiés auxquel</w:t>
      </w:r>
      <w:r w:rsidR="004034A3" w:rsidRPr="00E1372C">
        <w:rPr>
          <w:lang w:val="fr-FR" w:bidi="en-US"/>
        </w:rPr>
        <w:t>le</w:t>
      </w:r>
      <w:r w:rsidR="00245BE1" w:rsidRPr="00E1372C">
        <w:rPr>
          <w:lang w:val="fr-FR" w:bidi="en-US"/>
        </w:rPr>
        <w:t xml:space="preserve">s la Namibie est partie. </w:t>
      </w:r>
      <w:r w:rsidR="004034A3" w:rsidRPr="00E1372C">
        <w:rPr>
          <w:lang w:val="fr-FR" w:bidi="en-US"/>
        </w:rPr>
        <w:t>Il s</w:t>
      </w:r>
      <w:r w:rsidR="00731F09" w:rsidRPr="00E1372C">
        <w:rPr>
          <w:lang w:val="fr-FR" w:bidi="en-US"/>
        </w:rPr>
        <w:t>’</w:t>
      </w:r>
      <w:r w:rsidR="004034A3" w:rsidRPr="00E1372C">
        <w:rPr>
          <w:lang w:val="fr-FR" w:bidi="en-US"/>
        </w:rPr>
        <w:t>agit de la Convention relative au statut des réfugiés du 28 juillet 1968 et de la Convention de l</w:t>
      </w:r>
      <w:r w:rsidR="00731F09" w:rsidRPr="00E1372C">
        <w:rPr>
          <w:lang w:val="fr-FR" w:bidi="en-US"/>
        </w:rPr>
        <w:t>’</w:t>
      </w:r>
      <w:r w:rsidR="004034A3" w:rsidRPr="00E1372C">
        <w:rPr>
          <w:lang w:val="fr-FR" w:bidi="en-US"/>
        </w:rPr>
        <w:t xml:space="preserve">OUA de 1969 régissant les aspects propres aux problèmes des réfugiés en Afrique. </w:t>
      </w:r>
      <w:r w:rsidR="004034A3" w:rsidRPr="00E1372C">
        <w:rPr>
          <w:lang w:val="fr-FR"/>
        </w:rPr>
        <w:t>L</w:t>
      </w:r>
      <w:r w:rsidR="00731F09" w:rsidRPr="00E1372C">
        <w:rPr>
          <w:lang w:val="fr-FR"/>
        </w:rPr>
        <w:t>’</w:t>
      </w:r>
      <w:r w:rsidR="004034A3" w:rsidRPr="00E1372C">
        <w:rPr>
          <w:lang w:val="fr-FR"/>
        </w:rPr>
        <w:t>article 2 de la loi mentionnée intègre dans le droit interne les dispositions de la Convention de 1951. Le paragraphe 1 de l</w:t>
      </w:r>
      <w:r w:rsidR="00731F09" w:rsidRPr="00E1372C">
        <w:rPr>
          <w:lang w:val="fr-FR"/>
        </w:rPr>
        <w:t>’</w:t>
      </w:r>
      <w:r w:rsidR="004034A3" w:rsidRPr="00E1372C">
        <w:rPr>
          <w:lang w:val="fr-FR"/>
        </w:rPr>
        <w:t>article 20 de la loi n</w:t>
      </w:r>
      <w:r w:rsidR="00B277C4" w:rsidRPr="00E1372C">
        <w:rPr>
          <w:vertAlign w:val="superscript"/>
          <w:lang w:val="fr-FR"/>
        </w:rPr>
        <w:t>o</w:t>
      </w:r>
      <w:r w:rsidR="004034A3" w:rsidRPr="00E1372C">
        <w:rPr>
          <w:lang w:val="fr-FR"/>
        </w:rPr>
        <w:t> 2 exige que les réfugiés résident dans des zones d</w:t>
      </w:r>
      <w:r w:rsidR="00731F09" w:rsidRPr="00E1372C">
        <w:rPr>
          <w:lang w:val="fr-FR"/>
        </w:rPr>
        <w:t>’</w:t>
      </w:r>
      <w:r w:rsidR="004034A3" w:rsidRPr="00E1372C">
        <w:rPr>
          <w:lang w:val="fr-FR"/>
        </w:rPr>
        <w:t xml:space="preserve">accueil ou </w:t>
      </w:r>
      <w:r w:rsidR="009F02BA" w:rsidRPr="00E1372C">
        <w:rPr>
          <w:lang w:val="fr-FR"/>
        </w:rPr>
        <w:t xml:space="preserve">des </w:t>
      </w:r>
      <w:r w:rsidR="004034A3" w:rsidRPr="00E1372C">
        <w:rPr>
          <w:lang w:val="fr-FR"/>
        </w:rPr>
        <w:t>camps de réfugiés.</w:t>
      </w:r>
    </w:p>
    <w:p w:rsidR="00A55A0E" w:rsidRPr="00E1372C" w:rsidRDefault="007A1B1C" w:rsidP="007A1B1C">
      <w:pPr>
        <w:pStyle w:val="H23G"/>
        <w:rPr>
          <w:lang w:val="fr-FR" w:bidi="en-US"/>
        </w:rPr>
      </w:pPr>
      <w:r w:rsidRPr="00E1372C">
        <w:rPr>
          <w:lang w:val="fr-FR" w:bidi="en-US"/>
        </w:rPr>
        <w:tab/>
      </w:r>
      <w:r w:rsidRPr="00E1372C">
        <w:rPr>
          <w:lang w:val="fr-FR" w:bidi="en-US"/>
        </w:rPr>
        <w:tab/>
      </w:r>
      <w:r w:rsidR="004034A3" w:rsidRPr="00E1372C">
        <w:rPr>
          <w:lang w:val="fr-FR" w:bidi="en-US"/>
        </w:rPr>
        <w:t>Rôle de la coopération internationale dans l</w:t>
      </w:r>
      <w:r w:rsidR="00731F09" w:rsidRPr="00E1372C">
        <w:rPr>
          <w:lang w:val="fr-FR" w:bidi="en-US"/>
        </w:rPr>
        <w:t>’</w:t>
      </w:r>
      <w:r w:rsidR="004034A3" w:rsidRPr="00E1372C">
        <w:rPr>
          <w:lang w:val="fr-FR" w:bidi="en-US"/>
        </w:rPr>
        <w:t>application du Pacte</w:t>
      </w:r>
    </w:p>
    <w:p w:rsidR="004034A3" w:rsidRPr="00E1372C" w:rsidRDefault="007A1757" w:rsidP="007A1757">
      <w:pPr>
        <w:pStyle w:val="SingleTxtG"/>
        <w:rPr>
          <w:lang w:val="fr-FR" w:bidi="en-US"/>
        </w:rPr>
      </w:pPr>
      <w:r w:rsidRPr="00E1372C">
        <w:rPr>
          <w:lang w:val="fr-FR" w:bidi="en-US"/>
        </w:rPr>
        <w:t>114.</w:t>
      </w:r>
      <w:r w:rsidRPr="00E1372C">
        <w:rPr>
          <w:lang w:val="fr-FR" w:bidi="en-US"/>
        </w:rPr>
        <w:tab/>
      </w:r>
      <w:r w:rsidR="004034A3" w:rsidRPr="00E1372C">
        <w:rPr>
          <w:lang w:val="fr-FR" w:bidi="en-US"/>
        </w:rPr>
        <w:t>En raison de son passé colonial, la Namibie, isolée avant l</w:t>
      </w:r>
      <w:r w:rsidR="00731F09" w:rsidRPr="00E1372C">
        <w:rPr>
          <w:lang w:val="fr-FR" w:bidi="en-US"/>
        </w:rPr>
        <w:t>’</w:t>
      </w:r>
      <w:r w:rsidR="004034A3" w:rsidRPr="00E1372C">
        <w:rPr>
          <w:lang w:val="fr-FR" w:bidi="en-US"/>
        </w:rPr>
        <w:t>indépendance, n</w:t>
      </w:r>
      <w:r w:rsidR="00731F09" w:rsidRPr="00E1372C">
        <w:rPr>
          <w:lang w:val="fr-FR" w:bidi="en-US"/>
        </w:rPr>
        <w:t>’</w:t>
      </w:r>
      <w:r w:rsidR="004034A3" w:rsidRPr="00E1372C">
        <w:rPr>
          <w:lang w:val="fr-FR" w:bidi="en-US"/>
        </w:rPr>
        <w:t>était pas reconnue par la communauté internationale. Depuis 1990, elle en est devenue un membre effectif à part entière. Cet engagement tient à sa conviction, acquise de sa propre histoire, qu</w:t>
      </w:r>
      <w:r w:rsidR="00731F09" w:rsidRPr="00E1372C">
        <w:rPr>
          <w:lang w:val="fr-FR" w:bidi="en-US"/>
        </w:rPr>
        <w:t>’</w:t>
      </w:r>
      <w:r w:rsidR="004034A3" w:rsidRPr="00E1372C">
        <w:rPr>
          <w:lang w:val="fr-FR" w:bidi="en-US"/>
        </w:rPr>
        <w:t>elle se doit de promouvoir la coopération, la paix, la sécurité internationale et le respect des obligations découlant du droit et des instruments internationaux. Les relations internationales constituent un élément essentiel de la stratégie de développement du pays.</w:t>
      </w:r>
    </w:p>
    <w:p w:rsidR="004034A3" w:rsidRPr="00E1372C" w:rsidRDefault="007A1757" w:rsidP="007A1757">
      <w:pPr>
        <w:pStyle w:val="SingleTxtG"/>
        <w:rPr>
          <w:lang w:val="fr-FR" w:bidi="en-US"/>
        </w:rPr>
      </w:pPr>
      <w:r w:rsidRPr="00E1372C">
        <w:rPr>
          <w:lang w:val="fr-FR" w:bidi="en-US"/>
        </w:rPr>
        <w:t>115.</w:t>
      </w:r>
      <w:r w:rsidRPr="00E1372C">
        <w:rPr>
          <w:lang w:val="fr-FR" w:bidi="en-US"/>
        </w:rPr>
        <w:tab/>
      </w:r>
      <w:r w:rsidR="004034A3" w:rsidRPr="00E1372C">
        <w:rPr>
          <w:lang w:val="fr-FR" w:bidi="en-US"/>
        </w:rPr>
        <w:t xml:space="preserve">La Namibie encourage les échanges et les appuis internationaux. Elle est parvenue à </w:t>
      </w:r>
      <w:r w:rsidR="009F02BA" w:rsidRPr="00E1372C">
        <w:rPr>
          <w:lang w:val="fr-FR" w:bidi="en-US"/>
        </w:rPr>
        <w:t>donn</w:t>
      </w:r>
      <w:r w:rsidR="004034A3" w:rsidRPr="00E1372C">
        <w:rPr>
          <w:lang w:val="fr-FR" w:bidi="en-US"/>
        </w:rPr>
        <w:t>er un</w:t>
      </w:r>
      <w:r w:rsidR="009F02BA" w:rsidRPr="00E1372C">
        <w:rPr>
          <w:lang w:val="fr-FR" w:bidi="en-US"/>
        </w:rPr>
        <w:t>e image</w:t>
      </w:r>
      <w:r w:rsidR="004034A3" w:rsidRPr="00E1372C">
        <w:rPr>
          <w:lang w:val="fr-FR" w:bidi="en-US"/>
        </w:rPr>
        <w:t xml:space="preserve"> favorable d</w:t>
      </w:r>
      <w:r w:rsidR="00731F09" w:rsidRPr="00E1372C">
        <w:rPr>
          <w:lang w:val="fr-FR" w:bidi="en-US"/>
        </w:rPr>
        <w:t>’</w:t>
      </w:r>
      <w:r w:rsidR="004034A3" w:rsidRPr="00E1372C">
        <w:rPr>
          <w:lang w:val="fr-FR" w:bidi="en-US"/>
        </w:rPr>
        <w:t>elle-même grâce à un bilan satisfaisant en matière de droits de l</w:t>
      </w:r>
      <w:r w:rsidR="00731F09" w:rsidRPr="00E1372C">
        <w:rPr>
          <w:lang w:val="fr-FR" w:bidi="en-US"/>
        </w:rPr>
        <w:t>’</w:t>
      </w:r>
      <w:r w:rsidR="004034A3" w:rsidRPr="00E1372C">
        <w:rPr>
          <w:lang w:val="fr-FR" w:bidi="en-US"/>
        </w:rPr>
        <w:t>homme et de réconciliation nationale. Le pays auparavant à l</w:t>
      </w:r>
      <w:r w:rsidR="00731F09" w:rsidRPr="00E1372C">
        <w:rPr>
          <w:lang w:val="fr-FR" w:bidi="en-US"/>
        </w:rPr>
        <w:t>’</w:t>
      </w:r>
      <w:r w:rsidR="004034A3" w:rsidRPr="00E1372C">
        <w:rPr>
          <w:lang w:val="fr-FR" w:bidi="en-US"/>
        </w:rPr>
        <w:t>écart des échanges commerciaux – traitant presque exclusivement avec l</w:t>
      </w:r>
      <w:r w:rsidR="00731F09" w:rsidRPr="00E1372C">
        <w:rPr>
          <w:lang w:val="fr-FR" w:bidi="en-US"/>
        </w:rPr>
        <w:t>’</w:t>
      </w:r>
      <w:r w:rsidR="004034A3" w:rsidRPr="00E1372C">
        <w:rPr>
          <w:lang w:val="fr-FR" w:bidi="en-US"/>
        </w:rPr>
        <w:t xml:space="preserve">Afrique du Sud – cherche désormais à créer et maintenir des relations mutuellement bénéfiques entre nations. </w:t>
      </w:r>
    </w:p>
    <w:p w:rsidR="004034A3" w:rsidRPr="00E1372C" w:rsidRDefault="007A1757" w:rsidP="007A1757">
      <w:pPr>
        <w:pStyle w:val="SingleTxtG"/>
        <w:rPr>
          <w:lang w:val="fr-FR" w:bidi="en-US"/>
        </w:rPr>
      </w:pPr>
      <w:r w:rsidRPr="00E1372C">
        <w:rPr>
          <w:lang w:val="fr-FR" w:bidi="en-US"/>
        </w:rPr>
        <w:t>116.</w:t>
      </w:r>
      <w:r w:rsidRPr="00E1372C">
        <w:rPr>
          <w:lang w:val="fr-FR" w:bidi="en-US"/>
        </w:rPr>
        <w:tab/>
      </w:r>
      <w:r w:rsidR="004034A3" w:rsidRPr="00E1372C">
        <w:rPr>
          <w:lang w:val="fr-FR" w:bidi="en-US"/>
        </w:rPr>
        <w:t>La Constitution prévoit la formation d</w:t>
      </w:r>
      <w:r w:rsidR="00731F09" w:rsidRPr="00E1372C">
        <w:rPr>
          <w:lang w:val="fr-FR" w:bidi="en-US"/>
        </w:rPr>
        <w:t>’</w:t>
      </w:r>
      <w:r w:rsidR="004034A3" w:rsidRPr="00E1372C">
        <w:rPr>
          <w:lang w:val="fr-FR" w:bidi="en-US"/>
        </w:rPr>
        <w:t>une Commission de planification nationale rattachée au Cabinet du Président, chargé</w:t>
      </w:r>
      <w:r w:rsidR="003218CF" w:rsidRPr="00E1372C">
        <w:rPr>
          <w:lang w:val="fr-FR" w:bidi="en-US"/>
        </w:rPr>
        <w:t>e</w:t>
      </w:r>
      <w:r w:rsidR="004034A3" w:rsidRPr="00E1372C">
        <w:rPr>
          <w:lang w:val="fr-FR" w:bidi="en-US"/>
        </w:rPr>
        <w:t xml:space="preserve"> de fixer les priorités et l</w:t>
      </w:r>
      <w:r w:rsidR="00731F09" w:rsidRPr="00E1372C">
        <w:rPr>
          <w:lang w:val="fr-FR" w:bidi="en-US"/>
        </w:rPr>
        <w:t>’</w:t>
      </w:r>
      <w:r w:rsidR="004034A3" w:rsidRPr="00E1372C">
        <w:rPr>
          <w:lang w:val="fr-FR" w:bidi="en-US"/>
        </w:rPr>
        <w:t>orientation du développement national. Le secrétariat de cette commission a été établi peu après l</w:t>
      </w:r>
      <w:r w:rsidR="00731F09" w:rsidRPr="00E1372C">
        <w:rPr>
          <w:lang w:val="fr-FR" w:bidi="en-US"/>
        </w:rPr>
        <w:t>’</w:t>
      </w:r>
      <w:r w:rsidR="004034A3" w:rsidRPr="00E1372C">
        <w:rPr>
          <w:lang w:val="fr-FR" w:bidi="en-US"/>
        </w:rPr>
        <w:t>indépendance et la loi qui porte création de la Commission promulguée en mars 1994.</w:t>
      </w:r>
    </w:p>
    <w:p w:rsidR="00AF76D2" w:rsidRPr="00E1372C" w:rsidRDefault="007A1757" w:rsidP="007A1757">
      <w:pPr>
        <w:pStyle w:val="SingleTxtG"/>
        <w:rPr>
          <w:b/>
          <w:lang w:val="fr-FR" w:bidi="en-US"/>
        </w:rPr>
      </w:pPr>
      <w:r w:rsidRPr="00E1372C">
        <w:rPr>
          <w:lang w:val="fr-FR" w:bidi="en-US"/>
        </w:rPr>
        <w:t>117.</w:t>
      </w:r>
      <w:r w:rsidRPr="00E1372C">
        <w:rPr>
          <w:lang w:val="fr-FR" w:bidi="en-US"/>
        </w:rPr>
        <w:tab/>
      </w:r>
      <w:r w:rsidR="00AF76D2" w:rsidRPr="00E1372C">
        <w:rPr>
          <w:lang w:val="fr-FR" w:bidi="en-US"/>
        </w:rPr>
        <w:t>Le Directeur général de la Commission de planification nationale, qui assiste aux réunions ministérielles et qui est versé dans la coopération au développement, est à même de veiller à ce que la priorité soit accordée au renforcement de l</w:t>
      </w:r>
      <w:r w:rsidR="00731F09" w:rsidRPr="00E1372C">
        <w:rPr>
          <w:lang w:val="fr-FR" w:bidi="en-US"/>
        </w:rPr>
        <w:t>’</w:t>
      </w:r>
      <w:r w:rsidR="00AF76D2" w:rsidRPr="00E1372C">
        <w:rPr>
          <w:lang w:val="fr-FR" w:bidi="en-US"/>
        </w:rPr>
        <w:t>exercice des droits économiques, sociaux et culturels de la Namibie dans la promotion de sa coopération au développement.</w:t>
      </w:r>
    </w:p>
    <w:p w:rsidR="00A55A0E" w:rsidRPr="00E1372C" w:rsidRDefault="007A1B1C" w:rsidP="00A55A0E">
      <w:pPr>
        <w:pStyle w:val="H1G"/>
        <w:rPr>
          <w:lang w:val="fr-FR" w:bidi="en-US"/>
        </w:rPr>
      </w:pPr>
      <w:r w:rsidRPr="00E1372C">
        <w:rPr>
          <w:lang w:val="fr-FR" w:bidi="en-US"/>
        </w:rPr>
        <w:tab/>
      </w:r>
      <w:r w:rsidRPr="00E1372C">
        <w:rPr>
          <w:lang w:val="fr-FR" w:bidi="en-US"/>
        </w:rPr>
        <w:tab/>
        <w:t>Article 3</w:t>
      </w:r>
      <w:r w:rsidRPr="00E1372C">
        <w:rPr>
          <w:lang w:val="fr-FR" w:bidi="en-US"/>
        </w:rPr>
        <w:br/>
        <w:t xml:space="preserve">Égalité </w:t>
      </w:r>
      <w:r w:rsidR="00AF76D2" w:rsidRPr="00E1372C">
        <w:rPr>
          <w:lang w:val="fr-FR" w:bidi="en-US"/>
        </w:rPr>
        <w:t>entre hommes et femmes</w:t>
      </w:r>
    </w:p>
    <w:p w:rsidR="00776C6D" w:rsidRPr="00E1372C" w:rsidRDefault="007A1757" w:rsidP="007A1757">
      <w:pPr>
        <w:pStyle w:val="SingleTxtG"/>
        <w:rPr>
          <w:b/>
          <w:lang w:val="fr-FR" w:bidi="en-US"/>
        </w:rPr>
      </w:pPr>
      <w:r w:rsidRPr="00E1372C">
        <w:rPr>
          <w:lang w:val="fr-FR" w:bidi="en-US"/>
        </w:rPr>
        <w:t>118.</w:t>
      </w:r>
      <w:r w:rsidRPr="00E1372C">
        <w:rPr>
          <w:lang w:val="fr-FR" w:bidi="en-US"/>
        </w:rPr>
        <w:tab/>
      </w:r>
      <w:r w:rsidR="00776C6D" w:rsidRPr="00E1372C">
        <w:rPr>
          <w:lang w:val="fr-FR" w:bidi="en-US"/>
        </w:rPr>
        <w:t>Depuis l</w:t>
      </w:r>
      <w:r w:rsidR="00731F09" w:rsidRPr="00E1372C">
        <w:rPr>
          <w:lang w:val="fr-FR" w:bidi="en-US"/>
        </w:rPr>
        <w:t>’</w:t>
      </w:r>
      <w:r w:rsidR="00776C6D" w:rsidRPr="00E1372C">
        <w:rPr>
          <w:lang w:val="fr-FR" w:bidi="en-US"/>
        </w:rPr>
        <w:t>accession de la Namibie à l</w:t>
      </w:r>
      <w:r w:rsidR="00731F09" w:rsidRPr="00E1372C">
        <w:rPr>
          <w:lang w:val="fr-FR" w:bidi="en-US"/>
        </w:rPr>
        <w:t>’</w:t>
      </w:r>
      <w:r w:rsidR="00776C6D" w:rsidRPr="00E1372C">
        <w:rPr>
          <w:lang w:val="fr-FR" w:bidi="en-US"/>
        </w:rPr>
        <w:t>indépendance, de nombreuses réformes législatives importantes ont été entreprises pour promouvoir l</w:t>
      </w:r>
      <w:r w:rsidR="00731F09" w:rsidRPr="00E1372C">
        <w:rPr>
          <w:lang w:val="fr-FR" w:bidi="en-US"/>
        </w:rPr>
        <w:t>’</w:t>
      </w:r>
      <w:r w:rsidR="00776C6D" w:rsidRPr="00E1372C">
        <w:rPr>
          <w:lang w:val="fr-FR" w:bidi="en-US"/>
        </w:rPr>
        <w:t>égalité entre les sexes; toutefois, une analyse de ces réformes révèle que les mesures prises dans le domaine public de la participation politique et de l</w:t>
      </w:r>
      <w:r w:rsidR="00731F09" w:rsidRPr="00E1372C">
        <w:rPr>
          <w:lang w:val="fr-FR" w:bidi="en-US"/>
        </w:rPr>
        <w:t>’</w:t>
      </w:r>
      <w:r w:rsidR="00776C6D" w:rsidRPr="00E1372C">
        <w:rPr>
          <w:lang w:val="fr-FR" w:bidi="en-US"/>
        </w:rPr>
        <w:t>emploi dans le secteur public l</w:t>
      </w:r>
      <w:r w:rsidR="00731F09" w:rsidRPr="00E1372C">
        <w:rPr>
          <w:lang w:val="fr-FR" w:bidi="en-US"/>
        </w:rPr>
        <w:t>’</w:t>
      </w:r>
      <w:r w:rsidR="00776C6D" w:rsidRPr="00E1372C">
        <w:rPr>
          <w:lang w:val="fr-FR" w:bidi="en-US"/>
        </w:rPr>
        <w:t xml:space="preserve">ont emporté sur les mesures relatives au domaine plus </w:t>
      </w:r>
      <w:r w:rsidR="00AE017E" w:rsidRPr="00E1372C">
        <w:rPr>
          <w:lang w:val="fr-FR" w:bidi="en-US"/>
        </w:rPr>
        <w:t>«</w:t>
      </w:r>
      <w:r w:rsidR="00776C6D" w:rsidRPr="00E1372C">
        <w:rPr>
          <w:lang w:val="fr-FR" w:bidi="en-US"/>
        </w:rPr>
        <w:t>privé</w:t>
      </w:r>
      <w:r w:rsidR="00AE017E" w:rsidRPr="00E1372C">
        <w:rPr>
          <w:lang w:val="fr-FR" w:bidi="en-US"/>
        </w:rPr>
        <w:t>»</w:t>
      </w:r>
      <w:r w:rsidR="00776C6D" w:rsidRPr="00E1372C">
        <w:rPr>
          <w:lang w:val="fr-FR" w:bidi="en-US"/>
        </w:rPr>
        <w:t xml:space="preserve"> de l</w:t>
      </w:r>
      <w:r w:rsidR="00731F09" w:rsidRPr="00E1372C">
        <w:rPr>
          <w:lang w:val="fr-FR" w:bidi="en-US"/>
        </w:rPr>
        <w:t>’</w:t>
      </w:r>
      <w:r w:rsidR="00776C6D" w:rsidRPr="00E1372C">
        <w:rPr>
          <w:lang w:val="fr-FR" w:bidi="en-US"/>
        </w:rPr>
        <w:t>économie domestique. L</w:t>
      </w:r>
      <w:r w:rsidR="00731F09" w:rsidRPr="00E1372C">
        <w:rPr>
          <w:lang w:val="fr-FR" w:bidi="en-US"/>
        </w:rPr>
        <w:t>’</w:t>
      </w:r>
      <w:r w:rsidR="00776C6D" w:rsidRPr="00E1372C">
        <w:rPr>
          <w:lang w:val="fr-FR" w:bidi="en-US"/>
        </w:rPr>
        <w:t>article 10 de la Constitution dispose cependant comme suit</w:t>
      </w:r>
      <w:r w:rsidR="00AE017E" w:rsidRPr="00E1372C">
        <w:rPr>
          <w:lang w:val="fr-FR" w:bidi="en-US"/>
        </w:rPr>
        <w:t>:</w:t>
      </w:r>
    </w:p>
    <w:p w:rsidR="00A55A0E" w:rsidRPr="00E1372C" w:rsidRDefault="00AE017E" w:rsidP="00A55A0E">
      <w:pPr>
        <w:pStyle w:val="SingleTxtG"/>
        <w:ind w:left="1701"/>
        <w:rPr>
          <w:lang w:val="fr-FR" w:bidi="en-US"/>
        </w:rPr>
      </w:pPr>
      <w:r w:rsidRPr="00E1372C">
        <w:rPr>
          <w:lang w:val="fr-FR" w:bidi="en-US"/>
        </w:rPr>
        <w:t>«</w:t>
      </w:r>
      <w:r w:rsidR="00776C6D" w:rsidRPr="00E1372C">
        <w:rPr>
          <w:lang w:val="fr-FR"/>
        </w:rPr>
        <w:t>Tous les êtres humains sont égaux devant la loi,</w:t>
      </w:r>
    </w:p>
    <w:p w:rsidR="00A55A0E" w:rsidRPr="00E1372C" w:rsidRDefault="007A1B1C" w:rsidP="00A55A0E">
      <w:pPr>
        <w:pStyle w:val="SingleTxtG"/>
        <w:ind w:left="1701"/>
        <w:rPr>
          <w:lang w:val="fr-FR" w:bidi="en-US"/>
        </w:rPr>
      </w:pPr>
      <w:r w:rsidRPr="00E1372C">
        <w:rPr>
          <w:lang w:val="fr-FR"/>
        </w:rPr>
        <w:t xml:space="preserve">Nul </w:t>
      </w:r>
      <w:r w:rsidR="00776C6D" w:rsidRPr="00E1372C">
        <w:rPr>
          <w:lang w:val="fr-FR"/>
        </w:rPr>
        <w:t>ne fera l</w:t>
      </w:r>
      <w:r w:rsidR="00731F09" w:rsidRPr="00E1372C">
        <w:rPr>
          <w:lang w:val="fr-FR"/>
        </w:rPr>
        <w:t>’</w:t>
      </w:r>
      <w:r w:rsidR="00776C6D" w:rsidRPr="00E1372C">
        <w:rPr>
          <w:lang w:val="fr-FR"/>
        </w:rPr>
        <w:t>objet d</w:t>
      </w:r>
      <w:r w:rsidR="00731F09" w:rsidRPr="00E1372C">
        <w:rPr>
          <w:lang w:val="fr-FR"/>
        </w:rPr>
        <w:t>’</w:t>
      </w:r>
      <w:r w:rsidR="00776C6D" w:rsidRPr="00E1372C">
        <w:rPr>
          <w:lang w:val="fr-FR"/>
        </w:rPr>
        <w:t>une discrimination en raison du sexe, de la race,</w:t>
      </w:r>
      <w:r w:rsidR="00AE017E" w:rsidRPr="00E1372C">
        <w:rPr>
          <w:lang w:val="fr-FR"/>
        </w:rPr>
        <w:t xml:space="preserve"> </w:t>
      </w:r>
      <w:r w:rsidR="00776C6D" w:rsidRPr="00E1372C">
        <w:rPr>
          <w:lang w:val="fr-FR"/>
        </w:rPr>
        <w:t>de la couleur, de l</w:t>
      </w:r>
      <w:r w:rsidR="00731F09" w:rsidRPr="00E1372C">
        <w:rPr>
          <w:lang w:val="fr-FR"/>
        </w:rPr>
        <w:t>’</w:t>
      </w:r>
      <w:r w:rsidR="00776C6D" w:rsidRPr="00E1372C">
        <w:rPr>
          <w:lang w:val="fr-FR"/>
        </w:rPr>
        <w:t>origine ethnique, de la religion, des opinions ou de la situation sociale ou économique.</w:t>
      </w:r>
      <w:r w:rsidR="00AE017E" w:rsidRPr="00E1372C">
        <w:rPr>
          <w:lang w:val="fr-FR"/>
        </w:rPr>
        <w:t>»</w:t>
      </w:r>
    </w:p>
    <w:p w:rsidR="00A55A0E" w:rsidRPr="00E1372C" w:rsidRDefault="007A1757" w:rsidP="007A1757">
      <w:pPr>
        <w:pStyle w:val="SingleTxtG"/>
        <w:rPr>
          <w:lang w:val="fr-FR" w:bidi="en-US"/>
        </w:rPr>
      </w:pPr>
      <w:r w:rsidRPr="00E1372C">
        <w:rPr>
          <w:lang w:val="fr-FR" w:bidi="en-US"/>
        </w:rPr>
        <w:t>119.</w:t>
      </w:r>
      <w:r w:rsidRPr="00E1372C">
        <w:rPr>
          <w:lang w:val="fr-FR" w:bidi="en-US"/>
        </w:rPr>
        <w:tab/>
      </w:r>
      <w:r w:rsidR="00776C6D" w:rsidRPr="00E1372C">
        <w:rPr>
          <w:lang w:val="fr-FR" w:bidi="en-US"/>
        </w:rPr>
        <w:t>Le paragraphe 2 de l</w:t>
      </w:r>
      <w:r w:rsidR="00731F09" w:rsidRPr="00E1372C">
        <w:rPr>
          <w:lang w:val="fr-FR" w:bidi="en-US"/>
        </w:rPr>
        <w:t>’</w:t>
      </w:r>
      <w:r w:rsidR="00776C6D" w:rsidRPr="00E1372C">
        <w:rPr>
          <w:lang w:val="fr-FR" w:bidi="en-US"/>
        </w:rPr>
        <w:t>article 23 de la Constitution dispose ainsi</w:t>
      </w:r>
      <w:r w:rsidR="00AE017E" w:rsidRPr="00E1372C">
        <w:rPr>
          <w:lang w:val="fr-FR" w:bidi="en-US"/>
        </w:rPr>
        <w:t>:</w:t>
      </w:r>
    </w:p>
    <w:p w:rsidR="00A55A0E" w:rsidRPr="00E1372C" w:rsidRDefault="00AE017E" w:rsidP="00A55A0E">
      <w:pPr>
        <w:pStyle w:val="SingleTxtG"/>
        <w:ind w:left="1701"/>
        <w:rPr>
          <w:lang w:val="fr-FR" w:bidi="en-US"/>
        </w:rPr>
      </w:pPr>
      <w:r w:rsidRPr="00E1372C">
        <w:rPr>
          <w:lang w:val="fr-FR" w:bidi="en-US"/>
        </w:rPr>
        <w:t>«</w:t>
      </w:r>
      <w:r w:rsidR="00776C6D" w:rsidRPr="00E1372C">
        <w:rPr>
          <w:lang w:val="fr-FR"/>
        </w:rPr>
        <w:t>Aucune disposition de l</w:t>
      </w:r>
      <w:r w:rsidR="00731F09" w:rsidRPr="00E1372C">
        <w:rPr>
          <w:lang w:val="fr-FR"/>
        </w:rPr>
        <w:t>’</w:t>
      </w:r>
      <w:r w:rsidR="00776C6D" w:rsidRPr="00E1372C">
        <w:rPr>
          <w:lang w:val="fr-FR"/>
        </w:rPr>
        <w:t>article 10 ne s</w:t>
      </w:r>
      <w:r w:rsidR="00731F09" w:rsidRPr="00E1372C">
        <w:rPr>
          <w:lang w:val="fr-FR"/>
        </w:rPr>
        <w:t>’</w:t>
      </w:r>
      <w:r w:rsidR="00776C6D" w:rsidRPr="00E1372C">
        <w:rPr>
          <w:lang w:val="fr-FR"/>
        </w:rPr>
        <w:t>oppose à l</w:t>
      </w:r>
      <w:r w:rsidR="00731F09" w:rsidRPr="00E1372C">
        <w:rPr>
          <w:lang w:val="fr-FR"/>
        </w:rPr>
        <w:t>’</w:t>
      </w:r>
      <w:r w:rsidR="00776C6D" w:rsidRPr="00E1372C">
        <w:rPr>
          <w:lang w:val="fr-FR"/>
        </w:rPr>
        <w:t>adoption par le Parlement de</w:t>
      </w:r>
      <w:r w:rsidR="00270BD1" w:rsidRPr="00E1372C">
        <w:rPr>
          <w:lang w:val="fr-FR"/>
        </w:rPr>
        <w:t xml:space="preserve"> dispositions</w:t>
      </w:r>
      <w:r w:rsidR="00776C6D" w:rsidRPr="00E1372C">
        <w:rPr>
          <w:lang w:val="fr-FR"/>
        </w:rPr>
        <w:t xml:space="preserve"> visant à promouvoir directement ou indirectement les personnes qui</w:t>
      </w:r>
      <w:r w:rsidR="003218CF" w:rsidRPr="00E1372C">
        <w:rPr>
          <w:lang w:val="fr-FR"/>
        </w:rPr>
        <w:t>,</w:t>
      </w:r>
      <w:r w:rsidR="00776C6D" w:rsidRPr="00E1372C">
        <w:rPr>
          <w:lang w:val="fr-FR"/>
        </w:rPr>
        <w:t xml:space="preserve"> en Namibie</w:t>
      </w:r>
      <w:r w:rsidR="003218CF" w:rsidRPr="00E1372C">
        <w:rPr>
          <w:lang w:val="fr-FR"/>
        </w:rPr>
        <w:t>,</w:t>
      </w:r>
      <w:r w:rsidR="00776C6D" w:rsidRPr="00E1372C">
        <w:rPr>
          <w:lang w:val="fr-FR"/>
        </w:rPr>
        <w:t xml:space="preserve"> ont été défavorisées sur le plan social, économique ou en matière d</w:t>
      </w:r>
      <w:r w:rsidR="00731F09" w:rsidRPr="00E1372C">
        <w:rPr>
          <w:lang w:val="fr-FR"/>
        </w:rPr>
        <w:t>’</w:t>
      </w:r>
      <w:r w:rsidR="00776C6D" w:rsidRPr="00E1372C">
        <w:rPr>
          <w:lang w:val="fr-FR"/>
        </w:rPr>
        <w:t>éducation du fait de lois ou de pra</w:t>
      </w:r>
      <w:r w:rsidR="007A1B1C" w:rsidRPr="00E1372C">
        <w:rPr>
          <w:lang w:val="fr-FR"/>
        </w:rPr>
        <w:t>tiques discriminatoires passées</w:t>
      </w:r>
      <w:r w:rsidR="00A55A0E" w:rsidRPr="00E1372C">
        <w:rPr>
          <w:lang w:val="fr-FR" w:bidi="en-US"/>
        </w:rPr>
        <w:t>…</w:t>
      </w:r>
      <w:r w:rsidR="00776C6D" w:rsidRPr="00E1372C">
        <w:rPr>
          <w:lang w:val="fr-FR" w:bidi="en-US"/>
        </w:rPr>
        <w:t>»</w:t>
      </w:r>
    </w:p>
    <w:p w:rsidR="00A55A0E" w:rsidRPr="00E1372C" w:rsidRDefault="00A55A0E" w:rsidP="00A55A0E">
      <w:pPr>
        <w:pStyle w:val="H23G"/>
        <w:rPr>
          <w:lang w:val="fr-FR" w:bidi="en-US"/>
        </w:rPr>
      </w:pPr>
      <w:r w:rsidRPr="00E1372C">
        <w:rPr>
          <w:lang w:val="fr-FR" w:bidi="en-US"/>
        </w:rPr>
        <w:tab/>
      </w:r>
      <w:r w:rsidRPr="00E1372C">
        <w:rPr>
          <w:lang w:val="fr-FR" w:bidi="en-US"/>
        </w:rPr>
        <w:tab/>
        <w:t>Mesures</w:t>
      </w:r>
      <w:r w:rsidR="00776C6D" w:rsidRPr="00E1372C">
        <w:rPr>
          <w:lang w:val="fr-FR" w:bidi="en-US"/>
        </w:rPr>
        <w:t xml:space="preserve"> prises pour éliminer la discrimination à l</w:t>
      </w:r>
      <w:r w:rsidR="00731F09" w:rsidRPr="00E1372C">
        <w:rPr>
          <w:lang w:val="fr-FR" w:bidi="en-US"/>
        </w:rPr>
        <w:t>’</w:t>
      </w:r>
      <w:r w:rsidR="00776C6D" w:rsidRPr="00E1372C">
        <w:rPr>
          <w:lang w:val="fr-FR" w:bidi="en-US"/>
        </w:rPr>
        <w:t>égard des femmes</w:t>
      </w:r>
    </w:p>
    <w:p w:rsidR="002E1518" w:rsidRPr="00E1372C" w:rsidRDefault="007A1757" w:rsidP="007A1757">
      <w:pPr>
        <w:pStyle w:val="SingleTxtG"/>
        <w:rPr>
          <w:lang w:val="fr-FR" w:bidi="en-US"/>
        </w:rPr>
      </w:pPr>
      <w:r w:rsidRPr="00E1372C">
        <w:rPr>
          <w:lang w:val="fr-FR" w:bidi="en-US"/>
        </w:rPr>
        <w:t>120.</w:t>
      </w:r>
      <w:r w:rsidRPr="00E1372C">
        <w:rPr>
          <w:lang w:val="fr-FR" w:bidi="en-US"/>
        </w:rPr>
        <w:tab/>
      </w:r>
      <w:r w:rsidR="002E1518" w:rsidRPr="00E1372C">
        <w:rPr>
          <w:lang w:val="fr-FR" w:bidi="en-US"/>
        </w:rPr>
        <w:t>Les dispositions constitutionnelles susmentionnées se sont appliquées aux deux premières élections des administrations locales et se sont traduites dans les conseils locaux par l</w:t>
      </w:r>
      <w:r w:rsidR="00731F09" w:rsidRPr="00E1372C">
        <w:rPr>
          <w:lang w:val="fr-FR" w:bidi="en-US"/>
        </w:rPr>
        <w:t>’</w:t>
      </w:r>
      <w:r w:rsidR="002E1518" w:rsidRPr="00E1372C">
        <w:rPr>
          <w:lang w:val="fr-FR" w:bidi="en-US"/>
        </w:rPr>
        <w:t>élection de 32</w:t>
      </w:r>
      <w:r w:rsidR="007064FC" w:rsidRPr="00E1372C">
        <w:rPr>
          <w:lang w:val="fr-FR" w:bidi="en-US"/>
        </w:rPr>
        <w:t> %</w:t>
      </w:r>
      <w:r w:rsidR="002E1518" w:rsidRPr="00E1372C">
        <w:rPr>
          <w:lang w:val="fr-FR" w:bidi="en-US"/>
        </w:rPr>
        <w:t xml:space="preserve"> de femmes lors du premier scrutin en 1994 et de 41</w:t>
      </w:r>
      <w:r w:rsidR="007064FC" w:rsidRPr="00E1372C">
        <w:rPr>
          <w:lang w:val="fr-FR" w:bidi="en-US"/>
        </w:rPr>
        <w:t> %</w:t>
      </w:r>
      <w:r w:rsidR="002E1518" w:rsidRPr="00E1372C">
        <w:rPr>
          <w:lang w:val="fr-FR" w:bidi="en-US"/>
        </w:rPr>
        <w:t xml:space="preserve"> au deuxième scrutin en 1998.</w:t>
      </w:r>
    </w:p>
    <w:p w:rsidR="002E1518" w:rsidRPr="00E1372C" w:rsidRDefault="007A1757" w:rsidP="007A1757">
      <w:pPr>
        <w:pStyle w:val="SingleTxtG"/>
        <w:rPr>
          <w:lang w:val="fr-FR" w:bidi="en-US"/>
        </w:rPr>
      </w:pPr>
      <w:r w:rsidRPr="00E1372C">
        <w:rPr>
          <w:lang w:val="fr-FR" w:bidi="en-US"/>
        </w:rPr>
        <w:t>121.</w:t>
      </w:r>
      <w:r w:rsidRPr="00E1372C">
        <w:rPr>
          <w:lang w:val="fr-FR" w:bidi="en-US"/>
        </w:rPr>
        <w:tab/>
      </w:r>
      <w:r w:rsidR="002E1518" w:rsidRPr="00E1372C">
        <w:rPr>
          <w:lang w:val="fr-FR" w:bidi="en-US"/>
        </w:rPr>
        <w:t>Le Gouvernement, durant le mandat de M. </w:t>
      </w:r>
      <w:r w:rsidR="00A55A0E" w:rsidRPr="00E1372C">
        <w:rPr>
          <w:lang w:val="fr-FR" w:bidi="en-US"/>
        </w:rPr>
        <w:t xml:space="preserve">Sam Nujoma, </w:t>
      </w:r>
      <w:r w:rsidR="002E1518" w:rsidRPr="00E1372C">
        <w:rPr>
          <w:lang w:val="fr-FR" w:bidi="en-US"/>
        </w:rPr>
        <w:t>premier Président de la République, s</w:t>
      </w:r>
      <w:r w:rsidR="00731F09" w:rsidRPr="00E1372C">
        <w:rPr>
          <w:lang w:val="fr-FR" w:bidi="en-US"/>
        </w:rPr>
        <w:t>’</w:t>
      </w:r>
      <w:r w:rsidR="002E1518" w:rsidRPr="00E1372C">
        <w:rPr>
          <w:lang w:val="fr-FR" w:bidi="en-US"/>
        </w:rPr>
        <w:t>est engagé à soutenir la candidature de 50</w:t>
      </w:r>
      <w:r w:rsidR="007064FC" w:rsidRPr="00E1372C">
        <w:rPr>
          <w:lang w:val="fr-FR" w:bidi="en-US"/>
        </w:rPr>
        <w:t> %</w:t>
      </w:r>
      <w:r w:rsidR="002E1518" w:rsidRPr="00E1372C">
        <w:rPr>
          <w:lang w:val="fr-FR" w:bidi="en-US"/>
        </w:rPr>
        <w:t xml:space="preserve"> de femmes sur les listes électorales du parti dirigeant et a agi en conséquence. Plusieurs lois garantissent la représentation des femmes aux organes de décision dans les secteurs de l</w:t>
      </w:r>
      <w:r w:rsidR="00731F09" w:rsidRPr="00E1372C">
        <w:rPr>
          <w:lang w:val="fr-FR" w:bidi="en-US"/>
        </w:rPr>
        <w:t>’</w:t>
      </w:r>
      <w:r w:rsidR="002E1518" w:rsidRPr="00E1372C">
        <w:rPr>
          <w:lang w:val="fr-FR" w:bidi="en-US"/>
        </w:rPr>
        <w:t>éducation, les entreprises publiques et des sports, comme le montre la composition du Conseil national des sports.</w:t>
      </w:r>
    </w:p>
    <w:p w:rsidR="002E1518" w:rsidRPr="00E1372C" w:rsidRDefault="007A1757" w:rsidP="007A1757">
      <w:pPr>
        <w:pStyle w:val="SingleTxtG"/>
        <w:rPr>
          <w:lang w:val="fr-FR" w:bidi="en-US"/>
        </w:rPr>
      </w:pPr>
      <w:r w:rsidRPr="00E1372C">
        <w:rPr>
          <w:lang w:val="fr-FR" w:bidi="en-US"/>
        </w:rPr>
        <w:t>122.</w:t>
      </w:r>
      <w:r w:rsidRPr="00E1372C">
        <w:rPr>
          <w:lang w:val="fr-FR" w:bidi="en-US"/>
        </w:rPr>
        <w:tab/>
      </w:r>
      <w:r w:rsidR="002E1518" w:rsidRPr="00E1372C">
        <w:rPr>
          <w:lang w:val="fr-FR" w:bidi="en-US"/>
        </w:rPr>
        <w:t>La loi de 1998 relative à l</w:t>
      </w:r>
      <w:r w:rsidR="00731F09" w:rsidRPr="00E1372C">
        <w:rPr>
          <w:lang w:val="fr-FR" w:bidi="en-US"/>
        </w:rPr>
        <w:t>’</w:t>
      </w:r>
      <w:r w:rsidR="002E1518" w:rsidRPr="00E1372C">
        <w:rPr>
          <w:lang w:val="fr-FR" w:bidi="en-US"/>
        </w:rPr>
        <w:t>action positive en matière d</w:t>
      </w:r>
      <w:r w:rsidR="00731F09" w:rsidRPr="00E1372C">
        <w:rPr>
          <w:lang w:val="fr-FR" w:bidi="en-US"/>
        </w:rPr>
        <w:t>’</w:t>
      </w:r>
      <w:r w:rsidR="002E1518" w:rsidRPr="00E1372C">
        <w:rPr>
          <w:lang w:val="fr-FR" w:bidi="en-US"/>
        </w:rPr>
        <w:t>emploi demande à certains employeurs d</w:t>
      </w:r>
      <w:r w:rsidR="00731F09" w:rsidRPr="00E1372C">
        <w:rPr>
          <w:lang w:val="fr-FR" w:bidi="en-US"/>
        </w:rPr>
        <w:t>’</w:t>
      </w:r>
      <w:r w:rsidR="002E1518" w:rsidRPr="00E1372C">
        <w:rPr>
          <w:lang w:val="fr-FR" w:bidi="en-US"/>
        </w:rPr>
        <w:t>établir des plans d</w:t>
      </w:r>
      <w:r w:rsidR="00731F09" w:rsidRPr="00E1372C">
        <w:rPr>
          <w:lang w:val="fr-FR" w:bidi="en-US"/>
        </w:rPr>
        <w:t>’</w:t>
      </w:r>
      <w:r w:rsidR="002E1518" w:rsidRPr="00E1372C">
        <w:rPr>
          <w:lang w:val="fr-FR" w:bidi="en-US"/>
        </w:rPr>
        <w:t>action positive qui fixent des mesures visant à accroître la représentation de personnes handicapées et de femmes dans les effectifs. Le Gouvernement charge la Commission sur l</w:t>
      </w:r>
      <w:r w:rsidR="00731F09" w:rsidRPr="00E1372C">
        <w:rPr>
          <w:lang w:val="fr-FR" w:bidi="en-US"/>
        </w:rPr>
        <w:t>’</w:t>
      </w:r>
      <w:r w:rsidR="002E1518" w:rsidRPr="00E1372C">
        <w:rPr>
          <w:lang w:val="fr-FR" w:bidi="en-US"/>
        </w:rPr>
        <w:t>équité en matière d</w:t>
      </w:r>
      <w:r w:rsidR="00731F09" w:rsidRPr="00E1372C">
        <w:rPr>
          <w:lang w:val="fr-FR" w:bidi="en-US"/>
        </w:rPr>
        <w:t>’</w:t>
      </w:r>
      <w:r w:rsidR="002E1518" w:rsidRPr="00E1372C">
        <w:rPr>
          <w:lang w:val="fr-FR" w:bidi="en-US"/>
        </w:rPr>
        <w:t>emploi de suivre les progrès réalisés dans l</w:t>
      </w:r>
      <w:r w:rsidR="00731F09" w:rsidRPr="00E1372C">
        <w:rPr>
          <w:lang w:val="fr-FR" w:bidi="en-US"/>
        </w:rPr>
        <w:t>’</w:t>
      </w:r>
      <w:r w:rsidR="002E1518" w:rsidRPr="00E1372C">
        <w:rPr>
          <w:lang w:val="fr-FR" w:bidi="en-US"/>
        </w:rPr>
        <w:t>application de ces mesures. Les employeurs qui ne s</w:t>
      </w:r>
      <w:r w:rsidR="00731F09" w:rsidRPr="00E1372C">
        <w:rPr>
          <w:lang w:val="fr-FR" w:bidi="en-US"/>
        </w:rPr>
        <w:t>’</w:t>
      </w:r>
      <w:r w:rsidR="002E1518" w:rsidRPr="00E1372C">
        <w:rPr>
          <w:lang w:val="fr-FR" w:bidi="en-US"/>
        </w:rPr>
        <w:t>y conforment pas encourent l</w:t>
      </w:r>
      <w:r w:rsidR="00731F09" w:rsidRPr="00E1372C">
        <w:rPr>
          <w:lang w:val="fr-FR" w:bidi="en-US"/>
        </w:rPr>
        <w:t>’</w:t>
      </w:r>
      <w:r w:rsidR="002E1518" w:rsidRPr="00E1372C">
        <w:rPr>
          <w:lang w:val="fr-FR" w:bidi="en-US"/>
        </w:rPr>
        <w:t>exclusion des contrats et des concessions publi</w:t>
      </w:r>
      <w:r w:rsidR="003218CF" w:rsidRPr="00E1372C">
        <w:rPr>
          <w:lang w:val="fr-FR" w:bidi="en-US"/>
        </w:rPr>
        <w:t>c</w:t>
      </w:r>
      <w:r w:rsidR="002E1518" w:rsidRPr="00E1372C">
        <w:rPr>
          <w:lang w:val="fr-FR" w:bidi="en-US"/>
        </w:rPr>
        <w:t>s.</w:t>
      </w:r>
    </w:p>
    <w:p w:rsidR="002E1518" w:rsidRPr="00E1372C" w:rsidRDefault="007A1757" w:rsidP="007A1757">
      <w:pPr>
        <w:pStyle w:val="SingleTxtG"/>
        <w:rPr>
          <w:lang w:val="fr-FR" w:bidi="en-US"/>
        </w:rPr>
      </w:pPr>
      <w:r w:rsidRPr="00E1372C">
        <w:rPr>
          <w:lang w:val="fr-FR" w:bidi="en-US"/>
        </w:rPr>
        <w:t>123.</w:t>
      </w:r>
      <w:r w:rsidRPr="00E1372C">
        <w:rPr>
          <w:lang w:val="fr-FR" w:bidi="en-US"/>
        </w:rPr>
        <w:tab/>
      </w:r>
      <w:r w:rsidR="002E1518" w:rsidRPr="00E1372C">
        <w:rPr>
          <w:lang w:val="fr-FR" w:bidi="en-US"/>
        </w:rPr>
        <w:t>En outre, la loi n</w:t>
      </w:r>
      <w:r w:rsidR="00B277C4" w:rsidRPr="00E1372C">
        <w:rPr>
          <w:vertAlign w:val="superscript"/>
          <w:lang w:val="fr-FR" w:bidi="en-US"/>
        </w:rPr>
        <w:t>o</w:t>
      </w:r>
      <w:r w:rsidR="002E1518" w:rsidRPr="00E1372C">
        <w:rPr>
          <w:lang w:val="fr-FR" w:bidi="en-US"/>
        </w:rPr>
        <w:t xml:space="preserve"> 25 de 2000 relative aux autorités traditionnelles, qui prévoit les modalités de reconnaissance officielle des autorités traditionnelles, </w:t>
      </w:r>
      <w:r w:rsidR="002E1518" w:rsidRPr="00E1372C">
        <w:rPr>
          <w:lang w:val="fr-FR"/>
        </w:rPr>
        <w:t>fait obligation aux autorités traditionnelles de promouvoir l</w:t>
      </w:r>
      <w:r w:rsidR="00731F09" w:rsidRPr="00E1372C">
        <w:rPr>
          <w:lang w:val="fr-FR"/>
        </w:rPr>
        <w:t>’</w:t>
      </w:r>
      <w:r w:rsidR="00A77D1F" w:rsidRPr="00E1372C">
        <w:rPr>
          <w:lang w:val="fr-FR"/>
        </w:rPr>
        <w:t>ac</w:t>
      </w:r>
      <w:r w:rsidR="002E1518" w:rsidRPr="00E1372C">
        <w:rPr>
          <w:lang w:val="fr-FR"/>
        </w:rPr>
        <w:t>tion positive parmi les membres de leur communauté, notamment en nommant des femmes à des postes de responsabilité. Bien que la loi ne contienne aucun mécanisme particulier de suivi ou d</w:t>
      </w:r>
      <w:r w:rsidR="00731F09" w:rsidRPr="00E1372C">
        <w:rPr>
          <w:lang w:val="fr-FR"/>
        </w:rPr>
        <w:t>’</w:t>
      </w:r>
      <w:r w:rsidR="002E1518" w:rsidRPr="00E1372C">
        <w:rPr>
          <w:lang w:val="fr-FR"/>
        </w:rPr>
        <w:t xml:space="preserve">application, elle offre au minimum une base visant à encourager une participation accrue des femmes à des fonctions dirigeantes traditionnelles. </w:t>
      </w:r>
    </w:p>
    <w:p w:rsidR="002E1518" w:rsidRPr="00E1372C" w:rsidRDefault="007A1757" w:rsidP="007A1757">
      <w:pPr>
        <w:pStyle w:val="SingleTxtG"/>
        <w:rPr>
          <w:lang w:val="fr-FR" w:bidi="en-US"/>
        </w:rPr>
      </w:pPr>
      <w:r w:rsidRPr="00E1372C">
        <w:rPr>
          <w:lang w:val="fr-FR" w:bidi="en-US"/>
        </w:rPr>
        <w:t>124.</w:t>
      </w:r>
      <w:r w:rsidRPr="00E1372C">
        <w:rPr>
          <w:lang w:val="fr-FR" w:bidi="en-US"/>
        </w:rPr>
        <w:tab/>
      </w:r>
      <w:r w:rsidR="002E1518" w:rsidRPr="00E1372C">
        <w:rPr>
          <w:lang w:val="fr-FR" w:bidi="en-US"/>
        </w:rPr>
        <w:t>Le projet de recherche et de défense de l</w:t>
      </w:r>
      <w:r w:rsidR="00731F09" w:rsidRPr="00E1372C">
        <w:rPr>
          <w:lang w:val="fr-FR" w:bidi="en-US"/>
        </w:rPr>
        <w:t>’</w:t>
      </w:r>
      <w:r w:rsidR="002E1518" w:rsidRPr="00E1372C">
        <w:rPr>
          <w:lang w:val="fr-FR" w:bidi="en-US"/>
        </w:rPr>
        <w:t>égalité des sexes du Centre de représentation en justice a grandement contribué et continue de le faire à la promotion du droit des femmes en Namibie. Depuis l</w:t>
      </w:r>
      <w:r w:rsidR="00731F09" w:rsidRPr="00E1372C">
        <w:rPr>
          <w:lang w:val="fr-FR" w:bidi="en-US"/>
        </w:rPr>
        <w:t>’</w:t>
      </w:r>
      <w:r w:rsidR="002E1518" w:rsidRPr="00E1372C">
        <w:rPr>
          <w:lang w:val="fr-FR" w:bidi="en-US"/>
        </w:rPr>
        <w:t>indépendance, aucune femme n</w:t>
      </w:r>
      <w:r w:rsidR="00731F09" w:rsidRPr="00E1372C">
        <w:rPr>
          <w:lang w:val="fr-FR" w:bidi="en-US"/>
        </w:rPr>
        <w:t>’</w:t>
      </w:r>
      <w:r w:rsidR="002E1518" w:rsidRPr="00E1372C">
        <w:rPr>
          <w:lang w:val="fr-FR" w:bidi="en-US"/>
        </w:rPr>
        <w:t xml:space="preserve">a saisi les tribunaux du pays au motif de discrimination </w:t>
      </w:r>
      <w:r w:rsidR="009957C2" w:rsidRPr="00E1372C">
        <w:rPr>
          <w:lang w:val="fr-FR" w:bidi="en-US"/>
        </w:rPr>
        <w:t xml:space="preserve">fondée sur le </w:t>
      </w:r>
      <w:r w:rsidR="002E1518" w:rsidRPr="00E1372C">
        <w:rPr>
          <w:lang w:val="fr-FR" w:bidi="en-US"/>
        </w:rPr>
        <w:t>sexe.</w:t>
      </w:r>
    </w:p>
    <w:p w:rsidR="002E1518" w:rsidRPr="00E1372C" w:rsidRDefault="007A1757" w:rsidP="007A1757">
      <w:pPr>
        <w:pStyle w:val="SingleTxtG"/>
        <w:rPr>
          <w:lang w:val="fr-FR" w:bidi="en-US"/>
        </w:rPr>
      </w:pPr>
      <w:r w:rsidRPr="00E1372C">
        <w:rPr>
          <w:lang w:val="fr-FR" w:bidi="en-US"/>
        </w:rPr>
        <w:t>125.</w:t>
      </w:r>
      <w:r w:rsidRPr="00E1372C">
        <w:rPr>
          <w:lang w:val="fr-FR" w:bidi="en-US"/>
        </w:rPr>
        <w:tab/>
      </w:r>
      <w:r w:rsidR="002E1518" w:rsidRPr="00E1372C">
        <w:rPr>
          <w:lang w:val="fr-FR" w:bidi="en-US"/>
        </w:rPr>
        <w:t>La législation fiscale traite tous les individus – hommes et femmes, mariés ou célibataires – à égalité. La loi n</w:t>
      </w:r>
      <w:r w:rsidR="00B277C4" w:rsidRPr="00E1372C">
        <w:rPr>
          <w:vertAlign w:val="superscript"/>
          <w:lang w:val="fr-FR" w:bidi="en-US"/>
        </w:rPr>
        <w:t>o</w:t>
      </w:r>
      <w:r w:rsidR="002E1518" w:rsidRPr="00E1372C">
        <w:rPr>
          <w:lang w:val="fr-FR" w:bidi="en-US"/>
        </w:rPr>
        <w:t> 11 de 2007 relative au travail interdit la discrimination dans le domaine de l</w:t>
      </w:r>
      <w:r w:rsidR="00731F09" w:rsidRPr="00E1372C">
        <w:rPr>
          <w:lang w:val="fr-FR" w:bidi="en-US"/>
        </w:rPr>
        <w:t>’</w:t>
      </w:r>
      <w:r w:rsidR="002E1518" w:rsidRPr="00E1372C">
        <w:rPr>
          <w:lang w:val="fr-FR" w:bidi="en-US"/>
        </w:rPr>
        <w:t>emploi fondée sur le sexe, la situation conjugale ou familiale entre autres motifs. Elle garantit douze semaines de congé maternité à toutes les salariées qui travaillent depuis au moins un an pour le même employeur.</w:t>
      </w:r>
    </w:p>
    <w:p w:rsidR="00A55A0E" w:rsidRPr="00E1372C" w:rsidRDefault="007A1B1C" w:rsidP="007A1B1C">
      <w:pPr>
        <w:pStyle w:val="H23G"/>
        <w:rPr>
          <w:lang w:val="fr-FR" w:bidi="en-US"/>
        </w:rPr>
      </w:pPr>
      <w:r w:rsidRPr="00E1372C">
        <w:rPr>
          <w:lang w:val="fr-FR" w:bidi="en-US"/>
        </w:rPr>
        <w:tab/>
      </w:r>
      <w:r w:rsidRPr="00E1372C">
        <w:rPr>
          <w:lang w:val="fr-FR" w:bidi="en-US"/>
        </w:rPr>
        <w:tab/>
      </w:r>
      <w:r w:rsidR="00CF7F68" w:rsidRPr="00E1372C">
        <w:rPr>
          <w:lang w:val="fr-FR" w:bidi="en-US"/>
        </w:rPr>
        <w:t>Égalité au sein de la famille</w:t>
      </w:r>
      <w:r w:rsidR="00AE017E" w:rsidRPr="00E1372C">
        <w:rPr>
          <w:lang w:val="fr-FR" w:bidi="en-US"/>
        </w:rPr>
        <w:t>:</w:t>
      </w:r>
      <w:r w:rsidR="00CF7F68" w:rsidRPr="00E1372C">
        <w:rPr>
          <w:lang w:val="fr-FR" w:bidi="en-US"/>
        </w:rPr>
        <w:t xml:space="preserve"> droit et protection</w:t>
      </w:r>
    </w:p>
    <w:p w:rsidR="00CF7F68" w:rsidRPr="00E1372C" w:rsidRDefault="007A1757" w:rsidP="007A1757">
      <w:pPr>
        <w:pStyle w:val="SingleTxtG"/>
        <w:rPr>
          <w:b/>
          <w:lang w:val="fr-FR" w:bidi="en-US"/>
        </w:rPr>
      </w:pPr>
      <w:r w:rsidRPr="00E1372C">
        <w:rPr>
          <w:lang w:val="fr-FR" w:bidi="en-US"/>
        </w:rPr>
        <w:t>126.</w:t>
      </w:r>
      <w:r w:rsidRPr="00E1372C">
        <w:rPr>
          <w:lang w:val="fr-FR" w:bidi="en-US"/>
        </w:rPr>
        <w:tab/>
      </w:r>
      <w:r w:rsidR="00CF7F68" w:rsidRPr="00E1372C">
        <w:rPr>
          <w:lang w:val="fr-FR" w:bidi="en-US"/>
        </w:rPr>
        <w:t>La loi n</w:t>
      </w:r>
      <w:r w:rsidR="00B277C4" w:rsidRPr="00E1372C">
        <w:rPr>
          <w:vertAlign w:val="superscript"/>
          <w:lang w:val="fr-FR" w:bidi="en-US"/>
        </w:rPr>
        <w:t>o</w:t>
      </w:r>
      <w:r w:rsidR="00CF7F68" w:rsidRPr="00E1372C">
        <w:rPr>
          <w:lang w:val="fr-FR" w:bidi="en-US"/>
        </w:rPr>
        <w:t> 1 de 1996 relative à l</w:t>
      </w:r>
      <w:r w:rsidR="00731F09" w:rsidRPr="00E1372C">
        <w:rPr>
          <w:lang w:val="fr-FR" w:bidi="en-US"/>
        </w:rPr>
        <w:t>’</w:t>
      </w:r>
      <w:r w:rsidR="00CF7F68" w:rsidRPr="00E1372C">
        <w:rPr>
          <w:lang w:val="fr-FR" w:bidi="en-US"/>
        </w:rPr>
        <w:t>égalité des personnes mariées a été qualifiée de jalon dans le domaine du droit de la famille. Elle met fin à la discrimination à l</w:t>
      </w:r>
      <w:r w:rsidR="00731F09" w:rsidRPr="00E1372C">
        <w:rPr>
          <w:lang w:val="fr-FR" w:bidi="en-US"/>
        </w:rPr>
        <w:t>’</w:t>
      </w:r>
      <w:r w:rsidR="00CF7F68" w:rsidRPr="00E1372C">
        <w:rPr>
          <w:lang w:val="fr-FR" w:bidi="en-US"/>
        </w:rPr>
        <w:t xml:space="preserve">égard des femmes mariées dans le cadre des mariages civils et a aboli </w:t>
      </w:r>
      <w:r w:rsidR="0062713D" w:rsidRPr="00E1372C">
        <w:rPr>
          <w:lang w:val="fr-FR" w:bidi="en-US"/>
        </w:rPr>
        <w:t xml:space="preserve">le principe de </w:t>
      </w:r>
      <w:r w:rsidR="00CF7F68" w:rsidRPr="00E1372C">
        <w:rPr>
          <w:lang w:val="fr-FR" w:bidi="en-US"/>
        </w:rPr>
        <w:t>l</w:t>
      </w:r>
      <w:r w:rsidR="00731F09" w:rsidRPr="00E1372C">
        <w:rPr>
          <w:lang w:val="fr-FR" w:bidi="en-US"/>
        </w:rPr>
        <w:t>’</w:t>
      </w:r>
      <w:r w:rsidR="00CF7F68" w:rsidRPr="00E1372C">
        <w:rPr>
          <w:lang w:val="fr-FR" w:bidi="en-US"/>
        </w:rPr>
        <w:t xml:space="preserve">autorité conjugale du mari selon le droit coutumier. La femme mariée peut également conclure un contrat sans le consentement du mari. </w:t>
      </w:r>
    </w:p>
    <w:p w:rsidR="00CF7F68" w:rsidRPr="00E1372C" w:rsidRDefault="007A1757" w:rsidP="007A1757">
      <w:pPr>
        <w:pStyle w:val="SingleTxtG"/>
        <w:rPr>
          <w:lang w:val="fr-FR" w:bidi="en-US"/>
        </w:rPr>
      </w:pPr>
      <w:r w:rsidRPr="00E1372C">
        <w:rPr>
          <w:lang w:val="fr-FR" w:bidi="en-US"/>
        </w:rPr>
        <w:t>127.</w:t>
      </w:r>
      <w:r w:rsidRPr="00E1372C">
        <w:rPr>
          <w:lang w:val="fr-FR" w:bidi="en-US"/>
        </w:rPr>
        <w:tab/>
      </w:r>
      <w:r w:rsidR="00CF7F68" w:rsidRPr="00E1372C">
        <w:rPr>
          <w:lang w:val="fr-FR"/>
        </w:rPr>
        <w:t>La loi n</w:t>
      </w:r>
      <w:r w:rsidR="00B277C4" w:rsidRPr="00E1372C">
        <w:rPr>
          <w:vertAlign w:val="superscript"/>
          <w:lang w:val="fr-FR"/>
        </w:rPr>
        <w:t>o</w:t>
      </w:r>
      <w:r w:rsidR="00CF7F68" w:rsidRPr="00E1372C">
        <w:rPr>
          <w:lang w:val="fr-FR"/>
        </w:rPr>
        <w:t> 9 de 2003 relative à l</w:t>
      </w:r>
      <w:r w:rsidR="00731F09" w:rsidRPr="00E1372C">
        <w:rPr>
          <w:lang w:val="fr-FR"/>
        </w:rPr>
        <w:t>’</w:t>
      </w:r>
      <w:r w:rsidR="00CF7F68" w:rsidRPr="00E1372C">
        <w:rPr>
          <w:lang w:val="fr-FR"/>
        </w:rPr>
        <w:t>entretien des enfants dispose que tous les parents ont l</w:t>
      </w:r>
      <w:r w:rsidR="00731F09" w:rsidRPr="00E1372C">
        <w:rPr>
          <w:lang w:val="fr-FR"/>
        </w:rPr>
        <w:t>’</w:t>
      </w:r>
      <w:r w:rsidR="00CF7F68" w:rsidRPr="00E1372C">
        <w:rPr>
          <w:lang w:val="fr-FR"/>
        </w:rPr>
        <w:t>obligation légale d</w:t>
      </w:r>
      <w:r w:rsidR="00731F09" w:rsidRPr="00E1372C">
        <w:rPr>
          <w:lang w:val="fr-FR"/>
        </w:rPr>
        <w:t>’</w:t>
      </w:r>
      <w:r w:rsidR="00CF7F68" w:rsidRPr="00E1372C">
        <w:rPr>
          <w:lang w:val="fr-FR"/>
        </w:rPr>
        <w:t>entretenir leurs enfants. Les deux parents partagent cette responsabilité, que leurs enfants soient légitimes ou nés hors mariage et nonobstant toute règle contraire du droit coutumier qui ne reconnaîtrait pas aux parents ou à l</w:t>
      </w:r>
      <w:r w:rsidR="00731F09" w:rsidRPr="00E1372C">
        <w:rPr>
          <w:lang w:val="fr-FR"/>
        </w:rPr>
        <w:t>’</w:t>
      </w:r>
      <w:r w:rsidR="00CF7F68" w:rsidRPr="00E1372C">
        <w:rPr>
          <w:lang w:val="fr-FR"/>
        </w:rPr>
        <w:t>un d</w:t>
      </w:r>
      <w:r w:rsidR="00731F09" w:rsidRPr="00E1372C">
        <w:rPr>
          <w:lang w:val="fr-FR"/>
        </w:rPr>
        <w:t>’</w:t>
      </w:r>
      <w:r w:rsidR="00CF7F68" w:rsidRPr="00E1372C">
        <w:rPr>
          <w:lang w:val="fr-FR"/>
        </w:rPr>
        <w:t>eux cette responsabilité. Cette nouvelle loi est importante car elle décharge les femmes qui</w:t>
      </w:r>
      <w:r w:rsidR="0062713D" w:rsidRPr="00E1372C">
        <w:rPr>
          <w:lang w:val="fr-FR"/>
        </w:rPr>
        <w:t>,</w:t>
      </w:r>
      <w:r w:rsidR="00CF7F68" w:rsidRPr="00E1372C">
        <w:rPr>
          <w:lang w:val="fr-FR"/>
        </w:rPr>
        <w:t xml:space="preserve"> très souvent</w:t>
      </w:r>
      <w:r w:rsidR="0062713D" w:rsidRPr="00E1372C">
        <w:rPr>
          <w:lang w:val="fr-FR"/>
        </w:rPr>
        <w:t>,</w:t>
      </w:r>
      <w:r w:rsidR="00CF7F68" w:rsidRPr="00E1372C">
        <w:rPr>
          <w:lang w:val="fr-FR"/>
        </w:rPr>
        <w:t xml:space="preserve"> restent seules à s</w:t>
      </w:r>
      <w:r w:rsidR="00731F09" w:rsidRPr="00E1372C">
        <w:rPr>
          <w:lang w:val="fr-FR"/>
        </w:rPr>
        <w:t>’</w:t>
      </w:r>
      <w:r w:rsidR="00CF7F68" w:rsidRPr="00E1372C">
        <w:rPr>
          <w:lang w:val="fr-FR"/>
        </w:rPr>
        <w:t>occuper des enfants. La loi précédente de 1963 relative à l</w:t>
      </w:r>
      <w:r w:rsidR="00731F09" w:rsidRPr="00E1372C">
        <w:rPr>
          <w:lang w:val="fr-FR"/>
        </w:rPr>
        <w:t>’</w:t>
      </w:r>
      <w:r w:rsidR="00CF7F68" w:rsidRPr="00E1372C">
        <w:rPr>
          <w:lang w:val="fr-FR"/>
        </w:rPr>
        <w:t>obligation d</w:t>
      </w:r>
      <w:r w:rsidR="00731F09" w:rsidRPr="00E1372C">
        <w:rPr>
          <w:lang w:val="fr-FR"/>
        </w:rPr>
        <w:t>’</w:t>
      </w:r>
      <w:r w:rsidR="00CF7F68" w:rsidRPr="00E1372C">
        <w:rPr>
          <w:lang w:val="fr-FR"/>
        </w:rPr>
        <w:t>entretien ne permettait pas aux femmes d</w:t>
      </w:r>
      <w:r w:rsidR="00731F09" w:rsidRPr="00E1372C">
        <w:rPr>
          <w:lang w:val="fr-FR"/>
        </w:rPr>
        <w:t>’</w:t>
      </w:r>
      <w:r w:rsidR="00CF7F68" w:rsidRPr="00E1372C">
        <w:rPr>
          <w:lang w:val="fr-FR"/>
        </w:rPr>
        <w:t>obtenir facilement une pension alimentaire du père chômeur, même si celui-ci possédait un cheptel important</w:t>
      </w:r>
      <w:r w:rsidR="0062713D" w:rsidRPr="00E1372C">
        <w:rPr>
          <w:lang w:val="fr-FR"/>
        </w:rPr>
        <w:t xml:space="preserve"> et</w:t>
      </w:r>
      <w:r w:rsidR="00CF7F68" w:rsidRPr="00E1372C">
        <w:rPr>
          <w:lang w:val="fr-FR"/>
        </w:rPr>
        <w:t xml:space="preserve"> d</w:t>
      </w:r>
      <w:r w:rsidR="00731F09" w:rsidRPr="00E1372C">
        <w:rPr>
          <w:lang w:val="fr-FR"/>
        </w:rPr>
        <w:t>’</w:t>
      </w:r>
      <w:r w:rsidR="00CF7F68" w:rsidRPr="00E1372C">
        <w:rPr>
          <w:lang w:val="fr-FR"/>
        </w:rPr>
        <w:t>autres biens. Toutefois, au sens de la nouvelle loi, le parent demandeur peut obtenir une pension en nature, sous forme, par exemple, de caprins ou de bétail.</w:t>
      </w:r>
    </w:p>
    <w:p w:rsidR="00CF7F68" w:rsidRPr="00E1372C" w:rsidRDefault="007A1757" w:rsidP="009D790F">
      <w:pPr>
        <w:pStyle w:val="SingleTxtG"/>
        <w:rPr>
          <w:lang w:val="fr-FR" w:bidi="en-US"/>
        </w:rPr>
      </w:pPr>
      <w:r w:rsidRPr="00E1372C">
        <w:rPr>
          <w:lang w:val="fr-FR" w:bidi="en-US"/>
        </w:rPr>
        <w:t>128.</w:t>
      </w:r>
      <w:r w:rsidRPr="00E1372C">
        <w:rPr>
          <w:lang w:val="fr-FR" w:bidi="en-US"/>
        </w:rPr>
        <w:tab/>
      </w:r>
      <w:r w:rsidR="00CF7F68" w:rsidRPr="00E1372C">
        <w:rPr>
          <w:lang w:val="fr-FR" w:bidi="en-US"/>
        </w:rPr>
        <w:t xml:space="preserve">Les médias ont qualifié </w:t>
      </w:r>
      <w:r w:rsidR="00A55A0E" w:rsidRPr="00E1372C">
        <w:rPr>
          <w:lang w:val="fr-FR" w:bidi="en-US"/>
        </w:rPr>
        <w:t>1999</w:t>
      </w:r>
      <w:r w:rsidR="00CF7F68" w:rsidRPr="00E1372C">
        <w:rPr>
          <w:lang w:val="fr-FR" w:bidi="en-US"/>
        </w:rPr>
        <w:t xml:space="preserve"> d</w:t>
      </w:r>
      <w:r w:rsidR="00731F09" w:rsidRPr="00E1372C">
        <w:rPr>
          <w:lang w:val="fr-FR" w:bidi="en-US"/>
        </w:rPr>
        <w:t>’</w:t>
      </w:r>
      <w:r w:rsidR="00CF7F68" w:rsidRPr="00E1372C">
        <w:rPr>
          <w:lang w:val="fr-FR" w:bidi="en-US"/>
        </w:rPr>
        <w:t>année de la violence à l</w:t>
      </w:r>
      <w:r w:rsidR="00731F09" w:rsidRPr="00E1372C">
        <w:rPr>
          <w:lang w:val="fr-FR" w:bidi="en-US"/>
        </w:rPr>
        <w:t>’</w:t>
      </w:r>
      <w:r w:rsidR="00CF7F68" w:rsidRPr="00E1372C">
        <w:rPr>
          <w:lang w:val="fr-FR" w:bidi="en-US"/>
        </w:rPr>
        <w:t>égard des femmes, suscit</w:t>
      </w:r>
      <w:r w:rsidR="009957C2" w:rsidRPr="00E1372C">
        <w:rPr>
          <w:lang w:val="fr-FR" w:bidi="en-US"/>
        </w:rPr>
        <w:t>ant ainsi</w:t>
      </w:r>
      <w:r w:rsidR="00CF7F68" w:rsidRPr="00E1372C">
        <w:rPr>
          <w:lang w:val="fr-FR" w:bidi="en-US"/>
        </w:rPr>
        <w:t xml:space="preserve"> une réforme de la loi. Des groupes de femmes se sont constitués en vue de militer pour une réforme législative en ce sens. Ainsi, ont été promulguées la loi n</w:t>
      </w:r>
      <w:r w:rsidR="00B277C4" w:rsidRPr="00E1372C">
        <w:rPr>
          <w:vertAlign w:val="superscript"/>
          <w:lang w:val="fr-FR" w:bidi="en-US"/>
        </w:rPr>
        <w:t>o</w:t>
      </w:r>
      <w:r w:rsidR="00CF7F68" w:rsidRPr="00E1372C">
        <w:rPr>
          <w:lang w:val="fr-FR" w:bidi="en-US"/>
        </w:rPr>
        <w:t> 8 de 2000 contre le viol et la loi de 2003 relative à la lutte contre la violence familiale. De récentes recherches révèlent que plus d</w:t>
      </w:r>
      <w:r w:rsidR="00731F09" w:rsidRPr="00E1372C">
        <w:rPr>
          <w:lang w:val="fr-FR" w:bidi="en-US"/>
        </w:rPr>
        <w:t>’</w:t>
      </w:r>
      <w:r w:rsidR="00CF7F68" w:rsidRPr="00E1372C">
        <w:rPr>
          <w:lang w:val="fr-FR" w:bidi="en-US"/>
        </w:rPr>
        <w:t>un cinquième de toutes les violences signalées à la police sont d</w:t>
      </w:r>
      <w:r w:rsidR="00731F09" w:rsidRPr="00E1372C">
        <w:rPr>
          <w:lang w:val="fr-FR" w:bidi="en-US"/>
        </w:rPr>
        <w:t>’</w:t>
      </w:r>
      <w:r w:rsidR="00CF7F68" w:rsidRPr="00E1372C">
        <w:rPr>
          <w:lang w:val="fr-FR" w:bidi="en-US"/>
        </w:rPr>
        <w:t>ordre familial. Depuis, les membres de la police ont été formés aux droits de l</w:t>
      </w:r>
      <w:r w:rsidR="00731F09" w:rsidRPr="00E1372C">
        <w:rPr>
          <w:lang w:val="fr-FR" w:bidi="en-US"/>
        </w:rPr>
        <w:t>’</w:t>
      </w:r>
      <w:r w:rsidR="00CF7F68" w:rsidRPr="00E1372C">
        <w:rPr>
          <w:lang w:val="fr-FR" w:bidi="en-US"/>
        </w:rPr>
        <w:t>homme dans le</w:t>
      </w:r>
      <w:r w:rsidR="0062713D" w:rsidRPr="00E1372C">
        <w:rPr>
          <w:lang w:val="fr-FR" w:bidi="en-US"/>
        </w:rPr>
        <w:t>s</w:t>
      </w:r>
      <w:r w:rsidR="00CF7F68" w:rsidRPr="00E1372C">
        <w:rPr>
          <w:lang w:val="fr-FR" w:bidi="en-US"/>
        </w:rPr>
        <w:t xml:space="preserve"> domaine</w:t>
      </w:r>
      <w:r w:rsidR="0062713D" w:rsidRPr="00E1372C">
        <w:rPr>
          <w:lang w:val="fr-FR" w:bidi="en-US"/>
        </w:rPr>
        <w:t>s</w:t>
      </w:r>
      <w:r w:rsidR="00CF7F68" w:rsidRPr="00E1372C">
        <w:rPr>
          <w:lang w:val="fr-FR" w:bidi="en-US"/>
        </w:rPr>
        <w:t xml:space="preserve"> de l</w:t>
      </w:r>
      <w:r w:rsidR="00731F09" w:rsidRPr="00E1372C">
        <w:rPr>
          <w:lang w:val="fr-FR" w:bidi="en-US"/>
        </w:rPr>
        <w:t>’</w:t>
      </w:r>
      <w:r w:rsidR="00CF7F68" w:rsidRPr="00E1372C">
        <w:rPr>
          <w:lang w:val="fr-FR" w:bidi="en-US"/>
        </w:rPr>
        <w:t xml:space="preserve">égalité entre les sexes et </w:t>
      </w:r>
      <w:r w:rsidR="009957C2" w:rsidRPr="00E1372C">
        <w:rPr>
          <w:lang w:val="fr-FR" w:bidi="en-US"/>
        </w:rPr>
        <w:t xml:space="preserve">de </w:t>
      </w:r>
      <w:r w:rsidR="00CF7F68" w:rsidRPr="00E1372C">
        <w:rPr>
          <w:lang w:val="fr-FR" w:bidi="en-US"/>
        </w:rPr>
        <w:t xml:space="preserve">la violence. Le pays compte </w:t>
      </w:r>
      <w:r w:rsidR="009D790F" w:rsidRPr="00E1372C">
        <w:rPr>
          <w:lang w:val="fr-FR" w:bidi="en-US"/>
        </w:rPr>
        <w:t>15 </w:t>
      </w:r>
      <w:r w:rsidR="00CF7F68" w:rsidRPr="00E1372C">
        <w:rPr>
          <w:lang w:val="fr-FR" w:bidi="en-US"/>
        </w:rPr>
        <w:t>centres de protection des femmes et des enfants qui fournissent une assistance spéciale dans les cas de violence. Des ONG et autres groupes de la société civile fournissent des structures d</w:t>
      </w:r>
      <w:r w:rsidR="00731F09" w:rsidRPr="00E1372C">
        <w:rPr>
          <w:lang w:val="fr-FR" w:bidi="en-US"/>
        </w:rPr>
        <w:t>’</w:t>
      </w:r>
      <w:r w:rsidR="00CF7F68" w:rsidRPr="00E1372C">
        <w:rPr>
          <w:lang w:val="fr-FR" w:bidi="en-US"/>
        </w:rPr>
        <w:t xml:space="preserve">accueil auxquelles les autorités gouvernementales adressent les victimes de violence familiale. Le Centre de protection des femmes et des enfants de la </w:t>
      </w:r>
      <w:r w:rsidR="00B71CFE" w:rsidRPr="00E1372C">
        <w:rPr>
          <w:lang w:val="fr-FR" w:bidi="en-US"/>
        </w:rPr>
        <w:t>p</w:t>
      </w:r>
      <w:r w:rsidR="00CF7F68" w:rsidRPr="00E1372C">
        <w:rPr>
          <w:lang w:val="fr-FR" w:bidi="en-US"/>
        </w:rPr>
        <w:t>olice namibienne a conclu un accord de réorientation avec une ONG locale qui fournit des conseils aux victimes de traumatismes.</w:t>
      </w:r>
    </w:p>
    <w:p w:rsidR="00B71CFE" w:rsidRPr="00E1372C" w:rsidRDefault="007A1757" w:rsidP="007A1757">
      <w:pPr>
        <w:pStyle w:val="SingleTxtG"/>
        <w:rPr>
          <w:lang w:val="fr-FR" w:bidi="en-US"/>
        </w:rPr>
      </w:pPr>
      <w:r w:rsidRPr="00E1372C">
        <w:rPr>
          <w:lang w:val="fr-FR" w:bidi="en-US"/>
        </w:rPr>
        <w:t>129.</w:t>
      </w:r>
      <w:r w:rsidRPr="00E1372C">
        <w:rPr>
          <w:lang w:val="fr-FR" w:bidi="en-US"/>
        </w:rPr>
        <w:tab/>
      </w:r>
      <w:r w:rsidR="00B71CFE" w:rsidRPr="00E1372C">
        <w:rPr>
          <w:lang w:val="fr-FR" w:bidi="en-US"/>
        </w:rPr>
        <w:t>Dans certaines parties du pays, principalement les régions septentrionales, la communauté locale a construit</w:t>
      </w:r>
      <w:r w:rsidR="0062713D" w:rsidRPr="00E1372C">
        <w:rPr>
          <w:lang w:val="fr-FR" w:bidi="en-US"/>
        </w:rPr>
        <w:t>,</w:t>
      </w:r>
      <w:r w:rsidR="00B71CFE" w:rsidRPr="00E1372C">
        <w:rPr>
          <w:lang w:val="fr-FR" w:bidi="en-US"/>
        </w:rPr>
        <w:t xml:space="preserve"> près des locaux où les femmes enceintes peuvent séjourner durant la grossesse</w:t>
      </w:r>
      <w:r w:rsidR="0062713D" w:rsidRPr="00E1372C">
        <w:rPr>
          <w:lang w:val="fr-FR" w:bidi="en-US"/>
        </w:rPr>
        <w:t>, des hôpitaux</w:t>
      </w:r>
      <w:r w:rsidR="00B71CFE" w:rsidRPr="00E1372C">
        <w:rPr>
          <w:lang w:val="fr-FR" w:bidi="en-US"/>
        </w:rPr>
        <w:t xml:space="preserve"> dont le nombre augmente.</w:t>
      </w:r>
    </w:p>
    <w:p w:rsidR="00A55A0E" w:rsidRPr="00E1372C" w:rsidRDefault="00721113" w:rsidP="00721113">
      <w:pPr>
        <w:pStyle w:val="H23G"/>
        <w:rPr>
          <w:lang w:val="fr-FR" w:bidi="en-US"/>
        </w:rPr>
      </w:pPr>
      <w:r w:rsidRPr="00E1372C">
        <w:rPr>
          <w:lang w:val="fr-FR" w:bidi="en-US"/>
        </w:rPr>
        <w:tab/>
      </w:r>
      <w:r w:rsidRPr="00E1372C">
        <w:rPr>
          <w:lang w:val="fr-FR" w:bidi="en-US"/>
        </w:rPr>
        <w:tab/>
      </w:r>
      <w:r w:rsidR="0056723F" w:rsidRPr="00E1372C">
        <w:rPr>
          <w:lang w:val="fr-FR" w:bidi="en-US"/>
        </w:rPr>
        <w:t>Stratégies gouvernementales sur la violence à l</w:t>
      </w:r>
      <w:r w:rsidR="00731F09" w:rsidRPr="00E1372C">
        <w:rPr>
          <w:lang w:val="fr-FR" w:bidi="en-US"/>
        </w:rPr>
        <w:t>’</w:t>
      </w:r>
      <w:r w:rsidR="0056723F" w:rsidRPr="00E1372C">
        <w:rPr>
          <w:lang w:val="fr-FR" w:bidi="en-US"/>
        </w:rPr>
        <w:t>égard des femmes</w:t>
      </w:r>
      <w:r w:rsidR="00A55A0E" w:rsidRPr="00E1372C">
        <w:rPr>
          <w:lang w:val="fr-FR" w:bidi="en-US"/>
        </w:rPr>
        <w:t xml:space="preserve"> </w:t>
      </w:r>
    </w:p>
    <w:p w:rsidR="0056723F" w:rsidRPr="00E1372C" w:rsidRDefault="007A1757" w:rsidP="007A1757">
      <w:pPr>
        <w:pStyle w:val="SingleTxtG"/>
        <w:rPr>
          <w:lang w:val="fr-FR" w:bidi="en-US"/>
        </w:rPr>
      </w:pPr>
      <w:r w:rsidRPr="00E1372C">
        <w:rPr>
          <w:lang w:val="fr-FR" w:bidi="en-US"/>
        </w:rPr>
        <w:t>130.</w:t>
      </w:r>
      <w:r w:rsidRPr="00E1372C">
        <w:rPr>
          <w:lang w:val="fr-FR" w:bidi="en-US"/>
        </w:rPr>
        <w:tab/>
      </w:r>
      <w:r w:rsidR="0056723F" w:rsidRPr="00E1372C">
        <w:rPr>
          <w:lang w:val="fr-FR" w:bidi="en-US"/>
        </w:rPr>
        <w:t>Au milieu de 2007, le Ministère de l</w:t>
      </w:r>
      <w:r w:rsidR="00731F09" w:rsidRPr="00E1372C">
        <w:rPr>
          <w:lang w:val="fr-FR" w:bidi="en-US"/>
        </w:rPr>
        <w:t>’</w:t>
      </w:r>
      <w:r w:rsidR="0056723F" w:rsidRPr="00E1372C">
        <w:rPr>
          <w:lang w:val="fr-FR" w:bidi="en-US"/>
        </w:rPr>
        <w:t>égalité entre les sexes et de la protection de l</w:t>
      </w:r>
      <w:r w:rsidR="00731F09" w:rsidRPr="00E1372C">
        <w:rPr>
          <w:lang w:val="fr-FR" w:bidi="en-US"/>
        </w:rPr>
        <w:t>’</w:t>
      </w:r>
      <w:r w:rsidR="0056723F" w:rsidRPr="00E1372C">
        <w:rPr>
          <w:lang w:val="fr-FR" w:bidi="en-US"/>
        </w:rPr>
        <w:t>enfance, avec l</w:t>
      </w:r>
      <w:r w:rsidR="00731F09" w:rsidRPr="00E1372C">
        <w:rPr>
          <w:lang w:val="fr-FR" w:bidi="en-US"/>
        </w:rPr>
        <w:t>’</w:t>
      </w:r>
      <w:r w:rsidR="0056723F" w:rsidRPr="00E1372C">
        <w:rPr>
          <w:lang w:val="fr-FR" w:bidi="en-US"/>
        </w:rPr>
        <w:t>assistance de l</w:t>
      </w:r>
      <w:r w:rsidR="00731F09" w:rsidRPr="00E1372C">
        <w:rPr>
          <w:lang w:val="fr-FR" w:bidi="en-US"/>
        </w:rPr>
        <w:t>’</w:t>
      </w:r>
      <w:r w:rsidR="0056723F" w:rsidRPr="00E1372C">
        <w:rPr>
          <w:lang w:val="fr-FR" w:bidi="en-US"/>
        </w:rPr>
        <w:t>Organisation des Nations Unies, a commandé une enquête sur la violence à l</w:t>
      </w:r>
      <w:r w:rsidR="00731F09" w:rsidRPr="00E1372C">
        <w:rPr>
          <w:lang w:val="fr-FR" w:bidi="en-US"/>
        </w:rPr>
        <w:t>’</w:t>
      </w:r>
      <w:r w:rsidR="0056723F" w:rsidRPr="00E1372C">
        <w:rPr>
          <w:lang w:val="fr-FR" w:bidi="en-US"/>
        </w:rPr>
        <w:t>égard des femmes en Namibie. L</w:t>
      </w:r>
      <w:r w:rsidR="00731F09" w:rsidRPr="00E1372C">
        <w:rPr>
          <w:lang w:val="fr-FR" w:bidi="en-US"/>
        </w:rPr>
        <w:t>’</w:t>
      </w:r>
      <w:r w:rsidR="0056723F" w:rsidRPr="00E1372C">
        <w:rPr>
          <w:lang w:val="fr-FR" w:bidi="en-US"/>
        </w:rPr>
        <w:t>enquête a porté sur quatre régions dans le Nord du pays et a été suivie d</w:t>
      </w:r>
      <w:r w:rsidR="00731F09" w:rsidRPr="00E1372C">
        <w:rPr>
          <w:lang w:val="fr-FR" w:bidi="en-US"/>
        </w:rPr>
        <w:t>’</w:t>
      </w:r>
      <w:r w:rsidR="0056723F" w:rsidRPr="00E1372C">
        <w:rPr>
          <w:lang w:val="fr-FR" w:bidi="en-US"/>
        </w:rPr>
        <w:t>une étude menée en 2008 dans quatre autres régions. Les conclusions de l</w:t>
      </w:r>
      <w:r w:rsidR="00731F09" w:rsidRPr="00E1372C">
        <w:rPr>
          <w:lang w:val="fr-FR" w:bidi="en-US"/>
        </w:rPr>
        <w:t>’</w:t>
      </w:r>
      <w:r w:rsidR="0056723F" w:rsidRPr="00E1372C">
        <w:rPr>
          <w:lang w:val="fr-FR" w:bidi="en-US"/>
        </w:rPr>
        <w:t>enquête ont révélé que 34</w:t>
      </w:r>
      <w:r w:rsidR="007064FC" w:rsidRPr="00E1372C">
        <w:rPr>
          <w:lang w:val="fr-FR" w:bidi="en-US"/>
        </w:rPr>
        <w:t> %</w:t>
      </w:r>
      <w:r w:rsidR="0056723F" w:rsidRPr="00E1372C">
        <w:rPr>
          <w:lang w:val="fr-FR" w:bidi="en-US"/>
        </w:rPr>
        <w:t xml:space="preserve"> des personnes interrogées avaient été victimes de violences sexistes.</w:t>
      </w:r>
    </w:p>
    <w:p w:rsidR="0056723F" w:rsidRPr="00E1372C" w:rsidRDefault="007A1757" w:rsidP="007A1757">
      <w:pPr>
        <w:pStyle w:val="SingleTxtG"/>
        <w:rPr>
          <w:lang w:val="fr-FR" w:bidi="en-US"/>
        </w:rPr>
      </w:pPr>
      <w:r w:rsidRPr="00E1372C">
        <w:rPr>
          <w:lang w:val="fr-FR" w:bidi="en-US"/>
        </w:rPr>
        <w:t>131.</w:t>
      </w:r>
      <w:r w:rsidRPr="00E1372C">
        <w:rPr>
          <w:lang w:val="fr-FR" w:bidi="en-US"/>
        </w:rPr>
        <w:tab/>
      </w:r>
      <w:r w:rsidR="0056723F" w:rsidRPr="00E1372C">
        <w:rPr>
          <w:lang w:val="fr-FR" w:bidi="en-US"/>
        </w:rPr>
        <w:t>En novembre 1997, le Département des affaires féminines auprès du Cabinet du Président (aujourd</w:t>
      </w:r>
      <w:r w:rsidR="00731F09" w:rsidRPr="00E1372C">
        <w:rPr>
          <w:lang w:val="fr-FR" w:bidi="en-US"/>
        </w:rPr>
        <w:t>’</w:t>
      </w:r>
      <w:r w:rsidR="0056723F" w:rsidRPr="00E1372C">
        <w:rPr>
          <w:lang w:val="fr-FR" w:bidi="en-US"/>
        </w:rPr>
        <w:t>hui Ministère de l</w:t>
      </w:r>
      <w:r w:rsidR="00731F09" w:rsidRPr="00E1372C">
        <w:rPr>
          <w:lang w:val="fr-FR" w:bidi="en-US"/>
        </w:rPr>
        <w:t>’</w:t>
      </w:r>
      <w:r w:rsidR="0056723F" w:rsidRPr="00E1372C">
        <w:rPr>
          <w:lang w:val="fr-FR" w:bidi="en-US"/>
        </w:rPr>
        <w:t>égalité entre les sexes et de la protection de l</w:t>
      </w:r>
      <w:r w:rsidR="00731F09" w:rsidRPr="00E1372C">
        <w:rPr>
          <w:lang w:val="fr-FR" w:bidi="en-US"/>
        </w:rPr>
        <w:t>’</w:t>
      </w:r>
      <w:r w:rsidR="0056723F" w:rsidRPr="00E1372C">
        <w:rPr>
          <w:lang w:val="fr-FR" w:bidi="en-US"/>
        </w:rPr>
        <w:t>enfance) a publié une politique nationale sur l</w:t>
      </w:r>
      <w:r w:rsidR="00731F09" w:rsidRPr="00E1372C">
        <w:rPr>
          <w:lang w:val="fr-FR" w:bidi="en-US"/>
        </w:rPr>
        <w:t>’</w:t>
      </w:r>
      <w:r w:rsidR="0056723F" w:rsidRPr="00E1372C">
        <w:rPr>
          <w:lang w:val="fr-FR" w:bidi="en-US"/>
        </w:rPr>
        <w:t>égalité entre hommes et femmes</w:t>
      </w:r>
      <w:r w:rsidR="00D933DE" w:rsidRPr="00E1372C">
        <w:rPr>
          <w:lang w:val="fr-FR" w:bidi="en-US"/>
        </w:rPr>
        <w:t>,</w:t>
      </w:r>
      <w:r w:rsidR="0056723F" w:rsidRPr="00E1372C">
        <w:rPr>
          <w:lang w:val="fr-FR" w:bidi="en-US"/>
        </w:rPr>
        <w:t xml:space="preserve"> </w:t>
      </w:r>
      <w:r w:rsidR="00023C1B" w:rsidRPr="00E1372C">
        <w:rPr>
          <w:lang w:val="fr-FR" w:bidi="en-US"/>
        </w:rPr>
        <w:t>selon laquelle</w:t>
      </w:r>
      <w:r w:rsidR="00AE017E" w:rsidRPr="00E1372C">
        <w:rPr>
          <w:lang w:val="fr-FR" w:bidi="en-US"/>
        </w:rPr>
        <w:t>:</w:t>
      </w:r>
    </w:p>
    <w:p w:rsidR="00A55A0E" w:rsidRPr="00E1372C" w:rsidRDefault="00AE017E" w:rsidP="0056723F">
      <w:pPr>
        <w:pStyle w:val="SingleTxtG"/>
        <w:ind w:left="1701"/>
        <w:rPr>
          <w:lang w:val="fr-FR" w:bidi="en-US"/>
        </w:rPr>
      </w:pPr>
      <w:r w:rsidRPr="00E1372C">
        <w:rPr>
          <w:lang w:val="fr-FR" w:bidi="en-US"/>
        </w:rPr>
        <w:t>«</w:t>
      </w:r>
      <w:r w:rsidR="0056723F" w:rsidRPr="00E1372C">
        <w:rPr>
          <w:lang w:val="fr-FR" w:bidi="en-US"/>
        </w:rPr>
        <w:t>Les structures et la stratification sociales, notamment les systèmes culturel et juridique, attestent les intérêts manifestes de ceux qui dominent la prise de décisions et le pouvoir politique, en l</w:t>
      </w:r>
      <w:r w:rsidR="00731F09" w:rsidRPr="00E1372C">
        <w:rPr>
          <w:lang w:val="fr-FR" w:bidi="en-US"/>
        </w:rPr>
        <w:t>’</w:t>
      </w:r>
      <w:r w:rsidR="0056723F" w:rsidRPr="00E1372C">
        <w:rPr>
          <w:lang w:val="fr-FR" w:bidi="en-US"/>
        </w:rPr>
        <w:t xml:space="preserve">espèce les </w:t>
      </w:r>
      <w:r w:rsidR="00721113" w:rsidRPr="00E1372C">
        <w:rPr>
          <w:lang w:val="fr-FR" w:bidi="en-US"/>
        </w:rPr>
        <w:t>“</w:t>
      </w:r>
      <w:r w:rsidR="0056723F" w:rsidRPr="00E1372C">
        <w:rPr>
          <w:lang w:val="fr-FR" w:bidi="en-US"/>
        </w:rPr>
        <w:t>hommes</w:t>
      </w:r>
      <w:r w:rsidR="00721113" w:rsidRPr="00E1372C">
        <w:rPr>
          <w:lang w:val="fr-FR" w:bidi="en-US"/>
        </w:rPr>
        <w:t>”»</w:t>
      </w:r>
      <w:r w:rsidR="00A55A0E" w:rsidRPr="00E1372C">
        <w:rPr>
          <w:lang w:val="fr-FR" w:bidi="en-US"/>
        </w:rPr>
        <w:t xml:space="preserve">. </w:t>
      </w:r>
    </w:p>
    <w:p w:rsidR="0056723F" w:rsidRPr="00E1372C" w:rsidRDefault="007A1757" w:rsidP="007A1757">
      <w:pPr>
        <w:pStyle w:val="SingleTxtG"/>
        <w:rPr>
          <w:rFonts w:ascii="Garamond" w:hAnsi="Garamond"/>
          <w:lang w:val="fr-FR" w:bidi="en-US"/>
        </w:rPr>
      </w:pPr>
      <w:r w:rsidRPr="00E1372C">
        <w:rPr>
          <w:lang w:val="fr-FR" w:bidi="en-US"/>
        </w:rPr>
        <w:t>132.</w:t>
      </w:r>
      <w:r w:rsidRPr="00E1372C">
        <w:rPr>
          <w:lang w:val="fr-FR" w:bidi="en-US"/>
        </w:rPr>
        <w:tab/>
      </w:r>
      <w:r w:rsidR="0056723F" w:rsidRPr="00E1372C">
        <w:rPr>
          <w:lang w:val="fr-FR" w:bidi="en-US"/>
        </w:rPr>
        <w:t>Ladite politique soutient les efforts visant à mieux sensibiliser les responsables de l</w:t>
      </w:r>
      <w:r w:rsidR="00731F09" w:rsidRPr="00E1372C">
        <w:rPr>
          <w:lang w:val="fr-FR" w:bidi="en-US"/>
        </w:rPr>
        <w:t>’</w:t>
      </w:r>
      <w:r w:rsidR="0056723F" w:rsidRPr="00E1372C">
        <w:rPr>
          <w:lang w:val="fr-FR" w:bidi="en-US"/>
        </w:rPr>
        <w:t xml:space="preserve">action gouvernementale, </w:t>
      </w:r>
      <w:r w:rsidR="004C22AB" w:rsidRPr="00E1372C">
        <w:rPr>
          <w:lang w:val="fr-FR" w:bidi="en-US"/>
        </w:rPr>
        <w:t xml:space="preserve">les </w:t>
      </w:r>
      <w:r w:rsidR="0019761E" w:rsidRPr="00E1372C">
        <w:rPr>
          <w:lang w:val="fr-FR" w:bidi="en-US"/>
        </w:rPr>
        <w:t>spécialist</w:t>
      </w:r>
      <w:r w:rsidR="004C22AB" w:rsidRPr="00E1372C">
        <w:rPr>
          <w:lang w:val="fr-FR" w:bidi="en-US"/>
        </w:rPr>
        <w:t xml:space="preserve">es </w:t>
      </w:r>
      <w:r w:rsidR="0056723F" w:rsidRPr="00E1372C">
        <w:rPr>
          <w:lang w:val="fr-FR" w:bidi="en-US"/>
        </w:rPr>
        <w:t xml:space="preserve">des plans, </w:t>
      </w:r>
      <w:r w:rsidR="007C724B" w:rsidRPr="00E1372C">
        <w:rPr>
          <w:lang w:val="fr-FR" w:bidi="en-US"/>
        </w:rPr>
        <w:t>les agents d</w:t>
      </w:r>
      <w:r w:rsidR="00731F09" w:rsidRPr="00E1372C">
        <w:rPr>
          <w:lang w:val="fr-FR" w:bidi="en-US"/>
        </w:rPr>
        <w:t>’</w:t>
      </w:r>
      <w:r w:rsidR="007C724B" w:rsidRPr="00E1372C">
        <w:rPr>
          <w:lang w:val="fr-FR" w:bidi="en-US"/>
        </w:rPr>
        <w:t>exécution et de développement, ainsi que le grand public aux dispositions constitutionnelles relatives aux femmes. Elle indique un cadre d</w:t>
      </w:r>
      <w:r w:rsidR="00731F09" w:rsidRPr="00E1372C">
        <w:rPr>
          <w:lang w:val="fr-FR" w:bidi="en-US"/>
        </w:rPr>
        <w:t>’</w:t>
      </w:r>
      <w:r w:rsidR="007C724B" w:rsidRPr="00E1372C">
        <w:rPr>
          <w:lang w:val="fr-FR" w:bidi="en-US"/>
        </w:rPr>
        <w:t>application de ces dispositions. La Namibie est l</w:t>
      </w:r>
      <w:r w:rsidR="00731F09" w:rsidRPr="00E1372C">
        <w:rPr>
          <w:lang w:val="fr-FR" w:bidi="en-US"/>
        </w:rPr>
        <w:t>’</w:t>
      </w:r>
      <w:r w:rsidR="007C724B" w:rsidRPr="00E1372C">
        <w:rPr>
          <w:lang w:val="fr-FR" w:bidi="en-US"/>
        </w:rPr>
        <w:t>un des quelques pays qui ont ratifié sans réserve la Convention sur l</w:t>
      </w:r>
      <w:r w:rsidR="00731F09" w:rsidRPr="00E1372C">
        <w:rPr>
          <w:lang w:val="fr-FR" w:bidi="en-US"/>
        </w:rPr>
        <w:t>’</w:t>
      </w:r>
      <w:r w:rsidR="007C724B" w:rsidRPr="00E1372C">
        <w:rPr>
          <w:lang w:val="fr-FR" w:bidi="en-US"/>
        </w:rPr>
        <w:t>élimination de toutes les formes de discrimination à l</w:t>
      </w:r>
      <w:r w:rsidR="00731F09" w:rsidRPr="00E1372C">
        <w:rPr>
          <w:lang w:val="fr-FR" w:bidi="en-US"/>
        </w:rPr>
        <w:t>’</w:t>
      </w:r>
      <w:r w:rsidR="007C724B" w:rsidRPr="00E1372C">
        <w:rPr>
          <w:lang w:val="fr-FR" w:bidi="en-US"/>
        </w:rPr>
        <w:t>égard des femmes. Une nouvelle politique révisée sur l</w:t>
      </w:r>
      <w:r w:rsidR="00731F09" w:rsidRPr="00E1372C">
        <w:rPr>
          <w:lang w:val="fr-FR" w:bidi="en-US"/>
        </w:rPr>
        <w:t>’</w:t>
      </w:r>
      <w:r w:rsidR="007C724B" w:rsidRPr="00E1372C">
        <w:rPr>
          <w:lang w:val="fr-FR" w:bidi="en-US"/>
        </w:rPr>
        <w:t>égalité entre les sexes pour la période 2010-2020 a été officiellement lancée en 2012.</w:t>
      </w:r>
    </w:p>
    <w:p w:rsidR="00A55A0E" w:rsidRPr="00E1372C" w:rsidRDefault="00721113" w:rsidP="00A55A0E">
      <w:pPr>
        <w:pStyle w:val="H1G"/>
        <w:rPr>
          <w:lang w:val="fr-FR" w:bidi="en-US"/>
        </w:rPr>
      </w:pPr>
      <w:r w:rsidRPr="00E1372C">
        <w:rPr>
          <w:lang w:val="fr-FR" w:bidi="en-US"/>
        </w:rPr>
        <w:tab/>
      </w:r>
      <w:r w:rsidRPr="00E1372C">
        <w:rPr>
          <w:lang w:val="fr-FR" w:bidi="en-US"/>
        </w:rPr>
        <w:tab/>
        <w:t>Article 4</w:t>
      </w:r>
      <w:r w:rsidRPr="00E1372C">
        <w:rPr>
          <w:lang w:val="fr-FR" w:bidi="en-US"/>
        </w:rPr>
        <w:br/>
        <w:t xml:space="preserve">Droits </w:t>
      </w:r>
      <w:r w:rsidR="007C724B" w:rsidRPr="00E1372C">
        <w:rPr>
          <w:lang w:val="fr-FR" w:bidi="en-US"/>
        </w:rPr>
        <w:t>économiques, sociaux et culturels soumis aux limitations établies par la loi</w:t>
      </w:r>
    </w:p>
    <w:p w:rsidR="00A55A0E" w:rsidRPr="00E1372C" w:rsidRDefault="007A1757" w:rsidP="007A1757">
      <w:pPr>
        <w:pStyle w:val="SingleTxtG"/>
        <w:rPr>
          <w:lang w:val="fr-FR" w:bidi="en-US"/>
        </w:rPr>
      </w:pPr>
      <w:r w:rsidRPr="00E1372C">
        <w:rPr>
          <w:lang w:val="fr-FR" w:bidi="en-US"/>
        </w:rPr>
        <w:t>133.</w:t>
      </w:r>
      <w:r w:rsidRPr="00E1372C">
        <w:rPr>
          <w:lang w:val="fr-FR" w:bidi="en-US"/>
        </w:rPr>
        <w:tab/>
      </w:r>
      <w:r w:rsidR="007F33CB" w:rsidRPr="00E1372C">
        <w:rPr>
          <w:lang w:val="fr-FR" w:bidi="en-US"/>
        </w:rPr>
        <w:t>Le paragraphe 2 de l</w:t>
      </w:r>
      <w:r w:rsidR="00731F09" w:rsidRPr="00E1372C">
        <w:rPr>
          <w:lang w:val="fr-FR" w:bidi="en-US"/>
        </w:rPr>
        <w:t>’</w:t>
      </w:r>
      <w:r w:rsidR="007F33CB" w:rsidRPr="00E1372C">
        <w:rPr>
          <w:lang w:val="fr-FR" w:bidi="en-US"/>
        </w:rPr>
        <w:t>article 21 de la Constitution dispose comme suit</w:t>
      </w:r>
      <w:r w:rsidR="00AE017E" w:rsidRPr="00E1372C">
        <w:rPr>
          <w:lang w:val="fr-FR" w:bidi="en-US"/>
        </w:rPr>
        <w:t>:</w:t>
      </w:r>
      <w:r w:rsidR="00A55A0E" w:rsidRPr="00E1372C">
        <w:rPr>
          <w:lang w:val="fr-FR" w:bidi="en-US"/>
        </w:rPr>
        <w:t xml:space="preserve"> </w:t>
      </w:r>
    </w:p>
    <w:p w:rsidR="00A55A0E" w:rsidRPr="00E1372C" w:rsidRDefault="00AE017E" w:rsidP="00A55A0E">
      <w:pPr>
        <w:pStyle w:val="SingleTxtG"/>
        <w:ind w:left="1701"/>
        <w:rPr>
          <w:lang w:val="fr-FR" w:bidi="en-US"/>
        </w:rPr>
      </w:pPr>
      <w:r w:rsidRPr="00E1372C">
        <w:rPr>
          <w:lang w:val="fr-FR" w:bidi="en-US"/>
        </w:rPr>
        <w:t>«</w:t>
      </w:r>
      <w:r w:rsidR="00A55A0E" w:rsidRPr="00E1372C">
        <w:rPr>
          <w:lang w:val="fr-FR" w:bidi="en-US"/>
        </w:rPr>
        <w:t>…</w:t>
      </w:r>
      <w:r w:rsidR="007F33CB" w:rsidRPr="00E1372C">
        <w:rPr>
          <w:lang w:val="fr-FR" w:bidi="en-US"/>
        </w:rPr>
        <w:t xml:space="preserve">les libertés fondamentales visées au paragraphe 1 </w:t>
      </w:r>
      <w:r w:rsidR="00A77D1F" w:rsidRPr="00E1372C">
        <w:rPr>
          <w:lang w:val="fr-FR" w:bidi="en-US"/>
        </w:rPr>
        <w:t>[de l</w:t>
      </w:r>
      <w:r w:rsidR="00731F09" w:rsidRPr="00E1372C">
        <w:rPr>
          <w:lang w:val="fr-FR" w:bidi="en-US"/>
        </w:rPr>
        <w:t>’</w:t>
      </w:r>
      <w:r w:rsidR="00A77D1F" w:rsidRPr="00E1372C">
        <w:rPr>
          <w:lang w:val="fr-FR" w:bidi="en-US"/>
        </w:rPr>
        <w:t xml:space="preserve">article 21] </w:t>
      </w:r>
      <w:r w:rsidR="007F33CB" w:rsidRPr="00E1372C">
        <w:rPr>
          <w:lang w:val="fr-FR" w:bidi="en-US"/>
        </w:rPr>
        <w:t>de la Constitution namibienne doivent s</w:t>
      </w:r>
      <w:r w:rsidR="00731F09" w:rsidRPr="00E1372C">
        <w:rPr>
          <w:lang w:val="fr-FR" w:bidi="en-US"/>
        </w:rPr>
        <w:t>’</w:t>
      </w:r>
      <w:r w:rsidR="007F33CB" w:rsidRPr="00E1372C">
        <w:rPr>
          <w:lang w:val="fr-FR" w:bidi="en-US"/>
        </w:rPr>
        <w:t>exercer dans le resp</w:t>
      </w:r>
      <w:r w:rsidR="00721113" w:rsidRPr="00E1372C">
        <w:rPr>
          <w:lang w:val="fr-FR" w:bidi="en-US"/>
        </w:rPr>
        <w:t>ect de la législation nationale</w:t>
      </w:r>
      <w:r w:rsidRPr="00E1372C">
        <w:rPr>
          <w:lang w:val="fr-FR" w:bidi="en-US"/>
        </w:rPr>
        <w:t>»</w:t>
      </w:r>
      <w:r w:rsidR="00721113" w:rsidRPr="00E1372C">
        <w:rPr>
          <w:lang w:val="fr-FR" w:bidi="en-US"/>
        </w:rPr>
        <w:t>.</w:t>
      </w:r>
    </w:p>
    <w:p w:rsidR="002274CC" w:rsidRPr="00E1372C" w:rsidRDefault="007A1757" w:rsidP="007A1757">
      <w:pPr>
        <w:pStyle w:val="SingleTxtG"/>
        <w:rPr>
          <w:lang w:val="fr-FR" w:bidi="en-US"/>
        </w:rPr>
      </w:pPr>
      <w:r w:rsidRPr="00E1372C">
        <w:rPr>
          <w:lang w:val="fr-FR" w:bidi="en-US"/>
        </w:rPr>
        <w:t>134.</w:t>
      </w:r>
      <w:r w:rsidRPr="00E1372C">
        <w:rPr>
          <w:lang w:val="fr-FR" w:bidi="en-US"/>
        </w:rPr>
        <w:tab/>
      </w:r>
      <w:r w:rsidR="002274CC" w:rsidRPr="00E1372C">
        <w:rPr>
          <w:lang w:val="fr-FR" w:bidi="en-US"/>
        </w:rPr>
        <w:t>Les paragraphes 2 de l</w:t>
      </w:r>
      <w:r w:rsidR="00731F09" w:rsidRPr="00E1372C">
        <w:rPr>
          <w:lang w:val="fr-FR" w:bidi="en-US"/>
        </w:rPr>
        <w:t>’</w:t>
      </w:r>
      <w:r w:rsidR="002274CC" w:rsidRPr="00E1372C">
        <w:rPr>
          <w:lang w:val="fr-FR" w:bidi="en-US"/>
        </w:rPr>
        <w:t>article 21 et 3 de l</w:t>
      </w:r>
      <w:r w:rsidR="00731F09" w:rsidRPr="00E1372C">
        <w:rPr>
          <w:lang w:val="fr-FR" w:bidi="en-US"/>
        </w:rPr>
        <w:t>’</w:t>
      </w:r>
      <w:r w:rsidR="002274CC" w:rsidRPr="00E1372C">
        <w:rPr>
          <w:lang w:val="fr-FR" w:bidi="en-US"/>
        </w:rPr>
        <w:t>article 24 de la Constitution visent à garantir que les droits des Namibiens reconnus par la Constitution dans les domaines économique, social et culturel, entre autres, ne sont pas soumis à des limitations arbitraires non fondées ou rétroactives.</w:t>
      </w:r>
    </w:p>
    <w:p w:rsidR="00A55A0E" w:rsidRPr="00E1372C" w:rsidRDefault="007A1757" w:rsidP="007A1757">
      <w:pPr>
        <w:pStyle w:val="SingleTxtG"/>
        <w:rPr>
          <w:lang w:val="fr-FR" w:bidi="en-US"/>
        </w:rPr>
      </w:pPr>
      <w:r w:rsidRPr="00E1372C">
        <w:rPr>
          <w:lang w:val="fr-FR" w:bidi="en-US"/>
        </w:rPr>
        <w:t>135.</w:t>
      </w:r>
      <w:r w:rsidRPr="00E1372C">
        <w:rPr>
          <w:lang w:val="fr-FR" w:bidi="en-US"/>
        </w:rPr>
        <w:tab/>
      </w:r>
      <w:r w:rsidR="002274CC" w:rsidRPr="00E1372C">
        <w:rPr>
          <w:lang w:val="fr-FR" w:bidi="en-US"/>
        </w:rPr>
        <w:t>Ces mêmes dispositions garantissent en outre qu</w:t>
      </w:r>
      <w:r w:rsidR="00731F09" w:rsidRPr="00E1372C">
        <w:rPr>
          <w:lang w:val="fr-FR" w:bidi="en-US"/>
        </w:rPr>
        <w:t>’</w:t>
      </w:r>
      <w:r w:rsidR="002274CC" w:rsidRPr="00E1372C">
        <w:rPr>
          <w:lang w:val="fr-FR" w:bidi="en-US"/>
        </w:rPr>
        <w:t>il ne peut être porté atteinte aux droits reconnus dans la Constitution d</w:t>
      </w:r>
      <w:r w:rsidR="00731F09" w:rsidRPr="00E1372C">
        <w:rPr>
          <w:lang w:val="fr-FR" w:bidi="en-US"/>
        </w:rPr>
        <w:t>’</w:t>
      </w:r>
      <w:r w:rsidR="002274CC" w:rsidRPr="00E1372C">
        <w:rPr>
          <w:lang w:val="fr-FR" w:bidi="en-US"/>
        </w:rPr>
        <w:t>une manière incompatible avec la nature de ces droits</w:t>
      </w:r>
      <w:r w:rsidR="00A55A0E" w:rsidRPr="00E1372C">
        <w:rPr>
          <w:lang w:val="fr-FR" w:bidi="en-US"/>
        </w:rPr>
        <w:t xml:space="preserve">. </w:t>
      </w:r>
    </w:p>
    <w:p w:rsidR="00A55A0E" w:rsidRPr="00E1372C" w:rsidRDefault="00A55A0E" w:rsidP="00A55A0E">
      <w:pPr>
        <w:pStyle w:val="H1G"/>
        <w:rPr>
          <w:lang w:val="fr-FR" w:bidi="en-US"/>
        </w:rPr>
      </w:pPr>
      <w:bookmarkStart w:id="1" w:name="_Toc13632566"/>
      <w:r w:rsidRPr="00E1372C">
        <w:rPr>
          <w:lang w:val="fr-FR"/>
        </w:rPr>
        <w:tab/>
      </w:r>
      <w:r w:rsidRPr="00E1372C">
        <w:rPr>
          <w:lang w:val="fr-FR"/>
        </w:rPr>
        <w:tab/>
        <w:t>Article 5</w:t>
      </w:r>
      <w:bookmarkEnd w:id="1"/>
      <w:r w:rsidR="00721113" w:rsidRPr="00E1372C">
        <w:rPr>
          <w:lang w:val="fr-FR"/>
        </w:rPr>
        <w:br/>
        <w:t>I</w:t>
      </w:r>
      <w:r w:rsidR="00721113" w:rsidRPr="00E1372C">
        <w:rPr>
          <w:lang w:val="fr-FR" w:bidi="en-US"/>
        </w:rPr>
        <w:t xml:space="preserve">nterprétation </w:t>
      </w:r>
      <w:r w:rsidR="003126FE" w:rsidRPr="00E1372C">
        <w:rPr>
          <w:lang w:val="fr-FR" w:bidi="en-US"/>
        </w:rPr>
        <w:t>de l</w:t>
      </w:r>
      <w:r w:rsidR="00731F09" w:rsidRPr="00E1372C">
        <w:rPr>
          <w:lang w:val="fr-FR" w:bidi="en-US"/>
        </w:rPr>
        <w:t>’</w:t>
      </w:r>
      <w:r w:rsidR="003126FE" w:rsidRPr="00E1372C">
        <w:rPr>
          <w:lang w:val="fr-FR" w:bidi="en-US"/>
        </w:rPr>
        <w:t>article 5 du Pacte</w:t>
      </w:r>
    </w:p>
    <w:p w:rsidR="003126FE" w:rsidRPr="00E1372C" w:rsidRDefault="007A1757" w:rsidP="007A1757">
      <w:pPr>
        <w:pStyle w:val="SingleTxtG"/>
        <w:rPr>
          <w:lang w:val="fr-FR" w:bidi="en-US"/>
        </w:rPr>
      </w:pPr>
      <w:r w:rsidRPr="00E1372C">
        <w:rPr>
          <w:lang w:val="fr-FR" w:bidi="en-US"/>
        </w:rPr>
        <w:t>136.</w:t>
      </w:r>
      <w:r w:rsidRPr="00E1372C">
        <w:rPr>
          <w:lang w:val="fr-FR" w:bidi="en-US"/>
        </w:rPr>
        <w:tab/>
      </w:r>
      <w:r w:rsidR="003126FE" w:rsidRPr="00E1372C">
        <w:rPr>
          <w:lang w:val="fr-FR" w:bidi="en-US"/>
        </w:rPr>
        <w:t>La Constitution a la particularité, entre autres, de tenir compte du droit international. Cette caractéristique se vérifie à l</w:t>
      </w:r>
      <w:r w:rsidR="00731F09" w:rsidRPr="00E1372C">
        <w:rPr>
          <w:lang w:val="fr-FR" w:bidi="en-US"/>
        </w:rPr>
        <w:t>’</w:t>
      </w:r>
      <w:r w:rsidR="003126FE" w:rsidRPr="00E1372C">
        <w:rPr>
          <w:lang w:val="fr-FR" w:bidi="en-US"/>
        </w:rPr>
        <w:t>article 144 qui intègre le droit international dans la législation namibienne et à l</w:t>
      </w:r>
      <w:r w:rsidR="00731F09" w:rsidRPr="00E1372C">
        <w:rPr>
          <w:lang w:val="fr-FR" w:bidi="en-US"/>
        </w:rPr>
        <w:t>’</w:t>
      </w:r>
      <w:r w:rsidR="003126FE" w:rsidRPr="00E1372C">
        <w:rPr>
          <w:lang w:val="fr-FR" w:bidi="en-US"/>
        </w:rPr>
        <w:t>alinéa </w:t>
      </w:r>
      <w:r w:rsidR="00CB0362" w:rsidRPr="00CB0362">
        <w:rPr>
          <w:i/>
          <w:lang w:val="fr-FR" w:bidi="en-US"/>
        </w:rPr>
        <w:t>d</w:t>
      </w:r>
      <w:r w:rsidR="003126FE" w:rsidRPr="00E1372C">
        <w:rPr>
          <w:lang w:val="fr-FR" w:bidi="en-US"/>
        </w:rPr>
        <w:t xml:space="preserve"> de l</w:t>
      </w:r>
      <w:r w:rsidR="00731F09" w:rsidRPr="00E1372C">
        <w:rPr>
          <w:lang w:val="fr-FR" w:bidi="en-US"/>
        </w:rPr>
        <w:t>’</w:t>
      </w:r>
      <w:r w:rsidR="003126FE" w:rsidRPr="00E1372C">
        <w:rPr>
          <w:lang w:val="fr-FR" w:bidi="en-US"/>
        </w:rPr>
        <w:t>article 96 qui impose le respect des obligations découlant du droit et des instruments internationaux. En d</w:t>
      </w:r>
      <w:r w:rsidR="00731F09" w:rsidRPr="00E1372C">
        <w:rPr>
          <w:lang w:val="fr-FR" w:bidi="en-US"/>
        </w:rPr>
        <w:t>’</w:t>
      </w:r>
      <w:r w:rsidR="003126FE" w:rsidRPr="00E1372C">
        <w:rPr>
          <w:lang w:val="fr-FR" w:bidi="en-US"/>
        </w:rPr>
        <w:t>autres termes, la Constitution invoque le droit international et en fait une partie intégrante du droit interne. Partant, elle n</w:t>
      </w:r>
      <w:r w:rsidR="00731F09" w:rsidRPr="00E1372C">
        <w:rPr>
          <w:lang w:val="fr-FR" w:bidi="en-US"/>
        </w:rPr>
        <w:t>’</w:t>
      </w:r>
      <w:r w:rsidR="003126FE" w:rsidRPr="00E1372C">
        <w:rPr>
          <w:lang w:val="fr-FR" w:bidi="en-US"/>
        </w:rPr>
        <w:t>exige pas que les accords internationaux, pour devenir partie intégrante des lois nationales, fassent l</w:t>
      </w:r>
      <w:r w:rsidR="00731F09" w:rsidRPr="00E1372C">
        <w:rPr>
          <w:lang w:val="fr-FR" w:bidi="en-US"/>
        </w:rPr>
        <w:t>’</w:t>
      </w:r>
      <w:r w:rsidR="003126FE" w:rsidRPr="00E1372C">
        <w:rPr>
          <w:lang w:val="fr-FR" w:bidi="en-US"/>
        </w:rPr>
        <w:t>objet d</w:t>
      </w:r>
      <w:r w:rsidR="00731F09" w:rsidRPr="00E1372C">
        <w:rPr>
          <w:lang w:val="fr-FR" w:bidi="en-US"/>
        </w:rPr>
        <w:t>’</w:t>
      </w:r>
      <w:r w:rsidR="003126FE" w:rsidRPr="00E1372C">
        <w:rPr>
          <w:lang w:val="fr-FR" w:bidi="en-US"/>
        </w:rPr>
        <w:t>un acte législatif.</w:t>
      </w:r>
    </w:p>
    <w:p w:rsidR="003126FE" w:rsidRPr="00E1372C" w:rsidRDefault="007A1757" w:rsidP="00CB0362">
      <w:pPr>
        <w:pStyle w:val="SingleTxtG"/>
        <w:rPr>
          <w:lang w:val="fr-FR" w:bidi="en-US"/>
        </w:rPr>
      </w:pPr>
      <w:r w:rsidRPr="00E1372C">
        <w:rPr>
          <w:lang w:val="fr-FR" w:bidi="en-US"/>
        </w:rPr>
        <w:t>137.</w:t>
      </w:r>
      <w:r w:rsidRPr="00E1372C">
        <w:rPr>
          <w:lang w:val="fr-FR" w:bidi="en-US"/>
        </w:rPr>
        <w:tab/>
      </w:r>
      <w:r w:rsidR="003126FE" w:rsidRPr="00E1372C">
        <w:rPr>
          <w:lang w:val="fr-FR" w:bidi="en-US"/>
        </w:rPr>
        <w:t xml:space="preserve">Bien que les conventions </w:t>
      </w:r>
      <w:r w:rsidR="00FC23BF" w:rsidRPr="00E1372C">
        <w:rPr>
          <w:lang w:val="fr-FR" w:bidi="en-US"/>
        </w:rPr>
        <w:t>n</w:t>
      </w:r>
      <w:r w:rsidR="00731F09" w:rsidRPr="00E1372C">
        <w:rPr>
          <w:lang w:val="fr-FR" w:bidi="en-US"/>
        </w:rPr>
        <w:t>’</w:t>
      </w:r>
      <w:r w:rsidR="003126FE" w:rsidRPr="00E1372C">
        <w:rPr>
          <w:lang w:val="fr-FR" w:bidi="en-US"/>
        </w:rPr>
        <w:t xml:space="preserve">aient été intégrées dans le droit interne par aucune loi, </w:t>
      </w:r>
      <w:r w:rsidR="003126FE" w:rsidRPr="00E1372C">
        <w:rPr>
          <w:lang w:val="fr-FR"/>
        </w:rPr>
        <w:t>les droits économiques, sociaux et culturels sont consacrés et protégés par la Constitution qui, en vertu du paragraphe 6 de son article </w:t>
      </w:r>
      <w:r w:rsidR="00D933DE" w:rsidRPr="00E1372C">
        <w:rPr>
          <w:lang w:val="fr-FR"/>
        </w:rPr>
        <w:t>1</w:t>
      </w:r>
      <w:r w:rsidR="003126FE" w:rsidRPr="00E1372C">
        <w:rPr>
          <w:lang w:val="fr-FR"/>
        </w:rPr>
        <w:t xml:space="preserve">, constitue </w:t>
      </w:r>
      <w:r w:rsidR="00AE017E" w:rsidRPr="00E1372C">
        <w:rPr>
          <w:lang w:val="fr-FR"/>
        </w:rPr>
        <w:t>«</w:t>
      </w:r>
      <w:r w:rsidR="003126FE" w:rsidRPr="00E1372C">
        <w:rPr>
          <w:lang w:val="fr-FR"/>
        </w:rPr>
        <w:t>la loi suprême de la Namibie</w:t>
      </w:r>
      <w:r w:rsidR="00AE017E" w:rsidRPr="00E1372C">
        <w:rPr>
          <w:lang w:val="fr-FR"/>
        </w:rPr>
        <w:t>»</w:t>
      </w:r>
      <w:r w:rsidR="003126FE" w:rsidRPr="00E1372C">
        <w:rPr>
          <w:lang w:val="fr-FR"/>
        </w:rPr>
        <w:t xml:space="preserve">. Ces droits sont à tous égards invocables devant les tribunaux. En outre, </w:t>
      </w:r>
      <w:r w:rsidR="00DB2573" w:rsidRPr="00E1372C">
        <w:rPr>
          <w:lang w:val="fr-FR"/>
        </w:rPr>
        <w:t>il est possible d</w:t>
      </w:r>
      <w:r w:rsidR="00731F09" w:rsidRPr="00E1372C">
        <w:rPr>
          <w:lang w:val="fr-FR"/>
        </w:rPr>
        <w:t>’</w:t>
      </w:r>
      <w:r w:rsidR="00DB2573" w:rsidRPr="00E1372C">
        <w:rPr>
          <w:lang w:val="fr-FR"/>
        </w:rPr>
        <w:t xml:space="preserve">invoquer </w:t>
      </w:r>
      <w:r w:rsidR="003126FE" w:rsidRPr="00E1372C">
        <w:rPr>
          <w:lang w:val="fr-FR"/>
        </w:rPr>
        <w:t>le</w:t>
      </w:r>
      <w:r w:rsidR="00A77D1F" w:rsidRPr="00E1372C">
        <w:rPr>
          <w:lang w:val="fr-FR"/>
        </w:rPr>
        <w:t>s instruments internationaux</w:t>
      </w:r>
      <w:r w:rsidR="003126FE" w:rsidRPr="00E1372C">
        <w:rPr>
          <w:lang w:val="fr-FR"/>
        </w:rPr>
        <w:t>, une fois signé</w:t>
      </w:r>
      <w:r w:rsidR="00A77D1F" w:rsidRPr="00E1372C">
        <w:rPr>
          <w:lang w:val="fr-FR"/>
        </w:rPr>
        <w:t>s</w:t>
      </w:r>
      <w:r w:rsidR="003126FE" w:rsidRPr="00E1372C">
        <w:rPr>
          <w:lang w:val="fr-FR"/>
        </w:rPr>
        <w:t xml:space="preserve"> et ratifié</w:t>
      </w:r>
      <w:r w:rsidR="00A77D1F" w:rsidRPr="00E1372C">
        <w:rPr>
          <w:lang w:val="fr-FR"/>
        </w:rPr>
        <w:t>s</w:t>
      </w:r>
      <w:r w:rsidR="003126FE" w:rsidRPr="00E1372C">
        <w:rPr>
          <w:lang w:val="fr-FR"/>
        </w:rPr>
        <w:t xml:space="preserve">, devant </w:t>
      </w:r>
      <w:r w:rsidR="00DB2573" w:rsidRPr="00E1372C">
        <w:rPr>
          <w:lang w:val="fr-FR"/>
        </w:rPr>
        <w:t>tout</w:t>
      </w:r>
      <w:r w:rsidR="003126FE" w:rsidRPr="00E1372C">
        <w:rPr>
          <w:lang w:val="fr-FR"/>
        </w:rPr>
        <w:t xml:space="preserve">e juridiction. Il convient de tenir compte du fait que certains </w:t>
      </w:r>
      <w:r w:rsidR="00A77D1F" w:rsidRPr="00E1372C">
        <w:rPr>
          <w:lang w:val="fr-FR"/>
        </w:rPr>
        <w:t xml:space="preserve">de ces instruments </w:t>
      </w:r>
      <w:r w:rsidR="003126FE" w:rsidRPr="00E1372C">
        <w:rPr>
          <w:lang w:val="fr-FR"/>
        </w:rPr>
        <w:t>doivent être expressément incorporés dans le droit interne pour être applicables. En d</w:t>
      </w:r>
      <w:r w:rsidR="00731F09" w:rsidRPr="00E1372C">
        <w:rPr>
          <w:lang w:val="fr-FR"/>
        </w:rPr>
        <w:t>’</w:t>
      </w:r>
      <w:r w:rsidR="003126FE" w:rsidRPr="00E1372C">
        <w:rPr>
          <w:lang w:val="fr-FR"/>
        </w:rPr>
        <w:t>autres termes, les tribunaux namibiens appliqueront les dispositions d</w:t>
      </w:r>
      <w:r w:rsidR="00AC64DC" w:rsidRPr="00E1372C">
        <w:rPr>
          <w:lang w:val="fr-FR"/>
        </w:rPr>
        <w:t>u Pacte</w:t>
      </w:r>
      <w:r w:rsidR="003126FE" w:rsidRPr="00E1372C">
        <w:rPr>
          <w:lang w:val="fr-FR"/>
        </w:rPr>
        <w:t xml:space="preserve"> puisqu</w:t>
      </w:r>
      <w:r w:rsidR="00731F09" w:rsidRPr="00E1372C">
        <w:rPr>
          <w:lang w:val="fr-FR"/>
        </w:rPr>
        <w:t>’</w:t>
      </w:r>
      <w:r w:rsidR="003126FE" w:rsidRPr="00E1372C">
        <w:rPr>
          <w:lang w:val="fr-FR"/>
        </w:rPr>
        <w:t>il n</w:t>
      </w:r>
      <w:r w:rsidR="00731F09" w:rsidRPr="00E1372C">
        <w:rPr>
          <w:lang w:val="fr-FR"/>
        </w:rPr>
        <w:t>’</w:t>
      </w:r>
      <w:r w:rsidR="003126FE" w:rsidRPr="00E1372C">
        <w:rPr>
          <w:lang w:val="fr-FR"/>
        </w:rPr>
        <w:t>est pas nécessaire pour cela de modifier le droit namibien</w:t>
      </w:r>
      <w:r w:rsidR="00BE0692" w:rsidRPr="00E1372C">
        <w:rPr>
          <w:lang w:val="fr-FR"/>
        </w:rPr>
        <w:t>. L</w:t>
      </w:r>
      <w:r w:rsidR="00731F09" w:rsidRPr="00E1372C">
        <w:rPr>
          <w:lang w:val="fr-FR"/>
        </w:rPr>
        <w:t>’</w:t>
      </w:r>
      <w:r w:rsidR="00BE0692" w:rsidRPr="00E1372C">
        <w:rPr>
          <w:lang w:val="fr-FR"/>
        </w:rPr>
        <w:t>article 95 de la Constitution qui contient des principes sur la politique gouvernementale relative à la promotion du bien des citoyens est un exemple de disposition susceptible d</w:t>
      </w:r>
      <w:r w:rsidR="00731F09" w:rsidRPr="00E1372C">
        <w:rPr>
          <w:lang w:val="fr-FR"/>
        </w:rPr>
        <w:t>’</w:t>
      </w:r>
      <w:r w:rsidR="00BE0692" w:rsidRPr="00E1372C">
        <w:rPr>
          <w:lang w:val="fr-FR"/>
        </w:rPr>
        <w:t>interprétation erronée. L</w:t>
      </w:r>
      <w:r w:rsidR="00731F09" w:rsidRPr="00E1372C">
        <w:rPr>
          <w:lang w:val="fr-FR"/>
        </w:rPr>
        <w:t>’</w:t>
      </w:r>
      <w:r w:rsidR="00BE0692" w:rsidRPr="00E1372C">
        <w:rPr>
          <w:lang w:val="fr-FR"/>
        </w:rPr>
        <w:t>une des mesures à adopter en vertu dudit article 95 est le principe de l</w:t>
      </w:r>
      <w:r w:rsidR="00731F09" w:rsidRPr="00E1372C">
        <w:rPr>
          <w:lang w:val="fr-FR"/>
        </w:rPr>
        <w:t>’</w:t>
      </w:r>
      <w:r w:rsidR="00BE0692" w:rsidRPr="00E1372C">
        <w:rPr>
          <w:lang w:val="fr-FR"/>
        </w:rPr>
        <w:t>aide juridictionnelle gratuite. Les dispositions, d</w:t>
      </w:r>
      <w:r w:rsidR="00731F09" w:rsidRPr="00E1372C">
        <w:rPr>
          <w:lang w:val="fr-FR"/>
        </w:rPr>
        <w:t>’</w:t>
      </w:r>
      <w:r w:rsidR="00BE0692" w:rsidRPr="00E1372C">
        <w:rPr>
          <w:lang w:val="fr-FR"/>
        </w:rPr>
        <w:t xml:space="preserve">une part, </w:t>
      </w:r>
      <w:r w:rsidR="004877DB" w:rsidRPr="00E1372C">
        <w:rPr>
          <w:lang w:val="fr-FR"/>
        </w:rPr>
        <w:t>de l</w:t>
      </w:r>
      <w:r w:rsidR="00731F09" w:rsidRPr="00E1372C">
        <w:rPr>
          <w:lang w:val="fr-FR"/>
        </w:rPr>
        <w:t>’</w:t>
      </w:r>
      <w:r w:rsidR="004877DB" w:rsidRPr="00E1372C">
        <w:rPr>
          <w:lang w:val="fr-FR"/>
        </w:rPr>
        <w:t>alinéa</w:t>
      </w:r>
      <w:r w:rsidR="004877DB" w:rsidRPr="00E1372C">
        <w:rPr>
          <w:iCs/>
          <w:lang w:val="fr-FR"/>
        </w:rPr>
        <w:t xml:space="preserve"> </w:t>
      </w:r>
      <w:r w:rsidR="004877DB" w:rsidRPr="00CB0362">
        <w:rPr>
          <w:i/>
          <w:lang w:val="fr-FR"/>
        </w:rPr>
        <w:t>e</w:t>
      </w:r>
      <w:r w:rsidR="004877DB" w:rsidRPr="00E1372C">
        <w:rPr>
          <w:lang w:val="fr-FR"/>
        </w:rPr>
        <w:t xml:space="preserve"> </w:t>
      </w:r>
      <w:r w:rsidR="00BE0692" w:rsidRPr="00E1372C">
        <w:rPr>
          <w:lang w:val="fr-FR"/>
        </w:rPr>
        <w:t>du paragraphe 1 de l</w:t>
      </w:r>
      <w:r w:rsidR="00731F09" w:rsidRPr="00E1372C">
        <w:rPr>
          <w:lang w:val="fr-FR"/>
        </w:rPr>
        <w:t>’</w:t>
      </w:r>
      <w:r w:rsidR="00BE0692" w:rsidRPr="00E1372C">
        <w:rPr>
          <w:lang w:val="fr-FR"/>
        </w:rPr>
        <w:t>article 12 de la Constitution qui garantit le droit à un procès équitable et d</w:t>
      </w:r>
      <w:r w:rsidR="00731F09" w:rsidRPr="00E1372C">
        <w:rPr>
          <w:lang w:val="fr-FR"/>
        </w:rPr>
        <w:t>’</w:t>
      </w:r>
      <w:r w:rsidR="00BE0692" w:rsidRPr="00E1372C">
        <w:rPr>
          <w:lang w:val="fr-FR"/>
        </w:rPr>
        <w:t>être représenté par un conseil de son choix et, d</w:t>
      </w:r>
      <w:r w:rsidR="00731F09" w:rsidRPr="00E1372C">
        <w:rPr>
          <w:lang w:val="fr-FR"/>
        </w:rPr>
        <w:t>’</w:t>
      </w:r>
      <w:r w:rsidR="00BE0692" w:rsidRPr="00E1372C">
        <w:rPr>
          <w:lang w:val="fr-FR"/>
        </w:rPr>
        <w:t>autre part, de l</w:t>
      </w:r>
      <w:r w:rsidR="00731F09" w:rsidRPr="00E1372C">
        <w:rPr>
          <w:lang w:val="fr-FR"/>
        </w:rPr>
        <w:t>’</w:t>
      </w:r>
      <w:r w:rsidR="00BE0692" w:rsidRPr="00E1372C">
        <w:rPr>
          <w:lang w:val="fr-FR"/>
        </w:rPr>
        <w:t>alinéa </w:t>
      </w:r>
      <w:r w:rsidR="00BE0692" w:rsidRPr="00CB0362">
        <w:rPr>
          <w:i/>
          <w:lang w:val="fr-FR"/>
        </w:rPr>
        <w:t>h</w:t>
      </w:r>
      <w:r w:rsidR="00BE0692" w:rsidRPr="00E1372C">
        <w:rPr>
          <w:lang w:val="fr-FR"/>
        </w:rPr>
        <w:t xml:space="preserve"> de l</w:t>
      </w:r>
      <w:r w:rsidR="00731F09" w:rsidRPr="00E1372C">
        <w:rPr>
          <w:lang w:val="fr-FR"/>
        </w:rPr>
        <w:t>’</w:t>
      </w:r>
      <w:r w:rsidR="00BE0692" w:rsidRPr="00E1372C">
        <w:rPr>
          <w:lang w:val="fr-FR"/>
        </w:rPr>
        <w:t xml:space="preserve">article 95 peuvent paraître en contradiction </w:t>
      </w:r>
      <w:r w:rsidR="00AC64DC" w:rsidRPr="00E1372C">
        <w:rPr>
          <w:lang w:val="fr-FR"/>
        </w:rPr>
        <w:t xml:space="preserve">tant </w:t>
      </w:r>
      <w:r w:rsidR="00BE0692" w:rsidRPr="00E1372C">
        <w:rPr>
          <w:lang w:val="fr-FR"/>
        </w:rPr>
        <w:t>les unes avec les autres</w:t>
      </w:r>
      <w:r w:rsidR="00AC64DC" w:rsidRPr="00E1372C">
        <w:rPr>
          <w:lang w:val="fr-FR"/>
        </w:rPr>
        <w:t xml:space="preserve"> qu</w:t>
      </w:r>
      <w:r w:rsidR="00731F09" w:rsidRPr="00E1372C">
        <w:rPr>
          <w:lang w:val="fr-FR"/>
        </w:rPr>
        <w:t>’</w:t>
      </w:r>
      <w:r w:rsidR="00BE0692" w:rsidRPr="00E1372C">
        <w:rPr>
          <w:lang w:val="fr-FR"/>
        </w:rPr>
        <w:t xml:space="preserve">avec les dispositions du Pacte. </w:t>
      </w:r>
    </w:p>
    <w:p w:rsidR="00A55A0E" w:rsidRPr="00E1372C" w:rsidRDefault="007A1757" w:rsidP="007A1757">
      <w:pPr>
        <w:pStyle w:val="SingleTxtG"/>
        <w:rPr>
          <w:lang w:val="fr-FR" w:bidi="en-US"/>
        </w:rPr>
      </w:pPr>
      <w:r w:rsidRPr="00E1372C">
        <w:rPr>
          <w:lang w:val="fr-FR" w:bidi="en-US"/>
        </w:rPr>
        <w:t>138.</w:t>
      </w:r>
      <w:r w:rsidRPr="00E1372C">
        <w:rPr>
          <w:lang w:val="fr-FR" w:bidi="en-US"/>
        </w:rPr>
        <w:tab/>
      </w:r>
      <w:r w:rsidR="00BE0692" w:rsidRPr="00E1372C">
        <w:rPr>
          <w:lang w:val="fr-FR"/>
        </w:rPr>
        <w:t>La Namibie, qui a accédé à l</w:t>
      </w:r>
      <w:r w:rsidR="00731F09" w:rsidRPr="00E1372C">
        <w:rPr>
          <w:lang w:val="fr-FR"/>
        </w:rPr>
        <w:t>’</w:t>
      </w:r>
      <w:r w:rsidR="00BE0692" w:rsidRPr="00E1372C">
        <w:rPr>
          <w:lang w:val="fr-FR"/>
        </w:rPr>
        <w:t>indépendance en 1990, a une Constitution relativement récente et peu d</w:t>
      </w:r>
      <w:r w:rsidR="00731F09" w:rsidRPr="00E1372C">
        <w:rPr>
          <w:lang w:val="fr-FR"/>
        </w:rPr>
        <w:t>’</w:t>
      </w:r>
      <w:r w:rsidR="00BE0692" w:rsidRPr="00E1372C">
        <w:rPr>
          <w:lang w:val="fr-FR"/>
        </w:rPr>
        <w:t>affaires ont porté sur une interprétation de celle-ci. Les affaires de ce type sont confiées à la Haute Cour, dont les règles d</w:t>
      </w:r>
      <w:r w:rsidR="00731F09" w:rsidRPr="00E1372C">
        <w:rPr>
          <w:lang w:val="fr-FR"/>
        </w:rPr>
        <w:t>’</w:t>
      </w:r>
      <w:r w:rsidR="00BE0692" w:rsidRPr="00E1372C">
        <w:rPr>
          <w:lang w:val="fr-FR"/>
        </w:rPr>
        <w:t>interprétation s</w:t>
      </w:r>
      <w:r w:rsidR="00731F09" w:rsidRPr="00E1372C">
        <w:rPr>
          <w:lang w:val="fr-FR"/>
        </w:rPr>
        <w:t>’</w:t>
      </w:r>
      <w:r w:rsidR="00BE0692" w:rsidRPr="00E1372C">
        <w:rPr>
          <w:lang w:val="fr-FR"/>
        </w:rPr>
        <w:t>inspirent du droit néerlandais de tradition romaniste largement utilisé en Afrique du Sud, du fait du passé colonial de la région</w:t>
      </w:r>
      <w:r w:rsidR="00A55A0E" w:rsidRPr="00E1372C">
        <w:rPr>
          <w:lang w:val="fr-FR" w:bidi="en-US"/>
        </w:rPr>
        <w:t>.</w:t>
      </w:r>
    </w:p>
    <w:p w:rsidR="00E27BBE" w:rsidRPr="00E1372C" w:rsidRDefault="00B0422F" w:rsidP="00F04CE8">
      <w:pPr>
        <w:pStyle w:val="HChG"/>
        <w:rPr>
          <w:lang w:val="fr-FR"/>
        </w:rPr>
      </w:pPr>
      <w:r w:rsidRPr="00E1372C">
        <w:rPr>
          <w:lang w:val="fr-FR"/>
        </w:rPr>
        <w:tab/>
      </w:r>
      <w:r w:rsidR="00E27BBE" w:rsidRPr="00E1372C">
        <w:rPr>
          <w:lang w:val="fr-FR"/>
        </w:rPr>
        <w:t>I</w:t>
      </w:r>
      <w:r w:rsidR="006210BA" w:rsidRPr="00E1372C">
        <w:rPr>
          <w:lang w:val="fr-FR"/>
        </w:rPr>
        <w:t>I</w:t>
      </w:r>
      <w:r w:rsidR="00E27BBE" w:rsidRPr="00E1372C">
        <w:rPr>
          <w:lang w:val="fr-FR"/>
        </w:rPr>
        <w:t>I.</w:t>
      </w:r>
      <w:r w:rsidR="00E27BBE" w:rsidRPr="00E1372C">
        <w:rPr>
          <w:lang w:val="fr-FR"/>
        </w:rPr>
        <w:tab/>
      </w:r>
      <w:r w:rsidR="006210BA" w:rsidRPr="00E1372C">
        <w:rPr>
          <w:lang w:val="fr-FR"/>
        </w:rPr>
        <w:t>Part</w:t>
      </w:r>
      <w:r w:rsidR="00BE0692" w:rsidRPr="00E1372C">
        <w:rPr>
          <w:lang w:val="fr-FR"/>
        </w:rPr>
        <w:t>ie du rapport concernant des droits spécifiques</w:t>
      </w:r>
    </w:p>
    <w:p w:rsidR="00A55A0E" w:rsidRPr="00E1372C" w:rsidRDefault="00721113" w:rsidP="00A55A0E">
      <w:pPr>
        <w:pStyle w:val="H1G"/>
        <w:rPr>
          <w:lang w:val="fr-FR" w:bidi="en-US"/>
        </w:rPr>
      </w:pPr>
      <w:r w:rsidRPr="00E1372C">
        <w:rPr>
          <w:lang w:val="fr-FR" w:bidi="en-US"/>
        </w:rPr>
        <w:tab/>
      </w:r>
      <w:r w:rsidRPr="00E1372C">
        <w:rPr>
          <w:lang w:val="fr-FR" w:bidi="en-US"/>
        </w:rPr>
        <w:tab/>
        <w:t>Article 6</w:t>
      </w:r>
      <w:r w:rsidRPr="00E1372C">
        <w:rPr>
          <w:lang w:val="fr-FR" w:bidi="en-US"/>
        </w:rPr>
        <w:br/>
        <w:t xml:space="preserve">Taux </w:t>
      </w:r>
      <w:r w:rsidR="00BE0692" w:rsidRPr="00E1372C">
        <w:rPr>
          <w:lang w:val="fr-FR" w:bidi="en-US"/>
        </w:rPr>
        <w:t>de chômage en Namibie</w:t>
      </w:r>
    </w:p>
    <w:p w:rsidR="00BE0692" w:rsidRPr="00E1372C" w:rsidRDefault="007A1757" w:rsidP="007A1757">
      <w:pPr>
        <w:pStyle w:val="SingleTxtG"/>
        <w:rPr>
          <w:lang w:val="fr-FR" w:bidi="en-US"/>
        </w:rPr>
      </w:pPr>
      <w:r w:rsidRPr="00E1372C">
        <w:rPr>
          <w:lang w:val="fr-FR" w:bidi="en-US"/>
        </w:rPr>
        <w:t>139.</w:t>
      </w:r>
      <w:r w:rsidRPr="00E1372C">
        <w:rPr>
          <w:lang w:val="fr-FR" w:bidi="en-US"/>
        </w:rPr>
        <w:tab/>
      </w:r>
      <w:r w:rsidR="00BE0692" w:rsidRPr="00E1372C">
        <w:rPr>
          <w:lang w:val="fr-FR" w:bidi="en-US"/>
        </w:rPr>
        <w:t>Afin d</w:t>
      </w:r>
      <w:r w:rsidR="00731F09" w:rsidRPr="00E1372C">
        <w:rPr>
          <w:lang w:val="fr-FR" w:bidi="en-US"/>
        </w:rPr>
        <w:t>’</w:t>
      </w:r>
      <w:r w:rsidR="00BE0692" w:rsidRPr="00E1372C">
        <w:rPr>
          <w:lang w:val="fr-FR" w:bidi="en-US"/>
        </w:rPr>
        <w:t>appréhender l</w:t>
      </w:r>
      <w:r w:rsidR="00731F09" w:rsidRPr="00E1372C">
        <w:rPr>
          <w:lang w:val="fr-FR" w:bidi="en-US"/>
        </w:rPr>
        <w:t>’</w:t>
      </w:r>
      <w:r w:rsidR="00BE0692" w:rsidRPr="00E1372C">
        <w:rPr>
          <w:lang w:val="fr-FR" w:bidi="en-US"/>
        </w:rPr>
        <w:t>évolution du chômage en Namibie, une définition s</w:t>
      </w:r>
      <w:r w:rsidR="00731F09" w:rsidRPr="00E1372C">
        <w:rPr>
          <w:lang w:val="fr-FR" w:bidi="en-US"/>
        </w:rPr>
        <w:t>’</w:t>
      </w:r>
      <w:r w:rsidR="00BE0692" w:rsidRPr="00E1372C">
        <w:rPr>
          <w:lang w:val="fr-FR" w:bidi="en-US"/>
        </w:rPr>
        <w:t>impose pour orienter le Comité dans l</w:t>
      </w:r>
      <w:r w:rsidR="00731F09" w:rsidRPr="00E1372C">
        <w:rPr>
          <w:lang w:val="fr-FR" w:bidi="en-US"/>
        </w:rPr>
        <w:t>’</w:t>
      </w:r>
      <w:r w:rsidR="00BE0692" w:rsidRPr="00E1372C">
        <w:rPr>
          <w:lang w:val="fr-FR" w:bidi="en-US"/>
        </w:rPr>
        <w:t xml:space="preserve">examen des statistiques. La Namibie utilise les définitions du chômage </w:t>
      </w:r>
      <w:r w:rsidR="00BE0692" w:rsidRPr="00E1372C">
        <w:rPr>
          <w:i/>
          <w:lang w:val="fr-FR" w:bidi="en-US"/>
        </w:rPr>
        <w:t xml:space="preserve">stricto sensu </w:t>
      </w:r>
      <w:r w:rsidR="00BE0692" w:rsidRPr="00E1372C">
        <w:rPr>
          <w:lang w:val="fr-FR" w:bidi="en-US"/>
        </w:rPr>
        <w:t xml:space="preserve">et </w:t>
      </w:r>
      <w:r w:rsidR="00BE0692" w:rsidRPr="00E1372C">
        <w:rPr>
          <w:i/>
          <w:lang w:val="fr-FR" w:bidi="en-US"/>
        </w:rPr>
        <w:t>lato sensu</w:t>
      </w:r>
      <w:r w:rsidR="00BE0692" w:rsidRPr="00E1372C">
        <w:rPr>
          <w:lang w:val="fr-FR" w:bidi="en-US"/>
        </w:rPr>
        <w:t xml:space="preserve"> comme suit</w:t>
      </w:r>
      <w:r w:rsidR="00AE017E" w:rsidRPr="00E1372C">
        <w:rPr>
          <w:lang w:val="fr-FR" w:bidi="en-US"/>
        </w:rPr>
        <w:t>:</w:t>
      </w:r>
    </w:p>
    <w:p w:rsidR="00A55A0E" w:rsidRPr="00E1372C" w:rsidRDefault="00BE0692" w:rsidP="00CE2771">
      <w:pPr>
        <w:pStyle w:val="Bullet1G"/>
      </w:pPr>
      <w:r w:rsidRPr="00E1372C">
        <w:t xml:space="preserve">Définition </w:t>
      </w:r>
      <w:r w:rsidRPr="00E1372C">
        <w:rPr>
          <w:i/>
        </w:rPr>
        <w:t>stricto sensu</w:t>
      </w:r>
      <w:r w:rsidR="00A55A0E" w:rsidRPr="00E1372C">
        <w:t xml:space="preserve"> – </w:t>
      </w:r>
      <w:r w:rsidRPr="00E1372C">
        <w:t>Toutes les personnes sans emploi, qui sont disponibles et</w:t>
      </w:r>
      <w:r w:rsidR="00AE017E" w:rsidRPr="00E1372C">
        <w:t xml:space="preserve"> </w:t>
      </w:r>
      <w:r w:rsidRPr="00E1372C">
        <w:t>recherche</w:t>
      </w:r>
      <w:r w:rsidR="00AC64DC" w:rsidRPr="00E1372C">
        <w:t>nt</w:t>
      </w:r>
      <w:r w:rsidRPr="00E1372C">
        <w:t xml:space="preserve"> un travail</w:t>
      </w:r>
      <w:r w:rsidR="00A55A0E" w:rsidRPr="00E1372C">
        <w:t>;</w:t>
      </w:r>
    </w:p>
    <w:p w:rsidR="00A55A0E" w:rsidRPr="00E1372C" w:rsidRDefault="00BE0692" w:rsidP="00CE2771">
      <w:pPr>
        <w:pStyle w:val="Bullet1G"/>
      </w:pPr>
      <w:r w:rsidRPr="00E1372C">
        <w:t xml:space="preserve">Définition </w:t>
      </w:r>
      <w:r w:rsidRPr="00E1372C">
        <w:rPr>
          <w:i/>
        </w:rPr>
        <w:t xml:space="preserve">lato sensu </w:t>
      </w:r>
      <w:r w:rsidRPr="00E1372C">
        <w:t>– Toutes les personnes sans emploi et disponibles, qui recherchent effectivement ou non un travail.</w:t>
      </w:r>
    </w:p>
    <w:p w:rsidR="00980C13" w:rsidRPr="00E1372C" w:rsidRDefault="007A1757" w:rsidP="007A1757">
      <w:pPr>
        <w:pStyle w:val="SingleTxtG"/>
        <w:rPr>
          <w:lang w:val="fr-FR" w:bidi="en-US"/>
        </w:rPr>
      </w:pPr>
      <w:r w:rsidRPr="00E1372C">
        <w:rPr>
          <w:lang w:val="fr-FR" w:bidi="en-US"/>
        </w:rPr>
        <w:t>140.</w:t>
      </w:r>
      <w:r w:rsidRPr="00E1372C">
        <w:rPr>
          <w:lang w:val="fr-FR" w:bidi="en-US"/>
        </w:rPr>
        <w:tab/>
      </w:r>
      <w:r w:rsidR="00BE0692" w:rsidRPr="00E1372C">
        <w:rPr>
          <w:lang w:val="fr-FR" w:bidi="en-US"/>
        </w:rPr>
        <w:t>Selon le rapport d</w:t>
      </w:r>
      <w:r w:rsidR="00731F09" w:rsidRPr="00E1372C">
        <w:rPr>
          <w:lang w:val="fr-FR" w:bidi="en-US"/>
        </w:rPr>
        <w:t>’</w:t>
      </w:r>
      <w:r w:rsidR="00BE0692" w:rsidRPr="00E1372C">
        <w:rPr>
          <w:lang w:val="fr-FR" w:bidi="en-US"/>
        </w:rPr>
        <w:t>enquête sur les revenus et dépenses des ménages en Namibie en 2004, la population active potentielle compte 37</w:t>
      </w:r>
      <w:r w:rsidR="007064FC" w:rsidRPr="00E1372C">
        <w:rPr>
          <w:lang w:val="fr-FR" w:bidi="en-US"/>
        </w:rPr>
        <w:t> %</w:t>
      </w:r>
      <w:r w:rsidR="00BE0692" w:rsidRPr="00E1372C">
        <w:rPr>
          <w:lang w:val="fr-FR" w:bidi="en-US"/>
        </w:rPr>
        <w:t xml:space="preserve"> de chômeurs. Le chômage est plus élevé dans les zones rurales </w:t>
      </w:r>
      <w:r w:rsidR="00A55A0E" w:rsidRPr="00E1372C">
        <w:rPr>
          <w:lang w:val="fr-FR" w:bidi="en-US"/>
        </w:rPr>
        <w:t>(44</w:t>
      </w:r>
      <w:r w:rsidR="00BE0692" w:rsidRPr="00E1372C">
        <w:rPr>
          <w:lang w:val="fr-FR" w:bidi="en-US"/>
        </w:rPr>
        <w:t>,</w:t>
      </w:r>
      <w:r w:rsidR="00A55A0E" w:rsidRPr="00E1372C">
        <w:rPr>
          <w:lang w:val="fr-FR" w:bidi="en-US"/>
        </w:rPr>
        <w:t>7</w:t>
      </w:r>
      <w:r w:rsidR="007064FC" w:rsidRPr="00E1372C">
        <w:rPr>
          <w:lang w:val="fr-FR" w:bidi="en-US"/>
        </w:rPr>
        <w:t> %</w:t>
      </w:r>
      <w:r w:rsidR="00A55A0E" w:rsidRPr="00E1372C">
        <w:rPr>
          <w:lang w:val="fr-FR" w:bidi="en-US"/>
        </w:rPr>
        <w:t>)</w:t>
      </w:r>
      <w:r w:rsidR="00BE0692" w:rsidRPr="00E1372C">
        <w:rPr>
          <w:lang w:val="fr-FR" w:bidi="en-US"/>
        </w:rPr>
        <w:t xml:space="preserve"> que dans les zones urbaines </w:t>
      </w:r>
      <w:r w:rsidR="00A55A0E" w:rsidRPr="00E1372C">
        <w:rPr>
          <w:lang w:val="fr-FR" w:bidi="en-US"/>
        </w:rPr>
        <w:t>(29</w:t>
      </w:r>
      <w:r w:rsidR="007064FC" w:rsidRPr="00E1372C">
        <w:rPr>
          <w:lang w:val="fr-FR" w:bidi="en-US"/>
        </w:rPr>
        <w:t> %</w:t>
      </w:r>
      <w:r w:rsidR="00A55A0E" w:rsidRPr="00E1372C">
        <w:rPr>
          <w:lang w:val="fr-FR" w:bidi="en-US"/>
        </w:rPr>
        <w:t>)</w:t>
      </w:r>
      <w:r w:rsidR="00BE0692" w:rsidRPr="00E1372C">
        <w:rPr>
          <w:lang w:val="fr-FR" w:bidi="en-US"/>
        </w:rPr>
        <w:t>;</w:t>
      </w:r>
      <w:r w:rsidR="00A55A0E" w:rsidRPr="00E1372C">
        <w:rPr>
          <w:lang w:val="fr-FR" w:bidi="en-US"/>
        </w:rPr>
        <w:t xml:space="preserve"> </w:t>
      </w:r>
      <w:r w:rsidR="00980C13" w:rsidRPr="00E1372C">
        <w:rPr>
          <w:lang w:val="fr-FR" w:bidi="en-US"/>
        </w:rPr>
        <w:t>il est élevé parmi les jeunes</w:t>
      </w:r>
      <w:r w:rsidR="00AC64DC" w:rsidRPr="00E1372C">
        <w:rPr>
          <w:lang w:val="fr-FR" w:bidi="en-US"/>
        </w:rPr>
        <w:t>,</w:t>
      </w:r>
      <w:r w:rsidR="00980C13" w:rsidRPr="00E1372C">
        <w:rPr>
          <w:lang w:val="fr-FR" w:bidi="en-US"/>
        </w:rPr>
        <w:t xml:space="preserve"> ainsi que chez les personnes peu instruites. Ainsi, les jeunes de 15 à 19 ans sont les plus durement touchés, avec un taux de chômage de </w:t>
      </w:r>
      <w:r w:rsidR="00A55A0E" w:rsidRPr="00E1372C">
        <w:rPr>
          <w:lang w:val="fr-FR" w:bidi="en-US"/>
        </w:rPr>
        <w:t>64</w:t>
      </w:r>
      <w:r w:rsidR="00980C13" w:rsidRPr="00E1372C">
        <w:rPr>
          <w:lang w:val="fr-FR" w:bidi="en-US"/>
        </w:rPr>
        <w:t>,</w:t>
      </w:r>
      <w:r w:rsidR="00A55A0E" w:rsidRPr="00E1372C">
        <w:rPr>
          <w:lang w:val="fr-FR" w:bidi="en-US"/>
        </w:rPr>
        <w:t>9</w:t>
      </w:r>
      <w:r w:rsidR="007064FC" w:rsidRPr="00E1372C">
        <w:rPr>
          <w:lang w:val="fr-FR" w:bidi="en-US"/>
        </w:rPr>
        <w:t> %</w:t>
      </w:r>
      <w:r w:rsidR="00A55A0E" w:rsidRPr="00E1372C">
        <w:rPr>
          <w:lang w:val="fr-FR" w:bidi="en-US"/>
        </w:rPr>
        <w:t xml:space="preserve">. </w:t>
      </w:r>
      <w:r w:rsidR="00980C13" w:rsidRPr="00E1372C">
        <w:rPr>
          <w:lang w:val="fr-FR" w:bidi="en-US"/>
        </w:rPr>
        <w:t>En outre, la majorité des chômeurs n</w:t>
      </w:r>
      <w:r w:rsidR="00731F09" w:rsidRPr="00E1372C">
        <w:rPr>
          <w:lang w:val="fr-FR" w:bidi="en-US"/>
        </w:rPr>
        <w:t>’</w:t>
      </w:r>
      <w:r w:rsidR="00980C13" w:rsidRPr="00E1372C">
        <w:rPr>
          <w:lang w:val="fr-FR" w:bidi="en-US"/>
        </w:rPr>
        <w:t xml:space="preserve">ont aucune expérience professionnelle; </w:t>
      </w:r>
      <w:r w:rsidR="00AC64DC" w:rsidRPr="00E1372C">
        <w:rPr>
          <w:lang w:val="fr-FR" w:bidi="en-US"/>
        </w:rPr>
        <w:t>en d</w:t>
      </w:r>
      <w:r w:rsidR="00731F09" w:rsidRPr="00E1372C">
        <w:rPr>
          <w:lang w:val="fr-FR" w:bidi="en-US"/>
        </w:rPr>
        <w:t>’</w:t>
      </w:r>
      <w:r w:rsidR="00980C13" w:rsidRPr="00E1372C">
        <w:rPr>
          <w:lang w:val="fr-FR" w:bidi="en-US"/>
        </w:rPr>
        <w:t>autre</w:t>
      </w:r>
      <w:r w:rsidR="00AC64DC" w:rsidRPr="00E1372C">
        <w:rPr>
          <w:lang w:val="fr-FR" w:bidi="en-US"/>
        </w:rPr>
        <w:t>s termes</w:t>
      </w:r>
      <w:r w:rsidR="00980C13" w:rsidRPr="00E1372C">
        <w:rPr>
          <w:lang w:val="fr-FR" w:bidi="en-US"/>
        </w:rPr>
        <w:t>, le chômage touche ceux qui n</w:t>
      </w:r>
      <w:r w:rsidR="00731F09" w:rsidRPr="00E1372C">
        <w:rPr>
          <w:lang w:val="fr-FR" w:bidi="en-US"/>
        </w:rPr>
        <w:t>’</w:t>
      </w:r>
      <w:r w:rsidR="00980C13" w:rsidRPr="00E1372C">
        <w:rPr>
          <w:lang w:val="fr-FR" w:bidi="en-US"/>
        </w:rPr>
        <w:t>ont jamais eu d</w:t>
      </w:r>
      <w:r w:rsidR="00731F09" w:rsidRPr="00E1372C">
        <w:rPr>
          <w:lang w:val="fr-FR" w:bidi="en-US"/>
        </w:rPr>
        <w:t>’</w:t>
      </w:r>
      <w:r w:rsidR="00980C13" w:rsidRPr="00E1372C">
        <w:rPr>
          <w:lang w:val="fr-FR" w:bidi="en-US"/>
        </w:rPr>
        <w:t>emploi, soit en majorité les jeunes et les personnes des secteurs ruraux, mais il gagne de plus en plus les centres urbains.</w:t>
      </w:r>
    </w:p>
    <w:p w:rsidR="00980C13" w:rsidRPr="00E1372C" w:rsidRDefault="007A1757" w:rsidP="007A1757">
      <w:pPr>
        <w:pStyle w:val="SingleTxtG"/>
        <w:rPr>
          <w:lang w:val="fr-FR" w:bidi="en-US"/>
        </w:rPr>
      </w:pPr>
      <w:r w:rsidRPr="00E1372C">
        <w:rPr>
          <w:lang w:val="fr-FR" w:bidi="en-US"/>
        </w:rPr>
        <w:t>141.</w:t>
      </w:r>
      <w:r w:rsidRPr="00E1372C">
        <w:rPr>
          <w:lang w:val="fr-FR" w:bidi="en-US"/>
        </w:rPr>
        <w:tab/>
      </w:r>
      <w:r w:rsidR="00980C13" w:rsidRPr="00E1372C">
        <w:rPr>
          <w:lang w:val="fr-FR" w:bidi="en-US"/>
        </w:rPr>
        <w:t>Le Ministère du travail et de la protection sociale a précisé que les règles internationales actuelles relatives aux statistiques sur le sous-emploi n</w:t>
      </w:r>
      <w:r w:rsidR="00731F09" w:rsidRPr="00E1372C">
        <w:rPr>
          <w:lang w:val="fr-FR" w:bidi="en-US"/>
        </w:rPr>
        <w:t>’</w:t>
      </w:r>
      <w:r w:rsidR="00980C13" w:rsidRPr="00E1372C">
        <w:rPr>
          <w:lang w:val="fr-FR" w:bidi="en-US"/>
        </w:rPr>
        <w:t>ont pu à ce stade en étendre la portée et se limitent au sous-emploi visible. Le sous-emploi visible s</w:t>
      </w:r>
      <w:r w:rsidR="00731F09" w:rsidRPr="00E1372C">
        <w:rPr>
          <w:lang w:val="fr-FR" w:bidi="en-US"/>
        </w:rPr>
        <w:t>’</w:t>
      </w:r>
      <w:r w:rsidR="00980C13" w:rsidRPr="00E1372C">
        <w:rPr>
          <w:lang w:val="fr-FR" w:bidi="en-US"/>
        </w:rPr>
        <w:t xml:space="preserve">entend de toute situation où une personne souhaiterait </w:t>
      </w:r>
      <w:r w:rsidR="00AC64DC" w:rsidRPr="00E1372C">
        <w:rPr>
          <w:lang w:val="fr-FR" w:bidi="en-US"/>
        </w:rPr>
        <w:t>travailler</w:t>
      </w:r>
      <w:r w:rsidR="00980C13" w:rsidRPr="00E1372C">
        <w:rPr>
          <w:lang w:val="fr-FR" w:bidi="en-US"/>
        </w:rPr>
        <w:t xml:space="preserve"> davantage mais en est empêchée pour des raisons économiques. Il s</w:t>
      </w:r>
      <w:r w:rsidR="00731F09" w:rsidRPr="00E1372C">
        <w:rPr>
          <w:lang w:val="fr-FR" w:bidi="en-US"/>
        </w:rPr>
        <w:t>’</w:t>
      </w:r>
      <w:r w:rsidR="00980C13" w:rsidRPr="00E1372C">
        <w:rPr>
          <w:lang w:val="fr-FR" w:bidi="en-US"/>
        </w:rPr>
        <w:t>agit par exemple des cas suivants</w:t>
      </w:r>
      <w:r w:rsidR="00AE017E" w:rsidRPr="00E1372C">
        <w:rPr>
          <w:lang w:val="fr-FR" w:bidi="en-US"/>
        </w:rPr>
        <w:t>:</w:t>
      </w:r>
    </w:p>
    <w:p w:rsidR="00A55A0E" w:rsidRPr="00E1372C" w:rsidRDefault="00CE2771" w:rsidP="00CE2771">
      <w:pPr>
        <w:pStyle w:val="Bullet1G"/>
      </w:pPr>
      <w:r w:rsidRPr="00E1372C">
        <w:t xml:space="preserve">Des </w:t>
      </w:r>
      <w:r w:rsidR="00980C13" w:rsidRPr="00E1372C">
        <w:t>personnes recherchent un travail supplémentaire mais n</w:t>
      </w:r>
      <w:r w:rsidR="00731F09" w:rsidRPr="00E1372C">
        <w:t>’</w:t>
      </w:r>
      <w:r w:rsidR="00980C13" w:rsidRPr="00E1372C">
        <w:t xml:space="preserve">en trouvent pas; </w:t>
      </w:r>
    </w:p>
    <w:p w:rsidR="00EA64E5" w:rsidRPr="00E1372C" w:rsidRDefault="00CE2771" w:rsidP="00CE2771">
      <w:pPr>
        <w:pStyle w:val="Bullet1G"/>
      </w:pPr>
      <w:r w:rsidRPr="00E1372C">
        <w:t xml:space="preserve">Des </w:t>
      </w:r>
      <w:r w:rsidR="00980C13" w:rsidRPr="00E1372C">
        <w:t>personnes ne travaillent pas en raison d</w:t>
      </w:r>
      <w:r w:rsidR="00731F09" w:rsidRPr="00E1372C">
        <w:t>’</w:t>
      </w:r>
      <w:r w:rsidR="00980C13" w:rsidRPr="00E1372C">
        <w:t>un</w:t>
      </w:r>
      <w:r w:rsidR="00AC64DC" w:rsidRPr="00E1372C">
        <w:t>e insuffisance</w:t>
      </w:r>
      <w:r w:rsidR="00980C13" w:rsidRPr="00E1372C">
        <w:t xml:space="preserve"> d</w:t>
      </w:r>
      <w:r w:rsidR="00AC64DC" w:rsidRPr="00E1372C">
        <w:t xml:space="preserve">es </w:t>
      </w:r>
      <w:r w:rsidR="00980C13" w:rsidRPr="00E1372C">
        <w:t>activité</w:t>
      </w:r>
      <w:r w:rsidR="00AC64DC" w:rsidRPr="00E1372C">
        <w:t>s</w:t>
      </w:r>
      <w:r w:rsidR="00EA64E5" w:rsidRPr="00E1372C">
        <w:t>;</w:t>
      </w:r>
    </w:p>
    <w:p w:rsidR="00A55A0E" w:rsidRPr="00E1372C" w:rsidRDefault="00CE2771" w:rsidP="00CE2771">
      <w:pPr>
        <w:pStyle w:val="Bullet1G"/>
      </w:pPr>
      <w:r w:rsidRPr="00E1372C">
        <w:t xml:space="preserve">Le </w:t>
      </w:r>
      <w:r w:rsidR="00EA64E5" w:rsidRPr="00E1372C">
        <w:t xml:space="preserve">manque de financement ou de matières premières explique </w:t>
      </w:r>
      <w:r w:rsidR="00AC64DC" w:rsidRPr="00E1372C">
        <w:t xml:space="preserve">également </w:t>
      </w:r>
      <w:r w:rsidR="00EA64E5" w:rsidRPr="00E1372C">
        <w:t>pourquoi des personnes ne peuvent effectuer davantage d</w:t>
      </w:r>
      <w:r w:rsidR="00731F09" w:rsidRPr="00E1372C">
        <w:t>’</w:t>
      </w:r>
      <w:r w:rsidR="00EA64E5" w:rsidRPr="00E1372C">
        <w:t>heures de travail.</w:t>
      </w:r>
    </w:p>
    <w:p w:rsidR="00B15896" w:rsidRPr="00E1372C" w:rsidRDefault="007A1757" w:rsidP="007A1757">
      <w:pPr>
        <w:pStyle w:val="SingleTxtG"/>
        <w:rPr>
          <w:lang w:val="fr-FR" w:bidi="en-US"/>
        </w:rPr>
      </w:pPr>
      <w:r w:rsidRPr="00E1372C">
        <w:rPr>
          <w:lang w:val="fr-FR" w:bidi="en-US"/>
        </w:rPr>
        <w:t>142.</w:t>
      </w:r>
      <w:r w:rsidRPr="00E1372C">
        <w:rPr>
          <w:lang w:val="fr-FR" w:bidi="en-US"/>
        </w:rPr>
        <w:tab/>
      </w:r>
      <w:r w:rsidR="00B15896" w:rsidRPr="00E1372C">
        <w:rPr>
          <w:lang w:val="fr-FR" w:bidi="en-US"/>
        </w:rPr>
        <w:t>Afin de fournir des statistiques sur le sous-emploi, le Ministère du travail et de la protection sociale a utilisé les heures de travail comme base de son enquête et a ensuite considéré quelles étaient les dispositions et la préférence quan</w:t>
      </w:r>
      <w:r w:rsidR="001B5B80" w:rsidRPr="00E1372C">
        <w:rPr>
          <w:lang w:val="fr-FR" w:bidi="en-US"/>
        </w:rPr>
        <w:t>t</w:t>
      </w:r>
      <w:r w:rsidR="00B15896" w:rsidRPr="00E1372C">
        <w:rPr>
          <w:lang w:val="fr-FR" w:bidi="en-US"/>
        </w:rPr>
        <w:t xml:space="preserve"> à travailler davantage d</w:t>
      </w:r>
      <w:r w:rsidR="00731F09" w:rsidRPr="00E1372C">
        <w:rPr>
          <w:lang w:val="fr-FR" w:bidi="en-US"/>
        </w:rPr>
        <w:t>’</w:t>
      </w:r>
      <w:r w:rsidR="00B15896" w:rsidRPr="00E1372C">
        <w:rPr>
          <w:lang w:val="fr-FR" w:bidi="en-US"/>
        </w:rPr>
        <w:t>heures parmi les per</w:t>
      </w:r>
      <w:r w:rsidR="007778CE" w:rsidRPr="00E1372C">
        <w:rPr>
          <w:lang w:val="fr-FR" w:bidi="en-US"/>
        </w:rPr>
        <w:t xml:space="preserve">sonnes employées à raison de 35 </w:t>
      </w:r>
      <w:r w:rsidR="00B15896" w:rsidRPr="00E1372C">
        <w:rPr>
          <w:lang w:val="fr-FR" w:bidi="en-US"/>
        </w:rPr>
        <w:t>heures ou moins pa</w:t>
      </w:r>
      <w:r w:rsidR="007778CE" w:rsidRPr="00E1372C">
        <w:rPr>
          <w:lang w:val="fr-FR" w:bidi="en-US"/>
        </w:rPr>
        <w:t>r semaine. L</w:t>
      </w:r>
      <w:r w:rsidR="00731F09" w:rsidRPr="00E1372C">
        <w:rPr>
          <w:lang w:val="fr-FR" w:bidi="en-US"/>
        </w:rPr>
        <w:t>’</w:t>
      </w:r>
      <w:r w:rsidR="007778CE" w:rsidRPr="00E1372C">
        <w:rPr>
          <w:lang w:val="fr-FR" w:bidi="en-US"/>
        </w:rPr>
        <w:t xml:space="preserve">utilisation des 35 </w:t>
      </w:r>
      <w:r w:rsidR="00B15896" w:rsidRPr="00E1372C">
        <w:rPr>
          <w:lang w:val="fr-FR" w:bidi="en-US"/>
        </w:rPr>
        <w:t xml:space="preserve">heures par semaine </w:t>
      </w:r>
      <w:r w:rsidR="001B5B80" w:rsidRPr="00E1372C">
        <w:rPr>
          <w:lang w:val="fr-FR" w:bidi="en-US"/>
        </w:rPr>
        <w:t xml:space="preserve">comme limite </w:t>
      </w:r>
      <w:r w:rsidR="00B15896" w:rsidRPr="00E1372C">
        <w:rPr>
          <w:lang w:val="fr-FR" w:bidi="en-US"/>
        </w:rPr>
        <w:t>s</w:t>
      </w:r>
      <w:r w:rsidR="00731F09" w:rsidRPr="00E1372C">
        <w:rPr>
          <w:lang w:val="fr-FR" w:bidi="en-US"/>
        </w:rPr>
        <w:t>’</w:t>
      </w:r>
      <w:r w:rsidR="00B15896" w:rsidRPr="00E1372C">
        <w:rPr>
          <w:lang w:val="fr-FR" w:bidi="en-US"/>
        </w:rPr>
        <w:t>explique principalement par le fait qu</w:t>
      </w:r>
      <w:r w:rsidR="00731F09" w:rsidRPr="00E1372C">
        <w:rPr>
          <w:lang w:val="fr-FR" w:bidi="en-US"/>
        </w:rPr>
        <w:t>’</w:t>
      </w:r>
      <w:r w:rsidR="00B15896" w:rsidRPr="00E1372C">
        <w:rPr>
          <w:lang w:val="fr-FR" w:bidi="en-US"/>
        </w:rPr>
        <w:t>elle est proche des heures ouvrées des fonctionnaires et des salariés du secteur privé. Un autre facteur inclu</w:t>
      </w:r>
      <w:r w:rsidR="007C3123" w:rsidRPr="00E1372C">
        <w:rPr>
          <w:lang w:val="fr-FR" w:bidi="en-US"/>
        </w:rPr>
        <w:t>s</w:t>
      </w:r>
      <w:r w:rsidR="00B15896" w:rsidRPr="00E1372C">
        <w:rPr>
          <w:lang w:val="fr-FR" w:bidi="en-US"/>
        </w:rPr>
        <w:t xml:space="preserve"> dans l</w:t>
      </w:r>
      <w:r w:rsidR="00731F09" w:rsidRPr="00E1372C">
        <w:rPr>
          <w:lang w:val="fr-FR" w:bidi="en-US"/>
        </w:rPr>
        <w:t>’</w:t>
      </w:r>
      <w:r w:rsidR="00B15896" w:rsidRPr="00E1372C">
        <w:rPr>
          <w:lang w:val="fr-FR" w:bidi="en-US"/>
        </w:rPr>
        <w:t>évaluation des personnes en sous-emploi tenait aux raisons motivant ces heures de travail. Ces raisons revêtent une importance particulière dans la mesure où elles révéleraient le désir des personnes de travailler davantage ou leurs motifs valables de ne pas le faire.</w:t>
      </w:r>
    </w:p>
    <w:p w:rsidR="00A55A0E" w:rsidRPr="00E1372C" w:rsidRDefault="007A1757" w:rsidP="007A1757">
      <w:pPr>
        <w:pStyle w:val="SingleTxtG"/>
        <w:rPr>
          <w:lang w:val="fr-FR" w:bidi="en-US"/>
        </w:rPr>
      </w:pPr>
      <w:r w:rsidRPr="00E1372C">
        <w:rPr>
          <w:lang w:val="fr-FR" w:bidi="en-US"/>
        </w:rPr>
        <w:t>143.</w:t>
      </w:r>
      <w:r w:rsidRPr="00E1372C">
        <w:rPr>
          <w:lang w:val="fr-FR" w:bidi="en-US"/>
        </w:rPr>
        <w:tab/>
      </w:r>
      <w:r w:rsidR="00B15896" w:rsidRPr="00E1372C">
        <w:rPr>
          <w:lang w:val="fr-FR" w:bidi="en-US"/>
        </w:rPr>
        <w:t>Selon les statistiques de l</w:t>
      </w:r>
      <w:r w:rsidR="00731F09" w:rsidRPr="00E1372C">
        <w:rPr>
          <w:lang w:val="fr-FR" w:bidi="en-US"/>
        </w:rPr>
        <w:t>’</w:t>
      </w:r>
      <w:r w:rsidR="00B15896" w:rsidRPr="00E1372C">
        <w:rPr>
          <w:lang w:val="fr-FR" w:bidi="en-US"/>
        </w:rPr>
        <w:t xml:space="preserve">enquête sur la population active, </w:t>
      </w:r>
      <w:r w:rsidR="00A55A0E" w:rsidRPr="00E1372C">
        <w:rPr>
          <w:lang w:val="fr-FR" w:bidi="en-US"/>
        </w:rPr>
        <w:t>16</w:t>
      </w:r>
      <w:r w:rsidR="00B15896" w:rsidRPr="00E1372C">
        <w:rPr>
          <w:lang w:val="fr-FR" w:bidi="en-US"/>
        </w:rPr>
        <w:t>,</w:t>
      </w:r>
      <w:r w:rsidR="00A55A0E" w:rsidRPr="00E1372C">
        <w:rPr>
          <w:lang w:val="fr-FR" w:bidi="en-US"/>
        </w:rPr>
        <w:t>3</w:t>
      </w:r>
      <w:r w:rsidR="007064FC" w:rsidRPr="00E1372C">
        <w:rPr>
          <w:lang w:val="fr-FR" w:bidi="en-US"/>
        </w:rPr>
        <w:t> %</w:t>
      </w:r>
      <w:r w:rsidR="00A55A0E" w:rsidRPr="00E1372C">
        <w:rPr>
          <w:lang w:val="fr-FR" w:bidi="en-US"/>
        </w:rPr>
        <w:t xml:space="preserve"> (62</w:t>
      </w:r>
      <w:r w:rsidR="00B15896" w:rsidRPr="00E1372C">
        <w:rPr>
          <w:lang w:val="fr-FR" w:bidi="en-US"/>
        </w:rPr>
        <w:t> </w:t>
      </w:r>
      <w:r w:rsidR="00A55A0E" w:rsidRPr="00E1372C">
        <w:rPr>
          <w:lang w:val="fr-FR" w:bidi="en-US"/>
        </w:rPr>
        <w:t>798)</w:t>
      </w:r>
      <w:r w:rsidR="00B15896" w:rsidRPr="00E1372C">
        <w:rPr>
          <w:lang w:val="fr-FR" w:bidi="en-US"/>
        </w:rPr>
        <w:t xml:space="preserve"> de tous les salariés en Namibie sont en sous-emploi. Les hommes y seraient plus nombreux (16,9</w:t>
      </w:r>
      <w:r w:rsidR="007064FC" w:rsidRPr="00E1372C">
        <w:rPr>
          <w:lang w:val="fr-FR" w:bidi="en-US"/>
        </w:rPr>
        <w:t> %</w:t>
      </w:r>
      <w:r w:rsidR="00B15896" w:rsidRPr="00E1372C">
        <w:rPr>
          <w:lang w:val="fr-FR" w:bidi="en-US"/>
        </w:rPr>
        <w:t xml:space="preserve">) que les femmes </w:t>
      </w:r>
      <w:r w:rsidR="00A55A0E" w:rsidRPr="00E1372C">
        <w:rPr>
          <w:lang w:val="fr-FR" w:bidi="en-US"/>
        </w:rPr>
        <w:t>(15</w:t>
      </w:r>
      <w:r w:rsidR="00B15896" w:rsidRPr="00E1372C">
        <w:rPr>
          <w:lang w:val="fr-FR" w:bidi="en-US"/>
        </w:rPr>
        <w:t>,</w:t>
      </w:r>
      <w:r w:rsidR="00A55A0E" w:rsidRPr="00E1372C">
        <w:rPr>
          <w:lang w:val="fr-FR" w:bidi="en-US"/>
        </w:rPr>
        <w:t>5</w:t>
      </w:r>
      <w:r w:rsidR="007064FC" w:rsidRPr="00E1372C">
        <w:rPr>
          <w:lang w:val="fr-FR" w:bidi="en-US"/>
        </w:rPr>
        <w:t> %</w:t>
      </w:r>
      <w:r w:rsidR="00A55A0E" w:rsidRPr="00E1372C">
        <w:rPr>
          <w:lang w:val="fr-FR" w:bidi="en-US"/>
        </w:rPr>
        <w:t>)</w:t>
      </w:r>
      <w:r w:rsidR="00B15896" w:rsidRPr="00E1372C">
        <w:rPr>
          <w:lang w:val="fr-FR" w:bidi="en-US"/>
        </w:rPr>
        <w:t>. L</w:t>
      </w:r>
      <w:r w:rsidR="00731F09" w:rsidRPr="00E1372C">
        <w:rPr>
          <w:lang w:val="fr-FR" w:bidi="en-US"/>
        </w:rPr>
        <w:t>’</w:t>
      </w:r>
      <w:r w:rsidR="00B15896" w:rsidRPr="00E1372C">
        <w:rPr>
          <w:lang w:val="fr-FR" w:bidi="en-US"/>
        </w:rPr>
        <w:t xml:space="preserve">enquête a en outre révélé que </w:t>
      </w:r>
      <w:r w:rsidR="00A55A0E" w:rsidRPr="00E1372C">
        <w:rPr>
          <w:lang w:val="fr-FR" w:bidi="en-US"/>
        </w:rPr>
        <w:t>17</w:t>
      </w:r>
      <w:r w:rsidR="00B15896" w:rsidRPr="00E1372C">
        <w:rPr>
          <w:lang w:val="fr-FR" w:bidi="en-US"/>
        </w:rPr>
        <w:t> </w:t>
      </w:r>
      <w:r w:rsidR="00A55A0E" w:rsidRPr="00E1372C">
        <w:rPr>
          <w:lang w:val="fr-FR" w:bidi="en-US"/>
        </w:rPr>
        <w:t>006 (4</w:t>
      </w:r>
      <w:r w:rsidR="00B15896" w:rsidRPr="00E1372C">
        <w:rPr>
          <w:lang w:val="fr-FR" w:bidi="en-US"/>
        </w:rPr>
        <w:t>,</w:t>
      </w:r>
      <w:r w:rsidR="00A55A0E" w:rsidRPr="00E1372C">
        <w:rPr>
          <w:lang w:val="fr-FR" w:bidi="en-US"/>
        </w:rPr>
        <w:t>4</w:t>
      </w:r>
      <w:r w:rsidR="007064FC" w:rsidRPr="00E1372C">
        <w:rPr>
          <w:lang w:val="fr-FR" w:bidi="en-US"/>
        </w:rPr>
        <w:t> %</w:t>
      </w:r>
      <w:r w:rsidR="00A55A0E" w:rsidRPr="00E1372C">
        <w:rPr>
          <w:lang w:val="fr-FR" w:bidi="en-US"/>
        </w:rPr>
        <w:t xml:space="preserve">) </w:t>
      </w:r>
      <w:r w:rsidR="00B15896" w:rsidRPr="00E1372C">
        <w:rPr>
          <w:lang w:val="fr-FR" w:bidi="en-US"/>
        </w:rPr>
        <w:t>de t</w:t>
      </w:r>
      <w:r w:rsidR="002F1E1C" w:rsidRPr="00E1372C">
        <w:rPr>
          <w:lang w:val="fr-FR" w:bidi="en-US"/>
        </w:rPr>
        <w:t xml:space="preserve">ous les salariés travaillent 35 </w:t>
      </w:r>
      <w:r w:rsidR="00B15896" w:rsidRPr="00E1372C">
        <w:rPr>
          <w:lang w:val="fr-FR" w:bidi="en-US"/>
        </w:rPr>
        <w:t>heures par semaine et sont disponibles pour travailler davantage. La majori</w:t>
      </w:r>
      <w:r w:rsidR="002F1E1C" w:rsidRPr="00E1372C">
        <w:rPr>
          <w:lang w:val="fr-FR" w:bidi="en-US"/>
        </w:rPr>
        <w:t xml:space="preserve">té des personnes travaillant 35 </w:t>
      </w:r>
      <w:r w:rsidR="00B15896" w:rsidRPr="00E1372C">
        <w:rPr>
          <w:lang w:val="fr-FR" w:bidi="en-US"/>
        </w:rPr>
        <w:t>heures par semaine sont employées dans l</w:t>
      </w:r>
      <w:r w:rsidR="00731F09" w:rsidRPr="00E1372C">
        <w:rPr>
          <w:lang w:val="fr-FR" w:bidi="en-US"/>
        </w:rPr>
        <w:t>’</w:t>
      </w:r>
      <w:r w:rsidR="00B15896" w:rsidRPr="00E1372C">
        <w:rPr>
          <w:lang w:val="fr-FR" w:bidi="en-US"/>
        </w:rPr>
        <w:t xml:space="preserve">agriculture </w:t>
      </w:r>
      <w:r w:rsidR="00A55A0E" w:rsidRPr="00E1372C">
        <w:rPr>
          <w:lang w:val="fr-FR" w:bidi="en-US"/>
        </w:rPr>
        <w:t>(4</w:t>
      </w:r>
      <w:r w:rsidR="007C3123" w:rsidRPr="00E1372C">
        <w:rPr>
          <w:lang w:val="fr-FR" w:bidi="en-US"/>
        </w:rPr>
        <w:t> </w:t>
      </w:r>
      <w:r w:rsidR="00A55A0E" w:rsidRPr="00E1372C">
        <w:rPr>
          <w:lang w:val="fr-FR" w:bidi="en-US"/>
        </w:rPr>
        <w:t xml:space="preserve">471) </w:t>
      </w:r>
      <w:r w:rsidR="007C3123" w:rsidRPr="00E1372C">
        <w:rPr>
          <w:lang w:val="fr-FR" w:bidi="en-US"/>
        </w:rPr>
        <w:t>et l</w:t>
      </w:r>
      <w:r w:rsidR="00731F09" w:rsidRPr="00E1372C">
        <w:rPr>
          <w:lang w:val="fr-FR" w:bidi="en-US"/>
        </w:rPr>
        <w:t>’</w:t>
      </w:r>
      <w:r w:rsidR="007C3123" w:rsidRPr="00E1372C">
        <w:rPr>
          <w:lang w:val="fr-FR" w:bidi="en-US"/>
        </w:rPr>
        <w:t xml:space="preserve">éducation, voire comme enseignants </w:t>
      </w:r>
      <w:r w:rsidR="00A55A0E" w:rsidRPr="00E1372C">
        <w:rPr>
          <w:lang w:val="fr-FR" w:bidi="en-US"/>
        </w:rPr>
        <w:t>(3</w:t>
      </w:r>
      <w:r w:rsidR="007C3123" w:rsidRPr="00E1372C">
        <w:rPr>
          <w:lang w:val="fr-FR" w:bidi="en-US"/>
        </w:rPr>
        <w:t> </w:t>
      </w:r>
      <w:r w:rsidR="00A55A0E" w:rsidRPr="00E1372C">
        <w:rPr>
          <w:lang w:val="fr-FR" w:bidi="en-US"/>
        </w:rPr>
        <w:t xml:space="preserve">097). </w:t>
      </w:r>
      <w:r w:rsidR="007C3123" w:rsidRPr="00E1372C">
        <w:rPr>
          <w:lang w:val="fr-FR" w:bidi="en-US"/>
        </w:rPr>
        <w:t>Il ressort de l</w:t>
      </w:r>
      <w:r w:rsidR="00731F09" w:rsidRPr="00E1372C">
        <w:rPr>
          <w:lang w:val="fr-FR" w:bidi="en-US"/>
        </w:rPr>
        <w:t>’</w:t>
      </w:r>
      <w:r w:rsidR="007C3123" w:rsidRPr="00E1372C">
        <w:rPr>
          <w:lang w:val="fr-FR" w:bidi="en-US"/>
        </w:rPr>
        <w:t>analyse des salariés disponibles et optant pour un supplément d</w:t>
      </w:r>
      <w:r w:rsidR="00731F09" w:rsidRPr="00E1372C">
        <w:rPr>
          <w:lang w:val="fr-FR" w:bidi="en-US"/>
        </w:rPr>
        <w:t>’</w:t>
      </w:r>
      <w:r w:rsidR="007C3123" w:rsidRPr="00E1372C">
        <w:rPr>
          <w:lang w:val="fr-FR" w:bidi="en-US"/>
        </w:rPr>
        <w:t>heures de travail selon la catégorie d</w:t>
      </w:r>
      <w:r w:rsidR="00731F09" w:rsidRPr="00E1372C">
        <w:rPr>
          <w:lang w:val="fr-FR" w:bidi="en-US"/>
        </w:rPr>
        <w:t>’</w:t>
      </w:r>
      <w:r w:rsidR="007C3123" w:rsidRPr="00E1372C">
        <w:rPr>
          <w:lang w:val="fr-FR" w:bidi="en-US"/>
        </w:rPr>
        <w:t xml:space="preserve">emploi que la majorité de ces personnes appartiennent aux secteurs public (organismes gouvernementaux et entreprises publiques) </w:t>
      </w:r>
      <w:r w:rsidR="00A55A0E" w:rsidRPr="00E1372C">
        <w:rPr>
          <w:lang w:val="fr-FR" w:bidi="en-US"/>
        </w:rPr>
        <w:t>(15</w:t>
      </w:r>
      <w:r w:rsidR="007C3123" w:rsidRPr="00E1372C">
        <w:rPr>
          <w:lang w:val="fr-FR" w:bidi="en-US"/>
        </w:rPr>
        <w:t> </w:t>
      </w:r>
      <w:r w:rsidR="00A55A0E" w:rsidRPr="00E1372C">
        <w:rPr>
          <w:lang w:val="fr-FR" w:bidi="en-US"/>
        </w:rPr>
        <w:t>336</w:t>
      </w:r>
      <w:r w:rsidR="007C3123" w:rsidRPr="00E1372C">
        <w:rPr>
          <w:lang w:val="fr-FR" w:bidi="en-US"/>
        </w:rPr>
        <w:t>) et privé</w:t>
      </w:r>
      <w:r w:rsidR="00A55A0E" w:rsidRPr="00E1372C">
        <w:rPr>
          <w:lang w:val="fr-FR" w:bidi="en-US"/>
        </w:rPr>
        <w:t xml:space="preserve"> (31</w:t>
      </w:r>
      <w:r w:rsidR="007C3123" w:rsidRPr="00E1372C">
        <w:rPr>
          <w:lang w:val="fr-FR" w:bidi="en-US"/>
        </w:rPr>
        <w:t> </w:t>
      </w:r>
      <w:r w:rsidR="00A55A0E" w:rsidRPr="00E1372C">
        <w:rPr>
          <w:lang w:val="fr-FR" w:bidi="en-US"/>
        </w:rPr>
        <w:t xml:space="preserve">827). </w:t>
      </w:r>
      <w:r w:rsidR="007C3123" w:rsidRPr="00E1372C">
        <w:rPr>
          <w:lang w:val="fr-FR" w:bidi="en-US"/>
        </w:rPr>
        <w:t>En outre, selon l</w:t>
      </w:r>
      <w:r w:rsidR="00731F09" w:rsidRPr="00E1372C">
        <w:rPr>
          <w:lang w:val="fr-FR" w:bidi="en-US"/>
        </w:rPr>
        <w:t>’</w:t>
      </w:r>
      <w:r w:rsidR="007C3123" w:rsidRPr="00E1372C">
        <w:rPr>
          <w:lang w:val="fr-FR" w:bidi="en-US"/>
        </w:rPr>
        <w:t>enquête,</w:t>
      </w:r>
      <w:r w:rsidR="00A55A0E" w:rsidRPr="00E1372C">
        <w:rPr>
          <w:lang w:val="fr-FR" w:bidi="en-US"/>
        </w:rPr>
        <w:t xml:space="preserve"> 37</w:t>
      </w:r>
      <w:r w:rsidR="007C3123" w:rsidRPr="00E1372C">
        <w:rPr>
          <w:lang w:val="fr-FR" w:bidi="en-US"/>
        </w:rPr>
        <w:t> </w:t>
      </w:r>
      <w:r w:rsidR="00A55A0E" w:rsidRPr="00E1372C">
        <w:rPr>
          <w:lang w:val="fr-FR"/>
        </w:rPr>
        <w:t>373</w:t>
      </w:r>
      <w:r w:rsidR="007C3123" w:rsidRPr="00E1372C">
        <w:rPr>
          <w:lang w:val="fr-FR"/>
        </w:rPr>
        <w:t> personnes recherchent un travail supplémentaire, dont la majorité occupe des emplois non qualifiés</w:t>
      </w:r>
      <w:r w:rsidR="00A55A0E" w:rsidRPr="00E1372C">
        <w:rPr>
          <w:lang w:val="fr-FR" w:bidi="en-US"/>
        </w:rPr>
        <w:t xml:space="preserve"> (8</w:t>
      </w:r>
      <w:r w:rsidR="007C3123" w:rsidRPr="00E1372C">
        <w:rPr>
          <w:lang w:val="fr-FR" w:bidi="en-US"/>
        </w:rPr>
        <w:t> </w:t>
      </w:r>
      <w:r w:rsidR="00A55A0E" w:rsidRPr="00E1372C">
        <w:rPr>
          <w:lang w:val="fr-FR" w:bidi="en-US"/>
        </w:rPr>
        <w:t>854)</w:t>
      </w:r>
      <w:r w:rsidR="001B5B80" w:rsidRPr="00E1372C">
        <w:rPr>
          <w:lang w:val="fr-FR" w:bidi="en-US"/>
        </w:rPr>
        <w:t>, ainsi que</w:t>
      </w:r>
      <w:r w:rsidR="007C3123" w:rsidRPr="00E1372C">
        <w:rPr>
          <w:lang w:val="fr-FR" w:bidi="en-US"/>
        </w:rPr>
        <w:t xml:space="preserve"> dans les services, le commerce et les marchés </w:t>
      </w:r>
      <w:r w:rsidR="00A55A0E" w:rsidRPr="00E1372C">
        <w:rPr>
          <w:lang w:val="fr-FR" w:bidi="en-US"/>
        </w:rPr>
        <w:t>(7</w:t>
      </w:r>
      <w:r w:rsidR="007C3123" w:rsidRPr="00E1372C">
        <w:rPr>
          <w:lang w:val="fr-FR" w:bidi="en-US"/>
        </w:rPr>
        <w:t> </w:t>
      </w:r>
      <w:r w:rsidR="00A55A0E" w:rsidRPr="00E1372C">
        <w:rPr>
          <w:lang w:val="fr-FR" w:bidi="en-US"/>
        </w:rPr>
        <w:t xml:space="preserve">431). </w:t>
      </w:r>
    </w:p>
    <w:p w:rsidR="00A55A0E" w:rsidRPr="00E1372C" w:rsidRDefault="007A1757" w:rsidP="007A1757">
      <w:pPr>
        <w:pStyle w:val="SingleTxtG"/>
        <w:rPr>
          <w:lang w:val="fr-FR" w:bidi="en-US"/>
        </w:rPr>
      </w:pPr>
      <w:r w:rsidRPr="00E1372C">
        <w:rPr>
          <w:lang w:val="fr-FR" w:bidi="en-US"/>
        </w:rPr>
        <w:t>144.</w:t>
      </w:r>
      <w:r w:rsidRPr="00E1372C">
        <w:rPr>
          <w:lang w:val="fr-FR" w:bidi="en-US"/>
        </w:rPr>
        <w:tab/>
      </w:r>
      <w:r w:rsidR="007C3123" w:rsidRPr="00E1372C">
        <w:rPr>
          <w:lang w:val="fr-FR" w:bidi="en-US"/>
        </w:rPr>
        <w:t>Le dernier rapport établi par le Ministère du travail en 2010 révèle que 37</w:t>
      </w:r>
      <w:r w:rsidR="007064FC" w:rsidRPr="00E1372C">
        <w:rPr>
          <w:lang w:val="fr-FR" w:bidi="en-US"/>
        </w:rPr>
        <w:t> %</w:t>
      </w:r>
      <w:r w:rsidR="007C3123" w:rsidRPr="00E1372C">
        <w:rPr>
          <w:lang w:val="fr-FR" w:bidi="en-US"/>
        </w:rPr>
        <w:t xml:space="preserve"> (</w:t>
      </w:r>
      <w:r w:rsidR="001B5B80" w:rsidRPr="00E1372C">
        <w:rPr>
          <w:lang w:val="fr-FR" w:bidi="en-US"/>
        </w:rPr>
        <w:t xml:space="preserve">selon la définition </w:t>
      </w:r>
      <w:r w:rsidR="007C3123" w:rsidRPr="00E1372C">
        <w:rPr>
          <w:i/>
          <w:lang w:val="fr-FR" w:bidi="en-US"/>
        </w:rPr>
        <w:t>stricto sensu</w:t>
      </w:r>
      <w:r w:rsidR="007C3123" w:rsidRPr="00E1372C">
        <w:rPr>
          <w:lang w:val="fr-FR" w:bidi="en-US"/>
        </w:rPr>
        <w:t xml:space="preserve">) et </w:t>
      </w:r>
      <w:r w:rsidR="00A55A0E" w:rsidRPr="00E1372C">
        <w:rPr>
          <w:lang w:val="fr-FR" w:bidi="en-US"/>
        </w:rPr>
        <w:t>51</w:t>
      </w:r>
      <w:r w:rsidR="007064FC" w:rsidRPr="00E1372C">
        <w:rPr>
          <w:lang w:val="fr-FR" w:bidi="en-US"/>
        </w:rPr>
        <w:t> %</w:t>
      </w:r>
      <w:r w:rsidR="00A55A0E" w:rsidRPr="00E1372C">
        <w:rPr>
          <w:lang w:val="fr-FR" w:bidi="en-US"/>
        </w:rPr>
        <w:t xml:space="preserve"> (</w:t>
      </w:r>
      <w:r w:rsidR="001B5B80" w:rsidRPr="00E1372C">
        <w:rPr>
          <w:lang w:val="fr-FR" w:bidi="en-US"/>
        </w:rPr>
        <w:t xml:space="preserve">selon la définition </w:t>
      </w:r>
      <w:r w:rsidR="007C3123" w:rsidRPr="00E1372C">
        <w:rPr>
          <w:i/>
          <w:lang w:val="fr-FR" w:bidi="en-US"/>
        </w:rPr>
        <w:t>lato sensu</w:t>
      </w:r>
      <w:r w:rsidR="00A55A0E" w:rsidRPr="00E1372C">
        <w:rPr>
          <w:lang w:val="fr-FR" w:bidi="en-US"/>
        </w:rPr>
        <w:t xml:space="preserve">) </w:t>
      </w:r>
      <w:r w:rsidR="007C3123" w:rsidRPr="00E1372C">
        <w:rPr>
          <w:lang w:val="fr-FR" w:bidi="en-US"/>
        </w:rPr>
        <w:t>de la population active en Namibie est au chômage</w:t>
      </w:r>
      <w:r w:rsidR="00A55A0E" w:rsidRPr="00E1372C">
        <w:rPr>
          <w:lang w:val="fr-FR" w:bidi="en-US"/>
        </w:rPr>
        <w:t xml:space="preserve">. </w:t>
      </w:r>
    </w:p>
    <w:p w:rsidR="00A55A0E" w:rsidRPr="00E1372C" w:rsidRDefault="00CE2771" w:rsidP="00CE2771">
      <w:pPr>
        <w:pStyle w:val="H23G"/>
        <w:rPr>
          <w:lang w:val="fr-FR" w:bidi="en-US"/>
        </w:rPr>
      </w:pPr>
      <w:r w:rsidRPr="00E1372C">
        <w:rPr>
          <w:lang w:val="fr-FR" w:bidi="en-US"/>
        </w:rPr>
        <w:tab/>
      </w:r>
      <w:r w:rsidRPr="00E1372C">
        <w:rPr>
          <w:lang w:val="fr-FR" w:bidi="en-US"/>
        </w:rPr>
        <w:tab/>
      </w:r>
      <w:r w:rsidR="007C3123" w:rsidRPr="00E1372C">
        <w:rPr>
          <w:lang w:val="fr-FR" w:bidi="en-US"/>
        </w:rPr>
        <w:t>Analyse par sexe au regard du chômage</w:t>
      </w:r>
    </w:p>
    <w:p w:rsidR="007C3123" w:rsidRPr="00E1372C" w:rsidRDefault="007A1757" w:rsidP="007A1757">
      <w:pPr>
        <w:pStyle w:val="SingleTxtG"/>
        <w:rPr>
          <w:lang w:val="fr-FR" w:bidi="en-US"/>
        </w:rPr>
      </w:pPr>
      <w:r w:rsidRPr="00E1372C">
        <w:rPr>
          <w:lang w:val="fr-FR" w:bidi="en-US"/>
        </w:rPr>
        <w:t>145.</w:t>
      </w:r>
      <w:r w:rsidRPr="00E1372C">
        <w:rPr>
          <w:lang w:val="fr-FR" w:bidi="en-US"/>
        </w:rPr>
        <w:tab/>
      </w:r>
      <w:r w:rsidR="007C3123" w:rsidRPr="00E1372C">
        <w:rPr>
          <w:lang w:val="fr-FR" w:bidi="en-US"/>
        </w:rPr>
        <w:t>Une analyse par sexe de la population active en Namibie fait ressortir une répartition clairement établie des emplois et des branches d</w:t>
      </w:r>
      <w:r w:rsidR="00731F09" w:rsidRPr="00E1372C">
        <w:rPr>
          <w:lang w:val="fr-FR" w:bidi="en-US"/>
        </w:rPr>
        <w:t>’</w:t>
      </w:r>
      <w:r w:rsidR="007C3123" w:rsidRPr="00E1372C">
        <w:rPr>
          <w:lang w:val="fr-FR" w:bidi="en-US"/>
        </w:rPr>
        <w:t>activité selon le sexe. Certains emplois ou branches d</w:t>
      </w:r>
      <w:r w:rsidR="00731F09" w:rsidRPr="00E1372C">
        <w:rPr>
          <w:lang w:val="fr-FR" w:bidi="en-US"/>
        </w:rPr>
        <w:t>’</w:t>
      </w:r>
      <w:r w:rsidR="007C3123" w:rsidRPr="00E1372C">
        <w:rPr>
          <w:lang w:val="fr-FR" w:bidi="en-US"/>
        </w:rPr>
        <w:t>activité sont à prédominance féminine ou masculine. Ainsi les ménages privés qui emploient du personnel engagent 11,9</w:t>
      </w:r>
      <w:r w:rsidR="007064FC" w:rsidRPr="00E1372C">
        <w:rPr>
          <w:lang w:val="fr-FR" w:bidi="en-US"/>
        </w:rPr>
        <w:t> %</w:t>
      </w:r>
      <w:r w:rsidR="007C3123" w:rsidRPr="00E1372C">
        <w:rPr>
          <w:lang w:val="fr-FR" w:bidi="en-US"/>
        </w:rPr>
        <w:t xml:space="preserve"> de femmes et moins de 2</w:t>
      </w:r>
      <w:r w:rsidR="007064FC" w:rsidRPr="00E1372C">
        <w:rPr>
          <w:lang w:val="fr-FR" w:bidi="en-US"/>
        </w:rPr>
        <w:t> %</w:t>
      </w:r>
      <w:r w:rsidR="007C3123" w:rsidRPr="00E1372C">
        <w:rPr>
          <w:lang w:val="fr-FR" w:bidi="en-US"/>
        </w:rPr>
        <w:t xml:space="preserve"> d</w:t>
      </w:r>
      <w:r w:rsidR="00731F09" w:rsidRPr="00E1372C">
        <w:rPr>
          <w:lang w:val="fr-FR" w:bidi="en-US"/>
        </w:rPr>
        <w:t>’</w:t>
      </w:r>
      <w:r w:rsidR="007C3123" w:rsidRPr="00E1372C">
        <w:rPr>
          <w:lang w:val="fr-FR" w:bidi="en-US"/>
        </w:rPr>
        <w:t>hommes. Santé et travail social, éducation, hôtellerie et restauration et industrie manufacturière sont autant d</w:t>
      </w:r>
      <w:r w:rsidR="00731F09" w:rsidRPr="00E1372C">
        <w:rPr>
          <w:lang w:val="fr-FR" w:bidi="en-US"/>
        </w:rPr>
        <w:t>’</w:t>
      </w:r>
      <w:r w:rsidR="007C3123" w:rsidRPr="00E1372C">
        <w:rPr>
          <w:lang w:val="fr-FR" w:bidi="en-US"/>
        </w:rPr>
        <w:t>autres secteurs à prédominance féminine. Ces secteurs attirent davantage de femmes au motif que le type d</w:t>
      </w:r>
      <w:r w:rsidR="00731F09" w:rsidRPr="00E1372C">
        <w:rPr>
          <w:lang w:val="fr-FR" w:bidi="en-US"/>
        </w:rPr>
        <w:t>’</w:t>
      </w:r>
      <w:r w:rsidR="007C3123" w:rsidRPr="00E1372C">
        <w:rPr>
          <w:lang w:val="fr-FR" w:bidi="en-US"/>
        </w:rPr>
        <w:t xml:space="preserve">activité y est considéré comme un travail </w:t>
      </w:r>
      <w:r w:rsidR="00AE017E" w:rsidRPr="00E1372C">
        <w:rPr>
          <w:lang w:val="fr-FR" w:bidi="en-US"/>
        </w:rPr>
        <w:t>«</w:t>
      </w:r>
      <w:r w:rsidR="007C3123" w:rsidRPr="00E1372C">
        <w:rPr>
          <w:lang w:val="fr-FR" w:bidi="en-US"/>
        </w:rPr>
        <w:t>de femmes</w:t>
      </w:r>
      <w:r w:rsidR="00AE017E" w:rsidRPr="00E1372C">
        <w:rPr>
          <w:lang w:val="fr-FR" w:bidi="en-US"/>
        </w:rPr>
        <w:t>»</w:t>
      </w:r>
      <w:r w:rsidR="007C3123" w:rsidRPr="00E1372C">
        <w:rPr>
          <w:lang w:val="fr-FR" w:bidi="en-US"/>
        </w:rPr>
        <w:t>.</w:t>
      </w:r>
      <w:r w:rsidR="00DE6FD9" w:rsidRPr="00E1372C">
        <w:rPr>
          <w:lang w:val="fr-FR" w:bidi="en-US"/>
        </w:rPr>
        <w:t xml:space="preserve"> Administration publique, défense et sécurité, transport, entreposage et communications, construction, industrie extractive sont des secteurs à prédominance masculine. Selon une autre conclusion notable de l</w:t>
      </w:r>
      <w:r w:rsidR="00731F09" w:rsidRPr="00E1372C">
        <w:rPr>
          <w:lang w:val="fr-FR" w:bidi="en-US"/>
        </w:rPr>
        <w:t>’</w:t>
      </w:r>
      <w:r w:rsidR="00DE6FD9" w:rsidRPr="00E1372C">
        <w:rPr>
          <w:lang w:val="fr-FR" w:bidi="en-US"/>
        </w:rPr>
        <w:t>enquête, les femmes sont plus nombreuses (5,8</w:t>
      </w:r>
      <w:r w:rsidR="007064FC" w:rsidRPr="00E1372C">
        <w:rPr>
          <w:lang w:val="fr-FR" w:bidi="en-US"/>
        </w:rPr>
        <w:t> %</w:t>
      </w:r>
      <w:r w:rsidR="00DE6FD9" w:rsidRPr="00E1372C">
        <w:rPr>
          <w:lang w:val="fr-FR" w:bidi="en-US"/>
        </w:rPr>
        <w:t>) dans les activités non rémunérées que les hommes (1,2</w:t>
      </w:r>
      <w:r w:rsidR="007064FC" w:rsidRPr="00E1372C">
        <w:rPr>
          <w:lang w:val="fr-FR" w:bidi="en-US"/>
        </w:rPr>
        <w:t> %</w:t>
      </w:r>
      <w:r w:rsidR="00DE6FD9" w:rsidRPr="00E1372C">
        <w:rPr>
          <w:lang w:val="fr-FR" w:bidi="en-US"/>
        </w:rPr>
        <w:t>). Il ressort des différences en matière d</w:t>
      </w:r>
      <w:r w:rsidR="00731F09" w:rsidRPr="00E1372C">
        <w:rPr>
          <w:lang w:val="fr-FR" w:bidi="en-US"/>
        </w:rPr>
        <w:t>’</w:t>
      </w:r>
      <w:r w:rsidR="00DE6FD9" w:rsidRPr="00E1372C">
        <w:rPr>
          <w:lang w:val="fr-FR" w:bidi="en-US"/>
        </w:rPr>
        <w:t>activité professionnelle que les emplois de conducteurs d</w:t>
      </w:r>
      <w:r w:rsidR="00731F09" w:rsidRPr="00E1372C">
        <w:rPr>
          <w:lang w:val="fr-FR" w:bidi="en-US"/>
        </w:rPr>
        <w:t>’</w:t>
      </w:r>
      <w:r w:rsidR="00DE6FD9" w:rsidRPr="00E1372C">
        <w:rPr>
          <w:lang w:val="fr-FR" w:bidi="en-US"/>
        </w:rPr>
        <w:t>installations et de machines et d</w:t>
      </w:r>
      <w:r w:rsidR="00731F09" w:rsidRPr="00E1372C">
        <w:rPr>
          <w:lang w:val="fr-FR" w:bidi="en-US"/>
        </w:rPr>
        <w:t>’</w:t>
      </w:r>
      <w:r w:rsidR="00DE6FD9" w:rsidRPr="00E1372C">
        <w:rPr>
          <w:lang w:val="fr-FR" w:bidi="en-US"/>
        </w:rPr>
        <w:t>ouvriers de l</w:t>
      </w:r>
      <w:r w:rsidR="00731F09" w:rsidRPr="00E1372C">
        <w:rPr>
          <w:lang w:val="fr-FR" w:bidi="en-US"/>
        </w:rPr>
        <w:t>’</w:t>
      </w:r>
      <w:r w:rsidR="00DE6FD9" w:rsidRPr="00E1372C">
        <w:rPr>
          <w:lang w:val="fr-FR" w:bidi="en-US"/>
        </w:rPr>
        <w:t>assemblage, ainsi que les métiers qualifiés de l</w:t>
      </w:r>
      <w:r w:rsidR="00731F09" w:rsidRPr="00E1372C">
        <w:rPr>
          <w:lang w:val="fr-FR" w:bidi="en-US"/>
        </w:rPr>
        <w:t>’</w:t>
      </w:r>
      <w:r w:rsidR="00DE6FD9" w:rsidRPr="00E1372C">
        <w:rPr>
          <w:lang w:val="fr-FR" w:bidi="en-US"/>
        </w:rPr>
        <w:t>industrie et de l</w:t>
      </w:r>
      <w:r w:rsidR="00731F09" w:rsidRPr="00E1372C">
        <w:rPr>
          <w:lang w:val="fr-FR" w:bidi="en-US"/>
        </w:rPr>
        <w:t>’</w:t>
      </w:r>
      <w:r w:rsidR="00DE6FD9" w:rsidRPr="00E1372C">
        <w:rPr>
          <w:lang w:val="fr-FR" w:bidi="en-US"/>
        </w:rPr>
        <w:t>artisanat sont masculins, alors que le travail de bureau est surtout considéré comme le domaine des femmes.</w:t>
      </w:r>
    </w:p>
    <w:p w:rsidR="00DE6FD9" w:rsidRPr="00E1372C" w:rsidRDefault="007A1757" w:rsidP="007A1757">
      <w:pPr>
        <w:pStyle w:val="SingleTxtG"/>
        <w:rPr>
          <w:lang w:val="fr-FR" w:bidi="en-US"/>
        </w:rPr>
      </w:pPr>
      <w:r w:rsidRPr="00E1372C">
        <w:rPr>
          <w:lang w:val="fr-FR" w:bidi="en-US"/>
        </w:rPr>
        <w:t>146.</w:t>
      </w:r>
      <w:r w:rsidRPr="00E1372C">
        <w:rPr>
          <w:lang w:val="fr-FR" w:bidi="en-US"/>
        </w:rPr>
        <w:tab/>
      </w:r>
      <w:r w:rsidR="00DE6FD9" w:rsidRPr="00E1372C">
        <w:rPr>
          <w:lang w:val="fr-FR" w:bidi="en-US"/>
        </w:rPr>
        <w:t xml:space="preserve">De </w:t>
      </w:r>
      <w:r w:rsidR="00A55A0E" w:rsidRPr="00E1372C">
        <w:rPr>
          <w:lang w:val="fr-FR" w:bidi="en-US"/>
        </w:rPr>
        <w:t xml:space="preserve">2000 </w:t>
      </w:r>
      <w:r w:rsidR="00DE6FD9" w:rsidRPr="00E1372C">
        <w:rPr>
          <w:lang w:val="fr-FR" w:bidi="en-US"/>
        </w:rPr>
        <w:t>à</w:t>
      </w:r>
      <w:r w:rsidR="00A55A0E" w:rsidRPr="00E1372C">
        <w:rPr>
          <w:lang w:val="fr-FR" w:bidi="en-US"/>
        </w:rPr>
        <w:t xml:space="preserve"> 2004, </w:t>
      </w:r>
      <w:r w:rsidR="00DE6FD9" w:rsidRPr="00E1372C">
        <w:rPr>
          <w:lang w:val="fr-FR" w:bidi="en-US"/>
        </w:rPr>
        <w:t xml:space="preserve">le chômage a augmenté de </w:t>
      </w:r>
      <w:r w:rsidR="00A55A0E" w:rsidRPr="00E1372C">
        <w:rPr>
          <w:lang w:val="fr-FR" w:bidi="en-US"/>
        </w:rPr>
        <w:t>2</w:t>
      </w:r>
      <w:r w:rsidR="00DE6FD9" w:rsidRPr="00E1372C">
        <w:rPr>
          <w:lang w:val="fr-FR" w:bidi="en-US"/>
        </w:rPr>
        <w:t>,</w:t>
      </w:r>
      <w:r w:rsidR="00A55A0E" w:rsidRPr="00E1372C">
        <w:rPr>
          <w:lang w:val="fr-FR" w:bidi="en-US"/>
        </w:rPr>
        <w:t>9</w:t>
      </w:r>
      <w:r w:rsidR="007064FC" w:rsidRPr="00E1372C">
        <w:rPr>
          <w:lang w:val="fr-FR" w:bidi="en-US"/>
        </w:rPr>
        <w:t> %</w:t>
      </w:r>
      <w:r w:rsidR="00DE6FD9" w:rsidRPr="00E1372C">
        <w:rPr>
          <w:lang w:val="fr-FR" w:bidi="en-US"/>
        </w:rPr>
        <w:t xml:space="preserve"> à l</w:t>
      </w:r>
      <w:r w:rsidR="00731F09" w:rsidRPr="00E1372C">
        <w:rPr>
          <w:lang w:val="fr-FR" w:bidi="en-US"/>
        </w:rPr>
        <w:t>’</w:t>
      </w:r>
      <w:r w:rsidR="00DE6FD9" w:rsidRPr="00E1372C">
        <w:rPr>
          <w:lang w:val="fr-FR" w:bidi="en-US"/>
        </w:rPr>
        <w:t>échelle nationale. La Namibie fait face par conséquent à un problème croissant de chômage qui est intrinsèquement de longue durée puisque plus de la moitié (</w:t>
      </w:r>
      <w:r w:rsidR="00A55A0E" w:rsidRPr="00E1372C">
        <w:rPr>
          <w:lang w:val="fr-FR" w:bidi="en-US"/>
        </w:rPr>
        <w:t>56</w:t>
      </w:r>
      <w:r w:rsidR="00DE6FD9" w:rsidRPr="00E1372C">
        <w:rPr>
          <w:lang w:val="fr-FR" w:bidi="en-US"/>
        </w:rPr>
        <w:t>,</w:t>
      </w:r>
      <w:r w:rsidR="00A55A0E" w:rsidRPr="00E1372C">
        <w:rPr>
          <w:lang w:val="fr-FR" w:bidi="en-US"/>
        </w:rPr>
        <w:t>2</w:t>
      </w:r>
      <w:r w:rsidR="007064FC" w:rsidRPr="00E1372C">
        <w:rPr>
          <w:lang w:val="fr-FR" w:bidi="en-US"/>
        </w:rPr>
        <w:t> %</w:t>
      </w:r>
      <w:r w:rsidR="00A55A0E" w:rsidRPr="00E1372C">
        <w:rPr>
          <w:lang w:val="fr-FR" w:bidi="en-US"/>
        </w:rPr>
        <w:t xml:space="preserve">) </w:t>
      </w:r>
      <w:r w:rsidR="00DE6FD9" w:rsidRPr="00E1372C">
        <w:rPr>
          <w:lang w:val="fr-FR" w:bidi="en-US"/>
        </w:rPr>
        <w:t xml:space="preserve">des chômeurs demeure sans travail pendant deux ans ou plus. En outre, les travailleurs des zones rurales resteraient sans emploi plus longtemps que ceux des zones urbaines. Le Ministère du travail et de la protection sociale a reconnu dans la durée du chômage </w:t>
      </w:r>
      <w:r w:rsidR="001B5B80" w:rsidRPr="00E1372C">
        <w:rPr>
          <w:lang w:val="fr-FR" w:bidi="en-US"/>
        </w:rPr>
        <w:t>l</w:t>
      </w:r>
      <w:r w:rsidR="00731F09" w:rsidRPr="00E1372C">
        <w:rPr>
          <w:lang w:val="fr-FR" w:bidi="en-US"/>
        </w:rPr>
        <w:t>’</w:t>
      </w:r>
      <w:r w:rsidR="00DE6FD9" w:rsidRPr="00E1372C">
        <w:rPr>
          <w:lang w:val="fr-FR" w:bidi="en-US"/>
        </w:rPr>
        <w:t xml:space="preserve">une des principales raisons </w:t>
      </w:r>
      <w:r w:rsidR="0019761E" w:rsidRPr="00E1372C">
        <w:rPr>
          <w:lang w:val="fr-FR" w:bidi="en-US"/>
        </w:rPr>
        <w:t xml:space="preserve">qui </w:t>
      </w:r>
      <w:r w:rsidR="00DE6FD9" w:rsidRPr="00E1372C">
        <w:rPr>
          <w:lang w:val="fr-FR" w:bidi="en-US"/>
        </w:rPr>
        <w:t>expliqu</w:t>
      </w:r>
      <w:r w:rsidR="0019761E" w:rsidRPr="00E1372C">
        <w:rPr>
          <w:lang w:val="fr-FR" w:bidi="en-US"/>
        </w:rPr>
        <w:t>e</w:t>
      </w:r>
      <w:r w:rsidR="00DE6FD9" w:rsidRPr="00E1372C">
        <w:rPr>
          <w:lang w:val="fr-FR" w:bidi="en-US"/>
        </w:rPr>
        <w:t>nt que les chômeurs se découragent ou perdent l</w:t>
      </w:r>
      <w:r w:rsidR="00731F09" w:rsidRPr="00E1372C">
        <w:rPr>
          <w:lang w:val="fr-FR" w:bidi="en-US"/>
        </w:rPr>
        <w:t>’</w:t>
      </w:r>
      <w:r w:rsidR="00DE6FD9" w:rsidRPr="00E1372C">
        <w:rPr>
          <w:lang w:val="fr-FR" w:bidi="en-US"/>
        </w:rPr>
        <w:t>espoir de retrouver un emploi.</w:t>
      </w:r>
    </w:p>
    <w:p w:rsidR="00A55A0E" w:rsidRPr="00E1372C" w:rsidRDefault="00CE2771" w:rsidP="00CE2771">
      <w:pPr>
        <w:pStyle w:val="H23G"/>
        <w:rPr>
          <w:lang w:val="fr-FR" w:bidi="en-US"/>
        </w:rPr>
      </w:pPr>
      <w:r w:rsidRPr="00E1372C">
        <w:rPr>
          <w:lang w:val="fr-FR" w:bidi="en-US"/>
        </w:rPr>
        <w:tab/>
      </w:r>
      <w:r w:rsidRPr="00E1372C">
        <w:rPr>
          <w:lang w:val="fr-FR" w:bidi="en-US"/>
        </w:rPr>
        <w:tab/>
      </w:r>
      <w:r w:rsidR="00DE6FD9" w:rsidRPr="00E1372C">
        <w:rPr>
          <w:lang w:val="fr-FR" w:bidi="en-US"/>
        </w:rPr>
        <w:t>Taux d</w:t>
      </w:r>
      <w:r w:rsidR="00731F09" w:rsidRPr="00E1372C">
        <w:rPr>
          <w:lang w:val="fr-FR" w:bidi="en-US"/>
        </w:rPr>
        <w:t>’</w:t>
      </w:r>
      <w:r w:rsidR="00DE6FD9" w:rsidRPr="00E1372C">
        <w:rPr>
          <w:lang w:val="fr-FR" w:bidi="en-US"/>
        </w:rPr>
        <w:t>emploi et de chômage chez les jeunes</w:t>
      </w:r>
    </w:p>
    <w:p w:rsidR="00A55A0E" w:rsidRPr="00E1372C" w:rsidRDefault="007A1757" w:rsidP="007A1757">
      <w:pPr>
        <w:pStyle w:val="SingleTxtG"/>
        <w:rPr>
          <w:lang w:val="fr-FR" w:bidi="en-US"/>
        </w:rPr>
      </w:pPr>
      <w:r w:rsidRPr="00E1372C">
        <w:rPr>
          <w:lang w:val="fr-FR" w:bidi="en-US"/>
        </w:rPr>
        <w:t>147.</w:t>
      </w:r>
      <w:r w:rsidRPr="00E1372C">
        <w:rPr>
          <w:lang w:val="fr-FR" w:bidi="en-US"/>
        </w:rPr>
        <w:tab/>
      </w:r>
      <w:r w:rsidR="00DE6FD9" w:rsidRPr="00E1372C">
        <w:rPr>
          <w:lang w:val="fr-FR" w:bidi="en-US"/>
        </w:rPr>
        <w:t>Les enquêtes sur la population active namibienne ne renseignent généralement pas sur la répartition de l</w:t>
      </w:r>
      <w:r w:rsidR="00731F09" w:rsidRPr="00E1372C">
        <w:rPr>
          <w:lang w:val="fr-FR" w:bidi="en-US"/>
        </w:rPr>
        <w:t>’</w:t>
      </w:r>
      <w:r w:rsidR="00DE6FD9" w:rsidRPr="00E1372C">
        <w:rPr>
          <w:lang w:val="fr-FR" w:bidi="en-US"/>
        </w:rPr>
        <w:t>emploi par âge. Les seules données fournies à cet égard concernent les travailleurs agricoles. Elles indiquent qu</w:t>
      </w:r>
      <w:r w:rsidR="00731F09" w:rsidRPr="00E1372C">
        <w:rPr>
          <w:lang w:val="fr-FR" w:bidi="en-US"/>
        </w:rPr>
        <w:t>’</w:t>
      </w:r>
      <w:r w:rsidR="00DE6FD9" w:rsidRPr="00E1372C">
        <w:rPr>
          <w:lang w:val="fr-FR" w:bidi="en-US"/>
        </w:rPr>
        <w:t xml:space="preserve">en 2003 et 2004, respectivement, </w:t>
      </w:r>
      <w:r w:rsidR="00A55A0E" w:rsidRPr="00E1372C">
        <w:rPr>
          <w:lang w:val="fr-FR" w:bidi="en-US"/>
        </w:rPr>
        <w:t>32</w:t>
      </w:r>
      <w:r w:rsidR="00DE6FD9" w:rsidRPr="00E1372C">
        <w:rPr>
          <w:lang w:val="fr-FR" w:bidi="en-US"/>
        </w:rPr>
        <w:t>,</w:t>
      </w:r>
      <w:r w:rsidR="00A55A0E" w:rsidRPr="00E1372C">
        <w:rPr>
          <w:lang w:val="fr-FR" w:bidi="en-US"/>
        </w:rPr>
        <w:t>3</w:t>
      </w:r>
      <w:r w:rsidR="007064FC" w:rsidRPr="00E1372C">
        <w:rPr>
          <w:lang w:val="fr-FR" w:bidi="en-US"/>
        </w:rPr>
        <w:t> %</w:t>
      </w:r>
      <w:r w:rsidR="00A55A0E" w:rsidRPr="00E1372C">
        <w:rPr>
          <w:lang w:val="fr-FR" w:bidi="en-US"/>
        </w:rPr>
        <w:t xml:space="preserve"> </w:t>
      </w:r>
      <w:r w:rsidR="00DE6FD9" w:rsidRPr="00E1372C">
        <w:rPr>
          <w:lang w:val="fr-FR" w:bidi="en-US"/>
        </w:rPr>
        <w:t>et</w:t>
      </w:r>
      <w:r w:rsidR="00A55A0E" w:rsidRPr="00E1372C">
        <w:rPr>
          <w:lang w:val="fr-FR" w:bidi="en-US"/>
        </w:rPr>
        <w:t xml:space="preserve"> 30</w:t>
      </w:r>
      <w:r w:rsidR="00DE6FD9" w:rsidRPr="00E1372C">
        <w:rPr>
          <w:lang w:val="fr-FR" w:bidi="en-US"/>
        </w:rPr>
        <w:t>,</w:t>
      </w:r>
      <w:r w:rsidR="00A55A0E" w:rsidRPr="00E1372C">
        <w:rPr>
          <w:lang w:val="fr-FR" w:bidi="en-US"/>
        </w:rPr>
        <w:t>3</w:t>
      </w:r>
      <w:r w:rsidR="007064FC" w:rsidRPr="00E1372C">
        <w:rPr>
          <w:lang w:val="fr-FR" w:bidi="en-US"/>
        </w:rPr>
        <w:t> %</w:t>
      </w:r>
      <w:r w:rsidR="00A55A0E" w:rsidRPr="00E1372C">
        <w:rPr>
          <w:lang w:val="fr-FR" w:bidi="en-US"/>
        </w:rPr>
        <w:t xml:space="preserve"> </w:t>
      </w:r>
      <w:r w:rsidR="00DE6FD9" w:rsidRPr="00E1372C">
        <w:rPr>
          <w:lang w:val="fr-FR" w:bidi="en-US"/>
        </w:rPr>
        <w:t>des personnes employées dans les exploitations agricoles étaient des jeunes. L</w:t>
      </w:r>
      <w:r w:rsidR="00731F09" w:rsidRPr="00E1372C">
        <w:rPr>
          <w:lang w:val="fr-FR" w:bidi="en-US"/>
        </w:rPr>
        <w:t>’</w:t>
      </w:r>
      <w:r w:rsidR="00DE6FD9" w:rsidRPr="00E1372C">
        <w:rPr>
          <w:lang w:val="fr-FR" w:bidi="en-US"/>
        </w:rPr>
        <w:t>incidence des pertes d</w:t>
      </w:r>
      <w:r w:rsidR="00731F09" w:rsidRPr="00E1372C">
        <w:rPr>
          <w:lang w:val="fr-FR" w:bidi="en-US"/>
        </w:rPr>
        <w:t>’</w:t>
      </w:r>
      <w:r w:rsidR="00DE6FD9" w:rsidRPr="00E1372C">
        <w:rPr>
          <w:lang w:val="fr-FR" w:bidi="en-US"/>
        </w:rPr>
        <w:t>emploi dans ce secteur a également été ressentie par les jeunes, 2</w:t>
      </w:r>
      <w:r w:rsidR="007064FC" w:rsidRPr="00E1372C">
        <w:rPr>
          <w:lang w:val="fr-FR" w:bidi="en-US"/>
        </w:rPr>
        <w:t> %</w:t>
      </w:r>
      <w:r w:rsidR="00DE6FD9" w:rsidRPr="00E1372C">
        <w:rPr>
          <w:lang w:val="fr-FR" w:bidi="en-US"/>
        </w:rPr>
        <w:t xml:space="preserve"> d</w:t>
      </w:r>
      <w:r w:rsidR="00731F09" w:rsidRPr="00E1372C">
        <w:rPr>
          <w:lang w:val="fr-FR" w:bidi="en-US"/>
        </w:rPr>
        <w:t>’</w:t>
      </w:r>
      <w:r w:rsidR="00DE6FD9" w:rsidRPr="00E1372C">
        <w:rPr>
          <w:lang w:val="fr-FR" w:bidi="en-US"/>
        </w:rPr>
        <w:t>entre elles touchant ce groupe d</w:t>
      </w:r>
      <w:r w:rsidR="00731F09" w:rsidRPr="00E1372C">
        <w:rPr>
          <w:lang w:val="fr-FR" w:bidi="en-US"/>
        </w:rPr>
        <w:t>’</w:t>
      </w:r>
      <w:r w:rsidR="00DE6FD9" w:rsidRPr="00E1372C">
        <w:rPr>
          <w:lang w:val="fr-FR" w:bidi="en-US"/>
        </w:rPr>
        <w:t>âge. Le chômage des jeunes a été reconnu comme l</w:t>
      </w:r>
      <w:r w:rsidR="00731F09" w:rsidRPr="00E1372C">
        <w:rPr>
          <w:lang w:val="fr-FR" w:bidi="en-US"/>
        </w:rPr>
        <w:t>’</w:t>
      </w:r>
      <w:r w:rsidR="00DE6FD9" w:rsidRPr="00E1372C">
        <w:rPr>
          <w:lang w:val="fr-FR" w:bidi="en-US"/>
        </w:rPr>
        <w:t>un des problèmes majeurs dans le pays.</w:t>
      </w:r>
    </w:p>
    <w:p w:rsidR="00DE6FD9" w:rsidRPr="00E1372C" w:rsidRDefault="007A1757" w:rsidP="007A1757">
      <w:pPr>
        <w:pStyle w:val="SingleTxtG"/>
        <w:rPr>
          <w:lang w:val="fr-FR" w:bidi="en-US"/>
        </w:rPr>
      </w:pPr>
      <w:r w:rsidRPr="00E1372C">
        <w:rPr>
          <w:lang w:val="fr-FR" w:bidi="en-US"/>
        </w:rPr>
        <w:t>148.</w:t>
      </w:r>
      <w:r w:rsidRPr="00E1372C">
        <w:rPr>
          <w:lang w:val="fr-FR" w:bidi="en-US"/>
        </w:rPr>
        <w:tab/>
      </w:r>
      <w:r w:rsidR="00DE6FD9" w:rsidRPr="00E1372C">
        <w:rPr>
          <w:lang w:val="fr-FR" w:bidi="en-US"/>
        </w:rPr>
        <w:t>L</w:t>
      </w:r>
      <w:r w:rsidR="00731F09" w:rsidRPr="00E1372C">
        <w:rPr>
          <w:lang w:val="fr-FR" w:bidi="en-US"/>
        </w:rPr>
        <w:t>’</w:t>
      </w:r>
      <w:r w:rsidR="00DE6FD9" w:rsidRPr="00E1372C">
        <w:rPr>
          <w:lang w:val="fr-FR" w:bidi="en-US"/>
        </w:rPr>
        <w:t>enquête de 2004 sur la population active a conclu que le taux moyen de chômage des jeunes s</w:t>
      </w:r>
      <w:r w:rsidR="00731F09" w:rsidRPr="00E1372C">
        <w:rPr>
          <w:lang w:val="fr-FR" w:bidi="en-US"/>
        </w:rPr>
        <w:t>’</w:t>
      </w:r>
      <w:r w:rsidR="00DE6FD9" w:rsidRPr="00E1372C">
        <w:rPr>
          <w:lang w:val="fr-FR" w:bidi="en-US"/>
        </w:rPr>
        <w:t>élève à 54,4</w:t>
      </w:r>
      <w:r w:rsidR="007064FC" w:rsidRPr="00E1372C">
        <w:rPr>
          <w:lang w:val="fr-FR" w:bidi="en-US"/>
        </w:rPr>
        <w:t> %</w:t>
      </w:r>
      <w:r w:rsidR="00DE6FD9" w:rsidRPr="00E1372C">
        <w:rPr>
          <w:lang w:val="fr-FR" w:bidi="en-US"/>
        </w:rPr>
        <w:t xml:space="preserve"> dans le groupe des personnes de 15 à 29 ans. Le pourcentage élevé de jeunes qui recherchent un autre emploi dans le secteur non structuré traduit les effets du chômage sur les jeunes. Une étude menée par l</w:t>
      </w:r>
      <w:r w:rsidR="00731F09" w:rsidRPr="00E1372C">
        <w:rPr>
          <w:lang w:val="fr-FR" w:bidi="en-US"/>
        </w:rPr>
        <w:t>’</w:t>
      </w:r>
      <w:r w:rsidR="00DE6FD9" w:rsidRPr="00E1372C">
        <w:rPr>
          <w:lang w:val="fr-FR" w:bidi="en-US"/>
        </w:rPr>
        <w:t>Institut de documentation et de recherche relative à la population active en 2006 dans le secteur non structuré a révélé que plus de 70</w:t>
      </w:r>
      <w:r w:rsidR="007064FC" w:rsidRPr="00E1372C">
        <w:rPr>
          <w:lang w:val="fr-FR" w:bidi="en-US"/>
        </w:rPr>
        <w:t> %</w:t>
      </w:r>
      <w:r w:rsidR="00DE6FD9" w:rsidRPr="00E1372C">
        <w:rPr>
          <w:lang w:val="fr-FR" w:bidi="en-US"/>
        </w:rPr>
        <w:t xml:space="preserve"> (74,4</w:t>
      </w:r>
      <w:r w:rsidR="007064FC" w:rsidRPr="00E1372C">
        <w:rPr>
          <w:lang w:val="fr-FR" w:bidi="en-US"/>
        </w:rPr>
        <w:t> %</w:t>
      </w:r>
      <w:r w:rsidR="00DE6FD9" w:rsidRPr="00E1372C">
        <w:rPr>
          <w:lang w:val="fr-FR" w:bidi="en-US"/>
        </w:rPr>
        <w:t>) des travailleurs de ce secteur sont des jeunes</w:t>
      </w:r>
      <w:r w:rsidR="00CD0D57" w:rsidRPr="00E1372C">
        <w:rPr>
          <w:lang w:val="fr-FR" w:bidi="en-US"/>
        </w:rPr>
        <w:t xml:space="preserve"> de 19 à 29 ans. Ce taux élevé de chômage peut être attribué au fait que les jeunes n</w:t>
      </w:r>
      <w:r w:rsidR="00731F09" w:rsidRPr="00E1372C">
        <w:rPr>
          <w:lang w:val="fr-FR" w:bidi="en-US"/>
        </w:rPr>
        <w:t>’</w:t>
      </w:r>
      <w:r w:rsidR="00CD0D57" w:rsidRPr="00E1372C">
        <w:rPr>
          <w:lang w:val="fr-FR" w:bidi="en-US"/>
        </w:rPr>
        <w:t>achèvent pas leur scolarité ou l</w:t>
      </w:r>
      <w:r w:rsidR="00731F09" w:rsidRPr="00E1372C">
        <w:rPr>
          <w:lang w:val="fr-FR" w:bidi="en-US"/>
        </w:rPr>
        <w:t>’</w:t>
      </w:r>
      <w:r w:rsidR="00CD0D57" w:rsidRPr="00E1372C">
        <w:rPr>
          <w:lang w:val="fr-FR" w:bidi="en-US"/>
        </w:rPr>
        <w:t>abandonnent prématurément, en particulier dans les zones rurales où les taux de pauvreté sont élevés, dans l</w:t>
      </w:r>
      <w:r w:rsidR="00731F09" w:rsidRPr="00E1372C">
        <w:rPr>
          <w:lang w:val="fr-FR" w:bidi="en-US"/>
        </w:rPr>
        <w:t>’</w:t>
      </w:r>
      <w:r w:rsidR="00CD0D57" w:rsidRPr="00E1372C">
        <w:rPr>
          <w:lang w:val="fr-FR" w:bidi="en-US"/>
        </w:rPr>
        <w:t>espoir de trouver un emploi.</w:t>
      </w:r>
    </w:p>
    <w:p w:rsidR="00A55A0E" w:rsidRPr="00E1372C" w:rsidRDefault="007A1757" w:rsidP="007A1757">
      <w:pPr>
        <w:pStyle w:val="SingleTxtG"/>
        <w:rPr>
          <w:lang w:val="fr-FR" w:bidi="en-US"/>
        </w:rPr>
      </w:pPr>
      <w:r w:rsidRPr="00E1372C">
        <w:rPr>
          <w:lang w:val="fr-FR" w:bidi="en-US"/>
        </w:rPr>
        <w:t>149.</w:t>
      </w:r>
      <w:r w:rsidRPr="00E1372C">
        <w:rPr>
          <w:lang w:val="fr-FR" w:bidi="en-US"/>
        </w:rPr>
        <w:tab/>
      </w:r>
      <w:r w:rsidR="00CD0D57" w:rsidRPr="00E1372C">
        <w:rPr>
          <w:lang w:val="fr-FR" w:bidi="en-US"/>
        </w:rPr>
        <w:t>Une comparaison des taux de chômage des jeunes en 1997, 2000 et 2004 montre une hausse de la courbe entre 1997 et 2000. Toutefois, de 2000 à 2004, le chômage des jeunes a baissé de 1,8</w:t>
      </w:r>
      <w:r w:rsidR="007064FC" w:rsidRPr="00E1372C">
        <w:rPr>
          <w:lang w:val="fr-FR" w:bidi="en-US"/>
        </w:rPr>
        <w:t> %</w:t>
      </w:r>
      <w:r w:rsidR="00CD0D57" w:rsidRPr="00E1372C">
        <w:rPr>
          <w:lang w:val="fr-FR" w:bidi="en-US"/>
        </w:rPr>
        <w:t>, alors que le chômage à l</w:t>
      </w:r>
      <w:r w:rsidR="00731F09" w:rsidRPr="00E1372C">
        <w:rPr>
          <w:lang w:val="fr-FR" w:bidi="en-US"/>
        </w:rPr>
        <w:t>’</w:t>
      </w:r>
      <w:r w:rsidR="00CD0D57" w:rsidRPr="00E1372C">
        <w:rPr>
          <w:lang w:val="fr-FR" w:bidi="en-US"/>
        </w:rPr>
        <w:t>échelle nationale représente près de 40</w:t>
      </w:r>
      <w:r w:rsidR="007064FC" w:rsidRPr="00E1372C">
        <w:rPr>
          <w:lang w:val="fr-FR" w:bidi="en-US"/>
        </w:rPr>
        <w:t> %</w:t>
      </w:r>
      <w:r w:rsidR="00CD0D57" w:rsidRPr="00E1372C">
        <w:rPr>
          <w:lang w:val="fr-FR" w:bidi="en-US"/>
        </w:rPr>
        <w:t xml:space="preserve"> et touche principalement la majorité noire.</w:t>
      </w:r>
      <w:r w:rsidR="00A55A0E" w:rsidRPr="00E1372C">
        <w:rPr>
          <w:lang w:val="fr-FR" w:bidi="en-US"/>
        </w:rPr>
        <w:t xml:space="preserve"> </w:t>
      </w:r>
    </w:p>
    <w:p w:rsidR="00A55A0E" w:rsidRPr="00E1372C" w:rsidRDefault="00CE2771" w:rsidP="00CE2771">
      <w:pPr>
        <w:pStyle w:val="H23G"/>
        <w:rPr>
          <w:lang w:val="fr-FR" w:bidi="en-US"/>
        </w:rPr>
      </w:pPr>
      <w:r w:rsidRPr="00E1372C">
        <w:rPr>
          <w:lang w:val="fr-FR" w:bidi="en-US"/>
        </w:rPr>
        <w:tab/>
      </w:r>
      <w:r w:rsidRPr="00E1372C">
        <w:rPr>
          <w:lang w:val="fr-FR" w:bidi="en-US"/>
        </w:rPr>
        <w:tab/>
      </w:r>
      <w:r w:rsidR="00CD0D57" w:rsidRPr="00E1372C">
        <w:rPr>
          <w:lang w:val="fr-FR" w:bidi="en-US"/>
        </w:rPr>
        <w:t>Participation de la population active par groupes et régions</w:t>
      </w:r>
    </w:p>
    <w:p w:rsidR="00CD0D57" w:rsidRPr="00E1372C" w:rsidRDefault="007A1757" w:rsidP="007A1757">
      <w:pPr>
        <w:pStyle w:val="SingleTxtG"/>
        <w:rPr>
          <w:lang w:val="fr-FR" w:bidi="en-US"/>
        </w:rPr>
      </w:pPr>
      <w:r w:rsidRPr="00E1372C">
        <w:rPr>
          <w:lang w:val="fr-FR" w:bidi="en-US"/>
        </w:rPr>
        <w:t>150.</w:t>
      </w:r>
      <w:r w:rsidRPr="00E1372C">
        <w:rPr>
          <w:lang w:val="fr-FR" w:bidi="en-US"/>
        </w:rPr>
        <w:tab/>
      </w:r>
      <w:r w:rsidR="00CD0D57" w:rsidRPr="00E1372C">
        <w:rPr>
          <w:lang w:val="fr-FR" w:bidi="en-US"/>
        </w:rPr>
        <w:t>D</w:t>
      </w:r>
      <w:r w:rsidR="00731F09" w:rsidRPr="00E1372C">
        <w:rPr>
          <w:lang w:val="fr-FR" w:bidi="en-US"/>
        </w:rPr>
        <w:t>’</w:t>
      </w:r>
      <w:r w:rsidR="00CD0D57" w:rsidRPr="00E1372C">
        <w:rPr>
          <w:lang w:val="fr-FR" w:bidi="en-US"/>
        </w:rPr>
        <w:t>après l</w:t>
      </w:r>
      <w:r w:rsidR="00731F09" w:rsidRPr="00E1372C">
        <w:rPr>
          <w:lang w:val="fr-FR" w:bidi="en-US"/>
        </w:rPr>
        <w:t>’</w:t>
      </w:r>
      <w:r w:rsidR="00CD0D57" w:rsidRPr="00E1372C">
        <w:rPr>
          <w:lang w:val="fr-FR" w:bidi="en-US"/>
        </w:rPr>
        <w:t>enquête sur la population active namibienne de 2004, le taux de participation de cette population, à l</w:t>
      </w:r>
      <w:r w:rsidR="00731F09" w:rsidRPr="00E1372C">
        <w:rPr>
          <w:lang w:val="fr-FR" w:bidi="en-US"/>
        </w:rPr>
        <w:t>’</w:t>
      </w:r>
      <w:r w:rsidR="00CD0D57" w:rsidRPr="00E1372C">
        <w:rPr>
          <w:lang w:val="fr-FR" w:bidi="en-US"/>
        </w:rPr>
        <w:t>échelon national, s</w:t>
      </w:r>
      <w:r w:rsidR="00731F09" w:rsidRPr="00E1372C">
        <w:rPr>
          <w:lang w:val="fr-FR" w:bidi="en-US"/>
        </w:rPr>
        <w:t>’</w:t>
      </w:r>
      <w:r w:rsidR="00CD0D57" w:rsidRPr="00E1372C">
        <w:rPr>
          <w:lang w:val="fr-FR" w:bidi="en-US"/>
        </w:rPr>
        <w:t xml:space="preserve">élève à </w:t>
      </w:r>
      <w:r w:rsidR="00A55A0E" w:rsidRPr="00E1372C">
        <w:rPr>
          <w:lang w:val="fr-FR" w:bidi="en-US"/>
        </w:rPr>
        <w:t>47</w:t>
      </w:r>
      <w:r w:rsidR="00CD0D57" w:rsidRPr="00E1372C">
        <w:rPr>
          <w:lang w:val="fr-FR" w:bidi="en-US"/>
        </w:rPr>
        <w:t>,</w:t>
      </w:r>
      <w:r w:rsidR="00A55A0E" w:rsidRPr="00E1372C">
        <w:rPr>
          <w:lang w:val="fr-FR" w:bidi="en-US"/>
        </w:rPr>
        <w:t>9</w:t>
      </w:r>
      <w:r w:rsidR="007064FC" w:rsidRPr="00E1372C">
        <w:rPr>
          <w:lang w:val="fr-FR" w:bidi="en-US"/>
        </w:rPr>
        <w:t> %</w:t>
      </w:r>
      <w:r w:rsidR="00A55A0E" w:rsidRPr="00E1372C">
        <w:rPr>
          <w:lang w:val="fr-FR" w:bidi="en-US"/>
        </w:rPr>
        <w:t xml:space="preserve">. </w:t>
      </w:r>
      <w:r w:rsidR="00FB0B06" w:rsidRPr="00E1372C">
        <w:rPr>
          <w:lang w:val="fr-FR" w:bidi="en-US"/>
        </w:rPr>
        <w:t>Il</w:t>
      </w:r>
      <w:r w:rsidR="00CD0D57" w:rsidRPr="00E1372C">
        <w:rPr>
          <w:lang w:val="fr-FR" w:bidi="en-US"/>
        </w:rPr>
        <w:t xml:space="preserve"> est plus élevé chez les hommes (60</w:t>
      </w:r>
      <w:r w:rsidR="007064FC" w:rsidRPr="00E1372C">
        <w:rPr>
          <w:lang w:val="fr-FR" w:bidi="en-US"/>
        </w:rPr>
        <w:t> %</w:t>
      </w:r>
      <w:r w:rsidR="00CD0D57" w:rsidRPr="00E1372C">
        <w:rPr>
          <w:lang w:val="fr-FR" w:bidi="en-US"/>
        </w:rPr>
        <w:t>) que chez les femmes (40</w:t>
      </w:r>
      <w:r w:rsidR="007064FC" w:rsidRPr="00E1372C">
        <w:rPr>
          <w:lang w:val="fr-FR" w:bidi="en-US"/>
        </w:rPr>
        <w:t> %</w:t>
      </w:r>
      <w:r w:rsidR="00CD0D57" w:rsidRPr="00E1372C">
        <w:rPr>
          <w:lang w:val="fr-FR" w:bidi="en-US"/>
        </w:rPr>
        <w:t xml:space="preserve">). La participation est également importante dans les zones urbaines par rapport aux zones rurales </w:t>
      </w:r>
      <w:r w:rsidR="00A55A0E" w:rsidRPr="00E1372C">
        <w:rPr>
          <w:lang w:val="fr-FR" w:bidi="en-US"/>
        </w:rPr>
        <w:t>(34</w:t>
      </w:r>
      <w:r w:rsidR="00CD0D57" w:rsidRPr="00E1372C">
        <w:rPr>
          <w:lang w:val="fr-FR" w:bidi="en-US"/>
        </w:rPr>
        <w:t>,</w:t>
      </w:r>
      <w:r w:rsidR="00A55A0E" w:rsidRPr="00E1372C">
        <w:rPr>
          <w:lang w:val="fr-FR" w:bidi="en-US"/>
        </w:rPr>
        <w:t>7</w:t>
      </w:r>
      <w:r w:rsidR="007064FC" w:rsidRPr="00E1372C">
        <w:rPr>
          <w:lang w:val="fr-FR" w:bidi="en-US"/>
        </w:rPr>
        <w:t> %</w:t>
      </w:r>
      <w:r w:rsidR="00A55A0E" w:rsidRPr="00E1372C">
        <w:rPr>
          <w:lang w:val="fr-FR" w:bidi="en-US"/>
        </w:rPr>
        <w:t>),</w:t>
      </w:r>
      <w:r w:rsidR="00CD0D57" w:rsidRPr="00E1372C">
        <w:rPr>
          <w:lang w:val="fr-FR" w:bidi="en-US"/>
        </w:rPr>
        <w:t xml:space="preserve"> phénomène attribuable à l</w:t>
      </w:r>
      <w:r w:rsidR="00731F09" w:rsidRPr="00E1372C">
        <w:rPr>
          <w:lang w:val="fr-FR" w:bidi="en-US"/>
        </w:rPr>
        <w:t>’</w:t>
      </w:r>
      <w:r w:rsidR="00CD0D57" w:rsidRPr="00E1372C">
        <w:rPr>
          <w:lang w:val="fr-FR" w:bidi="en-US"/>
        </w:rPr>
        <w:t>exode rural en quête d</w:t>
      </w:r>
      <w:r w:rsidR="00731F09" w:rsidRPr="00E1372C">
        <w:rPr>
          <w:lang w:val="fr-FR" w:bidi="en-US"/>
        </w:rPr>
        <w:t>’</w:t>
      </w:r>
      <w:r w:rsidR="00CD0D57" w:rsidRPr="00E1372C">
        <w:rPr>
          <w:lang w:val="fr-FR" w:bidi="en-US"/>
        </w:rPr>
        <w:t>emplois. Le taux de participation de la population active parmi les jeunes est de 42,5</w:t>
      </w:r>
      <w:r w:rsidR="007064FC" w:rsidRPr="00E1372C">
        <w:rPr>
          <w:lang w:val="fr-FR" w:bidi="en-US"/>
        </w:rPr>
        <w:t> %</w:t>
      </w:r>
      <w:r w:rsidR="00CD0D57" w:rsidRPr="00E1372C">
        <w:rPr>
          <w:lang w:val="fr-FR" w:bidi="en-US"/>
        </w:rPr>
        <w:t xml:space="preserve"> en moyenne. L</w:t>
      </w:r>
      <w:r w:rsidR="00731F09" w:rsidRPr="00E1372C">
        <w:rPr>
          <w:lang w:val="fr-FR" w:bidi="en-US"/>
        </w:rPr>
        <w:t>’</w:t>
      </w:r>
      <w:r w:rsidR="00CD0D57" w:rsidRPr="00E1372C">
        <w:rPr>
          <w:lang w:val="fr-FR" w:bidi="en-US"/>
        </w:rPr>
        <w:t>enquête sur la démographie et la santé de 2000 a indiqué que 33</w:t>
      </w:r>
      <w:r w:rsidR="007064FC" w:rsidRPr="00E1372C">
        <w:rPr>
          <w:lang w:val="fr-FR" w:bidi="en-US"/>
        </w:rPr>
        <w:t> %</w:t>
      </w:r>
      <w:r w:rsidR="00CD0D57" w:rsidRPr="00E1372C">
        <w:rPr>
          <w:lang w:val="fr-FR" w:bidi="en-US"/>
        </w:rPr>
        <w:t xml:space="preserve"> de femmes entre 15 et 49 ans et 49</w:t>
      </w:r>
      <w:r w:rsidR="007064FC" w:rsidRPr="00E1372C">
        <w:rPr>
          <w:lang w:val="fr-FR" w:bidi="en-US"/>
        </w:rPr>
        <w:t> %</w:t>
      </w:r>
      <w:r w:rsidR="00CD0D57" w:rsidRPr="00E1372C">
        <w:rPr>
          <w:lang w:val="fr-FR" w:bidi="en-US"/>
        </w:rPr>
        <w:t xml:space="preserve"> d</w:t>
      </w:r>
      <w:r w:rsidR="00731F09" w:rsidRPr="00E1372C">
        <w:rPr>
          <w:lang w:val="fr-FR" w:bidi="en-US"/>
        </w:rPr>
        <w:t>’</w:t>
      </w:r>
      <w:r w:rsidR="00CD0D57" w:rsidRPr="00E1372C">
        <w:rPr>
          <w:lang w:val="fr-FR" w:bidi="en-US"/>
        </w:rPr>
        <w:t>hommes entre 15 et 59 ans avaient un emploi. Toutefois, le pourcentage était sensibleme</w:t>
      </w:r>
      <w:r w:rsidR="00B65A47" w:rsidRPr="00E1372C">
        <w:rPr>
          <w:lang w:val="fr-FR" w:bidi="en-US"/>
        </w:rPr>
        <w:t xml:space="preserve">nt inférieur chez les jeunes de 15 à 19 </w:t>
      </w:r>
      <w:r w:rsidR="00CD0D57" w:rsidRPr="00E1372C">
        <w:rPr>
          <w:lang w:val="fr-FR" w:bidi="en-US"/>
        </w:rPr>
        <w:t>ans, dont la plupart étaient probablement scolarisés. Seuls 49</w:t>
      </w:r>
      <w:r w:rsidR="007064FC" w:rsidRPr="00E1372C">
        <w:rPr>
          <w:lang w:val="fr-FR" w:bidi="en-US"/>
        </w:rPr>
        <w:t> %</w:t>
      </w:r>
      <w:r w:rsidR="00CD0D57" w:rsidRPr="00E1372C">
        <w:rPr>
          <w:lang w:val="fr-FR" w:bidi="en-US"/>
        </w:rPr>
        <w:t xml:space="preserve"> d</w:t>
      </w:r>
      <w:r w:rsidR="00731F09" w:rsidRPr="00E1372C">
        <w:rPr>
          <w:lang w:val="fr-FR" w:bidi="en-US"/>
        </w:rPr>
        <w:t>’</w:t>
      </w:r>
      <w:r w:rsidR="00CD0D57" w:rsidRPr="00E1372C">
        <w:rPr>
          <w:lang w:val="fr-FR" w:bidi="en-US"/>
        </w:rPr>
        <w:t>homme</w:t>
      </w:r>
      <w:r w:rsidR="00FB0B06" w:rsidRPr="00E1372C">
        <w:rPr>
          <w:lang w:val="fr-FR" w:bidi="en-US"/>
        </w:rPr>
        <w:t>s</w:t>
      </w:r>
      <w:r w:rsidR="00CD0D57" w:rsidRPr="00E1372C">
        <w:rPr>
          <w:lang w:val="fr-FR" w:bidi="en-US"/>
        </w:rPr>
        <w:t xml:space="preserve"> et 42</w:t>
      </w:r>
      <w:r w:rsidR="007064FC" w:rsidRPr="00E1372C">
        <w:rPr>
          <w:lang w:val="fr-FR" w:bidi="en-US"/>
        </w:rPr>
        <w:t> %</w:t>
      </w:r>
      <w:r w:rsidR="00CD0D57" w:rsidRPr="00E1372C">
        <w:rPr>
          <w:lang w:val="fr-FR" w:bidi="en-US"/>
        </w:rPr>
        <w:t xml:space="preserve"> de femmes qui ont achevé des études secondaires et supérieures occupent des </w:t>
      </w:r>
      <w:r w:rsidR="00FB0B06" w:rsidRPr="00E1372C">
        <w:rPr>
          <w:lang w:val="fr-FR" w:bidi="en-US"/>
        </w:rPr>
        <w:t>emploi</w:t>
      </w:r>
      <w:r w:rsidR="00CD0D57" w:rsidRPr="00E1372C">
        <w:rPr>
          <w:lang w:val="fr-FR" w:bidi="en-US"/>
        </w:rPr>
        <w:t xml:space="preserve">s de cadres et des postes techniques. </w:t>
      </w:r>
    </w:p>
    <w:p w:rsidR="00A55A0E" w:rsidRPr="00E1372C" w:rsidRDefault="007A1757" w:rsidP="007A1757">
      <w:pPr>
        <w:pStyle w:val="SingleTxtG"/>
        <w:rPr>
          <w:lang w:val="fr-FR" w:bidi="en-US"/>
        </w:rPr>
      </w:pPr>
      <w:r w:rsidRPr="00E1372C">
        <w:rPr>
          <w:lang w:val="fr-FR" w:bidi="en-US"/>
        </w:rPr>
        <w:t>151.</w:t>
      </w:r>
      <w:r w:rsidRPr="00E1372C">
        <w:rPr>
          <w:lang w:val="fr-FR" w:bidi="en-US"/>
        </w:rPr>
        <w:tab/>
      </w:r>
      <w:r w:rsidR="00CD0D57" w:rsidRPr="00E1372C">
        <w:rPr>
          <w:lang w:val="fr-FR" w:bidi="en-US"/>
        </w:rPr>
        <w:t>La proportion de travailleurs est plus élevée parmi les femmes et les hommes des zones urbaines que parmi ceux des zones rurales. L</w:t>
      </w:r>
      <w:r w:rsidR="00731F09" w:rsidRPr="00E1372C">
        <w:rPr>
          <w:lang w:val="fr-FR" w:bidi="en-US"/>
        </w:rPr>
        <w:t>’</w:t>
      </w:r>
      <w:r w:rsidR="00CD0D57" w:rsidRPr="00E1372C">
        <w:rPr>
          <w:lang w:val="fr-FR" w:bidi="en-US"/>
        </w:rPr>
        <w:t>emploi est également plus élevé dans le Sud du pays qu</w:t>
      </w:r>
      <w:r w:rsidR="00731F09" w:rsidRPr="00E1372C">
        <w:rPr>
          <w:lang w:val="fr-FR" w:bidi="en-US"/>
        </w:rPr>
        <w:t>’</w:t>
      </w:r>
      <w:r w:rsidR="00CD0D57" w:rsidRPr="00E1372C">
        <w:rPr>
          <w:lang w:val="fr-FR" w:bidi="en-US"/>
        </w:rPr>
        <w:t>il ne l</w:t>
      </w:r>
      <w:r w:rsidR="00731F09" w:rsidRPr="00E1372C">
        <w:rPr>
          <w:lang w:val="fr-FR" w:bidi="en-US"/>
        </w:rPr>
        <w:t>’</w:t>
      </w:r>
      <w:r w:rsidR="00CD0D57" w:rsidRPr="00E1372C">
        <w:rPr>
          <w:lang w:val="fr-FR" w:bidi="en-US"/>
        </w:rPr>
        <w:t xml:space="preserve">est dans les régions du Nord-Ouest et du Nord-Est comme </w:t>
      </w:r>
      <w:r w:rsidR="00A55A0E" w:rsidRPr="00E1372C">
        <w:rPr>
          <w:lang w:val="fr-FR" w:bidi="en-US"/>
        </w:rPr>
        <w:t xml:space="preserve">Kunene, Caprivi, Omusati, Kavango </w:t>
      </w:r>
      <w:r w:rsidR="00D52238" w:rsidRPr="00E1372C">
        <w:rPr>
          <w:lang w:val="fr-FR" w:bidi="en-US"/>
        </w:rPr>
        <w:t>et</w:t>
      </w:r>
      <w:r w:rsidR="00A55A0E" w:rsidRPr="00E1372C">
        <w:rPr>
          <w:lang w:val="fr-FR" w:bidi="en-US"/>
        </w:rPr>
        <w:t xml:space="preserve"> Ohangwena. </w:t>
      </w:r>
    </w:p>
    <w:p w:rsidR="00A55A0E" w:rsidRPr="00E1372C" w:rsidRDefault="007A1757" w:rsidP="007A1757">
      <w:pPr>
        <w:pStyle w:val="SingleTxtG"/>
        <w:rPr>
          <w:lang w:val="fr-FR" w:bidi="en-US"/>
        </w:rPr>
      </w:pPr>
      <w:r w:rsidRPr="00E1372C">
        <w:rPr>
          <w:lang w:val="fr-FR" w:bidi="en-US"/>
        </w:rPr>
        <w:t>152.</w:t>
      </w:r>
      <w:r w:rsidRPr="00E1372C">
        <w:rPr>
          <w:lang w:val="fr-FR" w:bidi="en-US"/>
        </w:rPr>
        <w:tab/>
      </w:r>
      <w:r w:rsidR="00D52238" w:rsidRPr="00E1372C">
        <w:rPr>
          <w:lang w:val="fr-FR" w:bidi="en-US"/>
        </w:rPr>
        <w:t>E</w:t>
      </w:r>
      <w:r w:rsidR="00A55A0E" w:rsidRPr="00E1372C">
        <w:rPr>
          <w:lang w:val="fr-FR" w:bidi="en-US"/>
        </w:rPr>
        <w:t>n 2004, 888</w:t>
      </w:r>
      <w:r w:rsidR="00D52238" w:rsidRPr="00E1372C">
        <w:rPr>
          <w:lang w:val="fr-FR" w:bidi="en-US"/>
        </w:rPr>
        <w:t> </w:t>
      </w:r>
      <w:r w:rsidR="00A55A0E" w:rsidRPr="00E1372C">
        <w:rPr>
          <w:lang w:val="fr-FR" w:bidi="en-US"/>
        </w:rPr>
        <w:t xml:space="preserve">348 </w:t>
      </w:r>
      <w:r w:rsidR="00D52238" w:rsidRPr="00E1372C">
        <w:rPr>
          <w:lang w:val="fr-FR" w:bidi="en-US"/>
        </w:rPr>
        <w:t>Namibiens avaient 15 ans ou plus. L</w:t>
      </w:r>
      <w:r w:rsidR="00731F09" w:rsidRPr="00E1372C">
        <w:rPr>
          <w:lang w:val="fr-FR" w:bidi="en-US"/>
        </w:rPr>
        <w:t>’</w:t>
      </w:r>
      <w:r w:rsidR="00D52238" w:rsidRPr="00E1372C">
        <w:rPr>
          <w:lang w:val="fr-FR" w:bidi="en-US"/>
        </w:rPr>
        <w:t xml:space="preserve">enquête a relevé </w:t>
      </w:r>
      <w:r w:rsidR="00A55A0E" w:rsidRPr="00E1372C">
        <w:rPr>
          <w:lang w:val="fr-FR" w:bidi="en-US"/>
        </w:rPr>
        <w:t>493</w:t>
      </w:r>
      <w:r w:rsidR="00D52238" w:rsidRPr="00E1372C">
        <w:rPr>
          <w:lang w:val="fr-FR" w:bidi="en-US"/>
        </w:rPr>
        <w:t> </w:t>
      </w:r>
      <w:r w:rsidR="00A55A0E" w:rsidRPr="00E1372C">
        <w:rPr>
          <w:lang w:val="fr-FR" w:bidi="en-US"/>
        </w:rPr>
        <w:t>448</w:t>
      </w:r>
      <w:r w:rsidR="00D52238" w:rsidRPr="00E1372C">
        <w:rPr>
          <w:lang w:val="fr-FR" w:bidi="en-US"/>
        </w:rPr>
        <w:t xml:space="preserve"> personnes économiquement actives et </w:t>
      </w:r>
      <w:r w:rsidR="00A55A0E" w:rsidRPr="00E1372C">
        <w:rPr>
          <w:lang w:val="fr-FR" w:bidi="en-US"/>
        </w:rPr>
        <w:t>393</w:t>
      </w:r>
      <w:r w:rsidR="00D52238" w:rsidRPr="00E1372C">
        <w:rPr>
          <w:lang w:val="fr-FR" w:bidi="en-US"/>
        </w:rPr>
        <w:t> </w:t>
      </w:r>
      <w:r w:rsidR="00A55A0E" w:rsidRPr="00E1372C">
        <w:rPr>
          <w:lang w:val="fr-FR" w:bidi="en-US"/>
        </w:rPr>
        <w:t>880</w:t>
      </w:r>
      <w:r w:rsidR="00D52238" w:rsidRPr="00E1372C">
        <w:rPr>
          <w:lang w:val="fr-FR" w:bidi="en-US"/>
        </w:rPr>
        <w:t> personnes économiquement inactives. Les personnes dites économiquement inactives sont essentiellement des étudiants (41</w:t>
      </w:r>
      <w:r w:rsidR="007064FC" w:rsidRPr="00E1372C">
        <w:rPr>
          <w:lang w:val="fr-FR" w:bidi="en-US"/>
        </w:rPr>
        <w:t> %</w:t>
      </w:r>
      <w:r w:rsidR="00D52238" w:rsidRPr="00E1372C">
        <w:rPr>
          <w:lang w:val="fr-FR" w:bidi="en-US"/>
        </w:rPr>
        <w:t>), suivies des personnes au foyer (25,3</w:t>
      </w:r>
      <w:r w:rsidR="007064FC" w:rsidRPr="00E1372C">
        <w:rPr>
          <w:lang w:val="fr-FR" w:bidi="en-US"/>
        </w:rPr>
        <w:t> %</w:t>
      </w:r>
      <w:r w:rsidR="00D52238" w:rsidRPr="00E1372C">
        <w:rPr>
          <w:lang w:val="fr-FR" w:bidi="en-US"/>
        </w:rPr>
        <w:t xml:space="preserve">), </w:t>
      </w:r>
      <w:r w:rsidR="00FB0B06" w:rsidRPr="00E1372C">
        <w:rPr>
          <w:lang w:val="fr-FR" w:bidi="en-US"/>
        </w:rPr>
        <w:t xml:space="preserve">des </w:t>
      </w:r>
      <w:r w:rsidR="00D52238" w:rsidRPr="00E1372C">
        <w:rPr>
          <w:lang w:val="fr-FR" w:bidi="en-US"/>
        </w:rPr>
        <w:t xml:space="preserve">retraités et </w:t>
      </w:r>
      <w:r w:rsidR="0019761E" w:rsidRPr="00E1372C">
        <w:rPr>
          <w:lang w:val="fr-FR" w:bidi="en-US"/>
        </w:rPr>
        <w:t xml:space="preserve">des </w:t>
      </w:r>
      <w:r w:rsidR="00D52238" w:rsidRPr="00E1372C">
        <w:rPr>
          <w:lang w:val="fr-FR" w:bidi="en-US"/>
        </w:rPr>
        <w:t>personnes âgées (25,9</w:t>
      </w:r>
      <w:r w:rsidR="007064FC" w:rsidRPr="00E1372C">
        <w:rPr>
          <w:lang w:val="fr-FR" w:bidi="en-US"/>
        </w:rPr>
        <w:t> %</w:t>
      </w:r>
      <w:r w:rsidR="00D52238" w:rsidRPr="00E1372C">
        <w:rPr>
          <w:lang w:val="fr-FR" w:bidi="en-US"/>
        </w:rPr>
        <w:t>) et de celles atteintes par une maladie et un handicap (6,9</w:t>
      </w:r>
      <w:r w:rsidR="007064FC" w:rsidRPr="00E1372C">
        <w:rPr>
          <w:lang w:val="fr-FR" w:bidi="en-US"/>
        </w:rPr>
        <w:t> %</w:t>
      </w:r>
      <w:r w:rsidR="00D52238" w:rsidRPr="00E1372C">
        <w:rPr>
          <w:lang w:val="fr-FR" w:bidi="en-US"/>
        </w:rPr>
        <w:t xml:space="preserve">). Le nombre de femmes économiquement inactives </w:t>
      </w:r>
      <w:r w:rsidR="00A55A0E" w:rsidRPr="00E1372C">
        <w:rPr>
          <w:lang w:val="fr-FR" w:bidi="en-US"/>
        </w:rPr>
        <w:t>(241</w:t>
      </w:r>
      <w:r w:rsidR="00D52238" w:rsidRPr="00E1372C">
        <w:rPr>
          <w:lang w:val="fr-FR" w:bidi="en-US"/>
        </w:rPr>
        <w:t> </w:t>
      </w:r>
      <w:r w:rsidR="00A55A0E" w:rsidRPr="00E1372C">
        <w:rPr>
          <w:lang w:val="fr-FR" w:bidi="en-US"/>
        </w:rPr>
        <w:t xml:space="preserve">237) </w:t>
      </w:r>
      <w:r w:rsidR="00D52238" w:rsidRPr="00E1372C">
        <w:rPr>
          <w:lang w:val="fr-FR" w:bidi="en-US"/>
        </w:rPr>
        <w:t>est sensibleme</w:t>
      </w:r>
      <w:r w:rsidR="00CE2771" w:rsidRPr="00E1372C">
        <w:rPr>
          <w:lang w:val="fr-FR" w:bidi="en-US"/>
        </w:rPr>
        <w:t xml:space="preserve">nt supérieur à celui des hommes </w:t>
      </w:r>
      <w:r w:rsidR="00A55A0E" w:rsidRPr="00E1372C">
        <w:rPr>
          <w:lang w:val="fr-FR" w:bidi="en-US"/>
        </w:rPr>
        <w:t>(152</w:t>
      </w:r>
      <w:r w:rsidR="00D52238" w:rsidRPr="00E1372C">
        <w:rPr>
          <w:lang w:val="fr-FR" w:bidi="en-US"/>
        </w:rPr>
        <w:t> </w:t>
      </w:r>
      <w:r w:rsidR="00A55A0E" w:rsidRPr="00E1372C">
        <w:rPr>
          <w:lang w:val="fr-FR" w:bidi="en-US"/>
        </w:rPr>
        <w:t xml:space="preserve">643). </w:t>
      </w:r>
      <w:r w:rsidR="00D52238" w:rsidRPr="00E1372C">
        <w:rPr>
          <w:lang w:val="fr-FR" w:bidi="en-US"/>
        </w:rPr>
        <w:t>Cette différence notable pourrait tenir au fait que l</w:t>
      </w:r>
      <w:r w:rsidR="00731F09" w:rsidRPr="00E1372C">
        <w:rPr>
          <w:lang w:val="fr-FR" w:bidi="en-US"/>
        </w:rPr>
        <w:t>’</w:t>
      </w:r>
      <w:r w:rsidR="00D52238" w:rsidRPr="00E1372C">
        <w:rPr>
          <w:lang w:val="fr-FR" w:bidi="en-US"/>
        </w:rPr>
        <w:t>analyse de politique et recherche économique porte exclusivement sur le secteur structuré de l</w:t>
      </w:r>
      <w:r w:rsidR="00731F09" w:rsidRPr="00E1372C">
        <w:rPr>
          <w:lang w:val="fr-FR" w:bidi="en-US"/>
        </w:rPr>
        <w:t>’</w:t>
      </w:r>
      <w:r w:rsidR="00D52238" w:rsidRPr="00E1372C">
        <w:rPr>
          <w:lang w:val="fr-FR" w:bidi="en-US"/>
        </w:rPr>
        <w:t>emploi sans tenir compte des activités non rémunérées et du secteur non structuré où la majorité des femmes peuvent se trouver, comme en témoignent les importants effectifs de femmes (</w:t>
      </w:r>
      <w:r w:rsidR="00A55A0E" w:rsidRPr="00E1372C">
        <w:rPr>
          <w:lang w:val="fr-FR" w:bidi="en-US"/>
        </w:rPr>
        <w:t>53</w:t>
      </w:r>
      <w:r w:rsidR="00D52238" w:rsidRPr="00E1372C">
        <w:rPr>
          <w:lang w:val="fr-FR" w:bidi="en-US"/>
        </w:rPr>
        <w:t>,</w:t>
      </w:r>
      <w:r w:rsidR="00A55A0E" w:rsidRPr="00E1372C">
        <w:rPr>
          <w:lang w:val="fr-FR" w:bidi="en-US"/>
        </w:rPr>
        <w:t>1</w:t>
      </w:r>
      <w:r w:rsidR="007064FC" w:rsidRPr="00E1372C">
        <w:rPr>
          <w:lang w:val="fr-FR" w:bidi="en-US"/>
        </w:rPr>
        <w:t> %</w:t>
      </w:r>
      <w:r w:rsidR="00A55A0E" w:rsidRPr="00E1372C">
        <w:rPr>
          <w:lang w:val="fr-FR" w:bidi="en-US"/>
        </w:rPr>
        <w:t xml:space="preserve">) </w:t>
      </w:r>
      <w:r w:rsidR="00D52238" w:rsidRPr="00E1372C">
        <w:rPr>
          <w:lang w:val="fr-FR" w:bidi="en-US"/>
        </w:rPr>
        <w:t>dans le secteur non structuré du pays</w:t>
      </w:r>
      <w:r w:rsidR="00A55A0E" w:rsidRPr="00E1372C">
        <w:rPr>
          <w:lang w:val="fr-FR" w:bidi="en-US"/>
        </w:rPr>
        <w:t>.</w:t>
      </w:r>
    </w:p>
    <w:p w:rsidR="00640603" w:rsidRPr="00E1372C" w:rsidRDefault="007A1757" w:rsidP="007A1757">
      <w:pPr>
        <w:pStyle w:val="SingleTxtG"/>
        <w:rPr>
          <w:lang w:val="fr-FR" w:bidi="en-US"/>
        </w:rPr>
      </w:pPr>
      <w:r w:rsidRPr="00E1372C">
        <w:rPr>
          <w:lang w:val="fr-FR" w:bidi="en-US"/>
        </w:rPr>
        <w:t>153.</w:t>
      </w:r>
      <w:r w:rsidRPr="00E1372C">
        <w:rPr>
          <w:lang w:val="fr-FR" w:bidi="en-US"/>
        </w:rPr>
        <w:tab/>
      </w:r>
      <w:r w:rsidR="00C633BF" w:rsidRPr="00E1372C">
        <w:rPr>
          <w:lang w:val="fr-FR" w:bidi="en-US"/>
        </w:rPr>
        <w:t>E</w:t>
      </w:r>
      <w:r w:rsidR="00A55A0E" w:rsidRPr="00E1372C">
        <w:rPr>
          <w:lang w:val="fr-FR" w:bidi="en-US"/>
        </w:rPr>
        <w:t>n 2002</w:t>
      </w:r>
      <w:r w:rsidR="00C633BF" w:rsidRPr="00E1372C">
        <w:rPr>
          <w:lang w:val="fr-FR" w:bidi="en-US"/>
        </w:rPr>
        <w:t>, la Commission sur l</w:t>
      </w:r>
      <w:r w:rsidR="00731F09" w:rsidRPr="00E1372C">
        <w:rPr>
          <w:lang w:val="fr-FR" w:bidi="en-US"/>
        </w:rPr>
        <w:t>’</w:t>
      </w:r>
      <w:r w:rsidR="00C633BF" w:rsidRPr="00E1372C">
        <w:rPr>
          <w:lang w:val="fr-FR" w:bidi="en-US"/>
        </w:rPr>
        <w:t>équité en matière d</w:t>
      </w:r>
      <w:r w:rsidR="00731F09" w:rsidRPr="00E1372C">
        <w:rPr>
          <w:lang w:val="fr-FR" w:bidi="en-US"/>
        </w:rPr>
        <w:t>’</w:t>
      </w:r>
      <w:r w:rsidR="00C633BF" w:rsidRPr="00E1372C">
        <w:rPr>
          <w:lang w:val="fr-FR" w:bidi="en-US"/>
        </w:rPr>
        <w:t xml:space="preserve">emploi a précisé que sur un effectif total de </w:t>
      </w:r>
      <w:r w:rsidR="00A55A0E" w:rsidRPr="00E1372C">
        <w:rPr>
          <w:lang w:val="fr-FR" w:bidi="en-US"/>
        </w:rPr>
        <w:t>118</w:t>
      </w:r>
      <w:r w:rsidR="00C633BF" w:rsidRPr="00E1372C">
        <w:rPr>
          <w:lang w:val="fr-FR" w:bidi="en-US"/>
        </w:rPr>
        <w:t> </w:t>
      </w:r>
      <w:r w:rsidR="00A55A0E" w:rsidRPr="00E1372C">
        <w:rPr>
          <w:lang w:val="fr-FR" w:bidi="en-US"/>
        </w:rPr>
        <w:t>174</w:t>
      </w:r>
      <w:r w:rsidR="00C633BF" w:rsidRPr="00E1372C">
        <w:rPr>
          <w:lang w:val="fr-FR" w:bidi="en-US"/>
        </w:rPr>
        <w:t> salariés</w:t>
      </w:r>
      <w:r w:rsidR="00640603" w:rsidRPr="00E1372C">
        <w:rPr>
          <w:lang w:val="fr-FR" w:bidi="en-US"/>
        </w:rPr>
        <w:t xml:space="preserve"> les femmes sont particulièrement sous-représentées dans les secteurs à prédominance masculine tels que construction (</w:t>
      </w:r>
      <w:r w:rsidR="00A55A0E" w:rsidRPr="00E1372C">
        <w:rPr>
          <w:lang w:val="fr-FR" w:bidi="en-US"/>
        </w:rPr>
        <w:t>7</w:t>
      </w:r>
      <w:r w:rsidR="007064FC" w:rsidRPr="00E1372C">
        <w:rPr>
          <w:lang w:val="fr-FR" w:bidi="en-US"/>
        </w:rPr>
        <w:t> %</w:t>
      </w:r>
      <w:r w:rsidR="00A55A0E" w:rsidRPr="00E1372C">
        <w:rPr>
          <w:lang w:val="fr-FR" w:bidi="en-US"/>
        </w:rPr>
        <w:t xml:space="preserve">), </w:t>
      </w:r>
      <w:r w:rsidR="00640603" w:rsidRPr="00E1372C">
        <w:rPr>
          <w:lang w:val="fr-FR" w:bidi="en-US"/>
        </w:rPr>
        <w:t>industrie extractive</w:t>
      </w:r>
      <w:r w:rsidR="00A55A0E" w:rsidRPr="00E1372C">
        <w:rPr>
          <w:lang w:val="fr-FR" w:bidi="en-US"/>
        </w:rPr>
        <w:t xml:space="preserve"> (12</w:t>
      </w:r>
      <w:r w:rsidR="00640603" w:rsidRPr="00E1372C">
        <w:rPr>
          <w:lang w:val="fr-FR" w:bidi="en-US"/>
        </w:rPr>
        <w:t>,</w:t>
      </w:r>
      <w:r w:rsidR="00A55A0E" w:rsidRPr="00E1372C">
        <w:rPr>
          <w:lang w:val="fr-FR" w:bidi="en-US"/>
        </w:rPr>
        <w:t>2</w:t>
      </w:r>
      <w:r w:rsidR="007064FC" w:rsidRPr="00E1372C">
        <w:rPr>
          <w:lang w:val="fr-FR" w:bidi="en-US"/>
        </w:rPr>
        <w:t> %</w:t>
      </w:r>
      <w:r w:rsidR="00A55A0E" w:rsidRPr="00E1372C">
        <w:rPr>
          <w:lang w:val="fr-FR" w:bidi="en-US"/>
        </w:rPr>
        <w:t xml:space="preserve">) </w:t>
      </w:r>
      <w:r w:rsidR="00640603" w:rsidRPr="00E1372C">
        <w:rPr>
          <w:lang w:val="fr-FR" w:bidi="en-US"/>
        </w:rPr>
        <w:t>et</w:t>
      </w:r>
      <w:r w:rsidR="00A55A0E" w:rsidRPr="00E1372C">
        <w:rPr>
          <w:lang w:val="fr-FR" w:bidi="en-US"/>
        </w:rPr>
        <w:t xml:space="preserve"> transport (14</w:t>
      </w:r>
      <w:r w:rsidR="007064FC" w:rsidRPr="00E1372C">
        <w:rPr>
          <w:lang w:val="fr-FR" w:bidi="en-US"/>
        </w:rPr>
        <w:t> %</w:t>
      </w:r>
      <w:r w:rsidR="00A55A0E" w:rsidRPr="00E1372C">
        <w:rPr>
          <w:lang w:val="fr-FR" w:bidi="en-US"/>
        </w:rPr>
        <w:t xml:space="preserve">). </w:t>
      </w:r>
      <w:r w:rsidR="00640603" w:rsidRPr="00E1372C">
        <w:rPr>
          <w:lang w:val="fr-FR" w:bidi="en-US"/>
        </w:rPr>
        <w:t>Toutefois, en 2004, elle a indiqué que</w:t>
      </w:r>
      <w:r w:rsidR="0019761E" w:rsidRPr="00E1372C">
        <w:rPr>
          <w:lang w:val="fr-FR" w:bidi="en-US"/>
        </w:rPr>
        <w:t>,</w:t>
      </w:r>
      <w:r w:rsidR="00640603" w:rsidRPr="00E1372C">
        <w:rPr>
          <w:lang w:val="fr-FR" w:bidi="en-US"/>
        </w:rPr>
        <w:t xml:space="preserve"> depuis l</w:t>
      </w:r>
      <w:r w:rsidR="00731F09" w:rsidRPr="00E1372C">
        <w:rPr>
          <w:lang w:val="fr-FR" w:bidi="en-US"/>
        </w:rPr>
        <w:t>’</w:t>
      </w:r>
      <w:r w:rsidR="00640603" w:rsidRPr="00E1372C">
        <w:rPr>
          <w:lang w:val="fr-FR" w:bidi="en-US"/>
        </w:rPr>
        <w:t>application de la loi de 1983 sur l</w:t>
      </w:r>
      <w:r w:rsidR="00731F09" w:rsidRPr="00E1372C">
        <w:rPr>
          <w:lang w:val="fr-FR" w:bidi="en-US"/>
        </w:rPr>
        <w:t>’</w:t>
      </w:r>
      <w:r w:rsidR="00640603" w:rsidRPr="00E1372C">
        <w:rPr>
          <w:lang w:val="fr-FR" w:bidi="en-US"/>
        </w:rPr>
        <w:t>action positive en matière d</w:t>
      </w:r>
      <w:r w:rsidR="00731F09" w:rsidRPr="00E1372C">
        <w:rPr>
          <w:lang w:val="fr-FR" w:bidi="en-US"/>
        </w:rPr>
        <w:t>’</w:t>
      </w:r>
      <w:r w:rsidR="00640603" w:rsidRPr="00E1372C">
        <w:rPr>
          <w:lang w:val="fr-FR" w:bidi="en-US"/>
        </w:rPr>
        <w:t>emploi</w:t>
      </w:r>
      <w:r w:rsidR="0019761E" w:rsidRPr="00E1372C">
        <w:rPr>
          <w:lang w:val="fr-FR" w:bidi="en-US"/>
        </w:rPr>
        <w:t>,</w:t>
      </w:r>
      <w:r w:rsidR="00640603" w:rsidRPr="00E1372C">
        <w:rPr>
          <w:lang w:val="fr-FR" w:bidi="en-US"/>
        </w:rPr>
        <w:t xml:space="preserve"> 5</w:t>
      </w:r>
      <w:r w:rsidR="007064FC" w:rsidRPr="00E1372C">
        <w:rPr>
          <w:lang w:val="fr-FR" w:bidi="en-US"/>
        </w:rPr>
        <w:t> %</w:t>
      </w:r>
      <w:r w:rsidR="00640603" w:rsidRPr="00E1372C">
        <w:rPr>
          <w:lang w:val="fr-FR" w:bidi="en-US"/>
        </w:rPr>
        <w:t xml:space="preserve"> de personnes défavorisées ont été nommées à des postes de gestion. Les femmes représentent 26</w:t>
      </w:r>
      <w:r w:rsidR="007064FC" w:rsidRPr="00E1372C">
        <w:rPr>
          <w:lang w:val="fr-FR" w:bidi="en-US"/>
        </w:rPr>
        <w:t> %</w:t>
      </w:r>
      <w:r w:rsidR="00640603" w:rsidRPr="00E1372C">
        <w:rPr>
          <w:lang w:val="fr-FR" w:bidi="en-US"/>
        </w:rPr>
        <w:t xml:space="preserve"> dans les entreprises parapubliques, dont elles occupent 12</w:t>
      </w:r>
      <w:r w:rsidR="007064FC" w:rsidRPr="00E1372C">
        <w:rPr>
          <w:lang w:val="fr-FR" w:bidi="en-US"/>
        </w:rPr>
        <w:t> %</w:t>
      </w:r>
      <w:r w:rsidR="00640603" w:rsidRPr="00E1372C">
        <w:rPr>
          <w:lang w:val="fr-FR" w:bidi="en-US"/>
        </w:rPr>
        <w:t xml:space="preserve"> des postes de cadres supérieurs et 18</w:t>
      </w:r>
      <w:r w:rsidR="007064FC" w:rsidRPr="00E1372C">
        <w:rPr>
          <w:lang w:val="fr-FR" w:bidi="en-US"/>
        </w:rPr>
        <w:t> %</w:t>
      </w:r>
      <w:r w:rsidR="00640603" w:rsidRPr="00E1372C">
        <w:rPr>
          <w:lang w:val="fr-FR" w:bidi="en-US"/>
        </w:rPr>
        <w:t xml:space="preserve"> des postes de cadres moyens. Dans la fonction publique, </w:t>
      </w:r>
      <w:r w:rsidR="004877DB" w:rsidRPr="00E1372C">
        <w:rPr>
          <w:lang w:val="fr-FR" w:bidi="en-US"/>
        </w:rPr>
        <w:t>24</w:t>
      </w:r>
      <w:r w:rsidR="007064FC" w:rsidRPr="00E1372C">
        <w:rPr>
          <w:lang w:val="fr-FR" w:bidi="en-US"/>
        </w:rPr>
        <w:t> %</w:t>
      </w:r>
      <w:r w:rsidR="00640603" w:rsidRPr="00E1372C">
        <w:rPr>
          <w:lang w:val="fr-FR" w:bidi="en-US"/>
        </w:rPr>
        <w:t xml:space="preserve"> de femmes ont des postes de cadres supérieurs et 41</w:t>
      </w:r>
      <w:r w:rsidR="007064FC" w:rsidRPr="00E1372C">
        <w:rPr>
          <w:lang w:val="fr-FR" w:bidi="en-US"/>
        </w:rPr>
        <w:t> %</w:t>
      </w:r>
      <w:r w:rsidR="00640603" w:rsidRPr="00E1372C">
        <w:rPr>
          <w:lang w:val="fr-FR" w:bidi="en-US"/>
        </w:rPr>
        <w:t xml:space="preserve"> des postes de cadres moyens.</w:t>
      </w:r>
    </w:p>
    <w:p w:rsidR="00A55A0E" w:rsidRPr="00E1372C" w:rsidRDefault="00CE2771" w:rsidP="00CE2771">
      <w:pPr>
        <w:pStyle w:val="H23G"/>
        <w:rPr>
          <w:lang w:val="fr-FR" w:bidi="en-US"/>
        </w:rPr>
      </w:pPr>
      <w:r w:rsidRPr="00E1372C">
        <w:rPr>
          <w:lang w:val="fr-FR" w:bidi="en-US"/>
        </w:rPr>
        <w:tab/>
      </w:r>
      <w:r w:rsidRPr="00E1372C">
        <w:rPr>
          <w:lang w:val="fr-FR" w:bidi="en-US"/>
        </w:rPr>
        <w:tab/>
      </w:r>
      <w:r w:rsidR="00640603" w:rsidRPr="00E1372C">
        <w:rPr>
          <w:lang w:val="fr-FR" w:bidi="en-US"/>
        </w:rPr>
        <w:t>Stratégie gouvernementale visant à contenir le chômage et mesures prises pour améliorer l</w:t>
      </w:r>
      <w:r w:rsidR="00731F09" w:rsidRPr="00E1372C">
        <w:rPr>
          <w:lang w:val="fr-FR" w:bidi="en-US"/>
        </w:rPr>
        <w:t>’</w:t>
      </w:r>
      <w:r w:rsidR="00640603" w:rsidRPr="00E1372C">
        <w:rPr>
          <w:lang w:val="fr-FR" w:bidi="en-US"/>
        </w:rPr>
        <w:t>emploi</w:t>
      </w:r>
    </w:p>
    <w:p w:rsidR="00A55A0E" w:rsidRPr="00E1372C" w:rsidRDefault="007A1757" w:rsidP="007A1757">
      <w:pPr>
        <w:pStyle w:val="SingleTxtG"/>
        <w:rPr>
          <w:lang w:val="fr-FR" w:bidi="en-US"/>
        </w:rPr>
      </w:pPr>
      <w:r w:rsidRPr="00E1372C">
        <w:rPr>
          <w:lang w:val="fr-FR" w:bidi="en-US"/>
        </w:rPr>
        <w:t>154.</w:t>
      </w:r>
      <w:r w:rsidRPr="00E1372C">
        <w:rPr>
          <w:lang w:val="fr-FR" w:bidi="en-US"/>
        </w:rPr>
        <w:tab/>
      </w:r>
      <w:r w:rsidR="00640603" w:rsidRPr="00E1372C">
        <w:rPr>
          <w:lang w:val="fr-FR" w:bidi="en-US"/>
        </w:rPr>
        <w:t>Le Gouvernement a encouragé et entrepris les projets suivants afin de réduire et contenir le chômage</w:t>
      </w:r>
      <w:r w:rsidR="00AE017E" w:rsidRPr="00E1372C">
        <w:rPr>
          <w:lang w:val="fr-FR" w:bidi="en-US"/>
        </w:rPr>
        <w:t>:</w:t>
      </w:r>
    </w:p>
    <w:p w:rsidR="00A55A0E" w:rsidRPr="00E1372C" w:rsidRDefault="00CE2771" w:rsidP="00CE2771">
      <w:pPr>
        <w:pStyle w:val="Bullet1G"/>
      </w:pPr>
      <w:r w:rsidRPr="00E1372C">
        <w:t xml:space="preserve">Le </w:t>
      </w:r>
      <w:r w:rsidR="0019761E" w:rsidRPr="00E1372C">
        <w:t>s</w:t>
      </w:r>
      <w:r w:rsidR="00640603" w:rsidRPr="00E1372C">
        <w:t>ervice national de la jeunesse</w:t>
      </w:r>
      <w:r w:rsidR="00A55A0E" w:rsidRPr="00E1372C">
        <w:t>;</w:t>
      </w:r>
    </w:p>
    <w:p w:rsidR="00A55A0E" w:rsidRPr="00E1372C" w:rsidRDefault="00CE2771" w:rsidP="00CE2771">
      <w:pPr>
        <w:pStyle w:val="Bullet1G"/>
      </w:pPr>
      <w:r w:rsidRPr="00E1372C">
        <w:t xml:space="preserve">Réserves </w:t>
      </w:r>
      <w:r w:rsidR="00640603" w:rsidRPr="00E1372C">
        <w:t>communautaires;</w:t>
      </w:r>
    </w:p>
    <w:p w:rsidR="00A55A0E" w:rsidRPr="00E1372C" w:rsidRDefault="00CE2771" w:rsidP="00CE2771">
      <w:pPr>
        <w:pStyle w:val="Bullet1G"/>
      </w:pPr>
      <w:r w:rsidRPr="00E1372C">
        <w:t xml:space="preserve">Petites </w:t>
      </w:r>
      <w:r w:rsidR="00640603" w:rsidRPr="00E1372C">
        <w:t>et moyennes entreprises</w:t>
      </w:r>
      <w:r w:rsidR="00A55A0E" w:rsidRPr="00E1372C">
        <w:t>;</w:t>
      </w:r>
    </w:p>
    <w:p w:rsidR="00A55A0E" w:rsidRPr="00E1372C" w:rsidRDefault="00CE2771" w:rsidP="00CE2771">
      <w:pPr>
        <w:pStyle w:val="Bullet1G"/>
      </w:pPr>
      <w:r w:rsidRPr="00E1372C">
        <w:t>Aquaculture</w:t>
      </w:r>
      <w:r w:rsidR="00A55A0E" w:rsidRPr="00E1372C">
        <w:t>;</w:t>
      </w:r>
    </w:p>
    <w:p w:rsidR="00A55A0E" w:rsidRPr="00E1372C" w:rsidRDefault="00CE2771" w:rsidP="00CE2771">
      <w:pPr>
        <w:pStyle w:val="Bullet1G"/>
      </w:pPr>
      <w:r w:rsidRPr="00E1372C">
        <w:t xml:space="preserve">Programme </w:t>
      </w:r>
      <w:r w:rsidR="00640603" w:rsidRPr="00E1372C">
        <w:t>écologique</w:t>
      </w:r>
      <w:r w:rsidR="00A55A0E" w:rsidRPr="00E1372C">
        <w:t>;</w:t>
      </w:r>
    </w:p>
    <w:p w:rsidR="00A55A0E" w:rsidRPr="00E1372C" w:rsidRDefault="00CE2771" w:rsidP="00CE2771">
      <w:pPr>
        <w:pStyle w:val="Bullet1G"/>
      </w:pPr>
      <w:r w:rsidRPr="00E1372C">
        <w:t xml:space="preserve">Forêts </w:t>
      </w:r>
      <w:r w:rsidR="00640603" w:rsidRPr="00E1372C">
        <w:t>communautaires</w:t>
      </w:r>
      <w:r w:rsidRPr="00E1372C">
        <w:t>;</w:t>
      </w:r>
      <w:r w:rsidR="00640603" w:rsidRPr="00E1372C">
        <w:t xml:space="preserve"> et</w:t>
      </w:r>
    </w:p>
    <w:p w:rsidR="00A55A0E" w:rsidRPr="00E1372C" w:rsidRDefault="00CE2771" w:rsidP="00CE2771">
      <w:pPr>
        <w:pStyle w:val="Bullet1G"/>
      </w:pPr>
      <w:r w:rsidRPr="00E1372C">
        <w:t xml:space="preserve">Initiatives </w:t>
      </w:r>
      <w:r w:rsidR="00640603" w:rsidRPr="00E1372C">
        <w:t>de développement communautaire (sous l</w:t>
      </w:r>
      <w:r w:rsidR="00731F09" w:rsidRPr="00E1372C">
        <w:t>’</w:t>
      </w:r>
      <w:r w:rsidR="00640603" w:rsidRPr="00E1372C">
        <w:t>égide du Ministère de l</w:t>
      </w:r>
      <w:r w:rsidR="00731F09" w:rsidRPr="00E1372C">
        <w:t>’</w:t>
      </w:r>
      <w:r w:rsidR="00640603" w:rsidRPr="00E1372C">
        <w:t>égalité entre les sexes et de la protection de l</w:t>
      </w:r>
      <w:r w:rsidR="00731F09" w:rsidRPr="00E1372C">
        <w:t>’</w:t>
      </w:r>
      <w:r w:rsidR="00640603" w:rsidRPr="00E1372C">
        <w:t>enfance)</w:t>
      </w:r>
      <w:r w:rsidR="00A55A0E" w:rsidRPr="00E1372C">
        <w:t>.</w:t>
      </w:r>
    </w:p>
    <w:p w:rsidR="00A55A0E" w:rsidRPr="00E1372C" w:rsidRDefault="00A55A0E" w:rsidP="00A55A0E">
      <w:pPr>
        <w:pStyle w:val="H23G"/>
        <w:rPr>
          <w:lang w:val="fr-FR" w:bidi="en-US"/>
        </w:rPr>
      </w:pPr>
      <w:r w:rsidRPr="00E1372C">
        <w:rPr>
          <w:lang w:val="fr-FR" w:bidi="en-US"/>
        </w:rPr>
        <w:tab/>
      </w:r>
      <w:r w:rsidRPr="00E1372C">
        <w:rPr>
          <w:lang w:val="fr-FR" w:bidi="en-US"/>
        </w:rPr>
        <w:tab/>
      </w:r>
      <w:r w:rsidR="00640603" w:rsidRPr="00E1372C">
        <w:rPr>
          <w:lang w:val="fr-FR" w:bidi="en-US"/>
        </w:rPr>
        <w:t>Droit au travail et droit de refuser de travailler</w:t>
      </w:r>
    </w:p>
    <w:p w:rsidR="00A55A0E" w:rsidRPr="00E1372C" w:rsidRDefault="007A1757" w:rsidP="007A1757">
      <w:pPr>
        <w:pStyle w:val="SingleTxtG"/>
        <w:rPr>
          <w:b/>
          <w:lang w:val="fr-FR" w:bidi="en-US"/>
        </w:rPr>
      </w:pPr>
      <w:r w:rsidRPr="00E1372C">
        <w:rPr>
          <w:lang w:val="fr-FR" w:bidi="en-US"/>
        </w:rPr>
        <w:t>155.</w:t>
      </w:r>
      <w:r w:rsidRPr="00E1372C">
        <w:rPr>
          <w:lang w:val="fr-FR" w:bidi="en-US"/>
        </w:rPr>
        <w:tab/>
      </w:r>
      <w:r w:rsidR="00640603" w:rsidRPr="00E1372C">
        <w:rPr>
          <w:lang w:val="fr-FR" w:bidi="en-US"/>
        </w:rPr>
        <w:t>Le droit de refuser de travailler est inscrit tant dans la Constitution que dans la législation. La Namibie a ratifié les deux conventions de l</w:t>
      </w:r>
      <w:r w:rsidR="00731F09" w:rsidRPr="00E1372C">
        <w:rPr>
          <w:lang w:val="fr-FR" w:bidi="en-US"/>
        </w:rPr>
        <w:t>’</w:t>
      </w:r>
      <w:r w:rsidR="00640603" w:rsidRPr="00E1372C">
        <w:rPr>
          <w:lang w:val="fr-FR" w:bidi="en-US"/>
        </w:rPr>
        <w:t>OIT contre le travail forcé, à savoir</w:t>
      </w:r>
      <w:r w:rsidR="00AE017E" w:rsidRPr="00E1372C">
        <w:rPr>
          <w:lang w:val="fr-FR" w:bidi="en-US"/>
        </w:rPr>
        <w:t>:</w:t>
      </w:r>
    </w:p>
    <w:p w:rsidR="00A55A0E" w:rsidRPr="00E1372C" w:rsidRDefault="00640603" w:rsidP="00CE2771">
      <w:pPr>
        <w:pStyle w:val="Bullet1G"/>
      </w:pPr>
      <w:r w:rsidRPr="00E1372C">
        <w:t>Convention (n</w:t>
      </w:r>
      <w:r w:rsidR="00B277C4" w:rsidRPr="00E1372C">
        <w:rPr>
          <w:vertAlign w:val="superscript"/>
        </w:rPr>
        <w:t>o</w:t>
      </w:r>
      <w:r w:rsidRPr="00E1372C">
        <w:t> 29) sur le travail forcé, 1930, ratifiée le 15 novembre 2000</w:t>
      </w:r>
      <w:r w:rsidR="00DC4369" w:rsidRPr="00E1372C">
        <w:t>;</w:t>
      </w:r>
      <w:r w:rsidRPr="00E1372C">
        <w:t xml:space="preserve"> et</w:t>
      </w:r>
    </w:p>
    <w:p w:rsidR="00A55A0E" w:rsidRPr="00E1372C" w:rsidRDefault="00640603" w:rsidP="00CE2771">
      <w:pPr>
        <w:pStyle w:val="Bullet1G"/>
        <w:rPr>
          <w:b/>
        </w:rPr>
      </w:pPr>
      <w:r w:rsidRPr="00E1372C">
        <w:t>Convention (n</w:t>
      </w:r>
      <w:r w:rsidR="00B277C4" w:rsidRPr="00E1372C">
        <w:rPr>
          <w:vertAlign w:val="superscript"/>
        </w:rPr>
        <w:t>o</w:t>
      </w:r>
      <w:r w:rsidRPr="00E1372C">
        <w:t> 105) sur l</w:t>
      </w:r>
      <w:r w:rsidR="00731F09" w:rsidRPr="00E1372C">
        <w:t>’</w:t>
      </w:r>
      <w:r w:rsidRPr="00E1372C">
        <w:t>abolition du travail forcé, 1957, ratifiée le 15 novembre 2004.</w:t>
      </w:r>
    </w:p>
    <w:p w:rsidR="00640603" w:rsidRPr="00E1372C" w:rsidRDefault="007A1757" w:rsidP="007A1757">
      <w:pPr>
        <w:pStyle w:val="SingleTxtG"/>
        <w:rPr>
          <w:lang w:val="fr-FR" w:bidi="en-US"/>
        </w:rPr>
      </w:pPr>
      <w:r w:rsidRPr="00E1372C">
        <w:rPr>
          <w:lang w:val="fr-FR" w:bidi="en-US"/>
        </w:rPr>
        <w:t>156.</w:t>
      </w:r>
      <w:r w:rsidRPr="00E1372C">
        <w:rPr>
          <w:lang w:val="fr-FR" w:bidi="en-US"/>
        </w:rPr>
        <w:tab/>
      </w:r>
      <w:r w:rsidR="00640603" w:rsidRPr="00E1372C">
        <w:rPr>
          <w:lang w:val="fr-FR" w:bidi="en-US"/>
        </w:rPr>
        <w:t>L</w:t>
      </w:r>
      <w:r w:rsidR="00731F09" w:rsidRPr="00E1372C">
        <w:rPr>
          <w:lang w:val="fr-FR" w:bidi="en-US"/>
        </w:rPr>
        <w:t>’</w:t>
      </w:r>
      <w:r w:rsidR="00640603" w:rsidRPr="00E1372C">
        <w:rPr>
          <w:lang w:val="fr-FR" w:bidi="en-US"/>
        </w:rPr>
        <w:t xml:space="preserve">article 9 de la Constitution dispose que </w:t>
      </w:r>
      <w:r w:rsidR="00AE017E" w:rsidRPr="00E1372C">
        <w:rPr>
          <w:lang w:val="fr-FR"/>
        </w:rPr>
        <w:t>«</w:t>
      </w:r>
      <w:r w:rsidR="00640603" w:rsidRPr="00E1372C">
        <w:rPr>
          <w:lang w:val="fr-FR"/>
        </w:rPr>
        <w:t>nul ne peut être tenu en esclavage ni en servitude et nul ne peut être contraint d</w:t>
      </w:r>
      <w:r w:rsidR="00731F09" w:rsidRPr="00E1372C">
        <w:rPr>
          <w:lang w:val="fr-FR"/>
        </w:rPr>
        <w:t>’</w:t>
      </w:r>
      <w:r w:rsidR="00640603" w:rsidRPr="00E1372C">
        <w:rPr>
          <w:lang w:val="fr-FR"/>
        </w:rPr>
        <w:t>exécuter un travail forc</w:t>
      </w:r>
      <w:r w:rsidR="00C658E3" w:rsidRPr="00E1372C">
        <w:rPr>
          <w:lang w:val="fr-FR"/>
        </w:rPr>
        <w:t>é</w:t>
      </w:r>
      <w:r w:rsidR="00AE017E" w:rsidRPr="00E1372C">
        <w:rPr>
          <w:lang w:val="fr-FR"/>
        </w:rPr>
        <w:t>»</w:t>
      </w:r>
      <w:r w:rsidR="00640603" w:rsidRPr="00E1372C">
        <w:rPr>
          <w:lang w:val="fr-FR"/>
        </w:rPr>
        <w:t xml:space="preserve">. Afin de donner effet à cette disposition, le Parlement a adopté les lois de 1992 et de 2007 sur le travail qui </w:t>
      </w:r>
      <w:r w:rsidR="00526A5B" w:rsidRPr="00E1372C">
        <w:rPr>
          <w:lang w:val="fr-FR"/>
        </w:rPr>
        <w:t>interdisent</w:t>
      </w:r>
      <w:r w:rsidR="00640603" w:rsidRPr="00E1372C">
        <w:rPr>
          <w:lang w:val="fr-FR"/>
        </w:rPr>
        <w:t xml:space="preserve"> le travail forc</w:t>
      </w:r>
      <w:r w:rsidR="00C658E3" w:rsidRPr="00E1372C">
        <w:rPr>
          <w:lang w:val="fr-FR"/>
        </w:rPr>
        <w:t>é</w:t>
      </w:r>
      <w:r w:rsidR="00640603" w:rsidRPr="00E1372C">
        <w:rPr>
          <w:lang w:val="fr-FR"/>
        </w:rPr>
        <w:t xml:space="preserve"> et prévoient une sanction </w:t>
      </w:r>
      <w:r w:rsidR="00526A5B" w:rsidRPr="00E1372C">
        <w:rPr>
          <w:lang w:val="fr-FR"/>
        </w:rPr>
        <w:t>pécuniaire</w:t>
      </w:r>
      <w:r w:rsidR="00640603" w:rsidRPr="00E1372C">
        <w:rPr>
          <w:lang w:val="fr-FR"/>
        </w:rPr>
        <w:t xml:space="preserve"> de 20 000 dollars namibiens ou jusqu</w:t>
      </w:r>
      <w:r w:rsidR="00731F09" w:rsidRPr="00E1372C">
        <w:rPr>
          <w:lang w:val="fr-FR"/>
        </w:rPr>
        <w:t>’</w:t>
      </w:r>
      <w:r w:rsidR="00640603" w:rsidRPr="00E1372C">
        <w:rPr>
          <w:lang w:val="fr-FR"/>
        </w:rPr>
        <w:t>à quatre ans de peine d</w:t>
      </w:r>
      <w:r w:rsidR="00731F09" w:rsidRPr="00E1372C">
        <w:rPr>
          <w:lang w:val="fr-FR"/>
        </w:rPr>
        <w:t>’</w:t>
      </w:r>
      <w:r w:rsidR="00640603" w:rsidRPr="00E1372C">
        <w:rPr>
          <w:lang w:val="fr-FR"/>
        </w:rPr>
        <w:t xml:space="preserve">emprisonnement, voire les deux, sur </w:t>
      </w:r>
      <w:r w:rsidR="00526A5B" w:rsidRPr="00E1372C">
        <w:rPr>
          <w:lang w:val="fr-FR"/>
        </w:rPr>
        <w:t>déclaration</w:t>
      </w:r>
      <w:r w:rsidR="00640603" w:rsidRPr="00E1372C">
        <w:rPr>
          <w:lang w:val="fr-FR"/>
        </w:rPr>
        <w:t xml:space="preserve"> de culpabilité.</w:t>
      </w:r>
    </w:p>
    <w:p w:rsidR="00A55A0E" w:rsidRPr="00E1372C" w:rsidRDefault="00DC4369" w:rsidP="00DC4369">
      <w:pPr>
        <w:pStyle w:val="H23G"/>
        <w:rPr>
          <w:lang w:val="fr-FR" w:bidi="en-US"/>
        </w:rPr>
      </w:pPr>
      <w:r w:rsidRPr="00E1372C">
        <w:rPr>
          <w:lang w:val="fr-FR" w:bidi="en-US"/>
        </w:rPr>
        <w:tab/>
      </w:r>
      <w:r w:rsidRPr="00E1372C">
        <w:rPr>
          <w:lang w:val="fr-FR" w:bidi="en-US"/>
        </w:rPr>
        <w:tab/>
      </w:r>
      <w:r w:rsidR="00A55A0E" w:rsidRPr="00E1372C">
        <w:rPr>
          <w:lang w:val="fr-FR" w:bidi="en-US"/>
        </w:rPr>
        <w:t>Restr</w:t>
      </w:r>
      <w:r w:rsidR="00526A5B" w:rsidRPr="00E1372C">
        <w:rPr>
          <w:lang w:val="fr-FR" w:bidi="en-US"/>
        </w:rPr>
        <w:t>iction et liberté de circulation des travailleurs</w:t>
      </w:r>
    </w:p>
    <w:p w:rsidR="00A55A0E" w:rsidRPr="00E1372C" w:rsidRDefault="007A1757" w:rsidP="007A1757">
      <w:pPr>
        <w:pStyle w:val="SingleTxtG"/>
        <w:rPr>
          <w:b/>
          <w:lang w:val="fr-FR" w:bidi="en-US"/>
        </w:rPr>
      </w:pPr>
      <w:r w:rsidRPr="00E1372C">
        <w:rPr>
          <w:lang w:val="fr-FR" w:bidi="en-US"/>
        </w:rPr>
        <w:t>157.</w:t>
      </w:r>
      <w:r w:rsidRPr="00E1372C">
        <w:rPr>
          <w:lang w:val="fr-FR" w:bidi="en-US"/>
        </w:rPr>
        <w:tab/>
      </w:r>
      <w:r w:rsidR="00526A5B" w:rsidRPr="00E1372C">
        <w:rPr>
          <w:lang w:val="fr-FR" w:bidi="en-US"/>
        </w:rPr>
        <w:t>Aucune loi n</w:t>
      </w:r>
      <w:r w:rsidR="00731F09" w:rsidRPr="00E1372C">
        <w:rPr>
          <w:lang w:val="fr-FR" w:bidi="en-US"/>
        </w:rPr>
        <w:t>’</w:t>
      </w:r>
      <w:r w:rsidR="00526A5B" w:rsidRPr="00E1372C">
        <w:rPr>
          <w:lang w:val="fr-FR" w:bidi="en-US"/>
        </w:rPr>
        <w:t>empêche les travailleurs en Namibie de changer d</w:t>
      </w:r>
      <w:r w:rsidR="00731F09" w:rsidRPr="00E1372C">
        <w:rPr>
          <w:lang w:val="fr-FR" w:bidi="en-US"/>
        </w:rPr>
        <w:t>’</w:t>
      </w:r>
      <w:r w:rsidR="00526A5B" w:rsidRPr="00E1372C">
        <w:rPr>
          <w:lang w:val="fr-FR" w:bidi="en-US"/>
        </w:rPr>
        <w:t>emploi ou de profession, ou de s</w:t>
      </w:r>
      <w:r w:rsidR="00731F09" w:rsidRPr="00E1372C">
        <w:rPr>
          <w:lang w:val="fr-FR" w:bidi="en-US"/>
        </w:rPr>
        <w:t>’</w:t>
      </w:r>
      <w:r w:rsidR="0019761E" w:rsidRPr="00E1372C">
        <w:rPr>
          <w:lang w:val="fr-FR" w:bidi="en-US"/>
        </w:rPr>
        <w:t>install</w:t>
      </w:r>
      <w:r w:rsidR="00526A5B" w:rsidRPr="00E1372C">
        <w:rPr>
          <w:lang w:val="fr-FR" w:bidi="en-US"/>
        </w:rPr>
        <w:t>er et</w:t>
      </w:r>
      <w:r w:rsidR="0019761E" w:rsidRPr="00E1372C">
        <w:rPr>
          <w:lang w:val="fr-FR" w:bidi="en-US"/>
        </w:rPr>
        <w:t xml:space="preserve"> de</w:t>
      </w:r>
      <w:r w:rsidR="00526A5B" w:rsidRPr="00E1372C">
        <w:rPr>
          <w:lang w:val="fr-FR" w:bidi="en-US"/>
        </w:rPr>
        <w:t xml:space="preserve"> travailler dans d</w:t>
      </w:r>
      <w:r w:rsidR="00731F09" w:rsidRPr="00E1372C">
        <w:rPr>
          <w:lang w:val="fr-FR" w:bidi="en-US"/>
        </w:rPr>
        <w:t>’</w:t>
      </w:r>
      <w:r w:rsidR="00526A5B" w:rsidRPr="00E1372C">
        <w:rPr>
          <w:lang w:val="fr-FR" w:bidi="en-US"/>
        </w:rPr>
        <w:t>autres régions ou parties du pays.</w:t>
      </w:r>
      <w:r w:rsidR="00A55A0E" w:rsidRPr="00E1372C">
        <w:rPr>
          <w:lang w:val="fr-FR" w:bidi="en-US"/>
        </w:rPr>
        <w:t xml:space="preserve"> </w:t>
      </w:r>
    </w:p>
    <w:p w:rsidR="00A55A0E" w:rsidRPr="00E1372C" w:rsidRDefault="00DC4369" w:rsidP="00DC4369">
      <w:pPr>
        <w:pStyle w:val="H23G"/>
        <w:rPr>
          <w:lang w:val="fr-FR" w:bidi="en-US"/>
        </w:rPr>
      </w:pPr>
      <w:r w:rsidRPr="00E1372C">
        <w:rPr>
          <w:lang w:val="fr-FR" w:bidi="en-US"/>
        </w:rPr>
        <w:tab/>
      </w:r>
      <w:r w:rsidRPr="00E1372C">
        <w:rPr>
          <w:lang w:val="fr-FR" w:bidi="en-US"/>
        </w:rPr>
        <w:tab/>
      </w:r>
      <w:r w:rsidR="00526A5B" w:rsidRPr="00E1372C">
        <w:rPr>
          <w:lang w:val="fr-FR" w:bidi="en-US"/>
        </w:rPr>
        <w:t>Garantie juridique visant à protéger les travailleurs contre un licenciement abusif</w:t>
      </w:r>
    </w:p>
    <w:p w:rsidR="00526A5B" w:rsidRPr="00E1372C" w:rsidRDefault="007A1757" w:rsidP="007A1757">
      <w:pPr>
        <w:pStyle w:val="SingleTxtG"/>
        <w:rPr>
          <w:lang w:val="fr-FR" w:bidi="en-US"/>
        </w:rPr>
      </w:pPr>
      <w:r w:rsidRPr="00E1372C">
        <w:rPr>
          <w:lang w:val="fr-FR" w:bidi="en-US"/>
        </w:rPr>
        <w:t>158.</w:t>
      </w:r>
      <w:r w:rsidRPr="00E1372C">
        <w:rPr>
          <w:lang w:val="fr-FR" w:bidi="en-US"/>
        </w:rPr>
        <w:tab/>
      </w:r>
      <w:r w:rsidR="00526A5B" w:rsidRPr="00E1372C">
        <w:rPr>
          <w:lang w:val="fr-FR" w:bidi="en-US"/>
        </w:rPr>
        <w:t>La loi n</w:t>
      </w:r>
      <w:r w:rsidR="00B277C4" w:rsidRPr="00E1372C">
        <w:rPr>
          <w:vertAlign w:val="superscript"/>
          <w:lang w:val="fr-FR" w:bidi="en-US"/>
        </w:rPr>
        <w:t>o</w:t>
      </w:r>
      <w:r w:rsidR="00526A5B" w:rsidRPr="00E1372C">
        <w:rPr>
          <w:lang w:val="fr-FR" w:bidi="en-US"/>
        </w:rPr>
        <w:t xml:space="preserve"> 6 </w:t>
      </w:r>
      <w:r w:rsidR="0019761E" w:rsidRPr="00E1372C">
        <w:rPr>
          <w:lang w:val="fr-FR" w:bidi="en-US"/>
        </w:rPr>
        <w:t xml:space="preserve">de 1992 </w:t>
      </w:r>
      <w:r w:rsidR="00526A5B" w:rsidRPr="00E1372C">
        <w:rPr>
          <w:lang w:val="fr-FR" w:bidi="en-US"/>
        </w:rPr>
        <w:t>relative au travail a jeté les bases de bonnes pratiques en matière de travail en Namibie. Elle protège les travailleurs salariés et respecte les dispositions des conventions et des protocoles de l</w:t>
      </w:r>
      <w:r w:rsidR="00731F09" w:rsidRPr="00E1372C">
        <w:rPr>
          <w:lang w:val="fr-FR" w:bidi="en-US"/>
        </w:rPr>
        <w:t>’</w:t>
      </w:r>
      <w:r w:rsidR="00526A5B" w:rsidRPr="00E1372C">
        <w:rPr>
          <w:lang w:val="fr-FR" w:bidi="en-US"/>
        </w:rPr>
        <w:t xml:space="preserve">OIT que la Namibie a ratifiés. Les travailleurs sont représentés par des syndicats, comme le </w:t>
      </w:r>
      <w:r w:rsidR="0019761E" w:rsidRPr="00E1372C">
        <w:rPr>
          <w:lang w:val="fr-FR" w:bidi="en-US"/>
        </w:rPr>
        <w:t>s</w:t>
      </w:r>
      <w:r w:rsidR="00526A5B" w:rsidRPr="00E1372C">
        <w:rPr>
          <w:lang w:val="fr-FR" w:bidi="en-US"/>
        </w:rPr>
        <w:t xml:space="preserve">yndicat des fonctionnaires de Namibie, le </w:t>
      </w:r>
      <w:r w:rsidR="0019761E" w:rsidRPr="00E1372C">
        <w:rPr>
          <w:lang w:val="fr-FR" w:bidi="en-US"/>
        </w:rPr>
        <w:t>s</w:t>
      </w:r>
      <w:r w:rsidR="00526A5B" w:rsidRPr="00E1372C">
        <w:rPr>
          <w:lang w:val="fr-FR" w:bidi="en-US"/>
        </w:rPr>
        <w:t xml:space="preserve">yndicat national des enseignants de Namibie, le </w:t>
      </w:r>
      <w:r w:rsidR="0019761E" w:rsidRPr="00E1372C">
        <w:rPr>
          <w:lang w:val="fr-FR" w:bidi="en-US"/>
        </w:rPr>
        <w:t>s</w:t>
      </w:r>
      <w:r w:rsidR="00526A5B" w:rsidRPr="00E1372C">
        <w:rPr>
          <w:lang w:val="fr-FR" w:bidi="en-US"/>
        </w:rPr>
        <w:t xml:space="preserve">yndicat de la fonction publique de Namibie et le </w:t>
      </w:r>
      <w:r w:rsidR="0019761E" w:rsidRPr="00E1372C">
        <w:rPr>
          <w:lang w:val="fr-FR" w:bidi="en-US"/>
        </w:rPr>
        <w:t>s</w:t>
      </w:r>
      <w:r w:rsidR="00526A5B" w:rsidRPr="00E1372C">
        <w:rPr>
          <w:lang w:val="fr-FR" w:bidi="en-US"/>
        </w:rPr>
        <w:t>yndicat des enseignants de Namibie, ainsi que nombre d</w:t>
      </w:r>
      <w:r w:rsidR="00731F09" w:rsidRPr="00E1372C">
        <w:rPr>
          <w:lang w:val="fr-FR" w:bidi="en-US"/>
        </w:rPr>
        <w:t>’</w:t>
      </w:r>
      <w:r w:rsidR="00526A5B" w:rsidRPr="00E1372C">
        <w:rPr>
          <w:lang w:val="fr-FR" w:bidi="en-US"/>
        </w:rPr>
        <w:t>autres syndicats.</w:t>
      </w:r>
    </w:p>
    <w:p w:rsidR="00A55A0E" w:rsidRPr="00E1372C" w:rsidRDefault="007A1757" w:rsidP="007A1757">
      <w:pPr>
        <w:pStyle w:val="SingleTxtG"/>
        <w:rPr>
          <w:lang w:val="fr-FR" w:bidi="en-US"/>
        </w:rPr>
      </w:pPr>
      <w:r w:rsidRPr="00E1372C">
        <w:rPr>
          <w:lang w:val="fr-FR" w:bidi="en-US"/>
        </w:rPr>
        <w:t>159.</w:t>
      </w:r>
      <w:r w:rsidRPr="00E1372C">
        <w:rPr>
          <w:lang w:val="fr-FR" w:bidi="en-US"/>
        </w:rPr>
        <w:tab/>
      </w:r>
      <w:r w:rsidR="00526A5B" w:rsidRPr="00E1372C">
        <w:rPr>
          <w:lang w:val="fr-FR" w:bidi="en-US"/>
        </w:rPr>
        <w:t>En outre, les articles 33 et 34 de la loi n</w:t>
      </w:r>
      <w:r w:rsidR="00B277C4" w:rsidRPr="00E1372C">
        <w:rPr>
          <w:vertAlign w:val="superscript"/>
          <w:lang w:val="fr-FR" w:bidi="en-US"/>
        </w:rPr>
        <w:t>o</w:t>
      </w:r>
      <w:r w:rsidR="00526A5B" w:rsidRPr="00E1372C">
        <w:rPr>
          <w:lang w:val="fr-FR" w:bidi="en-US"/>
        </w:rPr>
        <w:t xml:space="preserve"> 11 </w:t>
      </w:r>
      <w:r w:rsidR="00C658E3" w:rsidRPr="00E1372C">
        <w:rPr>
          <w:lang w:val="fr-FR" w:bidi="en-US"/>
        </w:rPr>
        <w:t xml:space="preserve">de 2007 </w:t>
      </w:r>
      <w:r w:rsidR="00526A5B" w:rsidRPr="00E1372C">
        <w:rPr>
          <w:lang w:val="fr-FR" w:bidi="en-US"/>
        </w:rPr>
        <w:t>relative au travail qui a abrogé la loi de 1992 protègent les travailleurs contre les licenciements abusifs et disposent en matière de licenciements dus à des suppressions de postes.</w:t>
      </w:r>
    </w:p>
    <w:p w:rsidR="00A55A0E" w:rsidRPr="00E1372C" w:rsidRDefault="00DC4369" w:rsidP="00DC4369">
      <w:pPr>
        <w:pStyle w:val="H23G"/>
        <w:rPr>
          <w:lang w:val="fr-FR" w:bidi="en-US"/>
        </w:rPr>
      </w:pPr>
      <w:r w:rsidRPr="00E1372C">
        <w:rPr>
          <w:lang w:val="fr-FR" w:bidi="en-US"/>
        </w:rPr>
        <w:tab/>
      </w:r>
      <w:r w:rsidRPr="00E1372C">
        <w:rPr>
          <w:lang w:val="fr-FR" w:bidi="en-US"/>
        </w:rPr>
        <w:tab/>
      </w:r>
      <w:r w:rsidR="00526A5B" w:rsidRPr="00E1372C">
        <w:rPr>
          <w:lang w:val="fr-FR" w:bidi="en-US"/>
        </w:rPr>
        <w:t>Programmes de formation technique et professionnelle aux fins d</w:t>
      </w:r>
      <w:r w:rsidR="00731F09" w:rsidRPr="00E1372C">
        <w:rPr>
          <w:lang w:val="fr-FR" w:bidi="en-US"/>
        </w:rPr>
        <w:t>’</w:t>
      </w:r>
      <w:r w:rsidR="00526A5B" w:rsidRPr="00E1372C">
        <w:rPr>
          <w:lang w:val="fr-FR" w:bidi="en-US"/>
        </w:rPr>
        <w:t>emploi</w:t>
      </w:r>
    </w:p>
    <w:p w:rsidR="00F56169" w:rsidRPr="00E1372C" w:rsidRDefault="007A1757" w:rsidP="007A1757">
      <w:pPr>
        <w:pStyle w:val="SingleTxtG"/>
        <w:rPr>
          <w:lang w:val="fr-FR" w:bidi="en-US"/>
        </w:rPr>
      </w:pPr>
      <w:r w:rsidRPr="00E1372C">
        <w:rPr>
          <w:lang w:val="fr-FR" w:bidi="en-US"/>
        </w:rPr>
        <w:t>160.</w:t>
      </w:r>
      <w:r w:rsidRPr="00E1372C">
        <w:rPr>
          <w:lang w:val="fr-FR" w:bidi="en-US"/>
        </w:rPr>
        <w:tab/>
      </w:r>
      <w:r w:rsidR="00F56169" w:rsidRPr="00E1372C">
        <w:rPr>
          <w:lang w:val="fr-FR" w:bidi="en-US"/>
        </w:rPr>
        <w:t>Réduire les taux élevés actuels de chômage et de sous-emploi est un enjeu majeur pour la Namibie, qui doit parallèlement faire avancer le développement national. À cette fin, le Gouvernement a promulgué les politiques nationales de l</w:t>
      </w:r>
      <w:r w:rsidR="00731F09" w:rsidRPr="00E1372C">
        <w:rPr>
          <w:lang w:val="fr-FR" w:bidi="en-US"/>
        </w:rPr>
        <w:t>’</w:t>
      </w:r>
      <w:r w:rsidR="00F56169" w:rsidRPr="00E1372C">
        <w:rPr>
          <w:lang w:val="fr-FR" w:bidi="en-US"/>
        </w:rPr>
        <w:t>emploi en 1997 pour favoriser la création d</w:t>
      </w:r>
      <w:r w:rsidR="00731F09" w:rsidRPr="00E1372C">
        <w:rPr>
          <w:lang w:val="fr-FR" w:bidi="en-US"/>
        </w:rPr>
        <w:t>’</w:t>
      </w:r>
      <w:r w:rsidR="00F56169" w:rsidRPr="00E1372C">
        <w:rPr>
          <w:lang w:val="fr-FR" w:bidi="en-US"/>
        </w:rPr>
        <w:t>emploi</w:t>
      </w:r>
      <w:r w:rsidR="000E737A" w:rsidRPr="00E1372C">
        <w:rPr>
          <w:lang w:val="fr-FR" w:bidi="en-US"/>
        </w:rPr>
        <w:t>s et la protection des travailleurs, en soutenant tous les éléments positifs des politiques adoptées depuis l</w:t>
      </w:r>
      <w:r w:rsidR="00731F09" w:rsidRPr="00E1372C">
        <w:rPr>
          <w:lang w:val="fr-FR" w:bidi="en-US"/>
        </w:rPr>
        <w:t>’</w:t>
      </w:r>
      <w:r w:rsidR="000E737A" w:rsidRPr="00E1372C">
        <w:rPr>
          <w:lang w:val="fr-FR" w:bidi="en-US"/>
        </w:rPr>
        <w:t>indépendance et les nouvelles institutions pour réduire le chômage et assurer la paix sociale. La priorité est accordée aux politiques macroéconomiques requises pour parvenir à maintenir des taux de croissance élevés du PIB et de meilleures perspectives par secteur pour ainsi accroître la capacité d</w:t>
      </w:r>
      <w:r w:rsidR="00731F09" w:rsidRPr="00E1372C">
        <w:rPr>
          <w:lang w:val="fr-FR" w:bidi="en-US"/>
        </w:rPr>
        <w:t>’</w:t>
      </w:r>
      <w:r w:rsidR="000E737A" w:rsidRPr="00E1372C">
        <w:rPr>
          <w:lang w:val="fr-FR" w:bidi="en-US"/>
        </w:rPr>
        <w:t>absorption de nouveaux chômeurs dans les principa</w:t>
      </w:r>
      <w:r w:rsidR="00C658E3" w:rsidRPr="00E1372C">
        <w:rPr>
          <w:lang w:val="fr-FR" w:bidi="en-US"/>
        </w:rPr>
        <w:t>le</w:t>
      </w:r>
      <w:r w:rsidR="000E737A" w:rsidRPr="00E1372C">
        <w:rPr>
          <w:lang w:val="fr-FR" w:bidi="en-US"/>
        </w:rPr>
        <w:t>s</w:t>
      </w:r>
      <w:r w:rsidR="00C658E3" w:rsidRPr="00E1372C">
        <w:rPr>
          <w:lang w:val="fr-FR" w:bidi="en-US"/>
        </w:rPr>
        <w:t xml:space="preserve"> branches</w:t>
      </w:r>
      <w:r w:rsidR="000E737A" w:rsidRPr="00E1372C">
        <w:rPr>
          <w:lang w:val="fr-FR" w:bidi="en-US"/>
        </w:rPr>
        <w:t xml:space="preserve"> de l</w:t>
      </w:r>
      <w:r w:rsidR="00731F09" w:rsidRPr="00E1372C">
        <w:rPr>
          <w:lang w:val="fr-FR" w:bidi="en-US"/>
        </w:rPr>
        <w:t>’</w:t>
      </w:r>
      <w:r w:rsidR="000E737A" w:rsidRPr="00E1372C">
        <w:rPr>
          <w:lang w:val="fr-FR" w:bidi="en-US"/>
        </w:rPr>
        <w:t>économie.</w:t>
      </w:r>
    </w:p>
    <w:p w:rsidR="000E737A" w:rsidRPr="00E1372C" w:rsidRDefault="007A1757" w:rsidP="007A1757">
      <w:pPr>
        <w:pStyle w:val="SingleTxtG"/>
        <w:rPr>
          <w:lang w:val="fr-FR" w:bidi="en-US"/>
        </w:rPr>
      </w:pPr>
      <w:r w:rsidRPr="00E1372C">
        <w:rPr>
          <w:lang w:val="fr-FR" w:bidi="en-US"/>
        </w:rPr>
        <w:t>161.</w:t>
      </w:r>
      <w:r w:rsidRPr="00E1372C">
        <w:rPr>
          <w:lang w:val="fr-FR" w:bidi="en-US"/>
        </w:rPr>
        <w:tab/>
      </w:r>
      <w:r w:rsidR="000E737A" w:rsidRPr="00E1372C">
        <w:rPr>
          <w:lang w:val="fr-FR" w:bidi="en-US"/>
        </w:rPr>
        <w:t>Afin de fixer les objectifs des orientations, le Gouvernement continue d</w:t>
      </w:r>
      <w:r w:rsidR="00731F09" w:rsidRPr="00E1372C">
        <w:rPr>
          <w:lang w:val="fr-FR" w:bidi="en-US"/>
        </w:rPr>
        <w:t>’</w:t>
      </w:r>
      <w:r w:rsidR="000E737A" w:rsidRPr="00E1372C">
        <w:rPr>
          <w:lang w:val="fr-FR" w:bidi="en-US"/>
        </w:rPr>
        <w:t>élaborer et de mettre en place de nouvelles mesures qui stimulent les investissements et l</w:t>
      </w:r>
      <w:r w:rsidR="00731F09" w:rsidRPr="00E1372C">
        <w:rPr>
          <w:lang w:val="fr-FR" w:bidi="en-US"/>
        </w:rPr>
        <w:t>’</w:t>
      </w:r>
      <w:r w:rsidR="000E737A" w:rsidRPr="00E1372C">
        <w:rPr>
          <w:lang w:val="fr-FR" w:bidi="en-US"/>
        </w:rPr>
        <w:t xml:space="preserve">emploi. On espère que les orientations serviront à favoriser le plein emploi et à </w:t>
      </w:r>
      <w:r w:rsidR="00C658E3" w:rsidRPr="00E1372C">
        <w:rPr>
          <w:lang w:val="fr-FR" w:bidi="en-US"/>
        </w:rPr>
        <w:t>révél</w:t>
      </w:r>
      <w:r w:rsidR="000E737A" w:rsidRPr="00E1372C">
        <w:rPr>
          <w:lang w:val="fr-FR" w:bidi="en-US"/>
        </w:rPr>
        <w:t>er l</w:t>
      </w:r>
      <w:r w:rsidR="00731F09" w:rsidRPr="00E1372C">
        <w:rPr>
          <w:lang w:val="fr-FR" w:bidi="en-US"/>
        </w:rPr>
        <w:t>’</w:t>
      </w:r>
      <w:r w:rsidR="000E737A" w:rsidRPr="00E1372C">
        <w:rPr>
          <w:lang w:val="fr-FR" w:bidi="en-US"/>
        </w:rPr>
        <w:t>importance de toutes initiatives visant à traiter le problème national du chômage et des fléaux sociaux. Les orientations doivent également servir à présenter des idées qui pourraient se traduire en autant d</w:t>
      </w:r>
      <w:r w:rsidR="00731F09" w:rsidRPr="00E1372C">
        <w:rPr>
          <w:lang w:val="fr-FR" w:bidi="en-US"/>
        </w:rPr>
        <w:t>’</w:t>
      </w:r>
      <w:r w:rsidR="000E737A" w:rsidRPr="00E1372C">
        <w:rPr>
          <w:lang w:val="fr-FR" w:bidi="en-US"/>
        </w:rPr>
        <w:t>initiatives.</w:t>
      </w:r>
    </w:p>
    <w:p w:rsidR="000E737A" w:rsidRPr="00E1372C" w:rsidRDefault="007A1757" w:rsidP="007A1757">
      <w:pPr>
        <w:pStyle w:val="SingleTxtG"/>
        <w:rPr>
          <w:lang w:val="fr-FR" w:bidi="en-US"/>
        </w:rPr>
      </w:pPr>
      <w:r w:rsidRPr="00E1372C">
        <w:rPr>
          <w:lang w:val="fr-FR" w:bidi="en-US"/>
        </w:rPr>
        <w:t>162.</w:t>
      </w:r>
      <w:r w:rsidRPr="00E1372C">
        <w:rPr>
          <w:lang w:val="fr-FR" w:bidi="en-US"/>
        </w:rPr>
        <w:tab/>
      </w:r>
      <w:r w:rsidR="000E737A" w:rsidRPr="00E1372C">
        <w:rPr>
          <w:lang w:val="fr-FR" w:bidi="en-US"/>
        </w:rPr>
        <w:t>La loi relative au travail a été adoptée pour disposer en matière de réglementation des conditions d</w:t>
      </w:r>
      <w:r w:rsidR="00731F09" w:rsidRPr="00E1372C">
        <w:rPr>
          <w:lang w:val="fr-FR" w:bidi="en-US"/>
        </w:rPr>
        <w:t>’</w:t>
      </w:r>
      <w:r w:rsidR="000E737A" w:rsidRPr="00E1372C">
        <w:rPr>
          <w:lang w:val="fr-FR" w:bidi="en-US"/>
        </w:rPr>
        <w:t xml:space="preserve">emploi, empêcher les pratiques déloyales et y remédier, améliorer la </w:t>
      </w:r>
      <w:r w:rsidR="00AE017E" w:rsidRPr="00E1372C">
        <w:rPr>
          <w:lang w:val="fr-FR" w:bidi="en-US"/>
        </w:rPr>
        <w:t>«</w:t>
      </w:r>
      <w:r w:rsidR="000E737A" w:rsidRPr="00E1372C">
        <w:rPr>
          <w:lang w:val="fr-FR" w:bidi="en-US"/>
        </w:rPr>
        <w:t>démocratie industrielle</w:t>
      </w:r>
      <w:r w:rsidR="00AE017E" w:rsidRPr="00E1372C">
        <w:rPr>
          <w:lang w:val="fr-FR" w:bidi="en-US"/>
        </w:rPr>
        <w:t>»</w:t>
      </w:r>
      <w:r w:rsidR="000E737A" w:rsidRPr="00E1372C">
        <w:rPr>
          <w:lang w:val="fr-FR" w:bidi="en-US"/>
        </w:rPr>
        <w:t xml:space="preserve"> et définir les rôles et les droits des salariés, des employeurs et des syndicats, notamment le rôle du Gouvernement dans ce type de relations.</w:t>
      </w:r>
    </w:p>
    <w:p w:rsidR="000E737A" w:rsidRPr="00E1372C" w:rsidRDefault="007A1757" w:rsidP="007A1757">
      <w:pPr>
        <w:pStyle w:val="SingleTxtG"/>
        <w:rPr>
          <w:lang w:val="fr-FR" w:bidi="en-US"/>
        </w:rPr>
      </w:pPr>
      <w:r w:rsidRPr="00E1372C">
        <w:rPr>
          <w:lang w:val="fr-FR" w:bidi="en-US"/>
        </w:rPr>
        <w:t>163.</w:t>
      </w:r>
      <w:r w:rsidRPr="00E1372C">
        <w:rPr>
          <w:lang w:val="fr-FR" w:bidi="en-US"/>
        </w:rPr>
        <w:tab/>
      </w:r>
      <w:r w:rsidR="000E737A" w:rsidRPr="00E1372C">
        <w:rPr>
          <w:lang w:val="fr-FR" w:bidi="en-US"/>
        </w:rPr>
        <w:t>Certaines conditions élémentaires minimales et obligatoires d</w:t>
      </w:r>
      <w:r w:rsidR="00731F09" w:rsidRPr="00E1372C">
        <w:rPr>
          <w:lang w:val="fr-FR" w:bidi="en-US"/>
        </w:rPr>
        <w:t>’</w:t>
      </w:r>
      <w:r w:rsidR="000E737A" w:rsidRPr="00E1372C">
        <w:rPr>
          <w:lang w:val="fr-FR" w:bidi="en-US"/>
        </w:rPr>
        <w:t>emploi pour tous les salariés ont été définies sans porter atteinte ou nuire au droit de les négocier. Il s</w:t>
      </w:r>
      <w:r w:rsidR="00731F09" w:rsidRPr="00E1372C">
        <w:rPr>
          <w:lang w:val="fr-FR" w:bidi="en-US"/>
        </w:rPr>
        <w:t>’</w:t>
      </w:r>
      <w:r w:rsidR="000E737A" w:rsidRPr="00E1372C">
        <w:rPr>
          <w:lang w:val="fr-FR" w:bidi="en-US"/>
        </w:rPr>
        <w:t>agit notamment de l</w:t>
      </w:r>
      <w:r w:rsidR="00731F09" w:rsidRPr="00E1372C">
        <w:rPr>
          <w:lang w:val="fr-FR" w:bidi="en-US"/>
        </w:rPr>
        <w:t>’</w:t>
      </w:r>
      <w:r w:rsidR="000E737A" w:rsidRPr="00E1372C">
        <w:rPr>
          <w:lang w:val="fr-FR" w:bidi="en-US"/>
        </w:rPr>
        <w:t>amélioration des salaires et des conditions de travail qui doit s</w:t>
      </w:r>
      <w:r w:rsidR="00731F09" w:rsidRPr="00E1372C">
        <w:rPr>
          <w:lang w:val="fr-FR" w:bidi="en-US"/>
        </w:rPr>
        <w:t>’</w:t>
      </w:r>
      <w:r w:rsidR="000E737A" w:rsidRPr="00E1372C">
        <w:rPr>
          <w:lang w:val="fr-FR" w:bidi="en-US"/>
        </w:rPr>
        <w:t>appliquer sans discrimination fondée sur le sexe, la race, la couleur, l</w:t>
      </w:r>
      <w:r w:rsidR="00731F09" w:rsidRPr="00E1372C">
        <w:rPr>
          <w:lang w:val="fr-FR" w:bidi="en-US"/>
        </w:rPr>
        <w:t>’</w:t>
      </w:r>
      <w:r w:rsidR="000E737A" w:rsidRPr="00E1372C">
        <w:rPr>
          <w:lang w:val="fr-FR" w:bidi="en-US"/>
        </w:rPr>
        <w:t>origine ethnique, la religion, la croyance ou la situation sociale et économique. La loi garantit l</w:t>
      </w:r>
      <w:r w:rsidR="00731F09" w:rsidRPr="00E1372C">
        <w:rPr>
          <w:lang w:val="fr-FR" w:bidi="en-US"/>
        </w:rPr>
        <w:t>’</w:t>
      </w:r>
      <w:r w:rsidR="000E737A" w:rsidRPr="00E1372C">
        <w:rPr>
          <w:lang w:val="fr-FR" w:bidi="en-US"/>
        </w:rPr>
        <w:t>égalité des chances pour les femmes quant à la rémunération et prévoit un congé maternité et la sécurité de l</w:t>
      </w:r>
      <w:r w:rsidR="00731F09" w:rsidRPr="00E1372C">
        <w:rPr>
          <w:lang w:val="fr-FR" w:bidi="en-US"/>
        </w:rPr>
        <w:t>’</w:t>
      </w:r>
      <w:r w:rsidR="000E737A" w:rsidRPr="00E1372C">
        <w:rPr>
          <w:lang w:val="fr-FR" w:bidi="en-US"/>
        </w:rPr>
        <w:t>emploi pour les femmes.</w:t>
      </w:r>
    </w:p>
    <w:p w:rsidR="000E737A" w:rsidRPr="00E1372C" w:rsidRDefault="007A1757" w:rsidP="007A1757">
      <w:pPr>
        <w:pStyle w:val="SingleTxtG"/>
        <w:rPr>
          <w:lang w:val="fr-FR" w:bidi="en-US"/>
        </w:rPr>
      </w:pPr>
      <w:r w:rsidRPr="00E1372C">
        <w:rPr>
          <w:lang w:val="fr-FR" w:bidi="en-US"/>
        </w:rPr>
        <w:t>164.</w:t>
      </w:r>
      <w:r w:rsidRPr="00E1372C">
        <w:rPr>
          <w:lang w:val="fr-FR" w:bidi="en-US"/>
        </w:rPr>
        <w:tab/>
      </w:r>
      <w:r w:rsidR="000E737A" w:rsidRPr="00E1372C">
        <w:rPr>
          <w:lang w:val="fr-FR" w:bidi="en-US"/>
        </w:rPr>
        <w:t>Le Gouvernement est convaincu que la solution au problème du chômage passe par des mesures audacieuses de réforme, non par des programmes et projets marginaux. Il s</w:t>
      </w:r>
      <w:r w:rsidR="00731F09" w:rsidRPr="00E1372C">
        <w:rPr>
          <w:lang w:val="fr-FR" w:bidi="en-US"/>
        </w:rPr>
        <w:t>’</w:t>
      </w:r>
      <w:r w:rsidR="000E737A" w:rsidRPr="00E1372C">
        <w:rPr>
          <w:lang w:val="fr-FR" w:bidi="en-US"/>
        </w:rPr>
        <w:t>engage à prendre l</w:t>
      </w:r>
      <w:r w:rsidR="00731F09" w:rsidRPr="00E1372C">
        <w:rPr>
          <w:lang w:val="fr-FR" w:bidi="en-US"/>
        </w:rPr>
        <w:t>’</w:t>
      </w:r>
      <w:r w:rsidR="000E737A" w:rsidRPr="00E1372C">
        <w:rPr>
          <w:lang w:val="fr-FR" w:bidi="en-US"/>
        </w:rPr>
        <w:t>initiative de faire de l</w:t>
      </w:r>
      <w:r w:rsidR="00731F09" w:rsidRPr="00E1372C">
        <w:rPr>
          <w:lang w:val="fr-FR" w:bidi="en-US"/>
        </w:rPr>
        <w:t>’</w:t>
      </w:r>
      <w:r w:rsidR="000E737A" w:rsidRPr="00E1372C">
        <w:rPr>
          <w:lang w:val="fr-FR" w:bidi="en-US"/>
        </w:rPr>
        <w:t>héritage du sous-emploi une œuvre de développement équitable et non exclusive. Cette tâche réclame de l</w:t>
      </w:r>
      <w:r w:rsidR="00731F09" w:rsidRPr="00E1372C">
        <w:rPr>
          <w:lang w:val="fr-FR" w:bidi="en-US"/>
        </w:rPr>
        <w:t>’</w:t>
      </w:r>
      <w:r w:rsidR="000E737A" w:rsidRPr="00E1372C">
        <w:rPr>
          <w:lang w:val="fr-FR" w:bidi="en-US"/>
        </w:rPr>
        <w:t>État un programme de développement.</w:t>
      </w:r>
    </w:p>
    <w:p w:rsidR="000E737A" w:rsidRPr="00E1372C" w:rsidRDefault="007A1757" w:rsidP="00350451">
      <w:pPr>
        <w:pStyle w:val="SingleTxtG"/>
        <w:rPr>
          <w:lang w:val="fr-FR" w:bidi="en-US"/>
        </w:rPr>
      </w:pPr>
      <w:r w:rsidRPr="00E1372C">
        <w:rPr>
          <w:lang w:val="fr-FR" w:bidi="en-US"/>
        </w:rPr>
        <w:t>165.</w:t>
      </w:r>
      <w:r w:rsidRPr="00E1372C">
        <w:rPr>
          <w:lang w:val="fr-FR" w:bidi="en-US"/>
        </w:rPr>
        <w:tab/>
      </w:r>
      <w:r w:rsidR="000E737A" w:rsidRPr="00E1372C">
        <w:rPr>
          <w:lang w:val="fr-FR" w:bidi="en-US"/>
        </w:rPr>
        <w:t>Le Gouvernement, par l</w:t>
      </w:r>
      <w:r w:rsidR="00731F09" w:rsidRPr="00E1372C">
        <w:rPr>
          <w:lang w:val="fr-FR" w:bidi="en-US"/>
        </w:rPr>
        <w:t>’</w:t>
      </w:r>
      <w:r w:rsidR="000E737A" w:rsidRPr="00E1372C">
        <w:rPr>
          <w:lang w:val="fr-FR" w:bidi="en-US"/>
        </w:rPr>
        <w:t>intermédiaire du Ministère du travail et de la protection sociale, a créé des bureaux d</w:t>
      </w:r>
      <w:r w:rsidR="00731F09" w:rsidRPr="00E1372C">
        <w:rPr>
          <w:lang w:val="fr-FR" w:bidi="en-US"/>
        </w:rPr>
        <w:t>’</w:t>
      </w:r>
      <w:r w:rsidR="000E737A" w:rsidRPr="00E1372C">
        <w:rPr>
          <w:lang w:val="fr-FR" w:bidi="en-US"/>
        </w:rPr>
        <w:t xml:space="preserve">emploi dans </w:t>
      </w:r>
      <w:r w:rsidR="00350451" w:rsidRPr="00E1372C">
        <w:rPr>
          <w:lang w:val="fr-FR" w:bidi="en-US"/>
        </w:rPr>
        <w:t>10</w:t>
      </w:r>
      <w:r w:rsidR="000E737A" w:rsidRPr="00E1372C">
        <w:rPr>
          <w:lang w:val="fr-FR" w:bidi="en-US"/>
        </w:rPr>
        <w:t xml:space="preserve"> régions sur les</w:t>
      </w:r>
      <w:r w:rsidR="00350451" w:rsidRPr="00E1372C">
        <w:rPr>
          <w:lang w:val="fr-FR" w:bidi="en-US"/>
        </w:rPr>
        <w:t xml:space="preserve"> 13</w:t>
      </w:r>
      <w:r w:rsidR="000E737A" w:rsidRPr="00E1372C">
        <w:rPr>
          <w:lang w:val="fr-FR" w:bidi="en-US"/>
        </w:rPr>
        <w:t xml:space="preserve"> que compte le pays et </w:t>
      </w:r>
      <w:r w:rsidR="00046352" w:rsidRPr="00E1372C">
        <w:rPr>
          <w:lang w:val="fr-FR" w:bidi="en-US"/>
        </w:rPr>
        <w:t>d</w:t>
      </w:r>
      <w:r w:rsidR="000E737A" w:rsidRPr="00E1372C">
        <w:rPr>
          <w:lang w:val="fr-FR" w:bidi="en-US"/>
        </w:rPr>
        <w:t>es plans pour en instaurer également dans les autres régions sont à un stade avancé. Ces bureaux fournissent information et services aux demandeurs d</w:t>
      </w:r>
      <w:r w:rsidR="00731F09" w:rsidRPr="00E1372C">
        <w:rPr>
          <w:lang w:val="fr-FR" w:bidi="en-US"/>
        </w:rPr>
        <w:t>’</w:t>
      </w:r>
      <w:r w:rsidR="000E737A" w:rsidRPr="00E1372C">
        <w:rPr>
          <w:lang w:val="fr-FR" w:bidi="en-US"/>
        </w:rPr>
        <w:t>emploi et aux employeurs des secteurs tant privé que public.</w:t>
      </w:r>
    </w:p>
    <w:p w:rsidR="00A55A0E" w:rsidRPr="00E1372C" w:rsidRDefault="00A55A0E" w:rsidP="00A55A0E">
      <w:pPr>
        <w:pStyle w:val="H1G"/>
        <w:rPr>
          <w:lang w:val="fr-FR" w:bidi="en-US"/>
        </w:rPr>
      </w:pPr>
      <w:bookmarkStart w:id="2" w:name="_Toc13632568"/>
      <w:r w:rsidRPr="00E1372C">
        <w:rPr>
          <w:lang w:val="fr-FR" w:bidi="en-US"/>
        </w:rPr>
        <w:tab/>
      </w:r>
      <w:r w:rsidRPr="00E1372C">
        <w:rPr>
          <w:lang w:val="fr-FR" w:bidi="en-US"/>
        </w:rPr>
        <w:tab/>
        <w:t>Article 7</w:t>
      </w:r>
      <w:bookmarkEnd w:id="2"/>
      <w:r w:rsidR="00DC4369" w:rsidRPr="00E1372C">
        <w:rPr>
          <w:lang w:val="fr-FR" w:bidi="en-US"/>
        </w:rPr>
        <w:br/>
        <w:t xml:space="preserve">Rémunération </w:t>
      </w:r>
      <w:r w:rsidR="000E737A" w:rsidRPr="00E1372C">
        <w:rPr>
          <w:lang w:val="fr-FR" w:bidi="en-US"/>
        </w:rPr>
        <w:t>(salaires nominaux et salaires réels</w:t>
      </w:r>
      <w:r w:rsidRPr="00E1372C">
        <w:rPr>
          <w:lang w:val="fr-FR" w:bidi="en-US"/>
        </w:rPr>
        <w:t>)</w:t>
      </w:r>
    </w:p>
    <w:p w:rsidR="00CD4083" w:rsidRPr="00E1372C" w:rsidRDefault="007A1757" w:rsidP="007A1757">
      <w:pPr>
        <w:pStyle w:val="SingleTxtG"/>
        <w:rPr>
          <w:lang w:val="fr-FR" w:bidi="en-US"/>
        </w:rPr>
      </w:pPr>
      <w:r w:rsidRPr="00E1372C">
        <w:rPr>
          <w:lang w:val="fr-FR" w:bidi="en-US"/>
        </w:rPr>
        <w:t>166.</w:t>
      </w:r>
      <w:r w:rsidRPr="00E1372C">
        <w:rPr>
          <w:lang w:val="fr-FR" w:bidi="en-US"/>
        </w:rPr>
        <w:tab/>
      </w:r>
      <w:r w:rsidR="00CD4083" w:rsidRPr="00E1372C">
        <w:rPr>
          <w:lang w:val="fr-FR" w:bidi="en-US"/>
        </w:rPr>
        <w:t>Il n</w:t>
      </w:r>
      <w:r w:rsidR="00731F09" w:rsidRPr="00E1372C">
        <w:rPr>
          <w:lang w:val="fr-FR" w:bidi="en-US"/>
        </w:rPr>
        <w:t>’</w:t>
      </w:r>
      <w:r w:rsidR="00CD4083" w:rsidRPr="00E1372C">
        <w:rPr>
          <w:lang w:val="fr-FR" w:bidi="en-US"/>
        </w:rPr>
        <w:t>existe pas en Namibie de salaire minimum national, les lois relatives au travail de 1992 (abrogée) et de 2007 ne disposant pas en la matière. La loi prévoit néanmoins la création d</w:t>
      </w:r>
      <w:r w:rsidR="00731F09" w:rsidRPr="00E1372C">
        <w:rPr>
          <w:lang w:val="fr-FR" w:bidi="en-US"/>
        </w:rPr>
        <w:t>’</w:t>
      </w:r>
      <w:r w:rsidR="00CD4083" w:rsidRPr="00E1372C">
        <w:rPr>
          <w:lang w:val="fr-FR" w:bidi="en-US"/>
        </w:rPr>
        <w:t>une commission salariale chargée principalement de conseiller le ministre sur les questions relatives aux rémunérations. Ainsi, la fixation des salaires relève de la négociation collective et des employeurs. Les rémunérations en Namibie sont caractérisées par d</w:t>
      </w:r>
      <w:r w:rsidR="00731F09" w:rsidRPr="00E1372C">
        <w:rPr>
          <w:lang w:val="fr-FR" w:bidi="en-US"/>
        </w:rPr>
        <w:t>’</w:t>
      </w:r>
      <w:r w:rsidR="00CD4083" w:rsidRPr="00E1372C">
        <w:rPr>
          <w:lang w:val="fr-FR" w:bidi="en-US"/>
        </w:rPr>
        <w:t xml:space="preserve">énormes écarts entre les salariés les mieux rémunérés et les salariés les moins bien rémunérés. La majorité des travailleurs namibiens, la plupart </w:t>
      </w:r>
      <w:r w:rsidR="00234C44" w:rsidRPr="00E1372C">
        <w:rPr>
          <w:lang w:val="fr-FR" w:bidi="en-US"/>
        </w:rPr>
        <w:t xml:space="preserve">manœuvres </w:t>
      </w:r>
      <w:r w:rsidR="00CD4083" w:rsidRPr="00E1372C">
        <w:rPr>
          <w:lang w:val="fr-FR" w:bidi="en-US"/>
        </w:rPr>
        <w:t>ou semi</w:t>
      </w:r>
      <w:r w:rsidR="007064FC" w:rsidRPr="00E1372C">
        <w:rPr>
          <w:lang w:val="fr-FR" w:bidi="en-US"/>
        </w:rPr>
        <w:t>-</w:t>
      </w:r>
      <w:r w:rsidR="00CD4083" w:rsidRPr="00E1372C">
        <w:rPr>
          <w:lang w:val="fr-FR" w:bidi="en-US"/>
        </w:rPr>
        <w:t>qualifiés, perçoivent les plus bas salaires. Dans ces catégories, ils sont très peu nombreux à obtenir des rémunérations acceptables qui résultent des capacités de négociation de syndicats puissants.</w:t>
      </w:r>
    </w:p>
    <w:p w:rsidR="00CD4083" w:rsidRPr="00E1372C" w:rsidRDefault="007A1757" w:rsidP="007A1757">
      <w:pPr>
        <w:pStyle w:val="SingleTxtG"/>
        <w:rPr>
          <w:lang w:val="fr-FR" w:bidi="en-US"/>
        </w:rPr>
      </w:pPr>
      <w:r w:rsidRPr="00E1372C">
        <w:rPr>
          <w:lang w:val="fr-FR" w:bidi="en-US"/>
        </w:rPr>
        <w:t>167.</w:t>
      </w:r>
      <w:r w:rsidRPr="00E1372C">
        <w:rPr>
          <w:lang w:val="fr-FR" w:bidi="en-US"/>
        </w:rPr>
        <w:tab/>
      </w:r>
      <w:r w:rsidR="00CD4083" w:rsidRPr="00E1372C">
        <w:rPr>
          <w:lang w:val="fr-FR" w:bidi="en-US"/>
        </w:rPr>
        <w:t>Toutefois, trois secteurs ont adopté des salaires minimums</w:t>
      </w:r>
      <w:r w:rsidR="00AE017E" w:rsidRPr="00E1372C">
        <w:rPr>
          <w:lang w:val="fr-FR" w:bidi="en-US"/>
        </w:rPr>
        <w:t>:</w:t>
      </w:r>
      <w:r w:rsidR="00CD4083" w:rsidRPr="00E1372C">
        <w:rPr>
          <w:lang w:val="fr-FR" w:bidi="en-US"/>
        </w:rPr>
        <w:t xml:space="preserve"> l</w:t>
      </w:r>
      <w:r w:rsidR="00731F09" w:rsidRPr="00E1372C">
        <w:rPr>
          <w:lang w:val="fr-FR" w:bidi="en-US"/>
        </w:rPr>
        <w:t>’</w:t>
      </w:r>
      <w:r w:rsidR="00CD4083" w:rsidRPr="00E1372C">
        <w:rPr>
          <w:lang w:val="fr-FR" w:bidi="en-US"/>
        </w:rPr>
        <w:t>agriculture, la construction et la sécurité. Le salaire minimum, dans l</w:t>
      </w:r>
      <w:r w:rsidR="00731F09" w:rsidRPr="00E1372C">
        <w:rPr>
          <w:lang w:val="fr-FR" w:bidi="en-US"/>
        </w:rPr>
        <w:t>’</w:t>
      </w:r>
      <w:r w:rsidR="00CD4083" w:rsidRPr="00E1372C">
        <w:rPr>
          <w:lang w:val="fr-FR" w:bidi="en-US"/>
        </w:rPr>
        <w:t xml:space="preserve">agriculture, est appliqué depuis 2003 selon un accord conclu entre le </w:t>
      </w:r>
      <w:r w:rsidR="005921F4" w:rsidRPr="00E1372C">
        <w:rPr>
          <w:lang w:val="fr-FR" w:bidi="en-US"/>
        </w:rPr>
        <w:t>s</w:t>
      </w:r>
      <w:r w:rsidR="00CD4083" w:rsidRPr="00E1372C">
        <w:rPr>
          <w:lang w:val="fr-FR" w:bidi="en-US"/>
        </w:rPr>
        <w:t xml:space="preserve">yndicat des travailleurs agricoles de Namibie, le </w:t>
      </w:r>
      <w:r w:rsidR="005921F4" w:rsidRPr="00E1372C">
        <w:rPr>
          <w:lang w:val="fr-FR" w:bidi="en-US"/>
        </w:rPr>
        <w:t>s</w:t>
      </w:r>
      <w:r w:rsidR="00CD4083" w:rsidRPr="00E1372C">
        <w:rPr>
          <w:lang w:val="fr-FR" w:bidi="en-US"/>
        </w:rPr>
        <w:t>yndicat de l</w:t>
      </w:r>
      <w:r w:rsidR="00731F09" w:rsidRPr="00E1372C">
        <w:rPr>
          <w:lang w:val="fr-FR" w:bidi="en-US"/>
        </w:rPr>
        <w:t>’</w:t>
      </w:r>
      <w:r w:rsidR="00CD4083" w:rsidRPr="00E1372C">
        <w:rPr>
          <w:lang w:val="fr-FR" w:bidi="en-US"/>
        </w:rPr>
        <w:t xml:space="preserve">agriculture et le </w:t>
      </w:r>
      <w:r w:rsidR="005921F4" w:rsidRPr="00E1372C">
        <w:rPr>
          <w:lang w:val="fr-FR" w:bidi="en-US"/>
        </w:rPr>
        <w:t>s</w:t>
      </w:r>
      <w:r w:rsidR="00CD4083" w:rsidRPr="00E1372C">
        <w:rPr>
          <w:lang w:val="fr-FR" w:bidi="en-US"/>
        </w:rPr>
        <w:t xml:space="preserve">yndicat national des agriculteurs. Le montant convenu a été fixé à 2,20 </w:t>
      </w:r>
      <w:r w:rsidR="00AC15E0" w:rsidRPr="00E1372C">
        <w:rPr>
          <w:lang w:val="fr-FR" w:bidi="en-US"/>
        </w:rPr>
        <w:t>dollars namibiens</w:t>
      </w:r>
      <w:r w:rsidR="00CD4083" w:rsidRPr="00E1372C">
        <w:rPr>
          <w:lang w:val="fr-FR" w:bidi="en-US"/>
        </w:rPr>
        <w:t xml:space="preserve"> (0,29 dollar</w:t>
      </w:r>
      <w:r w:rsidR="002D58B3" w:rsidRPr="00E1372C">
        <w:rPr>
          <w:lang w:val="fr-FR" w:bidi="en-US"/>
        </w:rPr>
        <w:t xml:space="preserve"> É.-U.</w:t>
      </w:r>
      <w:r w:rsidR="00CD4083" w:rsidRPr="00E1372C">
        <w:rPr>
          <w:lang w:val="fr-FR" w:bidi="en-US"/>
        </w:rPr>
        <w:t>) l</w:t>
      </w:r>
      <w:r w:rsidR="00731F09" w:rsidRPr="00E1372C">
        <w:rPr>
          <w:lang w:val="fr-FR" w:bidi="en-US"/>
        </w:rPr>
        <w:t>’</w:t>
      </w:r>
      <w:r w:rsidR="00CD4083" w:rsidRPr="00E1372C">
        <w:rPr>
          <w:lang w:val="fr-FR" w:bidi="en-US"/>
        </w:rPr>
        <w:t>heure</w:t>
      </w:r>
      <w:r w:rsidR="005921F4" w:rsidRPr="00E1372C">
        <w:rPr>
          <w:lang w:val="fr-FR" w:bidi="en-US"/>
        </w:rPr>
        <w:t>,</w:t>
      </w:r>
      <w:r w:rsidR="00CD4083" w:rsidRPr="00E1372C">
        <w:rPr>
          <w:lang w:val="fr-FR" w:bidi="en-US"/>
        </w:rPr>
        <w:t xml:space="preserve"> auquel ont été ajoutées des rations alimentaires ou 210 </w:t>
      </w:r>
      <w:r w:rsidR="00AC15E0" w:rsidRPr="00E1372C">
        <w:rPr>
          <w:lang w:val="fr-FR" w:bidi="en-US"/>
        </w:rPr>
        <w:t>dollars namibiens</w:t>
      </w:r>
      <w:r w:rsidR="00CD4083" w:rsidRPr="00E1372C">
        <w:rPr>
          <w:lang w:val="fr-FR" w:bidi="en-US"/>
        </w:rPr>
        <w:t xml:space="preserve"> (28 dollars</w:t>
      </w:r>
      <w:r w:rsidR="002D58B3" w:rsidRPr="00E1372C">
        <w:rPr>
          <w:lang w:val="fr-FR" w:bidi="en-US"/>
        </w:rPr>
        <w:t xml:space="preserve"> É.-U.</w:t>
      </w:r>
      <w:r w:rsidR="00CD4083" w:rsidRPr="00E1372C">
        <w:rPr>
          <w:lang w:val="fr-FR" w:bidi="en-US"/>
        </w:rPr>
        <w:t>) par mois. Il ressort d</w:t>
      </w:r>
      <w:r w:rsidR="00731F09" w:rsidRPr="00E1372C">
        <w:rPr>
          <w:lang w:val="fr-FR" w:bidi="en-US"/>
        </w:rPr>
        <w:t>’</w:t>
      </w:r>
      <w:r w:rsidR="00CD4083" w:rsidRPr="00E1372C">
        <w:rPr>
          <w:lang w:val="fr-FR" w:bidi="en-US"/>
        </w:rPr>
        <w:t>une comparaison entre le salaire minimum et les revenus effectifs des travailleurs agricoles qu</w:t>
      </w:r>
      <w:r w:rsidR="00731F09" w:rsidRPr="00E1372C">
        <w:rPr>
          <w:lang w:val="fr-FR" w:bidi="en-US"/>
        </w:rPr>
        <w:t>’</w:t>
      </w:r>
      <w:r w:rsidR="00CD4083" w:rsidRPr="00E1372C">
        <w:rPr>
          <w:lang w:val="fr-FR" w:bidi="en-US"/>
        </w:rPr>
        <w:t>en 2003 et 2004, 18</w:t>
      </w:r>
      <w:r w:rsidR="007064FC" w:rsidRPr="00E1372C">
        <w:rPr>
          <w:lang w:val="fr-FR" w:bidi="en-US"/>
        </w:rPr>
        <w:t> %</w:t>
      </w:r>
      <w:r w:rsidR="00CD4083" w:rsidRPr="00E1372C">
        <w:rPr>
          <w:lang w:val="fr-FR" w:bidi="en-US"/>
        </w:rPr>
        <w:t xml:space="preserve"> et 11</w:t>
      </w:r>
      <w:r w:rsidR="007064FC" w:rsidRPr="00E1372C">
        <w:rPr>
          <w:lang w:val="fr-FR" w:bidi="en-US"/>
        </w:rPr>
        <w:t> %</w:t>
      </w:r>
      <w:r w:rsidR="00CD4083" w:rsidRPr="00E1372C">
        <w:rPr>
          <w:lang w:val="fr-FR" w:bidi="en-US"/>
        </w:rPr>
        <w:t>, respectivement, de ces travailleurs percevaient moins de 400 </w:t>
      </w:r>
      <w:r w:rsidR="00AC15E0" w:rsidRPr="00E1372C">
        <w:rPr>
          <w:lang w:val="fr-FR" w:bidi="en-US"/>
        </w:rPr>
        <w:t xml:space="preserve">dollars namibiens </w:t>
      </w:r>
      <w:r w:rsidR="00CD4083" w:rsidRPr="00E1372C">
        <w:rPr>
          <w:lang w:val="fr-FR" w:bidi="en-US"/>
        </w:rPr>
        <w:t>(54 dollars</w:t>
      </w:r>
      <w:r w:rsidR="002D58B3" w:rsidRPr="00E1372C">
        <w:rPr>
          <w:lang w:val="fr-FR" w:bidi="en-US"/>
        </w:rPr>
        <w:t xml:space="preserve"> É.-U.</w:t>
      </w:r>
      <w:r w:rsidR="00CD4083" w:rsidRPr="00E1372C">
        <w:rPr>
          <w:lang w:val="fr-FR" w:bidi="en-US"/>
        </w:rPr>
        <w:t>) par mois, soit au-dessous du salaire minimum et du seuil de pauvreté fixé à 429 </w:t>
      </w:r>
      <w:r w:rsidR="00AC15E0" w:rsidRPr="00E1372C">
        <w:rPr>
          <w:lang w:val="fr-FR" w:bidi="en-US"/>
        </w:rPr>
        <w:t>dollars namibiens</w:t>
      </w:r>
      <w:r w:rsidR="00CD4083" w:rsidRPr="00E1372C">
        <w:rPr>
          <w:lang w:val="fr-FR" w:bidi="en-US"/>
        </w:rPr>
        <w:t xml:space="preserve"> (58 dollars</w:t>
      </w:r>
      <w:r w:rsidR="002D58B3" w:rsidRPr="00E1372C">
        <w:rPr>
          <w:lang w:val="fr-FR" w:bidi="en-US"/>
        </w:rPr>
        <w:t xml:space="preserve"> É.-U.</w:t>
      </w:r>
      <w:r w:rsidR="00CD4083" w:rsidRPr="00E1372C">
        <w:rPr>
          <w:lang w:val="fr-FR" w:bidi="en-US"/>
        </w:rPr>
        <w:t>). Dans l</w:t>
      </w:r>
      <w:r w:rsidR="00731F09" w:rsidRPr="00E1372C">
        <w:rPr>
          <w:lang w:val="fr-FR" w:bidi="en-US"/>
        </w:rPr>
        <w:t>’</w:t>
      </w:r>
      <w:r w:rsidR="00CD4083" w:rsidRPr="00E1372C">
        <w:rPr>
          <w:lang w:val="fr-FR" w:bidi="en-US"/>
        </w:rPr>
        <w:t>ensemble, la plupart des travailleurs agricoles perçoivent 1 000 </w:t>
      </w:r>
      <w:r w:rsidR="00AC15E0" w:rsidRPr="00E1372C">
        <w:rPr>
          <w:lang w:val="fr-FR" w:bidi="en-US"/>
        </w:rPr>
        <w:t>dollars namibiens</w:t>
      </w:r>
      <w:r w:rsidR="00CD4083" w:rsidRPr="00E1372C">
        <w:rPr>
          <w:lang w:val="fr-FR" w:bidi="en-US"/>
        </w:rPr>
        <w:t xml:space="preserve"> (135 dollars</w:t>
      </w:r>
      <w:r w:rsidR="002D58B3" w:rsidRPr="00E1372C">
        <w:rPr>
          <w:lang w:val="fr-FR" w:bidi="en-US"/>
        </w:rPr>
        <w:t xml:space="preserve"> É.-U.</w:t>
      </w:r>
      <w:r w:rsidR="00CD4083" w:rsidRPr="00E1372C">
        <w:rPr>
          <w:lang w:val="fr-FR" w:bidi="en-US"/>
        </w:rPr>
        <w:t>) et moins, la majorité touchant entre 401 et 600 </w:t>
      </w:r>
      <w:r w:rsidR="00AC15E0" w:rsidRPr="00E1372C">
        <w:rPr>
          <w:lang w:val="fr-FR" w:bidi="en-US"/>
        </w:rPr>
        <w:t>dollars namibiens</w:t>
      </w:r>
      <w:r w:rsidR="00CD4083" w:rsidRPr="00E1372C">
        <w:rPr>
          <w:lang w:val="fr-FR" w:bidi="en-US"/>
        </w:rPr>
        <w:t xml:space="preserve"> (soit entre 45 et 70 dollars</w:t>
      </w:r>
      <w:r w:rsidR="002D58B3" w:rsidRPr="00E1372C">
        <w:rPr>
          <w:lang w:val="fr-FR" w:bidi="en-US"/>
        </w:rPr>
        <w:t xml:space="preserve"> É.-U</w:t>
      </w:r>
      <w:r w:rsidR="00CD4083" w:rsidRPr="00E1372C">
        <w:rPr>
          <w:lang w:val="fr-FR" w:bidi="en-US"/>
        </w:rPr>
        <w:t>).</w:t>
      </w:r>
    </w:p>
    <w:p w:rsidR="00686562" w:rsidRPr="00E1372C" w:rsidRDefault="007A1757" w:rsidP="007A1757">
      <w:pPr>
        <w:pStyle w:val="SingleTxtG"/>
        <w:rPr>
          <w:lang w:val="fr-FR" w:bidi="en-US"/>
        </w:rPr>
      </w:pPr>
      <w:r w:rsidRPr="00E1372C">
        <w:rPr>
          <w:lang w:val="fr-FR" w:bidi="en-US"/>
        </w:rPr>
        <w:t>168.</w:t>
      </w:r>
      <w:r w:rsidRPr="00E1372C">
        <w:rPr>
          <w:lang w:val="fr-FR" w:bidi="en-US"/>
        </w:rPr>
        <w:tab/>
      </w:r>
      <w:r w:rsidR="00686562" w:rsidRPr="00E1372C">
        <w:rPr>
          <w:lang w:val="fr-FR" w:bidi="en-US"/>
        </w:rPr>
        <w:t>D</w:t>
      </w:r>
      <w:r w:rsidR="00731F09" w:rsidRPr="00E1372C">
        <w:rPr>
          <w:lang w:val="fr-FR" w:bidi="en-US"/>
        </w:rPr>
        <w:t>’</w:t>
      </w:r>
      <w:r w:rsidR="00686562" w:rsidRPr="00E1372C">
        <w:rPr>
          <w:lang w:val="fr-FR" w:bidi="en-US"/>
        </w:rPr>
        <w:t>autres renseignements sur les salaires en Namibie sont saisis dans la base de données sur le taux de salaire réel qui offre une analyse de l</w:t>
      </w:r>
      <w:r w:rsidR="00731F09" w:rsidRPr="00E1372C">
        <w:rPr>
          <w:lang w:val="fr-FR" w:bidi="en-US"/>
        </w:rPr>
        <w:t>’</w:t>
      </w:r>
      <w:r w:rsidR="00686562" w:rsidRPr="00E1372C">
        <w:rPr>
          <w:lang w:val="fr-FR" w:bidi="en-US"/>
        </w:rPr>
        <w:t xml:space="preserve">évolution des salaires minimums dans tous les secteurs à partir des accords salariaux conclus par les syndicats et les employeurs. Pour la période 2000-2005, les salaires minimaux nominaux étaient les plus élevés dans le secteur des industries extractives et les plus bas dans celui du commerce de gros et de détail; le secteur des services communautaires, </w:t>
      </w:r>
      <w:r w:rsidR="005921F4" w:rsidRPr="00E1372C">
        <w:rPr>
          <w:lang w:val="fr-FR" w:bidi="en-US"/>
        </w:rPr>
        <w:t xml:space="preserve">des services </w:t>
      </w:r>
      <w:r w:rsidR="00686562" w:rsidRPr="00E1372C">
        <w:rPr>
          <w:lang w:val="fr-FR" w:bidi="en-US"/>
        </w:rPr>
        <w:t xml:space="preserve">sociaux et </w:t>
      </w:r>
      <w:r w:rsidR="005921F4" w:rsidRPr="00E1372C">
        <w:rPr>
          <w:lang w:val="fr-FR" w:bidi="en-US"/>
        </w:rPr>
        <w:t xml:space="preserve">des services </w:t>
      </w:r>
      <w:r w:rsidR="00686562" w:rsidRPr="00E1372C">
        <w:rPr>
          <w:lang w:val="fr-FR" w:bidi="en-US"/>
        </w:rPr>
        <w:t>aux personnes occupait la deuxième place des salaires minimaux les plus élevés.</w:t>
      </w:r>
    </w:p>
    <w:p w:rsidR="00686562" w:rsidRPr="00E1372C" w:rsidRDefault="007A1757" w:rsidP="007A1757">
      <w:pPr>
        <w:pStyle w:val="SingleTxtG"/>
        <w:rPr>
          <w:lang w:val="fr-FR" w:bidi="en-US"/>
        </w:rPr>
      </w:pPr>
      <w:r w:rsidRPr="00E1372C">
        <w:rPr>
          <w:lang w:val="fr-FR" w:bidi="en-US"/>
        </w:rPr>
        <w:t>169.</w:t>
      </w:r>
      <w:r w:rsidRPr="00E1372C">
        <w:rPr>
          <w:lang w:val="fr-FR" w:bidi="en-US"/>
        </w:rPr>
        <w:tab/>
      </w:r>
      <w:r w:rsidR="00686562" w:rsidRPr="00E1372C">
        <w:rPr>
          <w:lang w:val="fr-FR" w:bidi="en-US"/>
        </w:rPr>
        <w:t>La négociation collective entre employeurs et salariés est la principale méthode utilisée pour fixer les salaires en Namibie.</w:t>
      </w:r>
    </w:p>
    <w:p w:rsidR="00686562" w:rsidRPr="00E1372C" w:rsidRDefault="007A1757" w:rsidP="007A1757">
      <w:pPr>
        <w:pStyle w:val="SingleTxtG"/>
        <w:rPr>
          <w:lang w:val="fr-FR" w:bidi="en-US"/>
        </w:rPr>
      </w:pPr>
      <w:r w:rsidRPr="00E1372C">
        <w:rPr>
          <w:lang w:val="fr-FR" w:bidi="en-US"/>
        </w:rPr>
        <w:t>170.</w:t>
      </w:r>
      <w:r w:rsidRPr="00E1372C">
        <w:rPr>
          <w:lang w:val="fr-FR" w:bidi="en-US"/>
        </w:rPr>
        <w:tab/>
      </w:r>
      <w:r w:rsidR="00686562" w:rsidRPr="00E1372C">
        <w:rPr>
          <w:lang w:val="fr-FR" w:bidi="en-US"/>
        </w:rPr>
        <w:t>Comme il est indiqué ci-dessus, les secteurs de la construction, de l</w:t>
      </w:r>
      <w:r w:rsidR="00731F09" w:rsidRPr="00E1372C">
        <w:rPr>
          <w:lang w:val="fr-FR" w:bidi="en-US"/>
        </w:rPr>
        <w:t>’</w:t>
      </w:r>
      <w:r w:rsidR="00686562" w:rsidRPr="00E1372C">
        <w:rPr>
          <w:lang w:val="fr-FR" w:bidi="en-US"/>
        </w:rPr>
        <w:t xml:space="preserve">agriculture et de la sécurité appliquent </w:t>
      </w:r>
      <w:r w:rsidR="005921F4" w:rsidRPr="00E1372C">
        <w:rPr>
          <w:lang w:val="fr-FR" w:bidi="en-US"/>
        </w:rPr>
        <w:t>un</w:t>
      </w:r>
      <w:r w:rsidR="00686562" w:rsidRPr="00E1372C">
        <w:rPr>
          <w:lang w:val="fr-FR" w:bidi="en-US"/>
        </w:rPr>
        <w:t xml:space="preserve"> régime des salaires minim</w:t>
      </w:r>
      <w:r w:rsidR="0019761E" w:rsidRPr="00E1372C">
        <w:rPr>
          <w:lang w:val="fr-FR" w:bidi="en-US"/>
        </w:rPr>
        <w:t>ums</w:t>
      </w:r>
      <w:r w:rsidR="00686562" w:rsidRPr="00E1372C">
        <w:rPr>
          <w:lang w:val="fr-FR" w:bidi="en-US"/>
        </w:rPr>
        <w:t>. Chaque employé, dans ces trois secteurs, est protégé par ce régime, sauf disposition contraire prévue par la loi relative au travail. Lorsque les employeurs et les salariés d</w:t>
      </w:r>
      <w:r w:rsidR="00731F09" w:rsidRPr="00E1372C">
        <w:rPr>
          <w:lang w:val="fr-FR" w:bidi="en-US"/>
        </w:rPr>
        <w:t>’</w:t>
      </w:r>
      <w:r w:rsidR="00686562" w:rsidRPr="00E1372C">
        <w:rPr>
          <w:lang w:val="fr-FR" w:bidi="en-US"/>
        </w:rPr>
        <w:t>un secteur donné concluent un accord sur les salaires minimums, le Ministre du travail et de la protection sociale, en tant qu</w:t>
      </w:r>
      <w:r w:rsidR="00731F09" w:rsidRPr="00E1372C">
        <w:rPr>
          <w:lang w:val="fr-FR" w:bidi="en-US"/>
        </w:rPr>
        <w:t>’</w:t>
      </w:r>
      <w:r w:rsidR="00686562" w:rsidRPr="00E1372C">
        <w:rPr>
          <w:lang w:val="fr-FR" w:bidi="en-US"/>
        </w:rPr>
        <w:t>autorité compétente, fait publier l</w:t>
      </w:r>
      <w:r w:rsidR="00731F09" w:rsidRPr="00E1372C">
        <w:rPr>
          <w:lang w:val="fr-FR" w:bidi="en-US"/>
        </w:rPr>
        <w:t>’</w:t>
      </w:r>
      <w:r w:rsidR="00686562" w:rsidRPr="00E1372C">
        <w:rPr>
          <w:lang w:val="fr-FR" w:bidi="en-US"/>
        </w:rPr>
        <w:t>accord au Journal officiel. Les salariés qui ne relèvent pas du secteur donné ou n</w:t>
      </w:r>
      <w:r w:rsidR="005921F4" w:rsidRPr="00E1372C">
        <w:rPr>
          <w:lang w:val="fr-FR" w:bidi="en-US"/>
        </w:rPr>
        <w:t>e sont pas</w:t>
      </w:r>
      <w:r w:rsidR="00686562" w:rsidRPr="00E1372C">
        <w:rPr>
          <w:lang w:val="fr-FR" w:bidi="en-US"/>
        </w:rPr>
        <w:t xml:space="preserve"> bénéfici</w:t>
      </w:r>
      <w:r w:rsidR="005921F4" w:rsidRPr="00E1372C">
        <w:rPr>
          <w:lang w:val="fr-FR" w:bidi="en-US"/>
        </w:rPr>
        <w:t>aire</w:t>
      </w:r>
      <w:r w:rsidR="00686562" w:rsidRPr="00E1372C">
        <w:rPr>
          <w:lang w:val="fr-FR" w:bidi="en-US"/>
        </w:rPr>
        <w:t>s selon la loi ne seront pas protégés par le régime des salaires minimums fixés et convenus par les employeurs et les syndicats dans le cadre d</w:t>
      </w:r>
      <w:r w:rsidR="00731F09" w:rsidRPr="00E1372C">
        <w:rPr>
          <w:lang w:val="fr-FR" w:bidi="en-US"/>
        </w:rPr>
        <w:t>’</w:t>
      </w:r>
      <w:r w:rsidR="00686562" w:rsidRPr="00E1372C">
        <w:rPr>
          <w:lang w:val="fr-FR" w:bidi="en-US"/>
        </w:rPr>
        <w:t>une convention collective. Jusqu</w:t>
      </w:r>
      <w:r w:rsidR="00731F09" w:rsidRPr="00E1372C">
        <w:rPr>
          <w:lang w:val="fr-FR" w:bidi="en-US"/>
        </w:rPr>
        <w:t>’</w:t>
      </w:r>
      <w:r w:rsidR="00686562" w:rsidRPr="00E1372C">
        <w:rPr>
          <w:lang w:val="fr-FR" w:bidi="en-US"/>
        </w:rPr>
        <w:t>à présent, aucun mécanisme n</w:t>
      </w:r>
      <w:r w:rsidR="00731F09" w:rsidRPr="00E1372C">
        <w:rPr>
          <w:lang w:val="fr-FR" w:bidi="en-US"/>
        </w:rPr>
        <w:t>’</w:t>
      </w:r>
      <w:r w:rsidR="00686562" w:rsidRPr="00E1372C">
        <w:rPr>
          <w:lang w:val="fr-FR" w:bidi="en-US"/>
        </w:rPr>
        <w:t>a été établi pour fixer des salaires minimums autrement que par le système de la négociation collective.</w:t>
      </w:r>
    </w:p>
    <w:p w:rsidR="00686562" w:rsidRPr="00E1372C" w:rsidRDefault="007A1757" w:rsidP="007A1757">
      <w:pPr>
        <w:pStyle w:val="SingleTxtG"/>
        <w:rPr>
          <w:b/>
          <w:lang w:val="fr-FR" w:bidi="en-US"/>
        </w:rPr>
      </w:pPr>
      <w:r w:rsidRPr="00E1372C">
        <w:rPr>
          <w:lang w:val="fr-FR" w:bidi="en-US"/>
        </w:rPr>
        <w:t>171.</w:t>
      </w:r>
      <w:r w:rsidRPr="00E1372C">
        <w:rPr>
          <w:lang w:val="fr-FR" w:bidi="en-US"/>
        </w:rPr>
        <w:tab/>
      </w:r>
      <w:r w:rsidR="00686562" w:rsidRPr="00E1372C">
        <w:rPr>
          <w:lang w:val="fr-FR" w:bidi="en-US"/>
        </w:rPr>
        <w:t>Toutefois, il existe un certain nombre d</w:t>
      </w:r>
      <w:r w:rsidR="00731F09" w:rsidRPr="00E1372C">
        <w:rPr>
          <w:lang w:val="fr-FR" w:bidi="en-US"/>
        </w:rPr>
        <w:t>’</w:t>
      </w:r>
      <w:r w:rsidR="00686562" w:rsidRPr="00E1372C">
        <w:rPr>
          <w:lang w:val="fr-FR" w:bidi="en-US"/>
        </w:rPr>
        <w:t>indicateurs relatifs aux normes, objectifs et critères</w:t>
      </w:r>
      <w:r w:rsidR="00AE017E" w:rsidRPr="00E1372C">
        <w:rPr>
          <w:lang w:val="fr-FR" w:bidi="en-US"/>
        </w:rPr>
        <w:t>:</w:t>
      </w:r>
      <w:r w:rsidR="00686562" w:rsidRPr="00E1372C">
        <w:rPr>
          <w:lang w:val="fr-FR" w:bidi="en-US"/>
        </w:rPr>
        <w:t xml:space="preserve"> conjoncture, taux d</w:t>
      </w:r>
      <w:r w:rsidR="00731F09" w:rsidRPr="00E1372C">
        <w:rPr>
          <w:lang w:val="fr-FR" w:bidi="en-US"/>
        </w:rPr>
        <w:t>’</w:t>
      </w:r>
      <w:r w:rsidR="00686562" w:rsidRPr="00E1372C">
        <w:rPr>
          <w:lang w:val="fr-FR" w:bidi="en-US"/>
        </w:rPr>
        <w:t>inflation, rendement et productivité dans une branche particulière en sont des exemples.</w:t>
      </w:r>
    </w:p>
    <w:p w:rsidR="00A55A0E" w:rsidRPr="00E1372C" w:rsidRDefault="00DC4369" w:rsidP="00DC4369">
      <w:pPr>
        <w:pStyle w:val="H23G"/>
        <w:rPr>
          <w:lang w:val="fr-FR" w:bidi="en-US"/>
        </w:rPr>
      </w:pPr>
      <w:r w:rsidRPr="00E1372C">
        <w:rPr>
          <w:lang w:val="fr-FR" w:bidi="en-US"/>
        </w:rPr>
        <w:tab/>
      </w:r>
      <w:r w:rsidRPr="00E1372C">
        <w:rPr>
          <w:lang w:val="fr-FR" w:bidi="en-US"/>
        </w:rPr>
        <w:tab/>
      </w:r>
      <w:r w:rsidR="00686562" w:rsidRPr="00E1372C">
        <w:rPr>
          <w:lang w:val="fr-FR" w:bidi="en-US"/>
        </w:rPr>
        <w:t>Sécurité et hygiène du travail</w:t>
      </w:r>
    </w:p>
    <w:p w:rsidR="00A55A0E" w:rsidRPr="00E1372C" w:rsidRDefault="007A1757" w:rsidP="007A1757">
      <w:pPr>
        <w:pStyle w:val="SingleTxtG"/>
        <w:rPr>
          <w:lang w:val="fr-FR" w:bidi="en-US"/>
        </w:rPr>
      </w:pPr>
      <w:r w:rsidRPr="00E1372C">
        <w:rPr>
          <w:lang w:val="fr-FR" w:bidi="en-US"/>
        </w:rPr>
        <w:t>172.</w:t>
      </w:r>
      <w:r w:rsidRPr="00E1372C">
        <w:rPr>
          <w:lang w:val="fr-FR" w:bidi="en-US"/>
        </w:rPr>
        <w:tab/>
      </w:r>
      <w:r w:rsidR="00686562" w:rsidRPr="00E1372C">
        <w:rPr>
          <w:lang w:val="fr-FR" w:bidi="en-US"/>
        </w:rPr>
        <w:t>Les conditions minimales en matière de sécurité et d</w:t>
      </w:r>
      <w:r w:rsidR="00731F09" w:rsidRPr="00E1372C">
        <w:rPr>
          <w:lang w:val="fr-FR" w:bidi="en-US"/>
        </w:rPr>
        <w:t>’</w:t>
      </w:r>
      <w:r w:rsidR="00686562" w:rsidRPr="00E1372C">
        <w:rPr>
          <w:lang w:val="fr-FR" w:bidi="en-US"/>
        </w:rPr>
        <w:t>hygiène du travail relèvent de la loi relative au travail de 2007. Elles font également l</w:t>
      </w:r>
      <w:r w:rsidR="00731F09" w:rsidRPr="00E1372C">
        <w:rPr>
          <w:lang w:val="fr-FR" w:bidi="en-US"/>
        </w:rPr>
        <w:t>’</w:t>
      </w:r>
      <w:r w:rsidR="00686562" w:rsidRPr="00E1372C">
        <w:rPr>
          <w:lang w:val="fr-FR" w:bidi="en-US"/>
        </w:rPr>
        <w:t>objet d</w:t>
      </w:r>
      <w:r w:rsidR="00731F09" w:rsidRPr="00E1372C">
        <w:rPr>
          <w:lang w:val="fr-FR" w:bidi="en-US"/>
        </w:rPr>
        <w:t>’</w:t>
      </w:r>
      <w:r w:rsidR="00686562" w:rsidRPr="00E1372C">
        <w:rPr>
          <w:lang w:val="fr-FR" w:bidi="en-US"/>
        </w:rPr>
        <w:t>un ensemble de règlements détaillés promulgués en application de la loi. Le Ministère du travail et de la protection sociale compte une division chargée de faire respecter ces règlements</w:t>
      </w:r>
      <w:r w:rsidR="005921F4" w:rsidRPr="00E1372C">
        <w:rPr>
          <w:lang w:val="fr-FR" w:bidi="en-US"/>
        </w:rPr>
        <w:t>,</w:t>
      </w:r>
      <w:r w:rsidR="00686562" w:rsidRPr="00E1372C">
        <w:rPr>
          <w:lang w:val="fr-FR" w:bidi="en-US"/>
        </w:rPr>
        <w:t xml:space="preserve"> qui est bien structurée et pleinement fonctionnelle. Ces règlements s</w:t>
      </w:r>
      <w:r w:rsidR="00731F09" w:rsidRPr="00E1372C">
        <w:rPr>
          <w:lang w:val="fr-FR" w:bidi="en-US"/>
        </w:rPr>
        <w:t>’</w:t>
      </w:r>
      <w:r w:rsidR="00686562" w:rsidRPr="00E1372C">
        <w:rPr>
          <w:lang w:val="fr-FR" w:bidi="en-US"/>
        </w:rPr>
        <w:t>appliquent dans tous les domaines, mais certaines difficultés se posent notamment dans les secteurs agricole et maritime. Des études sont entreprises aux fins d</w:t>
      </w:r>
      <w:r w:rsidR="00731F09" w:rsidRPr="00E1372C">
        <w:rPr>
          <w:lang w:val="fr-FR" w:bidi="en-US"/>
        </w:rPr>
        <w:t>’</w:t>
      </w:r>
      <w:r w:rsidR="00686562" w:rsidRPr="00E1372C">
        <w:rPr>
          <w:lang w:val="fr-FR" w:bidi="en-US"/>
        </w:rPr>
        <w:t>élaboration de normes et de règlements actualisés dans les domaines le nécessitant.</w:t>
      </w:r>
    </w:p>
    <w:p w:rsidR="00A55A0E" w:rsidRPr="00E1372C" w:rsidRDefault="00DC4369" w:rsidP="00DC4369">
      <w:pPr>
        <w:pStyle w:val="H23G"/>
        <w:rPr>
          <w:lang w:val="fr-FR" w:bidi="en-US"/>
        </w:rPr>
      </w:pPr>
      <w:r w:rsidRPr="00E1372C">
        <w:rPr>
          <w:lang w:val="fr-FR" w:bidi="en-US"/>
        </w:rPr>
        <w:tab/>
      </w:r>
      <w:r w:rsidRPr="00E1372C">
        <w:rPr>
          <w:lang w:val="fr-FR" w:bidi="en-US"/>
        </w:rPr>
        <w:tab/>
      </w:r>
      <w:r w:rsidR="00686562" w:rsidRPr="00E1372C">
        <w:rPr>
          <w:lang w:val="fr-FR" w:bidi="en-US"/>
        </w:rPr>
        <w:t>Égalité en matière d</w:t>
      </w:r>
      <w:r w:rsidR="00731F09" w:rsidRPr="00E1372C">
        <w:rPr>
          <w:lang w:val="fr-FR" w:bidi="en-US"/>
        </w:rPr>
        <w:t>’</w:t>
      </w:r>
      <w:r w:rsidR="00686562" w:rsidRPr="00E1372C">
        <w:rPr>
          <w:lang w:val="fr-FR" w:bidi="en-US"/>
        </w:rPr>
        <w:t>emploi et action positive</w:t>
      </w:r>
    </w:p>
    <w:p w:rsidR="00A96F7D" w:rsidRPr="00E1372C" w:rsidRDefault="007A1757" w:rsidP="00832625">
      <w:pPr>
        <w:pStyle w:val="SingleTxtG"/>
        <w:rPr>
          <w:lang w:val="fr-FR" w:bidi="en-US"/>
        </w:rPr>
      </w:pPr>
      <w:r w:rsidRPr="00E1372C">
        <w:rPr>
          <w:lang w:val="fr-FR" w:bidi="en-US"/>
        </w:rPr>
        <w:t>173.</w:t>
      </w:r>
      <w:r w:rsidRPr="00E1372C">
        <w:rPr>
          <w:lang w:val="fr-FR" w:bidi="en-US"/>
        </w:rPr>
        <w:tab/>
      </w:r>
      <w:r w:rsidR="00A96F7D" w:rsidRPr="00E1372C">
        <w:rPr>
          <w:lang w:val="fr-FR" w:bidi="en-US"/>
        </w:rPr>
        <w:t>L</w:t>
      </w:r>
      <w:r w:rsidR="00731F09" w:rsidRPr="00E1372C">
        <w:rPr>
          <w:lang w:val="fr-FR" w:bidi="en-US"/>
        </w:rPr>
        <w:t>’</w:t>
      </w:r>
      <w:r w:rsidR="004877DB" w:rsidRPr="00E1372C">
        <w:rPr>
          <w:lang w:val="fr-FR" w:bidi="en-US"/>
        </w:rPr>
        <w:t xml:space="preserve">alinéa </w:t>
      </w:r>
      <w:r w:rsidR="004877DB" w:rsidRPr="00E1372C">
        <w:rPr>
          <w:i/>
          <w:lang w:val="fr-FR" w:bidi="en-US"/>
        </w:rPr>
        <w:t>g</w:t>
      </w:r>
      <w:r w:rsidR="004877DB" w:rsidRPr="00E1372C">
        <w:rPr>
          <w:lang w:val="fr-FR" w:bidi="en-US"/>
        </w:rPr>
        <w:t xml:space="preserve"> du</w:t>
      </w:r>
      <w:r w:rsidR="00A96F7D" w:rsidRPr="00E1372C">
        <w:rPr>
          <w:lang w:val="fr-FR" w:bidi="en-US"/>
        </w:rPr>
        <w:t xml:space="preserve"> paragraphe 1 de l</w:t>
      </w:r>
      <w:r w:rsidR="00731F09" w:rsidRPr="00E1372C">
        <w:rPr>
          <w:lang w:val="fr-FR" w:bidi="en-US"/>
        </w:rPr>
        <w:t>’</w:t>
      </w:r>
      <w:r w:rsidR="00A96F7D" w:rsidRPr="00E1372C">
        <w:rPr>
          <w:lang w:val="fr-FR" w:bidi="en-US"/>
        </w:rPr>
        <w:t>article 5 de la loi relative au travail énonce le principe à travail égal salaire égal pour les hommes et les femmes. La loi relative à l</w:t>
      </w:r>
      <w:r w:rsidR="00731F09" w:rsidRPr="00E1372C">
        <w:rPr>
          <w:lang w:val="fr-FR" w:bidi="en-US"/>
        </w:rPr>
        <w:t>’</w:t>
      </w:r>
      <w:r w:rsidR="00A96F7D" w:rsidRPr="00E1372C">
        <w:rPr>
          <w:lang w:val="fr-FR" w:bidi="en-US"/>
        </w:rPr>
        <w:t>action positive en matière d</w:t>
      </w:r>
      <w:r w:rsidR="00731F09" w:rsidRPr="00E1372C">
        <w:rPr>
          <w:lang w:val="fr-FR" w:bidi="en-US"/>
        </w:rPr>
        <w:t>’</w:t>
      </w:r>
      <w:r w:rsidR="00A96F7D" w:rsidRPr="00E1372C">
        <w:rPr>
          <w:lang w:val="fr-FR" w:bidi="en-US"/>
        </w:rPr>
        <w:t>emploi de 1998 promulguée selon les termes de la Constitution concrétise le principe de l</w:t>
      </w:r>
      <w:r w:rsidR="00731F09" w:rsidRPr="00E1372C">
        <w:rPr>
          <w:lang w:val="fr-FR" w:bidi="en-US"/>
        </w:rPr>
        <w:t>’</w:t>
      </w:r>
      <w:r w:rsidR="00A96F7D" w:rsidRPr="00E1372C">
        <w:rPr>
          <w:lang w:val="fr-FR" w:bidi="en-US"/>
        </w:rPr>
        <w:t xml:space="preserve">égalité des chances relative à la promotion des travailleurs. La législation favorise les femmes, les personnes handicapées et les personnes qui étaient auparavant défavorisées (noires). Les employeurs sont tenus de soumettre à une commission </w:t>
      </w:r>
      <w:r w:rsidR="00CD10F2" w:rsidRPr="00E1372C">
        <w:rPr>
          <w:lang w:val="fr-FR" w:bidi="en-US"/>
        </w:rPr>
        <w:t xml:space="preserve">multipartite </w:t>
      </w:r>
      <w:r w:rsidR="00A96F7D" w:rsidRPr="00E1372C">
        <w:rPr>
          <w:lang w:val="fr-FR" w:bidi="en-US"/>
        </w:rPr>
        <w:t>sur l</w:t>
      </w:r>
      <w:r w:rsidR="00731F09" w:rsidRPr="00E1372C">
        <w:rPr>
          <w:lang w:val="fr-FR" w:bidi="en-US"/>
        </w:rPr>
        <w:t>’</w:t>
      </w:r>
      <w:r w:rsidR="00A96F7D" w:rsidRPr="00E1372C">
        <w:rPr>
          <w:lang w:val="fr-FR" w:bidi="en-US"/>
        </w:rPr>
        <w:t>équité en matière d</w:t>
      </w:r>
      <w:r w:rsidR="00731F09" w:rsidRPr="00E1372C">
        <w:rPr>
          <w:lang w:val="fr-FR" w:bidi="en-US"/>
        </w:rPr>
        <w:t>’</w:t>
      </w:r>
      <w:r w:rsidR="00A96F7D" w:rsidRPr="00E1372C">
        <w:rPr>
          <w:lang w:val="fr-FR" w:bidi="en-US"/>
        </w:rPr>
        <w:t>emploi tous plans et rapports qui indiquent comment ils comptent constituer un effectif justifié et équilibré et réaliser l</w:t>
      </w:r>
      <w:r w:rsidR="00731F09" w:rsidRPr="00E1372C">
        <w:rPr>
          <w:lang w:val="fr-FR" w:bidi="en-US"/>
        </w:rPr>
        <w:t>’</w:t>
      </w:r>
      <w:r w:rsidR="00A96F7D" w:rsidRPr="00E1372C">
        <w:rPr>
          <w:lang w:val="fr-FR" w:bidi="en-US"/>
        </w:rPr>
        <w:t>égalité des chances dans la promotion, la formation et le recrutement de femmes, de personnes handicapées et de personnes traditionnellement et racialement défavorisées. Ladite commission est formée de représentants de ces trois groupes.</w:t>
      </w:r>
    </w:p>
    <w:p w:rsidR="00A96F7D" w:rsidRPr="00E1372C" w:rsidRDefault="007A1757" w:rsidP="007A1757">
      <w:pPr>
        <w:pStyle w:val="SingleTxtG"/>
        <w:rPr>
          <w:lang w:val="fr-FR" w:bidi="en-US"/>
        </w:rPr>
      </w:pPr>
      <w:r w:rsidRPr="00E1372C">
        <w:rPr>
          <w:lang w:val="fr-FR" w:bidi="en-US"/>
        </w:rPr>
        <w:t>174.</w:t>
      </w:r>
      <w:r w:rsidRPr="00E1372C">
        <w:rPr>
          <w:lang w:val="fr-FR" w:bidi="en-US"/>
        </w:rPr>
        <w:tab/>
      </w:r>
      <w:r w:rsidR="00A96F7D" w:rsidRPr="00E1372C">
        <w:rPr>
          <w:lang w:val="fr-FR" w:bidi="en-US"/>
        </w:rPr>
        <w:t>La Constitution</w:t>
      </w:r>
      <w:r w:rsidR="00FC1699" w:rsidRPr="00E1372C">
        <w:rPr>
          <w:lang w:val="fr-FR" w:bidi="en-US"/>
        </w:rPr>
        <w:t>,</w:t>
      </w:r>
      <w:r w:rsidR="00A96F7D" w:rsidRPr="00E1372C">
        <w:rPr>
          <w:lang w:val="fr-FR" w:bidi="en-US"/>
        </w:rPr>
        <w:t xml:space="preserve"> non seulement</w:t>
      </w:r>
      <w:r w:rsidR="00FC1699" w:rsidRPr="00E1372C">
        <w:rPr>
          <w:lang w:val="fr-FR" w:bidi="en-US"/>
        </w:rPr>
        <w:t>,</w:t>
      </w:r>
      <w:r w:rsidR="00A96F7D" w:rsidRPr="00E1372C">
        <w:rPr>
          <w:lang w:val="fr-FR" w:bidi="en-US"/>
        </w:rPr>
        <w:t xml:space="preserve"> proscrit les pratiques discriminatoires</w:t>
      </w:r>
      <w:r w:rsidR="00FC1699" w:rsidRPr="00E1372C">
        <w:rPr>
          <w:lang w:val="fr-FR" w:bidi="en-US"/>
        </w:rPr>
        <w:t>,</w:t>
      </w:r>
      <w:r w:rsidR="00A96F7D" w:rsidRPr="00E1372C">
        <w:rPr>
          <w:lang w:val="fr-FR" w:bidi="en-US"/>
        </w:rPr>
        <w:t xml:space="preserve"> mais autorise explicitement des mesures visant à favoriser l</w:t>
      </w:r>
      <w:r w:rsidR="00731F09" w:rsidRPr="00E1372C">
        <w:rPr>
          <w:lang w:val="fr-FR" w:bidi="en-US"/>
        </w:rPr>
        <w:t>’</w:t>
      </w:r>
      <w:r w:rsidR="00A96F7D" w:rsidRPr="00E1372C">
        <w:rPr>
          <w:lang w:val="fr-FR" w:bidi="en-US"/>
        </w:rPr>
        <w:t>avancement des personnes victimes de ces pratiques. C</w:t>
      </w:r>
      <w:r w:rsidR="00731F09" w:rsidRPr="00E1372C">
        <w:rPr>
          <w:lang w:val="fr-FR" w:bidi="en-US"/>
        </w:rPr>
        <w:t>’</w:t>
      </w:r>
      <w:r w:rsidR="00A96F7D" w:rsidRPr="00E1372C">
        <w:rPr>
          <w:lang w:val="fr-FR" w:bidi="en-US"/>
        </w:rPr>
        <w:t>est ainsi que le Parlement a adopté la loi n</w:t>
      </w:r>
      <w:r w:rsidR="00B277C4" w:rsidRPr="00E1372C">
        <w:rPr>
          <w:vertAlign w:val="superscript"/>
          <w:lang w:val="fr-FR" w:bidi="en-US"/>
        </w:rPr>
        <w:t>o</w:t>
      </w:r>
      <w:r w:rsidR="00A96F7D" w:rsidRPr="00E1372C">
        <w:rPr>
          <w:lang w:val="fr-FR" w:bidi="en-US"/>
        </w:rPr>
        <w:t xml:space="preserve"> 29 </w:t>
      </w:r>
      <w:r w:rsidR="00FC1699" w:rsidRPr="00E1372C">
        <w:rPr>
          <w:lang w:val="fr-FR" w:bidi="en-US"/>
        </w:rPr>
        <w:t xml:space="preserve">de 1998 </w:t>
      </w:r>
      <w:r w:rsidR="00A96F7D" w:rsidRPr="00E1372C">
        <w:rPr>
          <w:lang w:val="fr-FR" w:bidi="en-US"/>
        </w:rPr>
        <w:t>relative à l</w:t>
      </w:r>
      <w:r w:rsidR="00731F09" w:rsidRPr="00E1372C">
        <w:rPr>
          <w:lang w:val="fr-FR" w:bidi="en-US"/>
        </w:rPr>
        <w:t>’</w:t>
      </w:r>
      <w:r w:rsidR="00A77D1F" w:rsidRPr="00E1372C">
        <w:rPr>
          <w:lang w:val="fr-FR" w:bidi="en-US"/>
        </w:rPr>
        <w:t>ac</w:t>
      </w:r>
      <w:r w:rsidR="004877DB" w:rsidRPr="00E1372C">
        <w:rPr>
          <w:lang w:val="fr-FR" w:bidi="en-US"/>
        </w:rPr>
        <w:t>tion</w:t>
      </w:r>
      <w:r w:rsidR="00A96F7D" w:rsidRPr="00E1372C">
        <w:rPr>
          <w:lang w:val="fr-FR" w:bidi="en-US"/>
        </w:rPr>
        <w:t xml:space="preserve"> positive en matière d</w:t>
      </w:r>
      <w:r w:rsidR="00731F09" w:rsidRPr="00E1372C">
        <w:rPr>
          <w:lang w:val="fr-FR" w:bidi="en-US"/>
        </w:rPr>
        <w:t>’</w:t>
      </w:r>
      <w:r w:rsidR="00A96F7D" w:rsidRPr="00E1372C">
        <w:rPr>
          <w:lang w:val="fr-FR" w:bidi="en-US"/>
        </w:rPr>
        <w:t>emploi. Cette loi tente réellement de favoriser l</w:t>
      </w:r>
      <w:r w:rsidR="00731F09" w:rsidRPr="00E1372C">
        <w:rPr>
          <w:lang w:val="fr-FR" w:bidi="en-US"/>
        </w:rPr>
        <w:t>’</w:t>
      </w:r>
      <w:r w:rsidR="00A96F7D" w:rsidRPr="00E1372C">
        <w:rPr>
          <w:lang w:val="fr-FR" w:bidi="en-US"/>
        </w:rPr>
        <w:t xml:space="preserve">égalité des chances </w:t>
      </w:r>
      <w:r w:rsidR="004877DB" w:rsidRPr="00E1372C">
        <w:rPr>
          <w:lang w:val="fr-FR" w:bidi="en-US"/>
        </w:rPr>
        <w:t>dans le domaine de l</w:t>
      </w:r>
      <w:r w:rsidR="00731F09" w:rsidRPr="00E1372C">
        <w:rPr>
          <w:lang w:val="fr-FR" w:bidi="en-US"/>
        </w:rPr>
        <w:t>’</w:t>
      </w:r>
      <w:r w:rsidR="00A96F7D" w:rsidRPr="00E1372C">
        <w:rPr>
          <w:lang w:val="fr-FR" w:bidi="en-US"/>
        </w:rPr>
        <w:t>emploi en améliorant les conditions des personnes auparavant défavorisées et en éliminant la discrimination.</w:t>
      </w:r>
    </w:p>
    <w:p w:rsidR="0045086E" w:rsidRPr="00E1372C" w:rsidRDefault="007A1757" w:rsidP="007A1757">
      <w:pPr>
        <w:pStyle w:val="SingleTxtG"/>
        <w:rPr>
          <w:lang w:val="fr-FR" w:bidi="en-US"/>
        </w:rPr>
      </w:pPr>
      <w:r w:rsidRPr="00E1372C">
        <w:rPr>
          <w:lang w:val="fr-FR" w:bidi="en-US"/>
        </w:rPr>
        <w:t>175.</w:t>
      </w:r>
      <w:r w:rsidRPr="00E1372C">
        <w:rPr>
          <w:lang w:val="fr-FR" w:bidi="en-US"/>
        </w:rPr>
        <w:tab/>
      </w:r>
      <w:r w:rsidR="0045086E" w:rsidRPr="00E1372C">
        <w:rPr>
          <w:lang w:val="fr-FR" w:bidi="en-US"/>
        </w:rPr>
        <w:t>Selon ladite loi, tous les employeurs sont tenus de mettre en place des mesures et de les appliquer pour supprimer les obstacles à l</w:t>
      </w:r>
      <w:r w:rsidR="00731F09" w:rsidRPr="00E1372C">
        <w:rPr>
          <w:lang w:val="fr-FR" w:bidi="en-US"/>
        </w:rPr>
        <w:t>’</w:t>
      </w:r>
      <w:r w:rsidR="0045086E" w:rsidRPr="00E1372C">
        <w:rPr>
          <w:lang w:val="fr-FR" w:bidi="en-US"/>
        </w:rPr>
        <w:t>emploi, comme la partialité dans les méthodes de recrutement, d</w:t>
      </w:r>
      <w:r w:rsidR="00731F09" w:rsidRPr="00E1372C">
        <w:rPr>
          <w:lang w:val="fr-FR" w:bidi="en-US"/>
        </w:rPr>
        <w:t>’</w:t>
      </w:r>
      <w:r w:rsidR="0045086E" w:rsidRPr="00E1372C">
        <w:rPr>
          <w:lang w:val="fr-FR" w:bidi="en-US"/>
        </w:rPr>
        <w:t>entretien et d</w:t>
      </w:r>
      <w:r w:rsidR="00731F09" w:rsidRPr="00E1372C">
        <w:rPr>
          <w:lang w:val="fr-FR" w:bidi="en-US"/>
        </w:rPr>
        <w:t>’</w:t>
      </w:r>
      <w:r w:rsidR="0045086E" w:rsidRPr="00E1372C">
        <w:rPr>
          <w:lang w:val="fr-FR" w:bidi="en-US"/>
        </w:rPr>
        <w:t>évaluation. La loi demande aux employeurs d</w:t>
      </w:r>
      <w:r w:rsidR="00731F09" w:rsidRPr="00E1372C">
        <w:rPr>
          <w:lang w:val="fr-FR" w:bidi="en-US"/>
        </w:rPr>
        <w:t>’</w:t>
      </w:r>
      <w:r w:rsidR="0045086E" w:rsidRPr="00E1372C">
        <w:rPr>
          <w:lang w:val="fr-FR" w:bidi="en-US"/>
        </w:rPr>
        <w:t>assouplir les mesures concrètes – par exemple les cours de formation spécialisés – et d</w:t>
      </w:r>
      <w:r w:rsidR="00731F09" w:rsidRPr="00E1372C">
        <w:rPr>
          <w:lang w:val="fr-FR" w:bidi="en-US"/>
        </w:rPr>
        <w:t>’</w:t>
      </w:r>
      <w:r w:rsidR="0045086E" w:rsidRPr="00E1372C">
        <w:rPr>
          <w:lang w:val="fr-FR" w:bidi="en-US"/>
        </w:rPr>
        <w:t xml:space="preserve">appliquer des mesures </w:t>
      </w:r>
      <w:r w:rsidR="00CD10F2" w:rsidRPr="00E1372C">
        <w:rPr>
          <w:lang w:val="fr-FR" w:bidi="en-US"/>
        </w:rPr>
        <w:t xml:space="preserve">rationnelles </w:t>
      </w:r>
      <w:r w:rsidR="0045086E" w:rsidRPr="00E1372C">
        <w:rPr>
          <w:lang w:val="fr-FR" w:bidi="en-US"/>
        </w:rPr>
        <w:t>d</w:t>
      </w:r>
      <w:r w:rsidR="00731F09" w:rsidRPr="00E1372C">
        <w:rPr>
          <w:lang w:val="fr-FR" w:bidi="en-US"/>
        </w:rPr>
        <w:t>’</w:t>
      </w:r>
      <w:r w:rsidR="0045086E" w:rsidRPr="00E1372C">
        <w:rPr>
          <w:lang w:val="fr-FR" w:bidi="en-US"/>
        </w:rPr>
        <w:t>adaptation du poste de travail qui permettent un avancement en faisant bénéficier les Noirs, les femmes et les personnes handicapées de l</w:t>
      </w:r>
      <w:r w:rsidR="00731F09" w:rsidRPr="00E1372C">
        <w:rPr>
          <w:lang w:val="fr-FR" w:bidi="en-US"/>
        </w:rPr>
        <w:t>’</w:t>
      </w:r>
      <w:r w:rsidR="00A77D1F" w:rsidRPr="00E1372C">
        <w:rPr>
          <w:lang w:val="fr-FR" w:bidi="en-US"/>
        </w:rPr>
        <w:t>ac</w:t>
      </w:r>
      <w:r w:rsidR="0045086E" w:rsidRPr="00E1372C">
        <w:rPr>
          <w:lang w:val="fr-FR" w:bidi="en-US"/>
        </w:rPr>
        <w:t>tion positive.</w:t>
      </w:r>
    </w:p>
    <w:p w:rsidR="00A55A0E" w:rsidRPr="00E1372C" w:rsidRDefault="007A1757" w:rsidP="007A1757">
      <w:pPr>
        <w:pStyle w:val="SingleTxtG"/>
        <w:rPr>
          <w:lang w:val="fr-FR" w:bidi="en-US"/>
        </w:rPr>
      </w:pPr>
      <w:r w:rsidRPr="00E1372C">
        <w:rPr>
          <w:lang w:val="fr-FR" w:bidi="en-US"/>
        </w:rPr>
        <w:t>176.</w:t>
      </w:r>
      <w:r w:rsidRPr="00E1372C">
        <w:rPr>
          <w:lang w:val="fr-FR" w:bidi="en-US"/>
        </w:rPr>
        <w:tab/>
      </w:r>
      <w:r w:rsidR="0045086E" w:rsidRPr="00E1372C">
        <w:rPr>
          <w:lang w:val="fr-FR"/>
        </w:rPr>
        <w:t>La Commission a commandé en juin 2004 une étude d</w:t>
      </w:r>
      <w:r w:rsidR="00731F09" w:rsidRPr="00E1372C">
        <w:rPr>
          <w:lang w:val="fr-FR"/>
        </w:rPr>
        <w:t>’</w:t>
      </w:r>
      <w:r w:rsidR="0045086E" w:rsidRPr="00E1372C">
        <w:rPr>
          <w:lang w:val="fr-FR"/>
        </w:rPr>
        <w:t>évaluation sur l</w:t>
      </w:r>
      <w:r w:rsidR="00731F09" w:rsidRPr="00E1372C">
        <w:rPr>
          <w:lang w:val="fr-FR"/>
        </w:rPr>
        <w:t>’</w:t>
      </w:r>
      <w:r w:rsidR="0045086E" w:rsidRPr="00E1372C">
        <w:rPr>
          <w:lang w:val="fr-FR"/>
        </w:rPr>
        <w:t>incidence des mesures afin d</w:t>
      </w:r>
      <w:r w:rsidR="00731F09" w:rsidRPr="00E1372C">
        <w:rPr>
          <w:lang w:val="fr-FR"/>
        </w:rPr>
        <w:t>’</w:t>
      </w:r>
      <w:r w:rsidR="0045086E" w:rsidRPr="00E1372C">
        <w:rPr>
          <w:lang w:val="fr-FR"/>
        </w:rPr>
        <w:t>examiner les progrès déjà réalisés concernant l</w:t>
      </w:r>
      <w:r w:rsidR="00731F09" w:rsidRPr="00E1372C">
        <w:rPr>
          <w:lang w:val="fr-FR"/>
        </w:rPr>
        <w:t>’</w:t>
      </w:r>
      <w:r w:rsidR="0045086E" w:rsidRPr="00E1372C">
        <w:rPr>
          <w:lang w:val="fr-FR"/>
        </w:rPr>
        <w:t>équité en matière d</w:t>
      </w:r>
      <w:r w:rsidR="00731F09" w:rsidRPr="00E1372C">
        <w:rPr>
          <w:lang w:val="fr-FR"/>
        </w:rPr>
        <w:t>’</w:t>
      </w:r>
      <w:r w:rsidR="0045086E" w:rsidRPr="00E1372C">
        <w:rPr>
          <w:lang w:val="fr-FR"/>
        </w:rPr>
        <w:t>emploi. L</w:t>
      </w:r>
      <w:r w:rsidR="00731F09" w:rsidRPr="00E1372C">
        <w:rPr>
          <w:lang w:val="fr-FR"/>
        </w:rPr>
        <w:t>’</w:t>
      </w:r>
      <w:r w:rsidR="0045086E" w:rsidRPr="00E1372C">
        <w:rPr>
          <w:lang w:val="fr-FR"/>
        </w:rPr>
        <w:t>étude s</w:t>
      </w:r>
      <w:r w:rsidR="00731F09" w:rsidRPr="00E1372C">
        <w:rPr>
          <w:lang w:val="fr-FR"/>
        </w:rPr>
        <w:t>’</w:t>
      </w:r>
      <w:r w:rsidR="0045086E" w:rsidRPr="00E1372C">
        <w:rPr>
          <w:lang w:val="fr-FR"/>
        </w:rPr>
        <w:t>est attachée notamment aux changements dans les caractéristiques de la population active concernant la représentation de personnes de groupes déterminés. Elle a ainsi examiné les mesures prises par certains employeurs</w:t>
      </w:r>
      <w:r w:rsidR="00CD10F2" w:rsidRPr="00E1372C">
        <w:rPr>
          <w:lang w:val="fr-FR"/>
        </w:rPr>
        <w:t>,</w:t>
      </w:r>
      <w:r w:rsidR="0045086E" w:rsidRPr="00E1372C">
        <w:rPr>
          <w:lang w:val="fr-FR"/>
        </w:rPr>
        <w:t xml:space="preserve"> l</w:t>
      </w:r>
      <w:r w:rsidR="00731F09" w:rsidRPr="00E1372C">
        <w:rPr>
          <w:lang w:val="fr-FR"/>
        </w:rPr>
        <w:t>’</w:t>
      </w:r>
      <w:r w:rsidR="0045086E" w:rsidRPr="00E1372C">
        <w:rPr>
          <w:lang w:val="fr-FR"/>
        </w:rPr>
        <w:t>ampleur des consultations organisées en différents lieux de travail</w:t>
      </w:r>
      <w:r w:rsidR="00CD10F2" w:rsidRPr="00E1372C">
        <w:rPr>
          <w:lang w:val="fr-FR"/>
        </w:rPr>
        <w:t>,</w:t>
      </w:r>
      <w:r w:rsidR="0045086E" w:rsidRPr="00E1372C">
        <w:rPr>
          <w:lang w:val="fr-FR"/>
        </w:rPr>
        <w:t xml:space="preserve"> les services rendus par la Commission sur l</w:t>
      </w:r>
      <w:r w:rsidR="00731F09" w:rsidRPr="00E1372C">
        <w:rPr>
          <w:lang w:val="fr-FR"/>
        </w:rPr>
        <w:t>’</w:t>
      </w:r>
      <w:r w:rsidR="0045086E" w:rsidRPr="00E1372C">
        <w:rPr>
          <w:lang w:val="fr-FR"/>
        </w:rPr>
        <w:t>équité en matière d</w:t>
      </w:r>
      <w:r w:rsidR="00731F09" w:rsidRPr="00E1372C">
        <w:rPr>
          <w:lang w:val="fr-FR"/>
        </w:rPr>
        <w:t>’</w:t>
      </w:r>
      <w:r w:rsidR="0045086E" w:rsidRPr="00E1372C">
        <w:rPr>
          <w:lang w:val="fr-FR"/>
        </w:rPr>
        <w:t>emploi, ainsi que les réalisations et les lacunes de la politique observées jusqu</w:t>
      </w:r>
      <w:r w:rsidR="00731F09" w:rsidRPr="00E1372C">
        <w:rPr>
          <w:lang w:val="fr-FR"/>
        </w:rPr>
        <w:t>’</w:t>
      </w:r>
      <w:r w:rsidR="0045086E" w:rsidRPr="00E1372C">
        <w:rPr>
          <w:lang w:val="fr-FR"/>
        </w:rPr>
        <w:t>à présent</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177.</w:t>
      </w:r>
      <w:r w:rsidRPr="00E1372C">
        <w:rPr>
          <w:lang w:val="fr-FR" w:bidi="en-US"/>
        </w:rPr>
        <w:tab/>
      </w:r>
      <w:r w:rsidR="0045086E" w:rsidRPr="00E1372C">
        <w:rPr>
          <w:lang w:val="fr-FR"/>
        </w:rPr>
        <w:t>Les conclusions du rapport ont confirmé les lents progrès en matière de nomination de personnes appartenant à certains groupes aux postes de direction et d</w:t>
      </w:r>
      <w:r w:rsidR="00731F09" w:rsidRPr="00E1372C">
        <w:rPr>
          <w:lang w:val="fr-FR"/>
        </w:rPr>
        <w:t>’</w:t>
      </w:r>
      <w:r w:rsidR="0045086E" w:rsidRPr="00E1372C">
        <w:rPr>
          <w:lang w:val="fr-FR"/>
        </w:rPr>
        <w:t>encadrement dans la plupart des branches d</w:t>
      </w:r>
      <w:r w:rsidR="00731F09" w:rsidRPr="00E1372C">
        <w:rPr>
          <w:lang w:val="fr-FR"/>
        </w:rPr>
        <w:t>’</w:t>
      </w:r>
      <w:r w:rsidR="0045086E" w:rsidRPr="00E1372C">
        <w:rPr>
          <w:lang w:val="fr-FR"/>
        </w:rPr>
        <w:t>activités. Les hommes continuent de prédominer aux hautes fonctions, mais leur part aux postes de cadres moyens est tombée au-dessous de 40</w:t>
      </w:r>
      <w:r w:rsidR="007064FC" w:rsidRPr="00E1372C">
        <w:rPr>
          <w:lang w:val="fr-FR"/>
        </w:rPr>
        <w:t> %</w:t>
      </w:r>
      <w:r w:rsidR="0045086E" w:rsidRPr="00E1372C">
        <w:rPr>
          <w:lang w:val="fr-FR"/>
        </w:rPr>
        <w:t>. L</w:t>
      </w:r>
      <w:r w:rsidR="00731F09" w:rsidRPr="00E1372C">
        <w:rPr>
          <w:lang w:val="fr-FR"/>
        </w:rPr>
        <w:t>’</w:t>
      </w:r>
      <w:r w:rsidR="0045086E" w:rsidRPr="00E1372C">
        <w:rPr>
          <w:lang w:val="fr-FR"/>
        </w:rPr>
        <w:t>évolution est plus marquée dans la catégorie des emplois spécialisés, qualifiés, ou d</w:t>
      </w:r>
      <w:r w:rsidR="00731F09" w:rsidRPr="00E1372C">
        <w:rPr>
          <w:lang w:val="fr-FR"/>
        </w:rPr>
        <w:t>’</w:t>
      </w:r>
      <w:r w:rsidR="0045086E" w:rsidRPr="00E1372C">
        <w:rPr>
          <w:lang w:val="fr-FR"/>
        </w:rPr>
        <w:t>encadrement, où la proportion de Noirs dépasse 40</w:t>
      </w:r>
      <w:r w:rsidR="007064FC" w:rsidRPr="00E1372C">
        <w:rPr>
          <w:lang w:val="fr-FR"/>
        </w:rPr>
        <w:t> %</w:t>
      </w:r>
      <w:r w:rsidR="0045086E" w:rsidRPr="00E1372C">
        <w:rPr>
          <w:lang w:val="fr-FR"/>
        </w:rPr>
        <w:t>. Les Noires, qui sont devenues également plus nombreuses dans cette catégorie, demeurent toutefois nettement sous-représentées. Les catégories d</w:t>
      </w:r>
      <w:r w:rsidR="00731F09" w:rsidRPr="00E1372C">
        <w:rPr>
          <w:lang w:val="fr-FR"/>
        </w:rPr>
        <w:t>’</w:t>
      </w:r>
      <w:r w:rsidR="0045086E" w:rsidRPr="00E1372C">
        <w:rPr>
          <w:lang w:val="fr-FR"/>
        </w:rPr>
        <w:t>emploi qualifié ou semi qualifié et de manœuvres sont majoritairement occupées par des Noirs dont la part relative a augmenté durant la période examinée. Les personnes handicapées ne sont guère recrutées que par des employeurs habilités et seules quelques organisations ont pris des mesures concrètes pour les accueillir.</w:t>
      </w:r>
    </w:p>
    <w:p w:rsidR="0045086E" w:rsidRPr="00E1372C" w:rsidRDefault="007A1757" w:rsidP="007A1757">
      <w:pPr>
        <w:pStyle w:val="SingleTxtG"/>
        <w:rPr>
          <w:lang w:val="fr-FR" w:bidi="en-US"/>
        </w:rPr>
      </w:pPr>
      <w:r w:rsidRPr="00E1372C">
        <w:rPr>
          <w:lang w:val="fr-FR" w:bidi="en-US"/>
        </w:rPr>
        <w:t>178.</w:t>
      </w:r>
      <w:r w:rsidRPr="00E1372C">
        <w:rPr>
          <w:lang w:val="fr-FR" w:bidi="en-US"/>
        </w:rPr>
        <w:tab/>
      </w:r>
      <w:r w:rsidR="0045086E" w:rsidRPr="00E1372C">
        <w:rPr>
          <w:lang w:val="fr-FR" w:bidi="en-US"/>
        </w:rPr>
        <w:t>L</w:t>
      </w:r>
      <w:r w:rsidR="00731F09" w:rsidRPr="00E1372C">
        <w:rPr>
          <w:lang w:val="fr-FR" w:bidi="en-US"/>
        </w:rPr>
        <w:t>’</w:t>
      </w:r>
      <w:r w:rsidR="004877DB" w:rsidRPr="00E1372C">
        <w:rPr>
          <w:lang w:val="fr-FR" w:bidi="en-US"/>
        </w:rPr>
        <w:t xml:space="preserve">alinéa </w:t>
      </w:r>
      <w:r w:rsidR="00AB3542" w:rsidRPr="00E1372C">
        <w:rPr>
          <w:i/>
          <w:lang w:val="fr-FR" w:bidi="en-US"/>
        </w:rPr>
        <w:t>b</w:t>
      </w:r>
      <w:r w:rsidR="0045086E" w:rsidRPr="00E1372C">
        <w:rPr>
          <w:iCs/>
          <w:lang w:val="fr-FR" w:bidi="en-US"/>
        </w:rPr>
        <w:t xml:space="preserve"> </w:t>
      </w:r>
      <w:r w:rsidR="000E1242" w:rsidRPr="00E1372C">
        <w:rPr>
          <w:lang w:val="fr-FR" w:bidi="en-US"/>
        </w:rPr>
        <w:t xml:space="preserve">du </w:t>
      </w:r>
      <w:r w:rsidR="0045086E" w:rsidRPr="00E1372C">
        <w:rPr>
          <w:lang w:val="fr-FR" w:bidi="en-US"/>
        </w:rPr>
        <w:t>paragraphe 7 de l</w:t>
      </w:r>
      <w:r w:rsidR="00731F09" w:rsidRPr="00E1372C">
        <w:rPr>
          <w:lang w:val="fr-FR" w:bidi="en-US"/>
        </w:rPr>
        <w:t>’</w:t>
      </w:r>
      <w:r w:rsidR="0045086E" w:rsidRPr="00E1372C">
        <w:rPr>
          <w:lang w:val="fr-FR" w:bidi="en-US"/>
        </w:rPr>
        <w:t>article 5 de la loi relative au travail interdit le harcèlement sexuel de toute nature sur les lieux de travail. Dans la fonction publique, ce type de harcèlement est inscrit dans le code de conduite</w:t>
      </w:r>
      <w:r w:rsidR="00FC1699" w:rsidRPr="00E1372C">
        <w:rPr>
          <w:lang w:val="fr-FR" w:bidi="en-US"/>
        </w:rPr>
        <w:t xml:space="preserve"> du</w:t>
      </w:r>
      <w:r w:rsidR="0045086E" w:rsidRPr="00E1372C">
        <w:rPr>
          <w:lang w:val="fr-FR" w:bidi="en-US"/>
        </w:rPr>
        <w:t xml:space="preserve"> personnel parmi les infractions graves et quiconque s</w:t>
      </w:r>
      <w:r w:rsidR="00731F09" w:rsidRPr="00E1372C">
        <w:rPr>
          <w:lang w:val="fr-FR" w:bidi="en-US"/>
        </w:rPr>
        <w:t>’</w:t>
      </w:r>
      <w:r w:rsidR="0045086E" w:rsidRPr="00E1372C">
        <w:rPr>
          <w:lang w:val="fr-FR" w:bidi="en-US"/>
        </w:rPr>
        <w:t>en rend coupable s</w:t>
      </w:r>
      <w:r w:rsidR="00731F09" w:rsidRPr="00E1372C">
        <w:rPr>
          <w:lang w:val="fr-FR" w:bidi="en-US"/>
        </w:rPr>
        <w:t>’</w:t>
      </w:r>
      <w:r w:rsidR="0045086E" w:rsidRPr="00E1372C">
        <w:rPr>
          <w:lang w:val="fr-FR" w:bidi="en-US"/>
        </w:rPr>
        <w:t>expose au licenciement. En outre, toute démission au motif de harcèlement sexuel constitue un renvoi implicite.</w:t>
      </w:r>
    </w:p>
    <w:p w:rsidR="00A55A0E" w:rsidRPr="00E1372C" w:rsidRDefault="00ED29A4" w:rsidP="00ED29A4">
      <w:pPr>
        <w:pStyle w:val="H23G"/>
        <w:rPr>
          <w:lang w:val="fr-FR" w:bidi="en-US"/>
        </w:rPr>
      </w:pPr>
      <w:r w:rsidRPr="00E1372C">
        <w:rPr>
          <w:lang w:val="fr-FR" w:bidi="en-US"/>
        </w:rPr>
        <w:tab/>
      </w:r>
      <w:r w:rsidRPr="00E1372C">
        <w:rPr>
          <w:lang w:val="fr-FR" w:bidi="en-US"/>
        </w:rPr>
        <w:tab/>
      </w:r>
      <w:r w:rsidR="0045086E" w:rsidRPr="00E1372C">
        <w:rPr>
          <w:lang w:val="fr-FR" w:bidi="en-US"/>
        </w:rPr>
        <w:t>Conditions de travail</w:t>
      </w:r>
    </w:p>
    <w:p w:rsidR="00FD1334" w:rsidRPr="00E1372C" w:rsidRDefault="007A1757" w:rsidP="00ED29A4">
      <w:pPr>
        <w:pStyle w:val="SingleTxtG"/>
        <w:rPr>
          <w:lang w:val="fr-FR" w:bidi="en-US"/>
        </w:rPr>
      </w:pPr>
      <w:r w:rsidRPr="00E1372C">
        <w:rPr>
          <w:lang w:val="fr-FR" w:bidi="en-US"/>
        </w:rPr>
        <w:t>179.</w:t>
      </w:r>
      <w:r w:rsidRPr="00E1372C">
        <w:rPr>
          <w:lang w:val="fr-FR" w:bidi="en-US"/>
        </w:rPr>
        <w:tab/>
      </w:r>
      <w:r w:rsidR="00ED29A4" w:rsidRPr="00E1372C">
        <w:rPr>
          <w:lang w:val="fr-FR" w:bidi="en-US"/>
        </w:rPr>
        <w:t xml:space="preserve">Tout salarié a droit à 24 </w:t>
      </w:r>
      <w:r w:rsidR="00FD1334" w:rsidRPr="00E1372C">
        <w:rPr>
          <w:lang w:val="fr-FR" w:bidi="en-US"/>
        </w:rPr>
        <w:t xml:space="preserve">jours consécutifs de congé annuel après une période de service ininterrompue de </w:t>
      </w:r>
      <w:r w:rsidR="00ED29A4" w:rsidRPr="00E1372C">
        <w:rPr>
          <w:lang w:val="fr-FR" w:bidi="en-US"/>
        </w:rPr>
        <w:t xml:space="preserve">12 </w:t>
      </w:r>
      <w:r w:rsidR="00FD1334" w:rsidRPr="00E1372C">
        <w:rPr>
          <w:lang w:val="fr-FR" w:bidi="en-US"/>
        </w:rPr>
        <w:t xml:space="preserve">mois. Ce congé est intégralement payé. Les salariés ne sont pas autorisés à travailler plus de </w:t>
      </w:r>
      <w:r w:rsidR="00ED29A4" w:rsidRPr="00E1372C">
        <w:rPr>
          <w:lang w:val="fr-FR" w:bidi="en-US"/>
        </w:rPr>
        <w:t xml:space="preserve">9 heures par jour ou plus de 45 </w:t>
      </w:r>
      <w:r w:rsidR="00FD1334" w:rsidRPr="00E1372C">
        <w:rPr>
          <w:lang w:val="fr-FR" w:bidi="en-US"/>
        </w:rPr>
        <w:t xml:space="preserve">heures par semaine, excepté les agents de sécurité qui peuvent travailler en postes de </w:t>
      </w:r>
      <w:r w:rsidR="00ED29A4" w:rsidRPr="00E1372C">
        <w:rPr>
          <w:lang w:val="fr-FR" w:bidi="en-US"/>
        </w:rPr>
        <w:t xml:space="preserve">12 heures par jour ou 60 </w:t>
      </w:r>
      <w:r w:rsidR="00FD1334" w:rsidRPr="00E1372C">
        <w:rPr>
          <w:lang w:val="fr-FR" w:bidi="en-US"/>
        </w:rPr>
        <w:t>heures par semaine. Les jours fériés ne sont pas des jours ouvrables mais sont payés.</w:t>
      </w:r>
    </w:p>
    <w:p w:rsidR="00A55A0E" w:rsidRPr="00E1372C" w:rsidRDefault="007A1757" w:rsidP="007A1757">
      <w:pPr>
        <w:pStyle w:val="SingleTxtG"/>
        <w:rPr>
          <w:lang w:val="fr-FR" w:bidi="en-US"/>
        </w:rPr>
      </w:pPr>
      <w:r w:rsidRPr="00E1372C">
        <w:rPr>
          <w:lang w:val="fr-FR" w:bidi="en-US"/>
        </w:rPr>
        <w:t>180.</w:t>
      </w:r>
      <w:r w:rsidRPr="00E1372C">
        <w:rPr>
          <w:lang w:val="fr-FR" w:bidi="en-US"/>
        </w:rPr>
        <w:tab/>
      </w:r>
      <w:r w:rsidR="00FD1334" w:rsidRPr="00E1372C">
        <w:rPr>
          <w:lang w:val="fr-FR" w:bidi="en-US"/>
        </w:rPr>
        <w:t>Les conditions d</w:t>
      </w:r>
      <w:r w:rsidR="00731F09" w:rsidRPr="00E1372C">
        <w:rPr>
          <w:lang w:val="fr-FR" w:bidi="en-US"/>
        </w:rPr>
        <w:t>’</w:t>
      </w:r>
      <w:r w:rsidR="00FD1334" w:rsidRPr="00E1372C">
        <w:rPr>
          <w:lang w:val="fr-FR" w:bidi="en-US"/>
        </w:rPr>
        <w:t>emploi ci-dessus s</w:t>
      </w:r>
      <w:r w:rsidR="00731F09" w:rsidRPr="00E1372C">
        <w:rPr>
          <w:lang w:val="fr-FR" w:bidi="en-US"/>
        </w:rPr>
        <w:t>’</w:t>
      </w:r>
      <w:r w:rsidR="00FD1334" w:rsidRPr="00E1372C">
        <w:rPr>
          <w:lang w:val="fr-FR" w:bidi="en-US"/>
        </w:rPr>
        <w:t>appliquent aux membres des forces militaires à quelques exceptions dues à la nature de leur tâche.</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181.</w:t>
      </w:r>
      <w:r w:rsidRPr="00E1372C">
        <w:rPr>
          <w:lang w:val="fr-FR" w:bidi="en-US"/>
        </w:rPr>
        <w:tab/>
      </w:r>
      <w:r w:rsidR="00FD1334" w:rsidRPr="00E1372C">
        <w:rPr>
          <w:lang w:val="fr-FR" w:bidi="en-US"/>
        </w:rPr>
        <w:t>Tous les employeurs dans le pays doivent prévoir un programme de lutte contre le VIH/</w:t>
      </w:r>
      <w:r w:rsidR="00B277C4" w:rsidRPr="00E1372C">
        <w:rPr>
          <w:lang w:val="fr-FR" w:bidi="en-US"/>
        </w:rPr>
        <w:t>sida</w:t>
      </w:r>
      <w:r w:rsidR="00FD1334" w:rsidRPr="00E1372C">
        <w:rPr>
          <w:lang w:val="fr-FR" w:bidi="en-US"/>
        </w:rPr>
        <w:t xml:space="preserve"> et </w:t>
      </w:r>
      <w:r w:rsidR="00CD10F2" w:rsidRPr="00E1372C">
        <w:rPr>
          <w:lang w:val="fr-FR" w:bidi="en-US"/>
        </w:rPr>
        <w:t>d</w:t>
      </w:r>
      <w:r w:rsidR="00731F09" w:rsidRPr="00E1372C">
        <w:rPr>
          <w:lang w:val="fr-FR" w:bidi="en-US"/>
        </w:rPr>
        <w:t>’</w:t>
      </w:r>
      <w:r w:rsidR="00FD1334" w:rsidRPr="00E1372C">
        <w:rPr>
          <w:lang w:val="fr-FR" w:bidi="en-US"/>
        </w:rPr>
        <w:t>équilibre entre vie professionnelle et vie familiale.</w:t>
      </w:r>
      <w:r w:rsidR="00A55A0E" w:rsidRPr="00E1372C">
        <w:rPr>
          <w:lang w:val="fr-FR" w:bidi="en-US"/>
        </w:rPr>
        <w:t xml:space="preserve"> </w:t>
      </w:r>
    </w:p>
    <w:p w:rsidR="00A55A0E" w:rsidRPr="00E1372C" w:rsidRDefault="00A55A0E" w:rsidP="00A55A0E">
      <w:pPr>
        <w:pStyle w:val="H1G"/>
        <w:rPr>
          <w:lang w:val="fr-FR" w:bidi="en-US"/>
        </w:rPr>
      </w:pPr>
      <w:bookmarkStart w:id="3" w:name="_Toc13632569"/>
      <w:r w:rsidRPr="00E1372C">
        <w:rPr>
          <w:lang w:val="fr-FR"/>
        </w:rPr>
        <w:tab/>
      </w:r>
      <w:r w:rsidRPr="00E1372C">
        <w:rPr>
          <w:lang w:val="fr-FR"/>
        </w:rPr>
        <w:tab/>
        <w:t>Article 8</w:t>
      </w:r>
      <w:bookmarkEnd w:id="3"/>
      <w:r w:rsidR="00ED29A4" w:rsidRPr="00E1372C">
        <w:rPr>
          <w:lang w:val="fr-FR"/>
        </w:rPr>
        <w:br/>
        <w:t xml:space="preserve">Droit </w:t>
      </w:r>
      <w:r w:rsidR="00FD1334" w:rsidRPr="00E1372C">
        <w:rPr>
          <w:lang w:val="fr-FR"/>
        </w:rPr>
        <w:t>de former des syndicats</w:t>
      </w:r>
    </w:p>
    <w:p w:rsidR="001D4560" w:rsidRPr="00E1372C" w:rsidRDefault="007A1757" w:rsidP="007A1757">
      <w:pPr>
        <w:pStyle w:val="SingleTxtG"/>
        <w:rPr>
          <w:lang w:val="fr-FR" w:bidi="en-US"/>
        </w:rPr>
      </w:pPr>
      <w:r w:rsidRPr="00E1372C">
        <w:rPr>
          <w:lang w:val="fr-FR" w:bidi="en-US"/>
        </w:rPr>
        <w:t>182.</w:t>
      </w:r>
      <w:r w:rsidRPr="00E1372C">
        <w:rPr>
          <w:lang w:val="fr-FR" w:bidi="en-US"/>
        </w:rPr>
        <w:tab/>
      </w:r>
      <w:r w:rsidR="001D4560" w:rsidRPr="00E1372C">
        <w:rPr>
          <w:lang w:val="fr-FR" w:bidi="en-US"/>
        </w:rPr>
        <w:t>La Namibie est partie au Pacte international relatif aux droits civils et politiques, ainsi qu</w:t>
      </w:r>
      <w:r w:rsidR="00731F09" w:rsidRPr="00E1372C">
        <w:rPr>
          <w:lang w:val="fr-FR" w:bidi="en-US"/>
        </w:rPr>
        <w:t>’</w:t>
      </w:r>
      <w:r w:rsidR="001D4560" w:rsidRPr="00E1372C">
        <w:rPr>
          <w:lang w:val="fr-FR" w:bidi="en-US"/>
        </w:rPr>
        <w:t xml:space="preserve">aux Conventions </w:t>
      </w:r>
      <w:r w:rsidR="00CD10F2" w:rsidRPr="00E1372C">
        <w:rPr>
          <w:lang w:val="fr-FR" w:bidi="en-US"/>
        </w:rPr>
        <w:t>(</w:t>
      </w:r>
      <w:r w:rsidR="001D4560" w:rsidRPr="00E1372C">
        <w:rPr>
          <w:lang w:val="fr-FR" w:bidi="en-US"/>
        </w:rPr>
        <w:t>n</w:t>
      </w:r>
      <w:r w:rsidR="00B277C4" w:rsidRPr="00E1372C">
        <w:rPr>
          <w:vertAlign w:val="superscript"/>
          <w:lang w:val="fr-FR" w:bidi="en-US"/>
        </w:rPr>
        <w:t>o</w:t>
      </w:r>
      <w:r w:rsidR="001D4560" w:rsidRPr="00E1372C">
        <w:rPr>
          <w:lang w:val="fr-FR" w:bidi="en-US"/>
        </w:rPr>
        <w:t> 87</w:t>
      </w:r>
      <w:r w:rsidR="00CD10F2" w:rsidRPr="00E1372C">
        <w:rPr>
          <w:lang w:val="fr-FR" w:bidi="en-US"/>
        </w:rPr>
        <w:t>)</w:t>
      </w:r>
      <w:r w:rsidR="001D4560" w:rsidRPr="00E1372C">
        <w:rPr>
          <w:lang w:val="fr-FR" w:bidi="en-US"/>
        </w:rPr>
        <w:t xml:space="preserve"> </w:t>
      </w:r>
      <w:r w:rsidR="00CD10F2" w:rsidRPr="00E1372C">
        <w:rPr>
          <w:lang w:val="fr-FR" w:bidi="en-US"/>
        </w:rPr>
        <w:t>s</w:t>
      </w:r>
      <w:r w:rsidR="001D4560" w:rsidRPr="00E1372C">
        <w:rPr>
          <w:lang w:val="fr-FR" w:bidi="en-US"/>
        </w:rPr>
        <w:t>ur la liberté syndicale et la protection du droit syndical</w:t>
      </w:r>
      <w:r w:rsidR="00CD10F2" w:rsidRPr="00E1372C">
        <w:rPr>
          <w:lang w:val="fr-FR" w:bidi="en-US"/>
        </w:rPr>
        <w:t>, 1948</w:t>
      </w:r>
      <w:r w:rsidR="001D4560" w:rsidRPr="00E1372C">
        <w:rPr>
          <w:lang w:val="fr-FR" w:bidi="en-US"/>
        </w:rPr>
        <w:t xml:space="preserve"> et </w:t>
      </w:r>
      <w:r w:rsidR="00CD10F2" w:rsidRPr="00E1372C">
        <w:rPr>
          <w:lang w:val="fr-FR" w:bidi="en-US"/>
        </w:rPr>
        <w:t>(</w:t>
      </w:r>
      <w:r w:rsidR="001D4560" w:rsidRPr="00E1372C">
        <w:rPr>
          <w:lang w:val="fr-FR" w:bidi="en-US"/>
        </w:rPr>
        <w:t>n</w:t>
      </w:r>
      <w:r w:rsidR="00B277C4" w:rsidRPr="00E1372C">
        <w:rPr>
          <w:vertAlign w:val="superscript"/>
          <w:lang w:val="fr-FR" w:bidi="en-US"/>
        </w:rPr>
        <w:t>o</w:t>
      </w:r>
      <w:r w:rsidR="001D4560" w:rsidRPr="00E1372C">
        <w:rPr>
          <w:lang w:val="fr-FR" w:bidi="en-US"/>
        </w:rPr>
        <w:t> 98</w:t>
      </w:r>
      <w:r w:rsidR="00CD10F2" w:rsidRPr="00E1372C">
        <w:rPr>
          <w:lang w:val="fr-FR" w:bidi="en-US"/>
        </w:rPr>
        <w:t>)</w:t>
      </w:r>
      <w:r w:rsidR="001D4560" w:rsidRPr="00E1372C">
        <w:rPr>
          <w:lang w:val="fr-FR" w:bidi="en-US"/>
        </w:rPr>
        <w:t xml:space="preserve"> sur le droit d</w:t>
      </w:r>
      <w:r w:rsidR="00731F09" w:rsidRPr="00E1372C">
        <w:rPr>
          <w:lang w:val="fr-FR" w:bidi="en-US"/>
        </w:rPr>
        <w:t>’</w:t>
      </w:r>
      <w:r w:rsidR="001D4560" w:rsidRPr="00E1372C">
        <w:rPr>
          <w:lang w:val="fr-FR" w:bidi="en-US"/>
        </w:rPr>
        <w:t>organisation et de négociation collective</w:t>
      </w:r>
      <w:r w:rsidR="00CD10F2" w:rsidRPr="00E1372C">
        <w:rPr>
          <w:lang w:val="fr-FR" w:bidi="en-US"/>
        </w:rPr>
        <w:t>, 1949 de l</w:t>
      </w:r>
      <w:r w:rsidR="00731F09" w:rsidRPr="00E1372C">
        <w:rPr>
          <w:lang w:val="fr-FR" w:bidi="en-US"/>
        </w:rPr>
        <w:t>’</w:t>
      </w:r>
      <w:r w:rsidR="00CD10F2" w:rsidRPr="00E1372C">
        <w:rPr>
          <w:lang w:val="fr-FR" w:bidi="en-US"/>
        </w:rPr>
        <w:t>OIT</w:t>
      </w:r>
      <w:r w:rsidR="001D4560" w:rsidRPr="00E1372C">
        <w:rPr>
          <w:lang w:val="fr-FR" w:bidi="en-US"/>
        </w:rPr>
        <w:t>. Elle n</w:t>
      </w:r>
      <w:r w:rsidR="00731F09" w:rsidRPr="00E1372C">
        <w:rPr>
          <w:lang w:val="fr-FR" w:bidi="en-US"/>
        </w:rPr>
        <w:t>’</w:t>
      </w:r>
      <w:r w:rsidR="001D4560" w:rsidRPr="00E1372C">
        <w:rPr>
          <w:lang w:val="fr-FR" w:bidi="en-US"/>
        </w:rPr>
        <w:t>est pas partie à la Convention (n</w:t>
      </w:r>
      <w:r w:rsidR="00B277C4" w:rsidRPr="00E1372C">
        <w:rPr>
          <w:vertAlign w:val="superscript"/>
          <w:lang w:val="fr-FR" w:bidi="en-US"/>
        </w:rPr>
        <w:t>o</w:t>
      </w:r>
      <w:r w:rsidR="001D4560" w:rsidRPr="00E1372C">
        <w:rPr>
          <w:lang w:val="fr-FR" w:bidi="en-US"/>
        </w:rPr>
        <w:t> 151) sur les relations de travail dans la fonction publique, 1978.</w:t>
      </w:r>
    </w:p>
    <w:p w:rsidR="001D4560" w:rsidRPr="00E1372C" w:rsidRDefault="007A1757" w:rsidP="007A1757">
      <w:pPr>
        <w:pStyle w:val="SingleTxtG"/>
        <w:rPr>
          <w:lang w:val="fr-FR" w:bidi="en-US"/>
        </w:rPr>
      </w:pPr>
      <w:r w:rsidRPr="00E1372C">
        <w:rPr>
          <w:lang w:val="fr-FR" w:bidi="en-US"/>
        </w:rPr>
        <w:t>183.</w:t>
      </w:r>
      <w:r w:rsidRPr="00E1372C">
        <w:rPr>
          <w:lang w:val="fr-FR" w:bidi="en-US"/>
        </w:rPr>
        <w:tab/>
      </w:r>
      <w:r w:rsidR="001D4560" w:rsidRPr="00E1372C">
        <w:rPr>
          <w:lang w:val="fr-FR" w:bidi="en-US"/>
        </w:rPr>
        <w:t>Les articles 53 et 54 de la loi</w:t>
      </w:r>
      <w:r w:rsidR="00CE07C9" w:rsidRPr="00E1372C">
        <w:rPr>
          <w:lang w:val="fr-FR" w:bidi="en-US"/>
        </w:rPr>
        <w:t xml:space="preserve"> de 2007 </w:t>
      </w:r>
      <w:r w:rsidR="001D4560" w:rsidRPr="00E1372C">
        <w:rPr>
          <w:lang w:val="fr-FR" w:bidi="en-US"/>
        </w:rPr>
        <w:t>relative au travail disposent en matière d</w:t>
      </w:r>
      <w:r w:rsidR="00731F09" w:rsidRPr="00E1372C">
        <w:rPr>
          <w:lang w:val="fr-FR" w:bidi="en-US"/>
        </w:rPr>
        <w:t>’</w:t>
      </w:r>
      <w:r w:rsidR="001D4560" w:rsidRPr="00E1372C">
        <w:rPr>
          <w:lang w:val="fr-FR" w:bidi="en-US"/>
        </w:rPr>
        <w:t xml:space="preserve">établissement de syndicats en Namibie et fixent des conditions à cet effet, excepté pour les membres des forces de défense et de police namibiennes. Ces dispositions ont été appliquées dans le pays au point que 47 syndicats et </w:t>
      </w:r>
      <w:r w:rsidR="00CE07C9" w:rsidRPr="00E1372C">
        <w:rPr>
          <w:lang w:val="fr-FR" w:bidi="en-US"/>
        </w:rPr>
        <w:t>trois</w:t>
      </w:r>
      <w:r w:rsidR="001D4560" w:rsidRPr="00E1372C">
        <w:rPr>
          <w:lang w:val="fr-FR" w:bidi="en-US"/>
        </w:rPr>
        <w:t xml:space="preserve"> fédérations ont été enregistrés depuis 1992. Les syndicats représentent un effectif total de 450 000 salariés des secteurs tant public que privé.</w:t>
      </w:r>
    </w:p>
    <w:p w:rsidR="001D4560" w:rsidRPr="00E1372C" w:rsidRDefault="007A1757" w:rsidP="007A1757">
      <w:pPr>
        <w:pStyle w:val="SingleTxtG"/>
        <w:rPr>
          <w:lang w:val="fr-FR" w:bidi="en-US"/>
        </w:rPr>
      </w:pPr>
      <w:r w:rsidRPr="00E1372C">
        <w:rPr>
          <w:lang w:val="fr-FR" w:bidi="en-US"/>
        </w:rPr>
        <w:t>184.</w:t>
      </w:r>
      <w:r w:rsidRPr="00E1372C">
        <w:rPr>
          <w:lang w:val="fr-FR" w:bidi="en-US"/>
        </w:rPr>
        <w:tab/>
      </w:r>
      <w:r w:rsidR="001D4560" w:rsidRPr="00E1372C">
        <w:rPr>
          <w:lang w:val="fr-FR" w:bidi="en-US"/>
        </w:rPr>
        <w:t>La loi autorise les syndicats à former des fédérations et à adhérer à des organisations syndicales internationales de leur choix sans aucune restriction légale ou pratique. Les seules restrictions au fonctionnement de syndicats sont énoncées au paragraphe 3 de l</w:t>
      </w:r>
      <w:r w:rsidR="00731F09" w:rsidRPr="00E1372C">
        <w:rPr>
          <w:lang w:val="fr-FR" w:bidi="en-US"/>
        </w:rPr>
        <w:t>’</w:t>
      </w:r>
      <w:r w:rsidR="001D4560" w:rsidRPr="00E1372C">
        <w:rPr>
          <w:lang w:val="fr-FR" w:bidi="en-US"/>
        </w:rPr>
        <w:t>article 53 de ladite loi. Toutefois, le fait pour un syndicat de ne pas être enregistré légalement a pour seule conséquence qu</w:t>
      </w:r>
      <w:r w:rsidR="00731F09" w:rsidRPr="00E1372C">
        <w:rPr>
          <w:lang w:val="fr-FR" w:bidi="en-US"/>
        </w:rPr>
        <w:t>’</w:t>
      </w:r>
      <w:r w:rsidR="001D4560" w:rsidRPr="00E1372C">
        <w:rPr>
          <w:lang w:val="fr-FR" w:bidi="en-US"/>
        </w:rPr>
        <w:t>il n</w:t>
      </w:r>
      <w:r w:rsidR="00731F09" w:rsidRPr="00E1372C">
        <w:rPr>
          <w:lang w:val="fr-FR" w:bidi="en-US"/>
        </w:rPr>
        <w:t>’</w:t>
      </w:r>
      <w:r w:rsidR="001D4560" w:rsidRPr="00E1372C">
        <w:rPr>
          <w:lang w:val="fr-FR" w:bidi="en-US"/>
        </w:rPr>
        <w:t>est pas reconnu par la loi et</w:t>
      </w:r>
      <w:r w:rsidR="00CE07C9" w:rsidRPr="00E1372C">
        <w:rPr>
          <w:lang w:val="fr-FR" w:bidi="en-US"/>
        </w:rPr>
        <w:t>,</w:t>
      </w:r>
      <w:r w:rsidR="001D4560" w:rsidRPr="00E1372C">
        <w:rPr>
          <w:lang w:val="fr-FR" w:bidi="en-US"/>
        </w:rPr>
        <w:t xml:space="preserve"> partant</w:t>
      </w:r>
      <w:r w:rsidR="00CE07C9" w:rsidRPr="00E1372C">
        <w:rPr>
          <w:lang w:val="fr-FR" w:bidi="en-US"/>
        </w:rPr>
        <w:t>,</w:t>
      </w:r>
      <w:r w:rsidR="001D4560" w:rsidRPr="00E1372C">
        <w:rPr>
          <w:lang w:val="fr-FR" w:bidi="en-US"/>
        </w:rPr>
        <w:t xml:space="preserve"> ne peut bénéficier des avantages et </w:t>
      </w:r>
      <w:r w:rsidR="00CE07C9" w:rsidRPr="00E1372C">
        <w:rPr>
          <w:lang w:val="fr-FR" w:bidi="en-US"/>
        </w:rPr>
        <w:t xml:space="preserve">des </w:t>
      </w:r>
      <w:r w:rsidR="001D4560" w:rsidRPr="00E1372C">
        <w:rPr>
          <w:lang w:val="fr-FR" w:bidi="en-US"/>
        </w:rPr>
        <w:t>droits syndicaux (consultation sur certaines questions et financement public pour assister aux réunions internationales).</w:t>
      </w:r>
    </w:p>
    <w:p w:rsidR="00BC6709" w:rsidRPr="00E1372C" w:rsidRDefault="007A1757" w:rsidP="00ED29A4">
      <w:pPr>
        <w:pStyle w:val="SingleTxtG"/>
        <w:rPr>
          <w:b/>
          <w:lang w:val="fr-FR" w:bidi="en-US"/>
        </w:rPr>
      </w:pPr>
      <w:r w:rsidRPr="00E1372C">
        <w:rPr>
          <w:lang w:val="fr-FR" w:bidi="en-US"/>
        </w:rPr>
        <w:t>185.</w:t>
      </w:r>
      <w:r w:rsidRPr="00E1372C">
        <w:rPr>
          <w:lang w:val="fr-FR" w:bidi="en-US"/>
        </w:rPr>
        <w:tab/>
      </w:r>
      <w:r w:rsidR="00BC6709" w:rsidRPr="00E1372C">
        <w:rPr>
          <w:lang w:val="fr-FR" w:bidi="en-US"/>
        </w:rPr>
        <w:t>La loi relative au travail a instauré des mesures visant à encourager des principes et des pratiques de libre négociation collective aux échelons de l</w:t>
      </w:r>
      <w:r w:rsidR="00731F09" w:rsidRPr="00E1372C">
        <w:rPr>
          <w:lang w:val="fr-FR" w:bidi="en-US"/>
        </w:rPr>
        <w:t>’</w:t>
      </w:r>
      <w:r w:rsidR="00BC6709" w:rsidRPr="00E1372C">
        <w:rPr>
          <w:lang w:val="fr-FR" w:bidi="en-US"/>
        </w:rPr>
        <w:t>entreprise, du secteur et du pays. De nombreux syndicats ont conclu avec différents employeurs des accords de procédure et de reconnaissance sur des questions de travail et d</w:t>
      </w:r>
      <w:r w:rsidR="00731F09" w:rsidRPr="00E1372C">
        <w:rPr>
          <w:lang w:val="fr-FR" w:bidi="en-US"/>
        </w:rPr>
        <w:t>’</w:t>
      </w:r>
      <w:r w:rsidR="00BC6709" w:rsidRPr="00E1372C">
        <w:rPr>
          <w:lang w:val="fr-FR" w:bidi="en-US"/>
        </w:rPr>
        <w:t>emploi. Le Conseil consultatif tripartite chargé des questions de travail a adopté une démarche analogue. En Namibie, sur l</w:t>
      </w:r>
      <w:r w:rsidR="00ED29A4" w:rsidRPr="00E1372C">
        <w:rPr>
          <w:lang w:val="fr-FR" w:bidi="en-US"/>
        </w:rPr>
        <w:t xml:space="preserve">es 47 syndicats enregistrés, 14 </w:t>
      </w:r>
      <w:r w:rsidR="00BC6709" w:rsidRPr="00E1372C">
        <w:rPr>
          <w:lang w:val="fr-FR" w:bidi="en-US"/>
        </w:rPr>
        <w:t xml:space="preserve">sont inactifs et </w:t>
      </w:r>
      <w:r w:rsidR="00ED29A4" w:rsidRPr="00E1372C">
        <w:rPr>
          <w:lang w:val="fr-FR" w:bidi="en-US"/>
        </w:rPr>
        <w:t>3</w:t>
      </w:r>
      <w:r w:rsidR="00CE07C9" w:rsidRPr="00E1372C">
        <w:rPr>
          <w:lang w:val="fr-FR" w:bidi="en-US"/>
        </w:rPr>
        <w:t xml:space="preserve"> constituent</w:t>
      </w:r>
      <w:r w:rsidR="00BC6709" w:rsidRPr="00E1372C">
        <w:rPr>
          <w:lang w:val="fr-FR" w:bidi="en-US"/>
        </w:rPr>
        <w:t xml:space="preserve"> des fédérations syndicales. Leurs membres sont issus de plusieurs secteurs, de l</w:t>
      </w:r>
      <w:r w:rsidR="00731F09" w:rsidRPr="00E1372C">
        <w:rPr>
          <w:lang w:val="fr-FR" w:bidi="en-US"/>
        </w:rPr>
        <w:t>’</w:t>
      </w:r>
      <w:r w:rsidR="00BC6709" w:rsidRPr="00E1372C">
        <w:rPr>
          <w:lang w:val="fr-FR" w:bidi="en-US"/>
        </w:rPr>
        <w:t>industrie et parfois du commerce. Les membres de l</w:t>
      </w:r>
      <w:r w:rsidR="00731F09" w:rsidRPr="00E1372C">
        <w:rPr>
          <w:lang w:val="fr-FR" w:bidi="en-US"/>
        </w:rPr>
        <w:t>’</w:t>
      </w:r>
      <w:r w:rsidR="00BC6709" w:rsidRPr="00E1372C">
        <w:rPr>
          <w:lang w:val="fr-FR" w:bidi="en-US"/>
        </w:rPr>
        <w:t>administration publique jouissent des mêmes droits de former des syndicats de leur choix. Ils peuvent également faire grève comme les employés des autres secteurs.</w:t>
      </w:r>
    </w:p>
    <w:p w:rsidR="00A55A0E" w:rsidRPr="00E1372C" w:rsidRDefault="00ED29A4" w:rsidP="00ED29A4">
      <w:pPr>
        <w:pStyle w:val="H23G"/>
        <w:rPr>
          <w:lang w:val="fr-FR" w:bidi="en-US"/>
        </w:rPr>
      </w:pPr>
      <w:r w:rsidRPr="00E1372C">
        <w:rPr>
          <w:lang w:val="fr-FR" w:bidi="en-US"/>
        </w:rPr>
        <w:tab/>
      </w:r>
      <w:r w:rsidRPr="00E1372C">
        <w:rPr>
          <w:lang w:val="fr-FR" w:bidi="en-US"/>
        </w:rPr>
        <w:tab/>
      </w:r>
      <w:r w:rsidR="00BC6709" w:rsidRPr="00E1372C">
        <w:rPr>
          <w:lang w:val="fr-FR" w:bidi="en-US"/>
        </w:rPr>
        <w:t>Droit de grève ou de fermeture d</w:t>
      </w:r>
      <w:r w:rsidR="00731F09" w:rsidRPr="00E1372C">
        <w:rPr>
          <w:lang w:val="fr-FR" w:bidi="en-US"/>
        </w:rPr>
        <w:t>’</w:t>
      </w:r>
      <w:r w:rsidR="00BC6709" w:rsidRPr="00E1372C">
        <w:rPr>
          <w:lang w:val="fr-FR" w:bidi="en-US"/>
        </w:rPr>
        <w:t>entreprises</w:t>
      </w:r>
    </w:p>
    <w:p w:rsidR="00BC6709" w:rsidRPr="00E1372C" w:rsidRDefault="007A1757" w:rsidP="007A1757">
      <w:pPr>
        <w:pStyle w:val="SingleTxtG"/>
        <w:rPr>
          <w:lang w:val="fr-FR" w:bidi="en-US"/>
        </w:rPr>
      </w:pPr>
      <w:r w:rsidRPr="00E1372C">
        <w:rPr>
          <w:lang w:val="fr-FR" w:bidi="en-US"/>
        </w:rPr>
        <w:t>186.</w:t>
      </w:r>
      <w:r w:rsidRPr="00E1372C">
        <w:rPr>
          <w:lang w:val="fr-FR" w:bidi="en-US"/>
        </w:rPr>
        <w:tab/>
      </w:r>
      <w:r w:rsidR="00BC6709" w:rsidRPr="00E1372C">
        <w:rPr>
          <w:lang w:val="fr-FR" w:bidi="en-US"/>
        </w:rPr>
        <w:t>Au sens de l</w:t>
      </w:r>
      <w:r w:rsidR="00731F09" w:rsidRPr="00E1372C">
        <w:rPr>
          <w:lang w:val="fr-FR" w:bidi="en-US"/>
        </w:rPr>
        <w:t>’</w:t>
      </w:r>
      <w:r w:rsidR="00BC6709" w:rsidRPr="00E1372C">
        <w:rPr>
          <w:lang w:val="fr-FR" w:bidi="en-US"/>
        </w:rPr>
        <w:t xml:space="preserve">article 47 de la loi </w:t>
      </w:r>
      <w:r w:rsidR="00CE07C9" w:rsidRPr="00E1372C">
        <w:rPr>
          <w:lang w:val="fr-FR" w:bidi="en-US"/>
        </w:rPr>
        <w:t xml:space="preserve">de 2007 </w:t>
      </w:r>
      <w:r w:rsidR="00BC6709" w:rsidRPr="00E1372C">
        <w:rPr>
          <w:lang w:val="fr-FR" w:bidi="en-US"/>
        </w:rPr>
        <w:t>relative au travail, chaque partie à un litige a le droit de faire grève ou de fermer l</w:t>
      </w:r>
      <w:r w:rsidR="00731F09" w:rsidRPr="00E1372C">
        <w:rPr>
          <w:lang w:val="fr-FR" w:bidi="en-US"/>
        </w:rPr>
        <w:t>’</w:t>
      </w:r>
      <w:r w:rsidR="00BC6709" w:rsidRPr="00E1372C">
        <w:rPr>
          <w:lang w:val="fr-FR" w:bidi="en-US"/>
        </w:rPr>
        <w:t>entreprise si le conflit du travail n</w:t>
      </w:r>
      <w:r w:rsidR="00731F09" w:rsidRPr="00E1372C">
        <w:rPr>
          <w:lang w:val="fr-FR" w:bidi="en-US"/>
        </w:rPr>
        <w:t>’</w:t>
      </w:r>
      <w:r w:rsidR="00BC6709" w:rsidRPr="00E1372C">
        <w:rPr>
          <w:lang w:val="fr-FR" w:bidi="en-US"/>
        </w:rPr>
        <w:t>est pas résolu après la réunion de conciliation. Tout syndicat doit, avant de déclencher une grève, avoir pris toutes les mesures requises et rationnelles pour résoudre la ou les questions litigieuses avec l</w:t>
      </w:r>
      <w:r w:rsidR="00731F09" w:rsidRPr="00E1372C">
        <w:rPr>
          <w:lang w:val="fr-FR" w:bidi="en-US"/>
        </w:rPr>
        <w:t>’</w:t>
      </w:r>
      <w:r w:rsidR="00BC6709" w:rsidRPr="00E1372C">
        <w:rPr>
          <w:lang w:val="fr-FR" w:bidi="en-US"/>
        </w:rPr>
        <w:t>employeur par voie de négociation. Toutes les conditions légales et processuelles des mécanismes de règlement des différends doivent être remplies</w:t>
      </w:r>
      <w:r w:rsidR="00AE017E" w:rsidRPr="00E1372C">
        <w:rPr>
          <w:lang w:val="fr-FR" w:bidi="en-US"/>
        </w:rPr>
        <w:t>:</w:t>
      </w:r>
      <w:r w:rsidR="00BC6709" w:rsidRPr="00E1372C">
        <w:rPr>
          <w:lang w:val="fr-FR" w:bidi="en-US"/>
        </w:rPr>
        <w:t xml:space="preserve"> communication du différend et création d</w:t>
      </w:r>
      <w:r w:rsidR="00731F09" w:rsidRPr="00E1372C">
        <w:rPr>
          <w:lang w:val="fr-FR" w:bidi="en-US"/>
        </w:rPr>
        <w:t>’</w:t>
      </w:r>
      <w:r w:rsidR="00BC6709" w:rsidRPr="00E1372C">
        <w:rPr>
          <w:lang w:val="fr-FR" w:bidi="en-US"/>
        </w:rPr>
        <w:t xml:space="preserve">une commission de conciliation auprès du Commissaire du travail. La commission de conciliation doit déclarer </w:t>
      </w:r>
      <w:r w:rsidR="00CF091D" w:rsidRPr="00E1372C">
        <w:rPr>
          <w:lang w:val="fr-FR" w:bidi="en-US"/>
        </w:rPr>
        <w:t>que le différend ne peut être résolu et qu</w:t>
      </w:r>
      <w:r w:rsidR="00731F09" w:rsidRPr="00E1372C">
        <w:rPr>
          <w:lang w:val="fr-FR" w:bidi="en-US"/>
        </w:rPr>
        <w:t>’</w:t>
      </w:r>
      <w:r w:rsidR="00CF091D" w:rsidRPr="00E1372C">
        <w:rPr>
          <w:lang w:val="fr-FR" w:bidi="en-US"/>
        </w:rPr>
        <w:t>il est partant dans l</w:t>
      </w:r>
      <w:r w:rsidR="00731F09" w:rsidRPr="00E1372C">
        <w:rPr>
          <w:lang w:val="fr-FR" w:bidi="en-US"/>
        </w:rPr>
        <w:t>’</w:t>
      </w:r>
      <w:r w:rsidR="00CF091D" w:rsidRPr="00E1372C">
        <w:rPr>
          <w:lang w:val="fr-FR" w:bidi="en-US"/>
        </w:rPr>
        <w:t>impasse. Le syndicat doit alors notifier un préavis de 48 heures indiquant à l</w:t>
      </w:r>
      <w:r w:rsidR="00731F09" w:rsidRPr="00E1372C">
        <w:rPr>
          <w:lang w:val="fr-FR" w:bidi="en-US"/>
        </w:rPr>
        <w:t>’</w:t>
      </w:r>
      <w:r w:rsidR="00CF091D" w:rsidRPr="00E1372C">
        <w:rPr>
          <w:lang w:val="fr-FR" w:bidi="en-US"/>
        </w:rPr>
        <w:t>employeur concerné son intention de faire grève et en adresser une copie au Commissaire du travail.</w:t>
      </w:r>
    </w:p>
    <w:p w:rsidR="00CF091D" w:rsidRPr="00E1372C" w:rsidRDefault="007A1757" w:rsidP="007A1757">
      <w:pPr>
        <w:pStyle w:val="SingleTxtG"/>
        <w:rPr>
          <w:lang w:val="fr-FR" w:bidi="en-US"/>
        </w:rPr>
      </w:pPr>
      <w:r w:rsidRPr="00E1372C">
        <w:rPr>
          <w:lang w:val="fr-FR" w:bidi="en-US"/>
        </w:rPr>
        <w:t>187.</w:t>
      </w:r>
      <w:r w:rsidRPr="00E1372C">
        <w:rPr>
          <w:lang w:val="fr-FR" w:bidi="en-US"/>
        </w:rPr>
        <w:tab/>
      </w:r>
      <w:r w:rsidR="00CF091D" w:rsidRPr="00E1372C">
        <w:rPr>
          <w:lang w:val="fr-FR" w:bidi="en-US"/>
        </w:rPr>
        <w:t>Les salariés de toutes catégories ont le droit de faire grève, à l</w:t>
      </w:r>
      <w:r w:rsidR="00731F09" w:rsidRPr="00E1372C">
        <w:rPr>
          <w:lang w:val="fr-FR" w:bidi="en-US"/>
        </w:rPr>
        <w:t>’</w:t>
      </w:r>
      <w:r w:rsidR="00CF091D" w:rsidRPr="00E1372C">
        <w:rPr>
          <w:lang w:val="fr-FR" w:bidi="en-US"/>
        </w:rPr>
        <w:t>exception des employés des services essentiels et des forces de défense et de police. Les lois sur le travail tant précédentes qu</w:t>
      </w:r>
      <w:r w:rsidR="00731F09" w:rsidRPr="00E1372C">
        <w:rPr>
          <w:lang w:val="fr-FR" w:bidi="en-US"/>
        </w:rPr>
        <w:t>’</w:t>
      </w:r>
      <w:r w:rsidR="00CF091D" w:rsidRPr="00E1372C">
        <w:rPr>
          <w:lang w:val="fr-FR" w:bidi="en-US"/>
        </w:rPr>
        <w:t>actuelles ne définissent pas les services essentiels. Le tribunal du travail peut déclarer que des services sont essentiels à la demande du Ministre du travail et de la protection sociale.</w:t>
      </w:r>
    </w:p>
    <w:p w:rsidR="00CF091D" w:rsidRPr="00E1372C" w:rsidRDefault="007A1757" w:rsidP="007A1757">
      <w:pPr>
        <w:pStyle w:val="SingleTxtG"/>
        <w:rPr>
          <w:lang w:val="fr-FR" w:bidi="en-US"/>
        </w:rPr>
      </w:pPr>
      <w:r w:rsidRPr="00E1372C">
        <w:rPr>
          <w:lang w:val="fr-FR" w:bidi="en-US"/>
        </w:rPr>
        <w:t>188.</w:t>
      </w:r>
      <w:r w:rsidRPr="00E1372C">
        <w:rPr>
          <w:lang w:val="fr-FR" w:bidi="en-US"/>
        </w:rPr>
        <w:tab/>
      </w:r>
      <w:r w:rsidR="00CF091D" w:rsidRPr="00E1372C">
        <w:rPr>
          <w:lang w:val="fr-FR" w:bidi="en-US"/>
        </w:rPr>
        <w:t>L</w:t>
      </w:r>
      <w:r w:rsidR="00731F09" w:rsidRPr="00E1372C">
        <w:rPr>
          <w:lang w:val="fr-FR" w:bidi="en-US"/>
        </w:rPr>
        <w:t>’</w:t>
      </w:r>
      <w:r w:rsidR="000E1242" w:rsidRPr="00E1372C">
        <w:rPr>
          <w:lang w:val="fr-FR" w:bidi="en-US"/>
        </w:rPr>
        <w:t xml:space="preserve">alinéa </w:t>
      </w:r>
      <w:r w:rsidR="00AB3542" w:rsidRPr="00E1372C">
        <w:rPr>
          <w:i/>
          <w:lang w:val="fr-FR" w:bidi="en-US"/>
        </w:rPr>
        <w:t>a</w:t>
      </w:r>
      <w:r w:rsidR="000E1242" w:rsidRPr="00E1372C">
        <w:rPr>
          <w:lang w:val="fr-FR" w:bidi="en-US"/>
        </w:rPr>
        <w:t xml:space="preserve"> du</w:t>
      </w:r>
      <w:r w:rsidR="00CF091D" w:rsidRPr="00E1372C">
        <w:rPr>
          <w:lang w:val="fr-FR" w:bidi="en-US"/>
        </w:rPr>
        <w:t xml:space="preserve"> paragraphe 2 de l</w:t>
      </w:r>
      <w:r w:rsidR="00731F09" w:rsidRPr="00E1372C">
        <w:rPr>
          <w:lang w:val="fr-FR" w:bidi="en-US"/>
        </w:rPr>
        <w:t>’</w:t>
      </w:r>
      <w:r w:rsidR="00CF091D" w:rsidRPr="00E1372C">
        <w:rPr>
          <w:lang w:val="fr-FR" w:bidi="en-US"/>
        </w:rPr>
        <w:t xml:space="preserve">article 2 de la loi </w:t>
      </w:r>
      <w:r w:rsidR="00DD42A7" w:rsidRPr="00E1372C">
        <w:rPr>
          <w:lang w:val="fr-FR" w:bidi="en-US"/>
        </w:rPr>
        <w:t xml:space="preserve">de 2007 </w:t>
      </w:r>
      <w:r w:rsidR="00CF091D" w:rsidRPr="00E1372C">
        <w:rPr>
          <w:lang w:val="fr-FR" w:bidi="en-US"/>
        </w:rPr>
        <w:t>relative au travail exempte les membres des forces militaires de toutes les dispositions de la loi, excepté celles qui traitent de discrimination, harcèlement et victimisation dans le cadre de l</w:t>
      </w:r>
      <w:r w:rsidR="00731F09" w:rsidRPr="00E1372C">
        <w:rPr>
          <w:lang w:val="fr-FR" w:bidi="en-US"/>
        </w:rPr>
        <w:t>’</w:t>
      </w:r>
      <w:r w:rsidR="00CF091D" w:rsidRPr="00E1372C">
        <w:rPr>
          <w:lang w:val="fr-FR" w:bidi="en-US"/>
        </w:rPr>
        <w:t>emploi. Ils ne peuvent par conséquent abandonner leur poste ou se mettre en grève.</w:t>
      </w:r>
    </w:p>
    <w:p w:rsidR="00CF091D" w:rsidRPr="00E1372C" w:rsidRDefault="007A1757" w:rsidP="00AB3542">
      <w:pPr>
        <w:pStyle w:val="SingleTxtG"/>
        <w:rPr>
          <w:lang w:val="fr-FR" w:bidi="en-US"/>
        </w:rPr>
      </w:pPr>
      <w:r w:rsidRPr="00E1372C">
        <w:rPr>
          <w:lang w:val="fr-FR" w:bidi="en-US"/>
        </w:rPr>
        <w:t>189.</w:t>
      </w:r>
      <w:r w:rsidRPr="00E1372C">
        <w:rPr>
          <w:lang w:val="fr-FR" w:bidi="en-US"/>
        </w:rPr>
        <w:tab/>
      </w:r>
      <w:r w:rsidR="00CF091D" w:rsidRPr="00E1372C">
        <w:rPr>
          <w:lang w:val="fr-FR" w:bidi="en-US"/>
        </w:rPr>
        <w:t>L</w:t>
      </w:r>
      <w:r w:rsidR="00731F09" w:rsidRPr="00E1372C">
        <w:rPr>
          <w:lang w:val="fr-FR" w:bidi="en-US"/>
        </w:rPr>
        <w:t>’</w:t>
      </w:r>
      <w:r w:rsidR="00797202" w:rsidRPr="00E1372C">
        <w:rPr>
          <w:lang w:val="fr-FR" w:bidi="en-US"/>
        </w:rPr>
        <w:t xml:space="preserve">alinéa </w:t>
      </w:r>
      <w:r w:rsidR="00CF091D" w:rsidRPr="00E1372C">
        <w:rPr>
          <w:i/>
          <w:lang w:val="fr-FR" w:bidi="en-US"/>
        </w:rPr>
        <w:t>d</w:t>
      </w:r>
      <w:r w:rsidR="00CF091D" w:rsidRPr="00E1372C">
        <w:rPr>
          <w:lang w:val="fr-FR" w:bidi="en-US"/>
        </w:rPr>
        <w:t xml:space="preserve"> de l</w:t>
      </w:r>
      <w:r w:rsidR="00731F09" w:rsidRPr="00E1372C">
        <w:rPr>
          <w:lang w:val="fr-FR" w:bidi="en-US"/>
        </w:rPr>
        <w:t>’</w:t>
      </w:r>
      <w:r w:rsidR="00CF091D" w:rsidRPr="00E1372C">
        <w:rPr>
          <w:lang w:val="fr-FR" w:bidi="en-US"/>
        </w:rPr>
        <w:t>article 95 de la Constitution encourage l</w:t>
      </w:r>
      <w:r w:rsidR="00731F09" w:rsidRPr="00E1372C">
        <w:rPr>
          <w:lang w:val="fr-FR" w:bidi="en-US"/>
        </w:rPr>
        <w:t>’</w:t>
      </w:r>
      <w:r w:rsidR="00CF091D" w:rsidRPr="00E1372C">
        <w:rPr>
          <w:lang w:val="fr-FR" w:bidi="en-US"/>
        </w:rPr>
        <w:t>État à favoriser l</w:t>
      </w:r>
      <w:r w:rsidR="00731F09" w:rsidRPr="00E1372C">
        <w:rPr>
          <w:lang w:val="fr-FR" w:bidi="en-US"/>
        </w:rPr>
        <w:t>’</w:t>
      </w:r>
      <w:r w:rsidR="00CF091D" w:rsidRPr="00E1372C">
        <w:rPr>
          <w:lang w:val="fr-FR" w:bidi="en-US"/>
        </w:rPr>
        <w:t>adhésion à l</w:t>
      </w:r>
      <w:r w:rsidR="00731F09" w:rsidRPr="00E1372C">
        <w:rPr>
          <w:lang w:val="fr-FR" w:bidi="en-US"/>
        </w:rPr>
        <w:t>’</w:t>
      </w:r>
      <w:r w:rsidR="00CF091D" w:rsidRPr="00E1372C">
        <w:rPr>
          <w:lang w:val="fr-FR" w:bidi="en-US"/>
        </w:rPr>
        <w:t>Organisation internationale du Travail (OIT</w:t>
      </w:r>
      <w:r w:rsidR="00DD42A7" w:rsidRPr="00E1372C">
        <w:rPr>
          <w:lang w:val="fr-FR" w:bidi="en-US"/>
        </w:rPr>
        <w:t>)</w:t>
      </w:r>
      <w:r w:rsidR="00CF091D" w:rsidRPr="00E1372C">
        <w:rPr>
          <w:lang w:val="fr-FR" w:bidi="en-US"/>
        </w:rPr>
        <w:t xml:space="preserve"> et, le cas échéant, à ses conventions et recommandations internationales, ainsi qu</w:t>
      </w:r>
      <w:r w:rsidR="00731F09" w:rsidRPr="00E1372C">
        <w:rPr>
          <w:lang w:val="fr-FR" w:bidi="en-US"/>
        </w:rPr>
        <w:t>’</w:t>
      </w:r>
      <w:r w:rsidR="00CF091D" w:rsidRPr="00E1372C">
        <w:rPr>
          <w:lang w:val="fr-FR" w:bidi="en-US"/>
        </w:rPr>
        <w:t>à les appliquer.</w:t>
      </w:r>
    </w:p>
    <w:p w:rsidR="00A55A0E" w:rsidRPr="00E1372C" w:rsidRDefault="00ED29A4" w:rsidP="00ED29A4">
      <w:pPr>
        <w:pStyle w:val="H23G"/>
        <w:rPr>
          <w:lang w:val="fr-FR" w:bidi="en-US"/>
        </w:rPr>
      </w:pPr>
      <w:r w:rsidRPr="00E1372C">
        <w:rPr>
          <w:lang w:val="fr-FR" w:bidi="en-US"/>
        </w:rPr>
        <w:tab/>
      </w:r>
      <w:r w:rsidRPr="00E1372C">
        <w:rPr>
          <w:lang w:val="fr-FR" w:bidi="en-US"/>
        </w:rPr>
        <w:tab/>
      </w:r>
      <w:r w:rsidR="00CF091D" w:rsidRPr="00E1372C">
        <w:rPr>
          <w:lang w:val="fr-FR" w:bidi="en-US"/>
        </w:rPr>
        <w:t>Conventions de l</w:t>
      </w:r>
      <w:r w:rsidR="00731F09" w:rsidRPr="00E1372C">
        <w:rPr>
          <w:lang w:val="fr-FR" w:bidi="en-US"/>
        </w:rPr>
        <w:t>’</w:t>
      </w:r>
      <w:r w:rsidR="00CF091D" w:rsidRPr="00E1372C">
        <w:rPr>
          <w:lang w:val="fr-FR" w:bidi="en-US"/>
        </w:rPr>
        <w:t>OIT ratifiées par la Namibie</w:t>
      </w:r>
    </w:p>
    <w:p w:rsidR="00A55A0E" w:rsidRPr="00E1372C" w:rsidRDefault="007A1757" w:rsidP="007A1757">
      <w:pPr>
        <w:pStyle w:val="SingleTxtG"/>
        <w:rPr>
          <w:lang w:val="fr-FR" w:bidi="en-US"/>
        </w:rPr>
      </w:pPr>
      <w:r w:rsidRPr="00E1372C">
        <w:rPr>
          <w:lang w:val="fr-FR" w:bidi="en-US"/>
        </w:rPr>
        <w:t>190.</w:t>
      </w:r>
      <w:r w:rsidRPr="00E1372C">
        <w:rPr>
          <w:lang w:val="fr-FR" w:bidi="en-US"/>
        </w:rPr>
        <w:tab/>
      </w:r>
      <w:r w:rsidR="00CF091D" w:rsidRPr="00E1372C">
        <w:rPr>
          <w:lang w:val="fr-FR" w:bidi="en-US"/>
        </w:rPr>
        <w:t>La Namibie a ratifié les conventions fondamentales suivantes de l</w:t>
      </w:r>
      <w:r w:rsidR="00731F09" w:rsidRPr="00E1372C">
        <w:rPr>
          <w:lang w:val="fr-FR" w:bidi="en-US"/>
        </w:rPr>
        <w:t>’</w:t>
      </w:r>
      <w:r w:rsidR="00CF091D" w:rsidRPr="00E1372C">
        <w:rPr>
          <w:lang w:val="fr-FR" w:bidi="en-US"/>
        </w:rPr>
        <w:t>OIT</w:t>
      </w:r>
      <w:r w:rsidR="00AE017E" w:rsidRPr="00E1372C">
        <w:rPr>
          <w:lang w:val="fr-FR" w:bidi="en-US"/>
        </w:rPr>
        <w:t>:</w:t>
      </w:r>
    </w:p>
    <w:p w:rsidR="00A55A0E" w:rsidRPr="00E1372C" w:rsidRDefault="00A55A0E" w:rsidP="00CE2771">
      <w:pPr>
        <w:pStyle w:val="Bullet1G"/>
      </w:pPr>
      <w:r w:rsidRPr="00E1372C">
        <w:t>Convention</w:t>
      </w:r>
      <w:r w:rsidR="00CF091D" w:rsidRPr="00E1372C">
        <w:t xml:space="preserve"> (n</w:t>
      </w:r>
      <w:r w:rsidR="00B277C4" w:rsidRPr="00E1372C">
        <w:rPr>
          <w:vertAlign w:val="superscript"/>
        </w:rPr>
        <w:t>o</w:t>
      </w:r>
      <w:r w:rsidR="00CF091D" w:rsidRPr="00E1372C">
        <w:t> 29) sur le travail forcé, 1930, ratifiée le 15 Novembre 2000;</w:t>
      </w:r>
    </w:p>
    <w:p w:rsidR="00A55A0E" w:rsidRPr="00E1372C" w:rsidRDefault="00A55A0E" w:rsidP="00CE2771">
      <w:pPr>
        <w:pStyle w:val="Bullet1G"/>
      </w:pPr>
      <w:r w:rsidRPr="00E1372C">
        <w:t>Convention</w:t>
      </w:r>
      <w:r w:rsidR="00CF091D" w:rsidRPr="00E1372C">
        <w:t xml:space="preserve"> (n</w:t>
      </w:r>
      <w:r w:rsidR="00B277C4" w:rsidRPr="00E1372C">
        <w:rPr>
          <w:vertAlign w:val="superscript"/>
        </w:rPr>
        <w:t>o</w:t>
      </w:r>
      <w:r w:rsidR="00CF091D" w:rsidRPr="00E1372C">
        <w:t> 105) sur l</w:t>
      </w:r>
      <w:r w:rsidR="00731F09" w:rsidRPr="00E1372C">
        <w:t>’</w:t>
      </w:r>
      <w:r w:rsidR="00CF091D" w:rsidRPr="00E1372C">
        <w:t xml:space="preserve">abolition du travail forcé, </w:t>
      </w:r>
      <w:r w:rsidRPr="00E1372C">
        <w:t>1957</w:t>
      </w:r>
      <w:r w:rsidR="00CF091D" w:rsidRPr="00E1372C">
        <w:t>, ratifiée le 15 novembre 2004;</w:t>
      </w:r>
    </w:p>
    <w:p w:rsidR="00A55A0E" w:rsidRPr="00E1372C" w:rsidRDefault="00CF091D" w:rsidP="00CE2771">
      <w:pPr>
        <w:pStyle w:val="Bullet1G"/>
      </w:pPr>
      <w:r w:rsidRPr="00E1372C">
        <w:t>Convention (n</w:t>
      </w:r>
      <w:r w:rsidR="00B277C4" w:rsidRPr="00E1372C">
        <w:rPr>
          <w:vertAlign w:val="superscript"/>
        </w:rPr>
        <w:t>o</w:t>
      </w:r>
      <w:r w:rsidRPr="00E1372C">
        <w:t> 87) sur la liberté syndicale et la protection du droit syndical, 1948, ratifiée le 3 janvier 1995;</w:t>
      </w:r>
    </w:p>
    <w:p w:rsidR="00A55A0E" w:rsidRPr="00E1372C" w:rsidRDefault="00CF091D" w:rsidP="00CE2771">
      <w:pPr>
        <w:pStyle w:val="Bullet1G"/>
      </w:pPr>
      <w:r w:rsidRPr="00E1372C">
        <w:t>Convention (n</w:t>
      </w:r>
      <w:r w:rsidR="00B277C4" w:rsidRPr="00E1372C">
        <w:rPr>
          <w:vertAlign w:val="superscript"/>
        </w:rPr>
        <w:t>o</w:t>
      </w:r>
      <w:r w:rsidRPr="00E1372C">
        <w:t> 98) sur le droit d</w:t>
      </w:r>
      <w:r w:rsidR="00731F09" w:rsidRPr="00E1372C">
        <w:t>’</w:t>
      </w:r>
      <w:r w:rsidRPr="00E1372C">
        <w:t>organisation et de négociation collective, 1949, ratifiée le 3 janvier 1995;</w:t>
      </w:r>
    </w:p>
    <w:p w:rsidR="00A55A0E" w:rsidRPr="00E1372C" w:rsidRDefault="00CF091D" w:rsidP="00CE2771">
      <w:pPr>
        <w:pStyle w:val="Bullet1G"/>
      </w:pPr>
      <w:r w:rsidRPr="00E1372C">
        <w:t>Convention (n</w:t>
      </w:r>
      <w:r w:rsidR="00B277C4" w:rsidRPr="00E1372C">
        <w:rPr>
          <w:vertAlign w:val="superscript"/>
        </w:rPr>
        <w:t>o</w:t>
      </w:r>
      <w:r w:rsidRPr="00E1372C">
        <w:t> 138) sur l</w:t>
      </w:r>
      <w:r w:rsidR="00731F09" w:rsidRPr="00E1372C">
        <w:t>’</w:t>
      </w:r>
      <w:r w:rsidRPr="00E1372C">
        <w:t>âge minimum, 1973, ratifiée le 15 novembre 2000;</w:t>
      </w:r>
    </w:p>
    <w:p w:rsidR="00A55A0E" w:rsidRPr="00E1372C" w:rsidRDefault="00CF091D" w:rsidP="00CE2771">
      <w:pPr>
        <w:pStyle w:val="Bullet1G"/>
      </w:pPr>
      <w:r w:rsidRPr="00E1372C">
        <w:t>Convention (n</w:t>
      </w:r>
      <w:r w:rsidR="00B277C4" w:rsidRPr="00E1372C">
        <w:rPr>
          <w:vertAlign w:val="superscript"/>
        </w:rPr>
        <w:t>o</w:t>
      </w:r>
      <w:r w:rsidRPr="00E1372C">
        <w:t> 182) sur les pires formes de travail des enfants, 1999, ratifiée le 15 novembre 2000</w:t>
      </w:r>
      <w:r w:rsidR="00A55A0E" w:rsidRPr="00E1372C">
        <w:t>;</w:t>
      </w:r>
    </w:p>
    <w:p w:rsidR="00A55A0E" w:rsidRPr="00E1372C" w:rsidRDefault="00CF091D" w:rsidP="00CE2771">
      <w:pPr>
        <w:pStyle w:val="Bullet1G"/>
      </w:pPr>
      <w:r w:rsidRPr="00E1372C">
        <w:t>Convention (n</w:t>
      </w:r>
      <w:r w:rsidR="00B277C4" w:rsidRPr="00E1372C">
        <w:rPr>
          <w:vertAlign w:val="superscript"/>
        </w:rPr>
        <w:t>o</w:t>
      </w:r>
      <w:r w:rsidRPr="00E1372C">
        <w:t> 100) sur l</w:t>
      </w:r>
      <w:r w:rsidR="00731F09" w:rsidRPr="00E1372C">
        <w:t>’</w:t>
      </w:r>
      <w:r w:rsidRPr="00E1372C">
        <w:t>égalité de rémunération, 1951, ratifiée le 6 avril 2010</w:t>
      </w:r>
      <w:r w:rsidR="00A55A0E" w:rsidRPr="00E1372C">
        <w:t>;</w:t>
      </w:r>
    </w:p>
    <w:p w:rsidR="00A55A0E" w:rsidRPr="00E1372C" w:rsidRDefault="00CF091D" w:rsidP="00CE2771">
      <w:pPr>
        <w:pStyle w:val="Bullet1G"/>
      </w:pPr>
      <w:r w:rsidRPr="00E1372C">
        <w:t>Convention (n</w:t>
      </w:r>
      <w:r w:rsidR="00B277C4" w:rsidRPr="00E1372C">
        <w:rPr>
          <w:vertAlign w:val="superscript"/>
        </w:rPr>
        <w:t>o</w:t>
      </w:r>
      <w:r w:rsidRPr="00E1372C">
        <w:t> 111) concernant la discrimination (emploi et profession), 1958, ratifiée le 13 novembre 2001.</w:t>
      </w:r>
    </w:p>
    <w:p w:rsidR="00A55A0E" w:rsidRPr="00E1372C" w:rsidRDefault="00A55A0E" w:rsidP="00A55A0E">
      <w:pPr>
        <w:pStyle w:val="H23G"/>
        <w:rPr>
          <w:lang w:val="fr-FR" w:bidi="en-US"/>
        </w:rPr>
      </w:pPr>
      <w:r w:rsidRPr="00E1372C">
        <w:rPr>
          <w:lang w:val="fr-FR" w:bidi="en-US"/>
        </w:rPr>
        <w:tab/>
      </w:r>
      <w:r w:rsidRPr="00E1372C">
        <w:rPr>
          <w:lang w:val="fr-FR" w:bidi="en-US"/>
        </w:rPr>
        <w:tab/>
      </w:r>
      <w:r w:rsidR="00CF091D" w:rsidRPr="00E1372C">
        <w:rPr>
          <w:lang w:val="fr-FR" w:bidi="en-US"/>
        </w:rPr>
        <w:t>Autres conventions</w:t>
      </w:r>
    </w:p>
    <w:p w:rsidR="00A55A0E" w:rsidRPr="00E1372C" w:rsidRDefault="009929E5" w:rsidP="00CE2771">
      <w:pPr>
        <w:pStyle w:val="Bullet1G"/>
      </w:pPr>
      <w:r w:rsidRPr="00E1372C">
        <w:t>Convention (n</w:t>
      </w:r>
      <w:r w:rsidR="00B277C4" w:rsidRPr="00E1372C">
        <w:rPr>
          <w:vertAlign w:val="superscript"/>
        </w:rPr>
        <w:t>o</w:t>
      </w:r>
      <w:r w:rsidRPr="00E1372C">
        <w:t> 144) sur la consultation tripartite (normes internationales du travail), 1976, ratifiée le 3 janvier </w:t>
      </w:r>
      <w:r w:rsidR="00140CFC" w:rsidRPr="00E1372C">
        <w:t>1995</w:t>
      </w:r>
      <w:r w:rsidR="00731F09" w:rsidRPr="00E1372C">
        <w:t>;</w:t>
      </w:r>
    </w:p>
    <w:p w:rsidR="00A55A0E" w:rsidRPr="00E1372C" w:rsidRDefault="009929E5" w:rsidP="00CE2771">
      <w:pPr>
        <w:pStyle w:val="Bullet1G"/>
      </w:pPr>
      <w:r w:rsidRPr="00E1372C">
        <w:t>Convention (n</w:t>
      </w:r>
      <w:r w:rsidR="00B277C4" w:rsidRPr="00E1372C">
        <w:rPr>
          <w:vertAlign w:val="superscript"/>
        </w:rPr>
        <w:t>o</w:t>
      </w:r>
      <w:r w:rsidRPr="00E1372C">
        <w:t> 150) sur l</w:t>
      </w:r>
      <w:r w:rsidR="00731F09" w:rsidRPr="00E1372C">
        <w:t>’</w:t>
      </w:r>
      <w:r w:rsidRPr="00E1372C">
        <w:t>administration du travail, 1978, ratifiée le 28 janvier 1996</w:t>
      </w:r>
      <w:r w:rsidR="00731F09" w:rsidRPr="00E1372C">
        <w:t>;</w:t>
      </w:r>
    </w:p>
    <w:p w:rsidR="00A55A0E" w:rsidRPr="00E1372C" w:rsidRDefault="009929E5" w:rsidP="00CE2771">
      <w:pPr>
        <w:pStyle w:val="Bullet1G"/>
      </w:pPr>
      <w:r w:rsidRPr="00E1372C">
        <w:t>Convention (n</w:t>
      </w:r>
      <w:r w:rsidR="00B277C4" w:rsidRPr="00E1372C">
        <w:rPr>
          <w:vertAlign w:val="superscript"/>
        </w:rPr>
        <w:t>o</w:t>
      </w:r>
      <w:r w:rsidRPr="00E1372C">
        <w:t> 158) sur le licenciement, 1982, ratifiée le 28 juin 1996</w:t>
      </w:r>
      <w:r w:rsidR="00A55A0E" w:rsidRPr="00E1372C">
        <w:t>.</w:t>
      </w:r>
    </w:p>
    <w:p w:rsidR="009929E5" w:rsidRPr="00E1372C" w:rsidRDefault="007A1757" w:rsidP="007A1757">
      <w:pPr>
        <w:pStyle w:val="SingleTxtG"/>
        <w:rPr>
          <w:lang w:val="fr-FR" w:bidi="en-US"/>
        </w:rPr>
      </w:pPr>
      <w:r w:rsidRPr="00E1372C">
        <w:rPr>
          <w:lang w:val="fr-FR" w:bidi="en-US"/>
        </w:rPr>
        <w:t>191.</w:t>
      </w:r>
      <w:r w:rsidRPr="00E1372C">
        <w:rPr>
          <w:lang w:val="fr-FR" w:bidi="en-US"/>
        </w:rPr>
        <w:tab/>
      </w:r>
      <w:r w:rsidR="009929E5" w:rsidRPr="00E1372C">
        <w:rPr>
          <w:lang w:val="fr-FR" w:bidi="en-US"/>
        </w:rPr>
        <w:t>Compte tenu des ratifications ci-dessus et des dispositions constitutionnelles, il est manifeste que les syndicats en Namibie ont le droit d</w:t>
      </w:r>
      <w:r w:rsidR="00731F09" w:rsidRPr="00E1372C">
        <w:rPr>
          <w:lang w:val="fr-FR" w:bidi="en-US"/>
        </w:rPr>
        <w:t>’</w:t>
      </w:r>
      <w:r w:rsidR="009929E5" w:rsidRPr="00E1372C">
        <w:rPr>
          <w:lang w:val="fr-FR" w:bidi="en-US"/>
        </w:rPr>
        <w:t>adhérer à des organisations et des fédérations internationales du travail de leur choix.</w:t>
      </w:r>
    </w:p>
    <w:p w:rsidR="009929E5" w:rsidRPr="00E1372C" w:rsidRDefault="007A1757" w:rsidP="007A1757">
      <w:pPr>
        <w:pStyle w:val="SingleTxtG"/>
        <w:rPr>
          <w:lang w:val="fr-FR" w:bidi="en-US"/>
        </w:rPr>
      </w:pPr>
      <w:bookmarkStart w:id="4" w:name="_Toc13632570"/>
      <w:r w:rsidRPr="00E1372C">
        <w:rPr>
          <w:lang w:val="fr-FR" w:bidi="en-US"/>
        </w:rPr>
        <w:t>192.</w:t>
      </w:r>
      <w:r w:rsidRPr="00E1372C">
        <w:rPr>
          <w:lang w:val="fr-FR" w:bidi="en-US"/>
        </w:rPr>
        <w:tab/>
      </w:r>
      <w:r w:rsidR="009929E5" w:rsidRPr="00E1372C">
        <w:rPr>
          <w:lang w:val="fr-FR" w:bidi="en-US"/>
        </w:rPr>
        <w:t>Toute personne est libre d</w:t>
      </w:r>
      <w:r w:rsidR="00731F09" w:rsidRPr="00E1372C">
        <w:rPr>
          <w:lang w:val="fr-FR" w:bidi="en-US"/>
        </w:rPr>
        <w:t>’</w:t>
      </w:r>
      <w:r w:rsidR="009929E5" w:rsidRPr="00E1372C">
        <w:rPr>
          <w:lang w:val="fr-FR" w:bidi="en-US"/>
        </w:rPr>
        <w:t>adhérer à un syndicat de son choix</w:t>
      </w:r>
      <w:r w:rsidR="00AE017E" w:rsidRPr="00E1372C">
        <w:rPr>
          <w:lang w:val="fr-FR" w:bidi="en-US"/>
        </w:rPr>
        <w:t>:</w:t>
      </w:r>
      <w:r w:rsidR="009929E5" w:rsidRPr="00E1372C">
        <w:rPr>
          <w:lang w:val="fr-FR" w:bidi="en-US"/>
        </w:rPr>
        <w:t xml:space="preserve"> c</w:t>
      </w:r>
      <w:r w:rsidR="00731F09" w:rsidRPr="00E1372C">
        <w:rPr>
          <w:lang w:val="fr-FR" w:bidi="en-US"/>
        </w:rPr>
        <w:t>’</w:t>
      </w:r>
      <w:r w:rsidR="009929E5" w:rsidRPr="00E1372C">
        <w:rPr>
          <w:lang w:val="fr-FR" w:bidi="en-US"/>
        </w:rPr>
        <w:t>est là une liberté fondamentale constitutionnelle au sens de l</w:t>
      </w:r>
      <w:r w:rsidR="00731F09" w:rsidRPr="00E1372C">
        <w:rPr>
          <w:lang w:val="fr-FR" w:bidi="en-US"/>
        </w:rPr>
        <w:t>’</w:t>
      </w:r>
      <w:r w:rsidR="009929E5" w:rsidRPr="00E1372C">
        <w:rPr>
          <w:lang w:val="fr-FR" w:bidi="en-US"/>
        </w:rPr>
        <w:t>article 21 de la Constitution. Aucune restriction ni condition légale n</w:t>
      </w:r>
      <w:r w:rsidR="00731F09" w:rsidRPr="00E1372C">
        <w:rPr>
          <w:lang w:val="fr-FR" w:bidi="en-US"/>
        </w:rPr>
        <w:t>’</w:t>
      </w:r>
      <w:r w:rsidR="009929E5" w:rsidRPr="00E1372C">
        <w:rPr>
          <w:lang w:val="fr-FR" w:bidi="en-US"/>
        </w:rPr>
        <w:t>empêche un travailleur d</w:t>
      </w:r>
      <w:r w:rsidR="00731F09" w:rsidRPr="00E1372C">
        <w:rPr>
          <w:lang w:val="fr-FR" w:bidi="en-US"/>
        </w:rPr>
        <w:t>’</w:t>
      </w:r>
      <w:r w:rsidR="009929E5" w:rsidRPr="00E1372C">
        <w:rPr>
          <w:lang w:val="fr-FR" w:bidi="en-US"/>
        </w:rPr>
        <w:t>adhérer à un syndicat ou de le former. Toutefois, la loi relative au travail impose aux travailleurs des conditions pour que leur syndicat soit reconnu comme tel. La loi s</w:t>
      </w:r>
      <w:r w:rsidR="00731F09" w:rsidRPr="00E1372C">
        <w:rPr>
          <w:lang w:val="fr-FR" w:bidi="en-US"/>
        </w:rPr>
        <w:t>’</w:t>
      </w:r>
      <w:r w:rsidR="009929E5" w:rsidRPr="00E1372C">
        <w:rPr>
          <w:lang w:val="fr-FR" w:bidi="en-US"/>
        </w:rPr>
        <w:t>applique également aux fonctionnaires du secteur public.</w:t>
      </w:r>
    </w:p>
    <w:p w:rsidR="009929E5" w:rsidRPr="00E1372C" w:rsidRDefault="007A1757" w:rsidP="007A1757">
      <w:pPr>
        <w:pStyle w:val="SingleTxtG"/>
        <w:rPr>
          <w:rFonts w:ascii="Garamond" w:hAnsi="Garamond"/>
          <w:lang w:val="fr-FR" w:bidi="en-US"/>
        </w:rPr>
      </w:pPr>
      <w:r w:rsidRPr="00E1372C">
        <w:rPr>
          <w:lang w:val="fr-FR" w:bidi="en-US"/>
        </w:rPr>
        <w:t>193.</w:t>
      </w:r>
      <w:r w:rsidRPr="00E1372C">
        <w:rPr>
          <w:lang w:val="fr-FR" w:bidi="en-US"/>
        </w:rPr>
        <w:tab/>
      </w:r>
      <w:r w:rsidR="009929E5" w:rsidRPr="00E1372C">
        <w:rPr>
          <w:lang w:val="fr-FR" w:bidi="en-US"/>
        </w:rPr>
        <w:t>Le droit de grève peut être limité seulement pour les employés des services essentiels. La loi relative au travail ne définit pas ces services</w:t>
      </w:r>
      <w:r w:rsidR="003D3360" w:rsidRPr="00E1372C">
        <w:rPr>
          <w:lang w:val="fr-FR" w:bidi="en-US"/>
        </w:rPr>
        <w:t>,</w:t>
      </w:r>
      <w:r w:rsidR="009929E5" w:rsidRPr="00E1372C">
        <w:rPr>
          <w:lang w:val="fr-FR" w:bidi="en-US"/>
        </w:rPr>
        <w:t xml:space="preserve"> mais les employeurs ont le droit de demander au ministre de déclarer que ces services sont essentiels.</w:t>
      </w:r>
    </w:p>
    <w:p w:rsidR="00A55A0E" w:rsidRPr="00E1372C" w:rsidRDefault="00A55A0E" w:rsidP="00A55A0E">
      <w:pPr>
        <w:pStyle w:val="H1G"/>
        <w:rPr>
          <w:lang w:val="fr-FR" w:bidi="en-US"/>
        </w:rPr>
      </w:pPr>
      <w:r w:rsidRPr="00E1372C">
        <w:rPr>
          <w:lang w:val="fr-FR"/>
        </w:rPr>
        <w:tab/>
      </w:r>
      <w:r w:rsidRPr="00E1372C">
        <w:rPr>
          <w:lang w:val="fr-FR"/>
        </w:rPr>
        <w:tab/>
        <w:t>Article 9</w:t>
      </w:r>
      <w:bookmarkEnd w:id="4"/>
      <w:r w:rsidR="00140CFC" w:rsidRPr="00E1372C">
        <w:rPr>
          <w:lang w:val="fr-FR"/>
        </w:rPr>
        <w:br/>
        <w:t xml:space="preserve">Sécurité </w:t>
      </w:r>
      <w:r w:rsidR="009929E5" w:rsidRPr="00E1372C">
        <w:rPr>
          <w:lang w:val="fr-FR"/>
        </w:rPr>
        <w:t>sociale et assurances sociales</w:t>
      </w:r>
    </w:p>
    <w:p w:rsidR="009929E5" w:rsidRPr="00E1372C" w:rsidRDefault="007A1757" w:rsidP="007A1757">
      <w:pPr>
        <w:pStyle w:val="SingleTxtG"/>
        <w:rPr>
          <w:lang w:val="fr-FR" w:bidi="en-US"/>
        </w:rPr>
      </w:pPr>
      <w:r w:rsidRPr="00E1372C">
        <w:rPr>
          <w:lang w:val="fr-FR" w:bidi="en-US"/>
        </w:rPr>
        <w:t>194.</w:t>
      </w:r>
      <w:r w:rsidRPr="00E1372C">
        <w:rPr>
          <w:lang w:val="fr-FR" w:bidi="en-US"/>
        </w:rPr>
        <w:tab/>
      </w:r>
      <w:r w:rsidR="009929E5" w:rsidRPr="00E1372C">
        <w:rPr>
          <w:lang w:val="fr-FR" w:bidi="en-US"/>
        </w:rPr>
        <w:t>La sécurité sociale fait partie intégrante des efforts déployés par le Gouvernement pour favoriser le bien de la population. Deux lois régissent le programme de sécurité sociale</w:t>
      </w:r>
      <w:r w:rsidR="00AE017E" w:rsidRPr="00E1372C">
        <w:rPr>
          <w:lang w:val="fr-FR" w:bidi="en-US"/>
        </w:rPr>
        <w:t>:</w:t>
      </w:r>
      <w:r w:rsidR="009929E5" w:rsidRPr="00E1372C">
        <w:rPr>
          <w:lang w:val="fr-FR" w:bidi="en-US"/>
        </w:rPr>
        <w:t xml:space="preserve"> la loi n</w:t>
      </w:r>
      <w:r w:rsidR="00B277C4" w:rsidRPr="00E1372C">
        <w:rPr>
          <w:vertAlign w:val="superscript"/>
          <w:lang w:val="fr-FR" w:bidi="en-US"/>
        </w:rPr>
        <w:t>o</w:t>
      </w:r>
      <w:r w:rsidR="009929E5" w:rsidRPr="00E1372C">
        <w:rPr>
          <w:lang w:val="fr-FR" w:bidi="en-US"/>
        </w:rPr>
        <w:t> </w:t>
      </w:r>
      <w:r w:rsidR="007E73A0" w:rsidRPr="00E1372C">
        <w:rPr>
          <w:lang w:val="fr-FR" w:bidi="en-US"/>
        </w:rPr>
        <w:t>30</w:t>
      </w:r>
      <w:r w:rsidR="00281E4A" w:rsidRPr="00E1372C">
        <w:rPr>
          <w:lang w:val="fr-FR" w:bidi="en-US"/>
        </w:rPr>
        <w:t xml:space="preserve"> de 1941</w:t>
      </w:r>
      <w:r w:rsidR="00AE017E" w:rsidRPr="00E1372C">
        <w:rPr>
          <w:lang w:val="fr-FR" w:bidi="en-US"/>
        </w:rPr>
        <w:t xml:space="preserve"> </w:t>
      </w:r>
      <w:r w:rsidR="007E73A0" w:rsidRPr="00E1372C">
        <w:rPr>
          <w:lang w:val="fr-FR" w:bidi="en-US"/>
        </w:rPr>
        <w:t>relative à la réparation des accidents du travail et des maladies professionnelles telle que modifiée et la loi n</w:t>
      </w:r>
      <w:r w:rsidR="00B277C4" w:rsidRPr="00E1372C">
        <w:rPr>
          <w:vertAlign w:val="superscript"/>
          <w:lang w:val="fr-FR" w:bidi="en-US"/>
        </w:rPr>
        <w:t>o</w:t>
      </w:r>
      <w:r w:rsidR="007E73A0" w:rsidRPr="00E1372C">
        <w:rPr>
          <w:lang w:val="fr-FR" w:bidi="en-US"/>
        </w:rPr>
        <w:t xml:space="preserve"> 34 </w:t>
      </w:r>
      <w:r w:rsidR="00281E4A" w:rsidRPr="00E1372C">
        <w:rPr>
          <w:lang w:val="fr-FR" w:bidi="en-US"/>
        </w:rPr>
        <w:t xml:space="preserve">de 1994 </w:t>
      </w:r>
      <w:r w:rsidR="007E73A0" w:rsidRPr="00E1372C">
        <w:rPr>
          <w:lang w:val="fr-FR" w:bidi="en-US"/>
        </w:rPr>
        <w:t>sur la sécurité sociale. La modification apportée à la loi n</w:t>
      </w:r>
      <w:r w:rsidR="00B277C4" w:rsidRPr="00E1372C">
        <w:rPr>
          <w:vertAlign w:val="superscript"/>
          <w:lang w:val="fr-FR" w:bidi="en-US"/>
        </w:rPr>
        <w:t>o</w:t>
      </w:r>
      <w:r w:rsidR="007E73A0" w:rsidRPr="00E1372C">
        <w:rPr>
          <w:lang w:val="fr-FR" w:bidi="en-US"/>
        </w:rPr>
        <w:t> 30 invite à mettre en place une caisse des accidents et une caisse d</w:t>
      </w:r>
      <w:r w:rsidR="00731F09" w:rsidRPr="00E1372C">
        <w:rPr>
          <w:lang w:val="fr-FR" w:bidi="en-US"/>
        </w:rPr>
        <w:t>’</w:t>
      </w:r>
      <w:r w:rsidR="007E73A0" w:rsidRPr="00E1372C">
        <w:rPr>
          <w:lang w:val="fr-FR" w:bidi="en-US"/>
        </w:rPr>
        <w:t>assurance accident</w:t>
      </w:r>
      <w:r w:rsidR="00FB45FB" w:rsidRPr="00E1372C">
        <w:rPr>
          <w:lang w:val="fr-FR" w:bidi="en-US"/>
        </w:rPr>
        <w:t>; elle établit le cadre d</w:t>
      </w:r>
      <w:r w:rsidR="00731F09" w:rsidRPr="00E1372C">
        <w:rPr>
          <w:lang w:val="fr-FR" w:bidi="en-US"/>
        </w:rPr>
        <w:t>’</w:t>
      </w:r>
      <w:r w:rsidR="00FB45FB" w:rsidRPr="00E1372C">
        <w:rPr>
          <w:lang w:val="fr-FR" w:bidi="en-US"/>
        </w:rPr>
        <w:t>assurances pour perte de gain due aux accidents du travail et</w:t>
      </w:r>
      <w:r w:rsidR="00281E4A" w:rsidRPr="00E1372C">
        <w:rPr>
          <w:lang w:val="fr-FR" w:bidi="en-US"/>
        </w:rPr>
        <w:t xml:space="preserve"> aux</w:t>
      </w:r>
      <w:r w:rsidR="00FB45FB" w:rsidRPr="00E1372C">
        <w:rPr>
          <w:lang w:val="fr-FR" w:bidi="en-US"/>
        </w:rPr>
        <w:t xml:space="preserve"> maladies professionnelles </w:t>
      </w:r>
      <w:r w:rsidR="003D3360" w:rsidRPr="00E1372C">
        <w:rPr>
          <w:lang w:val="fr-FR" w:bidi="en-US"/>
        </w:rPr>
        <w:t xml:space="preserve">survenues </w:t>
      </w:r>
      <w:r w:rsidR="00FB45FB" w:rsidRPr="00E1372C">
        <w:rPr>
          <w:lang w:val="fr-FR" w:bidi="en-US"/>
        </w:rPr>
        <w:t>en cours d</w:t>
      </w:r>
      <w:r w:rsidR="00731F09" w:rsidRPr="00E1372C">
        <w:rPr>
          <w:lang w:val="fr-FR" w:bidi="en-US"/>
        </w:rPr>
        <w:t>’</w:t>
      </w:r>
      <w:r w:rsidR="00FB45FB" w:rsidRPr="00E1372C">
        <w:rPr>
          <w:lang w:val="fr-FR" w:bidi="en-US"/>
        </w:rPr>
        <w:t>emploi.</w:t>
      </w:r>
    </w:p>
    <w:p w:rsidR="00FB45FB" w:rsidRPr="00E1372C" w:rsidRDefault="007A1757" w:rsidP="007A1757">
      <w:pPr>
        <w:pStyle w:val="SingleTxtG"/>
        <w:rPr>
          <w:lang w:val="fr-FR" w:bidi="en-US"/>
        </w:rPr>
      </w:pPr>
      <w:r w:rsidRPr="00E1372C">
        <w:rPr>
          <w:lang w:val="fr-FR" w:bidi="en-US"/>
        </w:rPr>
        <w:t>195.</w:t>
      </w:r>
      <w:r w:rsidRPr="00E1372C">
        <w:rPr>
          <w:lang w:val="fr-FR" w:bidi="en-US"/>
        </w:rPr>
        <w:tab/>
      </w:r>
      <w:r w:rsidR="00FB45FB" w:rsidRPr="00E1372C">
        <w:rPr>
          <w:lang w:val="fr-FR" w:bidi="en-US"/>
        </w:rPr>
        <w:t>La loi sur la sécurité sociale dispose en matière d</w:t>
      </w:r>
      <w:r w:rsidR="00731F09" w:rsidRPr="00E1372C">
        <w:rPr>
          <w:lang w:val="fr-FR" w:bidi="en-US"/>
        </w:rPr>
        <w:t>’</w:t>
      </w:r>
      <w:r w:rsidR="00FB45FB" w:rsidRPr="00E1372C">
        <w:rPr>
          <w:lang w:val="fr-FR" w:bidi="en-US"/>
        </w:rPr>
        <w:t>établissement, de constitution, de pouvoirs, d</w:t>
      </w:r>
      <w:r w:rsidR="00731F09" w:rsidRPr="00E1372C">
        <w:rPr>
          <w:lang w:val="fr-FR" w:bidi="en-US"/>
        </w:rPr>
        <w:t>’</w:t>
      </w:r>
      <w:r w:rsidR="00FB45FB" w:rsidRPr="00E1372C">
        <w:rPr>
          <w:lang w:val="fr-FR" w:bidi="en-US"/>
        </w:rPr>
        <w:t>obligations et de fonctions de la Commission de la sécurité sociale, ainsi que de versement des prestations pour congé maternité, congé maladie et décès. La loi demande que tous les employeurs et les salariés soient enregistrés auprès de la Commission et paient les cotisations mensuelles à la Caisse. En 2000, sur quelque 400 000 salariés en Namibie, 292 555 au total étaient enregistrés auprès de la Commission de la sécurité sociale comme membres et 18 936 certificats ont été délivrés aux employeurs.</w:t>
      </w:r>
    </w:p>
    <w:p w:rsidR="00FB45FB" w:rsidRPr="00E1372C" w:rsidRDefault="007A1757" w:rsidP="007A1757">
      <w:pPr>
        <w:pStyle w:val="SingleTxtG"/>
        <w:rPr>
          <w:b/>
          <w:lang w:val="fr-FR" w:bidi="en-US"/>
        </w:rPr>
      </w:pPr>
      <w:r w:rsidRPr="00E1372C">
        <w:rPr>
          <w:lang w:val="fr-FR" w:bidi="en-US"/>
        </w:rPr>
        <w:t>196.</w:t>
      </w:r>
      <w:r w:rsidRPr="00E1372C">
        <w:rPr>
          <w:lang w:val="fr-FR" w:bidi="en-US"/>
        </w:rPr>
        <w:tab/>
      </w:r>
      <w:r w:rsidR="00FB45FB" w:rsidRPr="00E1372C">
        <w:rPr>
          <w:lang w:val="fr-FR" w:bidi="en-US"/>
        </w:rPr>
        <w:t>Depuis</w:t>
      </w:r>
      <w:r w:rsidR="00A55A0E" w:rsidRPr="00E1372C">
        <w:rPr>
          <w:lang w:val="fr-FR" w:bidi="en-US"/>
        </w:rPr>
        <w:t xml:space="preserve"> 1994, </w:t>
      </w:r>
      <w:r w:rsidR="00FB45FB" w:rsidRPr="00E1372C">
        <w:rPr>
          <w:lang w:val="fr-FR" w:bidi="en-US"/>
        </w:rPr>
        <w:t>la Namibie compte un régime de sécurité sociale qui fonctionne bien, applicable aux travailleurs cotisants. À la suite de la promulgation de la loi n</w:t>
      </w:r>
      <w:r w:rsidR="00B277C4" w:rsidRPr="00E1372C">
        <w:rPr>
          <w:vertAlign w:val="superscript"/>
          <w:lang w:val="fr-FR" w:bidi="en-US"/>
        </w:rPr>
        <w:t>o</w:t>
      </w:r>
      <w:r w:rsidR="00FB45FB" w:rsidRPr="00E1372C">
        <w:rPr>
          <w:lang w:val="fr-FR" w:bidi="en-US"/>
        </w:rPr>
        <w:t xml:space="preserve"> 34 </w:t>
      </w:r>
      <w:r w:rsidR="00234C44" w:rsidRPr="00E1372C">
        <w:rPr>
          <w:lang w:val="fr-FR" w:bidi="en-US"/>
        </w:rPr>
        <w:t xml:space="preserve">de 1994 </w:t>
      </w:r>
      <w:r w:rsidR="00FB45FB" w:rsidRPr="00E1372C">
        <w:rPr>
          <w:lang w:val="fr-FR" w:bidi="en-US"/>
        </w:rPr>
        <w:t>sur la sécurité sociale, la Commission de la sécurité sociale s</w:t>
      </w:r>
      <w:r w:rsidR="00731F09" w:rsidRPr="00E1372C">
        <w:rPr>
          <w:lang w:val="fr-FR" w:bidi="en-US"/>
        </w:rPr>
        <w:t>’</w:t>
      </w:r>
      <w:r w:rsidR="00FB45FB" w:rsidRPr="00E1372C">
        <w:rPr>
          <w:lang w:val="fr-FR" w:bidi="en-US"/>
        </w:rPr>
        <w:t xml:space="preserve">est dotée des moyens suffisants pour administrer la Caisse de prestations pour congé maternité, congé maladie et décès </w:t>
      </w:r>
      <w:r w:rsidR="003D3360" w:rsidRPr="00E1372C">
        <w:rPr>
          <w:lang w:val="fr-FR" w:bidi="en-US"/>
        </w:rPr>
        <w:t xml:space="preserve">(ci-après la Caisse de prestations) </w:t>
      </w:r>
      <w:r w:rsidR="00FB45FB" w:rsidRPr="00E1372C">
        <w:rPr>
          <w:lang w:val="fr-FR" w:bidi="en-US"/>
        </w:rPr>
        <w:t>et la Caisse des accidents.</w:t>
      </w:r>
    </w:p>
    <w:p w:rsidR="00FB45FB" w:rsidRPr="00E1372C" w:rsidRDefault="007A1757" w:rsidP="007A1757">
      <w:pPr>
        <w:pStyle w:val="SingleTxtG"/>
        <w:rPr>
          <w:lang w:val="fr-FR" w:bidi="en-US"/>
        </w:rPr>
      </w:pPr>
      <w:r w:rsidRPr="00E1372C">
        <w:rPr>
          <w:lang w:val="fr-FR" w:bidi="en-US"/>
        </w:rPr>
        <w:t>197.</w:t>
      </w:r>
      <w:r w:rsidRPr="00E1372C">
        <w:rPr>
          <w:lang w:val="fr-FR" w:bidi="en-US"/>
        </w:rPr>
        <w:tab/>
      </w:r>
      <w:r w:rsidR="00FB45FB" w:rsidRPr="00E1372C">
        <w:rPr>
          <w:lang w:val="fr-FR" w:bidi="en-US"/>
        </w:rPr>
        <w:t>La Caisse de prestations prescrit cinq types d</w:t>
      </w:r>
      <w:r w:rsidR="00731F09" w:rsidRPr="00E1372C">
        <w:rPr>
          <w:lang w:val="fr-FR" w:bidi="en-US"/>
        </w:rPr>
        <w:t>’</w:t>
      </w:r>
      <w:r w:rsidR="00FB45FB" w:rsidRPr="00E1372C">
        <w:rPr>
          <w:lang w:val="fr-FR" w:bidi="en-US"/>
        </w:rPr>
        <w:t>a</w:t>
      </w:r>
      <w:r w:rsidR="003D3360" w:rsidRPr="00E1372C">
        <w:rPr>
          <w:lang w:val="fr-FR" w:bidi="en-US"/>
        </w:rPr>
        <w:t>llocation</w:t>
      </w:r>
      <w:r w:rsidR="00FB45FB" w:rsidRPr="00E1372C">
        <w:rPr>
          <w:lang w:val="fr-FR" w:bidi="en-US"/>
        </w:rPr>
        <w:t>s en cas de maternité, de maladie, de décès, d</w:t>
      </w:r>
      <w:r w:rsidR="00731F09" w:rsidRPr="00E1372C">
        <w:rPr>
          <w:lang w:val="fr-FR" w:bidi="en-US"/>
        </w:rPr>
        <w:t>’</w:t>
      </w:r>
      <w:r w:rsidR="00FB45FB" w:rsidRPr="00E1372C">
        <w:rPr>
          <w:lang w:val="fr-FR" w:bidi="en-US"/>
        </w:rPr>
        <w:t>invalidité et de retraite; la Caisse des accidents pourvoit au</w:t>
      </w:r>
      <w:r w:rsidR="00AE017E" w:rsidRPr="00E1372C">
        <w:rPr>
          <w:lang w:val="fr-FR" w:bidi="en-US"/>
        </w:rPr>
        <w:t xml:space="preserve"> </w:t>
      </w:r>
      <w:r w:rsidR="00FB45FB" w:rsidRPr="00E1372C">
        <w:rPr>
          <w:lang w:val="fr-FR" w:bidi="en-US"/>
        </w:rPr>
        <w:t xml:space="preserve">paiement des indemnisations et des frais médicaux raisonnables concernant les accidents du travail ou </w:t>
      </w:r>
      <w:r w:rsidR="003D3360" w:rsidRPr="00E1372C">
        <w:rPr>
          <w:lang w:val="fr-FR" w:bidi="en-US"/>
        </w:rPr>
        <w:t xml:space="preserve">les </w:t>
      </w:r>
      <w:r w:rsidR="00FB45FB" w:rsidRPr="00E1372C">
        <w:rPr>
          <w:lang w:val="fr-FR" w:bidi="en-US"/>
        </w:rPr>
        <w:t>maladies professionnelles contractées par les salariés en cours d</w:t>
      </w:r>
      <w:r w:rsidR="00731F09" w:rsidRPr="00E1372C">
        <w:rPr>
          <w:lang w:val="fr-FR" w:bidi="en-US"/>
        </w:rPr>
        <w:t>’</w:t>
      </w:r>
      <w:r w:rsidR="00FB45FB" w:rsidRPr="00E1372C">
        <w:rPr>
          <w:lang w:val="fr-FR" w:bidi="en-US"/>
        </w:rPr>
        <w:t>emploi.</w:t>
      </w:r>
    </w:p>
    <w:p w:rsidR="00A55A0E" w:rsidRPr="00E1372C" w:rsidRDefault="00140CFC" w:rsidP="00140CFC">
      <w:pPr>
        <w:pStyle w:val="H23G"/>
        <w:rPr>
          <w:lang w:val="fr-FR" w:bidi="en-US"/>
        </w:rPr>
      </w:pPr>
      <w:r w:rsidRPr="00E1372C">
        <w:rPr>
          <w:lang w:val="fr-FR" w:bidi="en-US"/>
        </w:rPr>
        <w:tab/>
      </w:r>
      <w:r w:rsidRPr="00E1372C">
        <w:rPr>
          <w:lang w:val="fr-FR" w:bidi="en-US"/>
        </w:rPr>
        <w:tab/>
      </w:r>
      <w:r w:rsidR="00FB45FB" w:rsidRPr="00E1372C">
        <w:rPr>
          <w:lang w:val="fr-FR" w:bidi="en-US"/>
        </w:rPr>
        <w:t>Caisse de prestations</w:t>
      </w:r>
    </w:p>
    <w:p w:rsidR="00FB45FB" w:rsidRPr="00E1372C" w:rsidRDefault="007A1757" w:rsidP="007A1757">
      <w:pPr>
        <w:pStyle w:val="SingleTxtG"/>
        <w:rPr>
          <w:lang w:val="fr-FR" w:bidi="en-US"/>
        </w:rPr>
      </w:pPr>
      <w:r w:rsidRPr="00E1372C">
        <w:rPr>
          <w:lang w:val="fr-FR" w:bidi="en-US"/>
        </w:rPr>
        <w:t>198.</w:t>
      </w:r>
      <w:r w:rsidRPr="00E1372C">
        <w:rPr>
          <w:lang w:val="fr-FR" w:bidi="en-US"/>
        </w:rPr>
        <w:tab/>
      </w:r>
      <w:r w:rsidR="00FB45FB" w:rsidRPr="00E1372C">
        <w:rPr>
          <w:lang w:val="fr-FR" w:bidi="en-US"/>
        </w:rPr>
        <w:t>À la suite de la promulgation de la réglementation par le Ministère du travail le 1</w:t>
      </w:r>
      <w:r w:rsidR="00FB45FB" w:rsidRPr="00E1372C">
        <w:rPr>
          <w:vertAlign w:val="superscript"/>
          <w:lang w:val="fr-FR" w:bidi="en-US"/>
        </w:rPr>
        <w:t>er</w:t>
      </w:r>
      <w:r w:rsidR="00FB45FB" w:rsidRPr="00E1372C">
        <w:rPr>
          <w:lang w:val="fr-FR" w:bidi="en-US"/>
        </w:rPr>
        <w:t xml:space="preserve"> novembre 1995, la Commission de la sécurité sociale a commencé à enregistrer les salariés en janvier 1996. La Caisse </w:t>
      </w:r>
      <w:r w:rsidR="003D3360" w:rsidRPr="00E1372C">
        <w:rPr>
          <w:lang w:val="fr-FR" w:bidi="en-US"/>
        </w:rPr>
        <w:t xml:space="preserve">de prestations </w:t>
      </w:r>
      <w:r w:rsidR="00FB45FB" w:rsidRPr="00E1372C">
        <w:rPr>
          <w:lang w:val="fr-FR" w:bidi="en-US"/>
        </w:rPr>
        <w:t xml:space="preserve">a versé la première </w:t>
      </w:r>
      <w:r w:rsidR="00281E4A" w:rsidRPr="00E1372C">
        <w:rPr>
          <w:lang w:val="fr-FR" w:bidi="en-US"/>
        </w:rPr>
        <w:t>alloc</w:t>
      </w:r>
      <w:r w:rsidR="00FB45FB" w:rsidRPr="00E1372C">
        <w:rPr>
          <w:lang w:val="fr-FR" w:bidi="en-US"/>
        </w:rPr>
        <w:t>ation en juin 1996.</w:t>
      </w:r>
    </w:p>
    <w:p w:rsidR="00FB45FB" w:rsidRPr="00E1372C" w:rsidRDefault="007A1757" w:rsidP="007A1757">
      <w:pPr>
        <w:pStyle w:val="SingleTxtG"/>
        <w:rPr>
          <w:lang w:val="fr-FR" w:bidi="en-US"/>
        </w:rPr>
      </w:pPr>
      <w:r w:rsidRPr="00E1372C">
        <w:rPr>
          <w:lang w:val="fr-FR" w:bidi="en-US"/>
        </w:rPr>
        <w:t>199.</w:t>
      </w:r>
      <w:r w:rsidRPr="00E1372C">
        <w:rPr>
          <w:lang w:val="fr-FR" w:bidi="en-US"/>
        </w:rPr>
        <w:tab/>
      </w:r>
      <w:r w:rsidR="00FB45FB" w:rsidRPr="00E1372C">
        <w:rPr>
          <w:lang w:val="fr-FR" w:bidi="en-US"/>
        </w:rPr>
        <w:t>Le régime concerne aujo</w:t>
      </w:r>
      <w:r w:rsidR="002F1E1C" w:rsidRPr="00E1372C">
        <w:rPr>
          <w:lang w:val="fr-FR" w:bidi="en-US"/>
        </w:rPr>
        <w:t>urd</w:t>
      </w:r>
      <w:r w:rsidR="00731F09" w:rsidRPr="00E1372C">
        <w:rPr>
          <w:lang w:val="fr-FR" w:bidi="en-US"/>
        </w:rPr>
        <w:t>’</w:t>
      </w:r>
      <w:r w:rsidR="002F1E1C" w:rsidRPr="00E1372C">
        <w:rPr>
          <w:lang w:val="fr-FR" w:bidi="en-US"/>
        </w:rPr>
        <w:t xml:space="preserve">hui toutes les personnes de 16 à 65 </w:t>
      </w:r>
      <w:r w:rsidR="00FB45FB" w:rsidRPr="00E1372C">
        <w:rPr>
          <w:lang w:val="fr-FR" w:bidi="en-US"/>
        </w:rPr>
        <w:t>ans. Selon sa définition, un salarié s</w:t>
      </w:r>
      <w:r w:rsidR="00731F09" w:rsidRPr="00E1372C">
        <w:rPr>
          <w:lang w:val="fr-FR" w:bidi="en-US"/>
        </w:rPr>
        <w:t>’</w:t>
      </w:r>
      <w:r w:rsidR="00FB45FB" w:rsidRPr="00E1372C">
        <w:rPr>
          <w:lang w:val="fr-FR" w:bidi="en-US"/>
        </w:rPr>
        <w:t>entend d</w:t>
      </w:r>
      <w:r w:rsidR="00731F09" w:rsidRPr="00E1372C">
        <w:rPr>
          <w:lang w:val="fr-FR" w:bidi="en-US"/>
        </w:rPr>
        <w:t>’</w:t>
      </w:r>
      <w:r w:rsidR="00FB45FB" w:rsidRPr="00E1372C">
        <w:rPr>
          <w:lang w:val="fr-FR" w:bidi="en-US"/>
        </w:rPr>
        <w:t>une personne, autre qu</w:t>
      </w:r>
      <w:r w:rsidR="00731F09" w:rsidRPr="00E1372C">
        <w:rPr>
          <w:lang w:val="fr-FR" w:bidi="en-US"/>
        </w:rPr>
        <w:t>’</w:t>
      </w:r>
      <w:r w:rsidR="00FB45FB" w:rsidRPr="00E1372C">
        <w:rPr>
          <w:lang w:val="fr-FR" w:bidi="en-US"/>
        </w:rPr>
        <w:t>un entrepreneur indépendant, qui travaille pour un tiers et reçoit ou peut prétendre recevoir une rémunération pour ce travail, ou aide</w:t>
      </w:r>
      <w:r w:rsidR="000A2139" w:rsidRPr="00E1372C">
        <w:rPr>
          <w:lang w:val="fr-FR" w:bidi="en-US"/>
        </w:rPr>
        <w:t xml:space="preserve"> un employeur en Namibie à exercer ou mener ses activités. Les travailleurs indépendants peuvent s</w:t>
      </w:r>
      <w:r w:rsidR="00731F09" w:rsidRPr="00E1372C">
        <w:rPr>
          <w:lang w:val="fr-FR" w:bidi="en-US"/>
        </w:rPr>
        <w:t>’</w:t>
      </w:r>
      <w:r w:rsidR="000A2139" w:rsidRPr="00E1372C">
        <w:rPr>
          <w:lang w:val="fr-FR" w:bidi="en-US"/>
        </w:rPr>
        <w:t>affilier à titre volontaire à la Caisse</w:t>
      </w:r>
      <w:r w:rsidR="003D3360" w:rsidRPr="00E1372C">
        <w:rPr>
          <w:lang w:val="fr-FR" w:bidi="en-US"/>
        </w:rPr>
        <w:t xml:space="preserve"> de prestations</w:t>
      </w:r>
      <w:r w:rsidR="000A2139" w:rsidRPr="00E1372C">
        <w:rPr>
          <w:lang w:val="fr-FR" w:bidi="en-US"/>
        </w:rPr>
        <w:t>.</w:t>
      </w:r>
    </w:p>
    <w:p w:rsidR="000A2139" w:rsidRPr="00E1372C" w:rsidRDefault="007A1757" w:rsidP="007A1757">
      <w:pPr>
        <w:pStyle w:val="SingleTxtG"/>
        <w:rPr>
          <w:lang w:val="fr-FR" w:bidi="en-US"/>
        </w:rPr>
      </w:pPr>
      <w:r w:rsidRPr="00E1372C">
        <w:rPr>
          <w:lang w:val="fr-FR" w:bidi="en-US"/>
        </w:rPr>
        <w:t>200.</w:t>
      </w:r>
      <w:r w:rsidRPr="00E1372C">
        <w:rPr>
          <w:lang w:val="fr-FR" w:bidi="en-US"/>
        </w:rPr>
        <w:tab/>
      </w:r>
      <w:r w:rsidR="000A2139" w:rsidRPr="00E1372C">
        <w:rPr>
          <w:lang w:val="fr-FR" w:bidi="en-US"/>
        </w:rPr>
        <w:t>La Caisse est financée par des cotisations représentant 1,8</w:t>
      </w:r>
      <w:r w:rsidR="007064FC" w:rsidRPr="00E1372C">
        <w:rPr>
          <w:lang w:val="fr-FR" w:bidi="en-US"/>
        </w:rPr>
        <w:t> %</w:t>
      </w:r>
      <w:r w:rsidR="000A2139" w:rsidRPr="00E1372C">
        <w:rPr>
          <w:lang w:val="fr-FR" w:bidi="en-US"/>
        </w:rPr>
        <w:t xml:space="preserve"> de la rémunération </w:t>
      </w:r>
      <w:r w:rsidR="00864121" w:rsidRPr="00E1372C">
        <w:rPr>
          <w:lang w:val="fr-FR" w:bidi="en-US"/>
        </w:rPr>
        <w:t>soumise à cotisation</w:t>
      </w:r>
      <w:r w:rsidR="000A2139" w:rsidRPr="00E1372C">
        <w:rPr>
          <w:lang w:val="fr-FR" w:bidi="en-US"/>
        </w:rPr>
        <w:t xml:space="preserve"> du salarié, ce dernier et l</w:t>
      </w:r>
      <w:r w:rsidR="00731F09" w:rsidRPr="00E1372C">
        <w:rPr>
          <w:lang w:val="fr-FR" w:bidi="en-US"/>
        </w:rPr>
        <w:t>’</w:t>
      </w:r>
      <w:r w:rsidR="000A2139" w:rsidRPr="00E1372C">
        <w:rPr>
          <w:lang w:val="fr-FR" w:bidi="en-US"/>
        </w:rPr>
        <w:t>employeur versant chacun 0,9</w:t>
      </w:r>
      <w:r w:rsidR="007064FC" w:rsidRPr="00E1372C">
        <w:rPr>
          <w:lang w:val="fr-FR" w:bidi="en-US"/>
        </w:rPr>
        <w:t> %</w:t>
      </w:r>
      <w:r w:rsidR="000A2139" w:rsidRPr="00E1372C">
        <w:rPr>
          <w:lang w:val="fr-FR" w:bidi="en-US"/>
        </w:rPr>
        <w:t>. Les travailleurs indépendants paient les deux parts, soit 1,8</w:t>
      </w:r>
      <w:r w:rsidR="007064FC" w:rsidRPr="00E1372C">
        <w:rPr>
          <w:lang w:val="fr-FR" w:bidi="en-US"/>
        </w:rPr>
        <w:t> %</w:t>
      </w:r>
      <w:r w:rsidR="000A2139" w:rsidRPr="00E1372C">
        <w:rPr>
          <w:lang w:val="fr-FR" w:bidi="en-US"/>
        </w:rPr>
        <w:t>. Les cotisations sont prélevées sur le revenu jusqu</w:t>
      </w:r>
      <w:r w:rsidR="00731F09" w:rsidRPr="00E1372C">
        <w:rPr>
          <w:lang w:val="fr-FR" w:bidi="en-US"/>
        </w:rPr>
        <w:t>’</w:t>
      </w:r>
      <w:r w:rsidR="000A2139" w:rsidRPr="00E1372C">
        <w:rPr>
          <w:lang w:val="fr-FR" w:bidi="en-US"/>
        </w:rPr>
        <w:t xml:space="preserve">au plafond de </w:t>
      </w:r>
      <w:r w:rsidR="00A55A0E" w:rsidRPr="00E1372C">
        <w:rPr>
          <w:lang w:val="fr-FR" w:bidi="en-US"/>
        </w:rPr>
        <w:t>6</w:t>
      </w:r>
      <w:r w:rsidR="00140CFC" w:rsidRPr="00E1372C">
        <w:rPr>
          <w:lang w:val="fr-FR" w:bidi="en-US"/>
        </w:rPr>
        <w:t> </w:t>
      </w:r>
      <w:r w:rsidR="00A55A0E" w:rsidRPr="00E1372C">
        <w:rPr>
          <w:lang w:val="fr-FR" w:bidi="en-US"/>
        </w:rPr>
        <w:t>00</w:t>
      </w:r>
      <w:r w:rsidR="00A77D1F" w:rsidRPr="00E1372C">
        <w:rPr>
          <w:lang w:val="fr-FR" w:bidi="en-US"/>
        </w:rPr>
        <w:t>0</w:t>
      </w:r>
      <w:r w:rsidR="000A2139" w:rsidRPr="00E1372C">
        <w:rPr>
          <w:lang w:val="fr-FR" w:bidi="en-US"/>
        </w:rPr>
        <w:t> </w:t>
      </w:r>
      <w:r w:rsidR="00186347" w:rsidRPr="00E1372C">
        <w:rPr>
          <w:lang w:val="fr-FR" w:bidi="en-US"/>
        </w:rPr>
        <w:t>dollars namibiens</w:t>
      </w:r>
      <w:r w:rsidR="000A2139" w:rsidRPr="00E1372C">
        <w:rPr>
          <w:lang w:val="fr-FR" w:bidi="en-US"/>
        </w:rPr>
        <w:t xml:space="preserve"> </w:t>
      </w:r>
      <w:r w:rsidR="00485C81" w:rsidRPr="00E1372C">
        <w:rPr>
          <w:lang w:val="fr-FR" w:bidi="en-US"/>
        </w:rPr>
        <w:t>(700 dollars</w:t>
      </w:r>
      <w:r w:rsidR="002D58B3" w:rsidRPr="00E1372C">
        <w:rPr>
          <w:lang w:val="fr-FR" w:bidi="en-US"/>
        </w:rPr>
        <w:t xml:space="preserve"> É.-U.</w:t>
      </w:r>
      <w:r w:rsidR="00485C81" w:rsidRPr="00E1372C">
        <w:rPr>
          <w:lang w:val="fr-FR" w:bidi="en-US"/>
        </w:rPr>
        <w:t xml:space="preserve">) </w:t>
      </w:r>
      <w:r w:rsidR="000A2139" w:rsidRPr="00E1372C">
        <w:rPr>
          <w:lang w:val="fr-FR" w:bidi="en-US"/>
        </w:rPr>
        <w:t>par mois. Les travailleurs dont le revenu est inférieur à 300 </w:t>
      </w:r>
      <w:r w:rsidR="00186347" w:rsidRPr="00E1372C">
        <w:rPr>
          <w:lang w:val="fr-FR" w:bidi="en-US"/>
        </w:rPr>
        <w:t>dollars namibiens</w:t>
      </w:r>
      <w:r w:rsidR="000A2139" w:rsidRPr="00E1372C">
        <w:rPr>
          <w:lang w:val="fr-FR" w:bidi="en-US"/>
        </w:rPr>
        <w:t xml:space="preserve"> (35 </w:t>
      </w:r>
      <w:r w:rsidR="000A2139" w:rsidRPr="00E1372C">
        <w:rPr>
          <w:lang w:val="fr-FR"/>
        </w:rPr>
        <w:t>dollars</w:t>
      </w:r>
      <w:r w:rsidR="00A301C2" w:rsidRPr="00E1372C">
        <w:rPr>
          <w:lang w:val="fr-FR"/>
        </w:rPr>
        <w:t xml:space="preserve"> É.-U.</w:t>
      </w:r>
      <w:r w:rsidR="000A2139" w:rsidRPr="00E1372C">
        <w:rPr>
          <w:lang w:val="fr-FR"/>
        </w:rPr>
        <w:t>) par mois sont supposés avoir perçu 300 </w:t>
      </w:r>
      <w:r w:rsidR="00186347" w:rsidRPr="00E1372C">
        <w:rPr>
          <w:lang w:val="fr-FR" w:bidi="en-US"/>
        </w:rPr>
        <w:t>dollars namibiens</w:t>
      </w:r>
      <w:r w:rsidR="000A2139" w:rsidRPr="00E1372C">
        <w:rPr>
          <w:lang w:val="fr-FR"/>
        </w:rPr>
        <w:t xml:space="preserve"> aux fins du calcul des cotisations et des prestations. La réglementation précise que la rémunération </w:t>
      </w:r>
      <w:r w:rsidR="00864121" w:rsidRPr="00E1372C">
        <w:rPr>
          <w:lang w:val="fr-FR"/>
        </w:rPr>
        <w:t>soumise à cotisation</w:t>
      </w:r>
      <w:r w:rsidR="000A2139" w:rsidRPr="00E1372C">
        <w:rPr>
          <w:lang w:val="fr-FR"/>
        </w:rPr>
        <w:t xml:space="preserve"> ne comprend pas les primes, allocations et subventions, les remboursements de frais, les pensions de retraite et le paiement des heures supplémentaires.</w:t>
      </w:r>
    </w:p>
    <w:p w:rsidR="000A2139" w:rsidRPr="00E1372C" w:rsidRDefault="007A1757" w:rsidP="007A1757">
      <w:pPr>
        <w:pStyle w:val="SingleTxtG"/>
        <w:rPr>
          <w:lang w:val="fr-FR" w:bidi="en-US"/>
        </w:rPr>
      </w:pPr>
      <w:r w:rsidRPr="00E1372C">
        <w:rPr>
          <w:lang w:val="fr-FR" w:bidi="en-US"/>
        </w:rPr>
        <w:t>201.</w:t>
      </w:r>
      <w:r w:rsidRPr="00E1372C">
        <w:rPr>
          <w:lang w:val="fr-FR" w:bidi="en-US"/>
        </w:rPr>
        <w:tab/>
      </w:r>
      <w:r w:rsidR="000A2139" w:rsidRPr="00E1372C">
        <w:rPr>
          <w:lang w:val="fr-FR" w:bidi="en-US"/>
        </w:rPr>
        <w:t>La Caisse verse les prestations de congé maternité, de congé maladie et de décès. Pour en bénéficier, toute personne assurée doit avoir été membre de la Caisse pendant une période de six mois consécutifs préalable à la demande et avoir payé la cotisation requise intégralement.</w:t>
      </w:r>
    </w:p>
    <w:p w:rsidR="000A2139" w:rsidRPr="00E1372C" w:rsidRDefault="007A1757" w:rsidP="007A1757">
      <w:pPr>
        <w:pStyle w:val="SingleTxtG"/>
        <w:rPr>
          <w:lang w:val="fr-FR" w:bidi="en-US"/>
        </w:rPr>
      </w:pPr>
      <w:r w:rsidRPr="00E1372C">
        <w:rPr>
          <w:lang w:val="fr-FR" w:bidi="en-US"/>
        </w:rPr>
        <w:t>202.</w:t>
      </w:r>
      <w:r w:rsidRPr="00E1372C">
        <w:rPr>
          <w:lang w:val="fr-FR" w:bidi="en-US"/>
        </w:rPr>
        <w:tab/>
      </w:r>
      <w:r w:rsidR="000A2139" w:rsidRPr="00E1372C">
        <w:rPr>
          <w:lang w:val="fr-FR" w:bidi="en-US"/>
        </w:rPr>
        <w:t>Les prestations de maternité sont payables aux assurées pendant quatre semaines avant la date prévue de l</w:t>
      </w:r>
      <w:r w:rsidR="00731F09" w:rsidRPr="00E1372C">
        <w:rPr>
          <w:lang w:val="fr-FR" w:bidi="en-US"/>
        </w:rPr>
        <w:t>’</w:t>
      </w:r>
      <w:r w:rsidR="000A2139" w:rsidRPr="00E1372C">
        <w:rPr>
          <w:lang w:val="fr-FR" w:bidi="en-US"/>
        </w:rPr>
        <w:t>accouchement et huit semaines après la naissance. La prestation représente 100</w:t>
      </w:r>
      <w:r w:rsidR="007064FC" w:rsidRPr="00E1372C">
        <w:rPr>
          <w:lang w:val="fr-FR" w:bidi="en-US"/>
        </w:rPr>
        <w:t> %</w:t>
      </w:r>
      <w:r w:rsidR="000A2139" w:rsidRPr="00E1372C">
        <w:rPr>
          <w:lang w:val="fr-FR" w:bidi="en-US"/>
        </w:rPr>
        <w:t xml:space="preserve"> de la rémunération assurée de la salariée ou au maximum 9 000 </w:t>
      </w:r>
      <w:r w:rsidR="00186347" w:rsidRPr="00E1372C">
        <w:rPr>
          <w:lang w:val="fr-FR" w:bidi="en-US"/>
        </w:rPr>
        <w:t>dollars namibiens</w:t>
      </w:r>
      <w:r w:rsidR="000A2139" w:rsidRPr="00E1372C">
        <w:rPr>
          <w:lang w:val="fr-FR" w:bidi="en-US"/>
        </w:rPr>
        <w:t xml:space="preserve"> (1 058 dollars</w:t>
      </w:r>
      <w:r w:rsidR="00A301C2" w:rsidRPr="00E1372C">
        <w:rPr>
          <w:lang w:val="fr-FR" w:bidi="en-US"/>
        </w:rPr>
        <w:t xml:space="preserve"> É.-U.</w:t>
      </w:r>
      <w:r w:rsidR="000A2139" w:rsidRPr="00E1372C">
        <w:rPr>
          <w:lang w:val="fr-FR" w:bidi="en-US"/>
        </w:rPr>
        <w:t>).</w:t>
      </w:r>
    </w:p>
    <w:p w:rsidR="000A2139" w:rsidRPr="00E1372C" w:rsidRDefault="007A1757" w:rsidP="007A1757">
      <w:pPr>
        <w:pStyle w:val="SingleTxtG"/>
        <w:rPr>
          <w:lang w:val="fr-FR" w:bidi="en-US"/>
        </w:rPr>
      </w:pPr>
      <w:r w:rsidRPr="00E1372C">
        <w:rPr>
          <w:lang w:val="fr-FR" w:bidi="en-US"/>
        </w:rPr>
        <w:t>203.</w:t>
      </w:r>
      <w:r w:rsidRPr="00E1372C">
        <w:rPr>
          <w:lang w:val="fr-FR" w:bidi="en-US"/>
        </w:rPr>
        <w:tab/>
      </w:r>
      <w:r w:rsidR="000A2139" w:rsidRPr="00E1372C">
        <w:rPr>
          <w:lang w:val="fr-FR" w:bidi="en-US"/>
        </w:rPr>
        <w:t>Les prestations de congé maladie sont payables aux membres de la Caisse qui étaient dans l</w:t>
      </w:r>
      <w:r w:rsidR="00731F09" w:rsidRPr="00E1372C">
        <w:rPr>
          <w:lang w:val="fr-FR" w:bidi="en-US"/>
        </w:rPr>
        <w:t>’</w:t>
      </w:r>
      <w:r w:rsidR="000A2139" w:rsidRPr="00E1372C">
        <w:rPr>
          <w:lang w:val="fr-FR" w:bidi="en-US"/>
        </w:rPr>
        <w:t>incapacité de travailler pendant au m</w:t>
      </w:r>
      <w:r w:rsidR="006F7223" w:rsidRPr="00E1372C">
        <w:rPr>
          <w:lang w:val="fr-FR" w:bidi="en-US"/>
        </w:rPr>
        <w:t>oins trente</w:t>
      </w:r>
      <w:r w:rsidR="002F1E1C" w:rsidRPr="00E1372C">
        <w:rPr>
          <w:lang w:val="fr-FR" w:bidi="en-US"/>
        </w:rPr>
        <w:t xml:space="preserve"> </w:t>
      </w:r>
      <w:r w:rsidR="000A2139" w:rsidRPr="00E1372C">
        <w:rPr>
          <w:lang w:val="fr-FR" w:bidi="en-US"/>
        </w:rPr>
        <w:t>jours consécutifs. La prestation est calculée en fonction du nombre de jours pendant lesquels le membre était absent de son travail au motif d</w:t>
      </w:r>
      <w:r w:rsidR="00731F09" w:rsidRPr="00E1372C">
        <w:rPr>
          <w:lang w:val="fr-FR" w:bidi="en-US"/>
        </w:rPr>
        <w:t>’</w:t>
      </w:r>
      <w:r w:rsidR="000A2139" w:rsidRPr="00E1372C">
        <w:rPr>
          <w:lang w:val="fr-FR" w:bidi="en-US"/>
        </w:rPr>
        <w:t>une incapacité et qui dépasse le congé maladie tel que prévu à l</w:t>
      </w:r>
      <w:r w:rsidR="00731F09" w:rsidRPr="00E1372C">
        <w:rPr>
          <w:lang w:val="fr-FR" w:bidi="en-US"/>
        </w:rPr>
        <w:t>’</w:t>
      </w:r>
      <w:r w:rsidR="000A2139" w:rsidRPr="00E1372C">
        <w:rPr>
          <w:lang w:val="fr-FR" w:bidi="en-US"/>
        </w:rPr>
        <w:t>article 24 de la loi relative au travail. Elle est payable pendant deux années consécutives au maximum. Elle s</w:t>
      </w:r>
      <w:r w:rsidR="00731F09" w:rsidRPr="00E1372C">
        <w:rPr>
          <w:lang w:val="fr-FR" w:bidi="en-US"/>
        </w:rPr>
        <w:t>’</w:t>
      </w:r>
      <w:r w:rsidR="000A2139" w:rsidRPr="00E1372C">
        <w:rPr>
          <w:lang w:val="fr-FR" w:bidi="en-US"/>
        </w:rPr>
        <w:t>élève à 75</w:t>
      </w:r>
      <w:r w:rsidR="007064FC" w:rsidRPr="00E1372C">
        <w:rPr>
          <w:lang w:val="fr-FR" w:bidi="en-US"/>
        </w:rPr>
        <w:t> %</w:t>
      </w:r>
      <w:r w:rsidR="000A2139" w:rsidRPr="00E1372C">
        <w:rPr>
          <w:lang w:val="fr-FR" w:bidi="en-US"/>
        </w:rPr>
        <w:t xml:space="preserve"> de la rémunération assurée </w:t>
      </w:r>
      <w:r w:rsidR="002A5C3B" w:rsidRPr="00E1372C">
        <w:rPr>
          <w:lang w:val="fr-FR" w:bidi="en-US"/>
        </w:rPr>
        <w:t xml:space="preserve">du salarié </w:t>
      </w:r>
      <w:r w:rsidR="000A2139" w:rsidRPr="00E1372C">
        <w:rPr>
          <w:lang w:val="fr-FR" w:bidi="en-US"/>
        </w:rPr>
        <w:t xml:space="preserve">pendant les </w:t>
      </w:r>
      <w:r w:rsidR="002A5C3B" w:rsidRPr="00E1372C">
        <w:rPr>
          <w:lang w:val="fr-FR" w:bidi="en-US"/>
        </w:rPr>
        <w:t>douze</w:t>
      </w:r>
      <w:r w:rsidR="00DF3E0E" w:rsidRPr="00E1372C">
        <w:rPr>
          <w:lang w:val="fr-FR" w:bidi="en-US"/>
        </w:rPr>
        <w:t xml:space="preserve"> </w:t>
      </w:r>
      <w:r w:rsidR="000A2139" w:rsidRPr="00E1372C">
        <w:rPr>
          <w:lang w:val="fr-FR" w:bidi="en-US"/>
        </w:rPr>
        <w:t>premiers mois et 65</w:t>
      </w:r>
      <w:r w:rsidR="007064FC" w:rsidRPr="00E1372C">
        <w:rPr>
          <w:lang w:val="fr-FR" w:bidi="en-US"/>
        </w:rPr>
        <w:t> %</w:t>
      </w:r>
      <w:r w:rsidR="000A2139" w:rsidRPr="00E1372C">
        <w:rPr>
          <w:lang w:val="fr-FR" w:bidi="en-US"/>
        </w:rPr>
        <w:t xml:space="preserve"> pendant les </w:t>
      </w:r>
      <w:r w:rsidR="002A5C3B" w:rsidRPr="00E1372C">
        <w:rPr>
          <w:lang w:val="fr-FR" w:bidi="en-US"/>
        </w:rPr>
        <w:t>douze</w:t>
      </w:r>
      <w:r w:rsidR="00DF3E0E" w:rsidRPr="00E1372C">
        <w:rPr>
          <w:lang w:val="fr-FR" w:bidi="en-US"/>
        </w:rPr>
        <w:t xml:space="preserve"> </w:t>
      </w:r>
      <w:r w:rsidR="000A2139" w:rsidRPr="00E1372C">
        <w:rPr>
          <w:lang w:val="fr-FR" w:bidi="en-US"/>
        </w:rPr>
        <w:t>mois suivants.</w:t>
      </w:r>
    </w:p>
    <w:p w:rsidR="000A2139" w:rsidRPr="00E1372C" w:rsidRDefault="007A1757" w:rsidP="007A1757">
      <w:pPr>
        <w:pStyle w:val="SingleTxtG"/>
        <w:rPr>
          <w:lang w:val="fr-FR" w:bidi="en-US"/>
        </w:rPr>
      </w:pPr>
      <w:r w:rsidRPr="00E1372C">
        <w:rPr>
          <w:lang w:val="fr-FR" w:bidi="en-US"/>
        </w:rPr>
        <w:t>204.</w:t>
      </w:r>
      <w:r w:rsidRPr="00E1372C">
        <w:rPr>
          <w:lang w:val="fr-FR" w:bidi="en-US"/>
        </w:rPr>
        <w:tab/>
      </w:r>
      <w:r w:rsidR="000A2139" w:rsidRPr="00E1372C">
        <w:rPr>
          <w:lang w:val="fr-FR" w:bidi="en-US"/>
        </w:rPr>
        <w:t>Un capital</w:t>
      </w:r>
      <w:r w:rsidR="002A5C3B" w:rsidRPr="00E1372C">
        <w:rPr>
          <w:lang w:val="fr-FR" w:bidi="en-US"/>
        </w:rPr>
        <w:t>-</w:t>
      </w:r>
      <w:r w:rsidR="000A2139" w:rsidRPr="00E1372C">
        <w:rPr>
          <w:lang w:val="fr-FR" w:bidi="en-US"/>
        </w:rPr>
        <w:t xml:space="preserve">décès est versé à toute personne </w:t>
      </w:r>
      <w:r w:rsidR="002A5C3B" w:rsidRPr="00E1372C">
        <w:rPr>
          <w:lang w:val="fr-FR" w:bidi="en-US"/>
        </w:rPr>
        <w:t xml:space="preserve">ayant été </w:t>
      </w:r>
      <w:r w:rsidR="000A2139" w:rsidRPr="00E1372C">
        <w:rPr>
          <w:lang w:val="fr-FR" w:bidi="en-US"/>
        </w:rPr>
        <w:t>à la charge du membre décédé qui a rempli les conditions d</w:t>
      </w:r>
      <w:r w:rsidR="00731F09" w:rsidRPr="00E1372C">
        <w:rPr>
          <w:lang w:val="fr-FR" w:bidi="en-US"/>
        </w:rPr>
        <w:t>’</w:t>
      </w:r>
      <w:r w:rsidR="000A2139" w:rsidRPr="00E1372C">
        <w:rPr>
          <w:lang w:val="fr-FR" w:bidi="en-US"/>
        </w:rPr>
        <w:t xml:space="preserve">affiliation et de cotisation. </w:t>
      </w:r>
      <w:r w:rsidR="008109FE" w:rsidRPr="00E1372C">
        <w:rPr>
          <w:lang w:val="fr-FR" w:bidi="en-US"/>
        </w:rPr>
        <w:t>Toutefois, un membre retraité ou en état d</w:t>
      </w:r>
      <w:r w:rsidR="00731F09" w:rsidRPr="00E1372C">
        <w:rPr>
          <w:lang w:val="fr-FR" w:bidi="en-US"/>
        </w:rPr>
        <w:t>’</w:t>
      </w:r>
      <w:r w:rsidR="008109FE" w:rsidRPr="00E1372C">
        <w:rPr>
          <w:lang w:val="fr-FR" w:bidi="en-US"/>
        </w:rPr>
        <w:t>invalidité permanente peut demander la totalité du capital</w:t>
      </w:r>
      <w:r w:rsidR="00281E4A" w:rsidRPr="00E1372C">
        <w:rPr>
          <w:lang w:val="fr-FR" w:bidi="en-US"/>
        </w:rPr>
        <w:t>-</w:t>
      </w:r>
      <w:r w:rsidR="008109FE" w:rsidRPr="00E1372C">
        <w:rPr>
          <w:lang w:val="fr-FR" w:bidi="en-US"/>
        </w:rPr>
        <w:t>décès; aucune autre prestation de ce type ne sera versée au décès. Un montant unique de 5 000 </w:t>
      </w:r>
      <w:r w:rsidR="00186347" w:rsidRPr="00E1372C">
        <w:rPr>
          <w:lang w:val="fr-FR" w:bidi="en-US"/>
        </w:rPr>
        <w:t>dollars namibiens</w:t>
      </w:r>
      <w:r w:rsidR="008109FE" w:rsidRPr="00E1372C">
        <w:rPr>
          <w:lang w:val="fr-FR" w:bidi="en-US"/>
        </w:rPr>
        <w:t xml:space="preserve"> (588 dollars</w:t>
      </w:r>
      <w:r w:rsidR="00A301C2" w:rsidRPr="00E1372C">
        <w:rPr>
          <w:lang w:val="fr-FR" w:bidi="en-US"/>
        </w:rPr>
        <w:t xml:space="preserve"> É.-U.</w:t>
      </w:r>
      <w:r w:rsidR="008109FE" w:rsidRPr="00E1372C">
        <w:rPr>
          <w:lang w:val="fr-FR" w:bidi="en-US"/>
        </w:rPr>
        <w:t xml:space="preserve">) est </w:t>
      </w:r>
      <w:r w:rsidR="002A5C3B" w:rsidRPr="00E1372C">
        <w:rPr>
          <w:lang w:val="fr-FR" w:bidi="en-US"/>
        </w:rPr>
        <w:t>octroy</w:t>
      </w:r>
      <w:r w:rsidR="008109FE" w:rsidRPr="00E1372C">
        <w:rPr>
          <w:lang w:val="fr-FR" w:bidi="en-US"/>
        </w:rPr>
        <w:t>é à ce titre.</w:t>
      </w:r>
    </w:p>
    <w:p w:rsidR="00A55A0E" w:rsidRPr="00E1372C" w:rsidRDefault="00140CFC" w:rsidP="00140CFC">
      <w:pPr>
        <w:pStyle w:val="H23G"/>
        <w:rPr>
          <w:lang w:val="fr-FR" w:bidi="en-US"/>
        </w:rPr>
      </w:pPr>
      <w:r w:rsidRPr="00E1372C">
        <w:rPr>
          <w:lang w:val="fr-FR" w:bidi="en-US"/>
        </w:rPr>
        <w:tab/>
      </w:r>
      <w:r w:rsidRPr="00E1372C">
        <w:rPr>
          <w:lang w:val="fr-FR" w:bidi="en-US"/>
        </w:rPr>
        <w:tab/>
      </w:r>
      <w:r w:rsidR="008109FE" w:rsidRPr="00E1372C">
        <w:rPr>
          <w:lang w:val="fr-FR" w:bidi="en-US"/>
        </w:rPr>
        <w:t>Caisse des accidents</w:t>
      </w:r>
    </w:p>
    <w:p w:rsidR="008109FE" w:rsidRPr="00E1372C" w:rsidRDefault="007A1757" w:rsidP="007A1757">
      <w:pPr>
        <w:pStyle w:val="SingleTxtG"/>
        <w:rPr>
          <w:lang w:val="fr-FR" w:bidi="en-US"/>
        </w:rPr>
      </w:pPr>
      <w:r w:rsidRPr="00E1372C">
        <w:rPr>
          <w:lang w:val="fr-FR" w:bidi="en-US"/>
        </w:rPr>
        <w:t>205.</w:t>
      </w:r>
      <w:r w:rsidRPr="00E1372C">
        <w:rPr>
          <w:lang w:val="fr-FR" w:bidi="en-US"/>
        </w:rPr>
        <w:tab/>
      </w:r>
      <w:r w:rsidR="00A55A0E" w:rsidRPr="00E1372C">
        <w:rPr>
          <w:i/>
          <w:lang w:val="fr-FR" w:bidi="en-US"/>
        </w:rPr>
        <w:t>Memb</w:t>
      </w:r>
      <w:r w:rsidR="008109FE" w:rsidRPr="00E1372C">
        <w:rPr>
          <w:i/>
          <w:lang w:val="fr-FR" w:bidi="en-US"/>
        </w:rPr>
        <w:t>re</w:t>
      </w:r>
      <w:r w:rsidR="002A5C3B" w:rsidRPr="00E1372C">
        <w:rPr>
          <w:i/>
          <w:lang w:val="fr-FR" w:bidi="en-US"/>
        </w:rPr>
        <w:t>s</w:t>
      </w:r>
      <w:r w:rsidR="00A55A0E" w:rsidRPr="00E1372C">
        <w:rPr>
          <w:i/>
          <w:lang w:val="fr-FR" w:bidi="en-US"/>
        </w:rPr>
        <w:t xml:space="preserve"> </w:t>
      </w:r>
      <w:r w:rsidR="008109FE" w:rsidRPr="00E1372C">
        <w:rPr>
          <w:lang w:val="fr-FR" w:bidi="en-US"/>
        </w:rPr>
        <w:t>–</w:t>
      </w:r>
      <w:r w:rsidR="00A55A0E" w:rsidRPr="00E1372C">
        <w:rPr>
          <w:lang w:val="fr-FR" w:bidi="en-US"/>
        </w:rPr>
        <w:t xml:space="preserve"> </w:t>
      </w:r>
      <w:r w:rsidR="008109FE" w:rsidRPr="00E1372C">
        <w:rPr>
          <w:lang w:val="fr-FR" w:bidi="en-US"/>
        </w:rPr>
        <w:t>Tout employeur qui mène des activités en Namibie doit s</w:t>
      </w:r>
      <w:r w:rsidR="00731F09" w:rsidRPr="00E1372C">
        <w:rPr>
          <w:lang w:val="fr-FR" w:bidi="en-US"/>
        </w:rPr>
        <w:t>’</w:t>
      </w:r>
      <w:r w:rsidR="008109FE" w:rsidRPr="00E1372C">
        <w:rPr>
          <w:lang w:val="fr-FR" w:bidi="en-US"/>
        </w:rPr>
        <w:t>inscrire auprès de la Commission de la sécurité sociale et verser des cotisations annuelles à la Caisse des accidents. Les bénéficiaires sont des employés engagés au titre d</w:t>
      </w:r>
      <w:r w:rsidR="00731F09" w:rsidRPr="00E1372C">
        <w:rPr>
          <w:lang w:val="fr-FR" w:bidi="en-US"/>
        </w:rPr>
        <w:t>’</w:t>
      </w:r>
      <w:r w:rsidR="008109FE" w:rsidRPr="00E1372C">
        <w:rPr>
          <w:lang w:val="fr-FR" w:bidi="en-US"/>
        </w:rPr>
        <w:t>un contrat de service ou d</w:t>
      </w:r>
      <w:r w:rsidR="00731F09" w:rsidRPr="00E1372C">
        <w:rPr>
          <w:lang w:val="fr-FR" w:bidi="en-US"/>
        </w:rPr>
        <w:t>’</w:t>
      </w:r>
      <w:r w:rsidR="008109FE" w:rsidRPr="00E1372C">
        <w:rPr>
          <w:lang w:val="fr-FR" w:bidi="en-US"/>
        </w:rPr>
        <w:t>apprentissage auprès d</w:t>
      </w:r>
      <w:r w:rsidR="00731F09" w:rsidRPr="00E1372C">
        <w:rPr>
          <w:lang w:val="fr-FR" w:bidi="en-US"/>
        </w:rPr>
        <w:t>’</w:t>
      </w:r>
      <w:r w:rsidR="008109FE" w:rsidRPr="00E1372C">
        <w:rPr>
          <w:lang w:val="fr-FR" w:bidi="en-US"/>
        </w:rPr>
        <w:t>un employeur, mais également le personnel de maison employé dans des ménages privés. Sont exclues du champ d</w:t>
      </w:r>
      <w:r w:rsidR="00731F09" w:rsidRPr="00E1372C">
        <w:rPr>
          <w:lang w:val="fr-FR" w:bidi="en-US"/>
        </w:rPr>
        <w:t>’</w:t>
      </w:r>
      <w:r w:rsidR="008109FE" w:rsidRPr="00E1372C">
        <w:rPr>
          <w:lang w:val="fr-FR" w:bidi="en-US"/>
        </w:rPr>
        <w:t>application de la loi, entre autres</w:t>
      </w:r>
      <w:r w:rsidR="00AE017E" w:rsidRPr="00E1372C">
        <w:rPr>
          <w:lang w:val="fr-FR" w:bidi="en-US"/>
        </w:rPr>
        <w:t>:</w:t>
      </w:r>
    </w:p>
    <w:p w:rsidR="00A55A0E" w:rsidRPr="00E1372C" w:rsidRDefault="00140CFC" w:rsidP="00CE2771">
      <w:pPr>
        <w:pStyle w:val="Bullet1G"/>
      </w:pPr>
      <w:r w:rsidRPr="00E1372C">
        <w:t xml:space="preserve">Les </w:t>
      </w:r>
      <w:r w:rsidR="008109FE" w:rsidRPr="00E1372C">
        <w:t>personnes qui gagnent plus de 72 000 </w:t>
      </w:r>
      <w:r w:rsidR="00186347" w:rsidRPr="00E1372C">
        <w:t>dollars namibiens</w:t>
      </w:r>
      <w:r w:rsidR="008109FE" w:rsidRPr="00E1372C">
        <w:t xml:space="preserve"> (8 470 dollars</w:t>
      </w:r>
      <w:r w:rsidR="00A301C2" w:rsidRPr="00E1372C">
        <w:t xml:space="preserve"> É.-U.) par an</w:t>
      </w:r>
      <w:r w:rsidR="00A55A0E" w:rsidRPr="00E1372C">
        <w:t>;</w:t>
      </w:r>
    </w:p>
    <w:p w:rsidR="00A55A0E" w:rsidRPr="00E1372C" w:rsidRDefault="00140CFC" w:rsidP="00CE2771">
      <w:pPr>
        <w:pStyle w:val="Bullet1G"/>
      </w:pPr>
      <w:r w:rsidRPr="00E1372C">
        <w:t xml:space="preserve">Toute </w:t>
      </w:r>
      <w:r w:rsidR="008109FE" w:rsidRPr="00E1372C">
        <w:t>personne qui s</w:t>
      </w:r>
      <w:r w:rsidR="00731F09" w:rsidRPr="00E1372C">
        <w:t>’</w:t>
      </w:r>
      <w:r w:rsidR="008109FE" w:rsidRPr="00E1372C">
        <w:t>engage par contrat à exécuter des travaux et les sous-traite et les personnes qui travaillent à la commission ou en contrepartie d</w:t>
      </w:r>
      <w:r w:rsidR="00731F09" w:rsidRPr="00E1372C">
        <w:t>’</w:t>
      </w:r>
      <w:r w:rsidR="008109FE" w:rsidRPr="00E1372C">
        <w:t>une part des recettes</w:t>
      </w:r>
      <w:r w:rsidR="00A55A0E" w:rsidRPr="00E1372C">
        <w:t>;</w:t>
      </w:r>
    </w:p>
    <w:p w:rsidR="00A55A0E" w:rsidRPr="00E1372C" w:rsidRDefault="00140CFC" w:rsidP="00CE2771">
      <w:pPr>
        <w:pStyle w:val="Bullet1G"/>
      </w:pPr>
      <w:r w:rsidRPr="00E1372C">
        <w:t xml:space="preserve">Les </w:t>
      </w:r>
      <w:r w:rsidR="008109FE" w:rsidRPr="00E1372C">
        <w:t xml:space="preserve">personnes qui gagnent plus de </w:t>
      </w:r>
      <w:r w:rsidR="00A55A0E" w:rsidRPr="00E1372C">
        <w:t>72</w:t>
      </w:r>
      <w:r w:rsidR="008109FE" w:rsidRPr="00E1372C">
        <w:t> </w:t>
      </w:r>
      <w:r w:rsidR="00A55A0E" w:rsidRPr="00E1372C">
        <w:t>000</w:t>
      </w:r>
      <w:r w:rsidR="002A5C3B" w:rsidRPr="00E1372C">
        <w:t xml:space="preserve"> </w:t>
      </w:r>
      <w:r w:rsidR="00186347" w:rsidRPr="00E1372C">
        <w:t>dollars namibiens</w:t>
      </w:r>
      <w:r w:rsidR="008109FE" w:rsidRPr="00E1372C">
        <w:t xml:space="preserve"> (</w:t>
      </w:r>
      <w:r w:rsidR="00A55A0E" w:rsidRPr="00E1372C">
        <w:t>8</w:t>
      </w:r>
      <w:r w:rsidR="008109FE" w:rsidRPr="00E1372C">
        <w:t> </w:t>
      </w:r>
      <w:r w:rsidR="00A55A0E" w:rsidRPr="00E1372C">
        <w:t>470</w:t>
      </w:r>
      <w:r w:rsidR="008109FE" w:rsidRPr="00E1372C">
        <w:t> dollars</w:t>
      </w:r>
      <w:r w:rsidR="00A301C2" w:rsidRPr="00E1372C">
        <w:t xml:space="preserve"> É.-U.</w:t>
      </w:r>
      <w:r w:rsidR="00A55A0E" w:rsidRPr="00E1372C">
        <w:t>) p</w:t>
      </w:r>
      <w:r w:rsidR="008109FE" w:rsidRPr="00E1372C">
        <w:t>ar an peuvent néanmoins relever du champ d</w:t>
      </w:r>
      <w:r w:rsidR="00731F09" w:rsidRPr="00E1372C">
        <w:t>’</w:t>
      </w:r>
      <w:r w:rsidR="008109FE" w:rsidRPr="00E1372C">
        <w:t>application de la loi aux termes d</w:t>
      </w:r>
      <w:r w:rsidR="00731F09" w:rsidRPr="00E1372C">
        <w:t>’</w:t>
      </w:r>
      <w:r w:rsidR="008109FE" w:rsidRPr="00E1372C">
        <w:t>un accord particulier conclu entre l</w:t>
      </w:r>
      <w:r w:rsidR="00731F09" w:rsidRPr="00E1372C">
        <w:t>’</w:t>
      </w:r>
      <w:r w:rsidR="008109FE" w:rsidRPr="00E1372C">
        <w:t>employeur et la Commission</w:t>
      </w:r>
      <w:r w:rsidR="00A55A0E" w:rsidRPr="00E1372C">
        <w:t>.</w:t>
      </w:r>
    </w:p>
    <w:p w:rsidR="008109FE" w:rsidRPr="00E1372C" w:rsidRDefault="007A1757" w:rsidP="007A1757">
      <w:pPr>
        <w:pStyle w:val="SingleTxtG"/>
        <w:rPr>
          <w:lang w:val="fr-FR" w:bidi="en-US"/>
        </w:rPr>
      </w:pPr>
      <w:r w:rsidRPr="00E1372C">
        <w:rPr>
          <w:lang w:val="fr-FR" w:bidi="en-US"/>
        </w:rPr>
        <w:t>206.</w:t>
      </w:r>
      <w:r w:rsidRPr="00E1372C">
        <w:rPr>
          <w:lang w:val="fr-FR" w:bidi="en-US"/>
        </w:rPr>
        <w:tab/>
      </w:r>
      <w:r w:rsidR="008109FE" w:rsidRPr="00E1372C">
        <w:rPr>
          <w:lang w:val="fr-FR" w:bidi="en-US"/>
        </w:rPr>
        <w:t>Les cotisations que les employeurs doivent verser à la Caisse des accidents sont établies en fonction de la masse salariale annuelle</w:t>
      </w:r>
      <w:r w:rsidR="00864121" w:rsidRPr="00E1372C">
        <w:rPr>
          <w:lang w:val="fr-FR" w:bidi="en-US"/>
        </w:rPr>
        <w:t xml:space="preserve"> soumise à cotisation</w:t>
      </w:r>
      <w:r w:rsidR="008109FE" w:rsidRPr="00E1372C">
        <w:rPr>
          <w:lang w:val="fr-FR" w:bidi="en-US"/>
        </w:rPr>
        <w:t xml:space="preserve">. Les salaires </w:t>
      </w:r>
      <w:r w:rsidR="000E1242" w:rsidRPr="00E1372C">
        <w:rPr>
          <w:lang w:val="fr-FR" w:bidi="en-US"/>
        </w:rPr>
        <w:t>pris en compte</w:t>
      </w:r>
      <w:r w:rsidR="008109FE" w:rsidRPr="00E1372C">
        <w:rPr>
          <w:lang w:val="fr-FR" w:bidi="en-US"/>
        </w:rPr>
        <w:t xml:space="preserve"> comprennent tout paiement en espèces ou en nature, voire les deux, versé ou dû à un employé, incluant notamment les éléments suivants</w:t>
      </w:r>
      <w:r w:rsidR="00AE017E" w:rsidRPr="00E1372C">
        <w:rPr>
          <w:lang w:val="fr-FR" w:bidi="en-US"/>
        </w:rPr>
        <w:t>:</w:t>
      </w:r>
      <w:r w:rsidR="008109FE" w:rsidRPr="00E1372C">
        <w:rPr>
          <w:lang w:val="fr-FR" w:bidi="en-US"/>
        </w:rPr>
        <w:t xml:space="preserve"> commission, allocation de coût de la vie, valeur de produits alimentaires et </w:t>
      </w:r>
      <w:r w:rsidR="001E2544" w:rsidRPr="00E1372C">
        <w:rPr>
          <w:lang w:val="fr-FR" w:bidi="en-US"/>
        </w:rPr>
        <w:t xml:space="preserve">de </w:t>
      </w:r>
      <w:r w:rsidR="008109FE" w:rsidRPr="00E1372C">
        <w:rPr>
          <w:lang w:val="fr-FR" w:bidi="en-US"/>
        </w:rPr>
        <w:t>logement</w:t>
      </w:r>
      <w:r w:rsidR="001E2544" w:rsidRPr="00E1372C">
        <w:rPr>
          <w:lang w:val="fr-FR" w:bidi="en-US"/>
        </w:rPr>
        <w:t>s</w:t>
      </w:r>
      <w:r w:rsidR="008109FE" w:rsidRPr="00E1372C">
        <w:rPr>
          <w:lang w:val="fr-FR" w:bidi="en-US"/>
        </w:rPr>
        <w:t xml:space="preserve"> fourni</w:t>
      </w:r>
      <w:r w:rsidR="001E2544" w:rsidRPr="00E1372C">
        <w:rPr>
          <w:lang w:val="fr-FR" w:bidi="en-US"/>
        </w:rPr>
        <w:t>s</w:t>
      </w:r>
      <w:r w:rsidR="008109FE" w:rsidRPr="00E1372C">
        <w:rPr>
          <w:lang w:val="fr-FR" w:bidi="en-US"/>
        </w:rPr>
        <w:t xml:space="preserve"> gratuitement par l</w:t>
      </w:r>
      <w:r w:rsidR="00731F09" w:rsidRPr="00E1372C">
        <w:rPr>
          <w:lang w:val="fr-FR" w:bidi="en-US"/>
        </w:rPr>
        <w:t>’</w:t>
      </w:r>
      <w:r w:rsidR="008109FE" w:rsidRPr="00E1372C">
        <w:rPr>
          <w:lang w:val="fr-FR" w:bidi="en-US"/>
        </w:rPr>
        <w:t xml:space="preserve">employeur, ainsi que primes ou autres récompenses ordinaires; en sont exclus le paiement des heures supplémentaires, des frais de voyage et de séjour </w:t>
      </w:r>
      <w:r w:rsidR="00B67EB8" w:rsidRPr="00E1372C">
        <w:rPr>
          <w:lang w:val="fr-FR" w:bidi="en-US"/>
        </w:rPr>
        <w:t>ou tous autres versements en tant que remboursement et paiements occasionnels à titre gracieux d</w:t>
      </w:r>
      <w:r w:rsidR="00731F09" w:rsidRPr="00E1372C">
        <w:rPr>
          <w:lang w:val="fr-FR" w:bidi="en-US"/>
        </w:rPr>
        <w:t>’</w:t>
      </w:r>
      <w:r w:rsidR="00B67EB8" w:rsidRPr="00E1372C">
        <w:rPr>
          <w:lang w:val="fr-FR" w:bidi="en-US"/>
        </w:rPr>
        <w:t>un montant maximal de 60 000 </w:t>
      </w:r>
      <w:r w:rsidR="00186347" w:rsidRPr="00E1372C">
        <w:rPr>
          <w:lang w:val="fr-FR" w:bidi="en-US"/>
        </w:rPr>
        <w:t>dollars namibiens</w:t>
      </w:r>
      <w:r w:rsidR="00B67EB8" w:rsidRPr="00E1372C">
        <w:rPr>
          <w:lang w:val="fr-FR" w:bidi="en-US"/>
        </w:rPr>
        <w:t xml:space="preserve"> (7 058 dollars</w:t>
      </w:r>
      <w:r w:rsidR="00A301C2" w:rsidRPr="00E1372C">
        <w:rPr>
          <w:lang w:val="fr-FR" w:bidi="en-US"/>
        </w:rPr>
        <w:t xml:space="preserve"> É.-U.</w:t>
      </w:r>
      <w:r w:rsidR="00B67EB8" w:rsidRPr="00E1372C">
        <w:rPr>
          <w:lang w:val="fr-FR" w:bidi="en-US"/>
        </w:rPr>
        <w:t>) par an et par employé. Les cotisations sont calculées selon des taux variant en fonction de l</w:t>
      </w:r>
      <w:r w:rsidR="00731F09" w:rsidRPr="00E1372C">
        <w:rPr>
          <w:lang w:val="fr-FR" w:bidi="en-US"/>
        </w:rPr>
        <w:t>’</w:t>
      </w:r>
      <w:r w:rsidR="00B67EB8" w:rsidRPr="00E1372C">
        <w:rPr>
          <w:lang w:val="fr-FR" w:bidi="en-US"/>
        </w:rPr>
        <w:t>activité de l</w:t>
      </w:r>
      <w:r w:rsidR="00731F09" w:rsidRPr="00E1372C">
        <w:rPr>
          <w:lang w:val="fr-FR" w:bidi="en-US"/>
        </w:rPr>
        <w:t>’</w:t>
      </w:r>
      <w:r w:rsidR="00B67EB8" w:rsidRPr="00E1372C">
        <w:rPr>
          <w:lang w:val="fr-FR" w:bidi="en-US"/>
        </w:rPr>
        <w:t>employeur et du risque correspondant d</w:t>
      </w:r>
      <w:r w:rsidR="00731F09" w:rsidRPr="00E1372C">
        <w:rPr>
          <w:lang w:val="fr-FR" w:bidi="en-US"/>
        </w:rPr>
        <w:t>’</w:t>
      </w:r>
      <w:r w:rsidR="00B67EB8" w:rsidRPr="00E1372C">
        <w:rPr>
          <w:lang w:val="fr-FR" w:bidi="en-US"/>
        </w:rPr>
        <w:t>accident ou de maladie.</w:t>
      </w:r>
    </w:p>
    <w:p w:rsidR="00A55A0E" w:rsidRPr="00E1372C" w:rsidRDefault="00A55A0E" w:rsidP="00A55A0E">
      <w:pPr>
        <w:pStyle w:val="H23G"/>
        <w:rPr>
          <w:lang w:val="fr-FR" w:bidi="en-US"/>
        </w:rPr>
      </w:pPr>
      <w:r w:rsidRPr="00E1372C">
        <w:rPr>
          <w:lang w:val="fr-FR" w:bidi="en-US"/>
        </w:rPr>
        <w:tab/>
      </w:r>
      <w:r w:rsidRPr="00E1372C">
        <w:rPr>
          <w:lang w:val="fr-FR" w:bidi="en-US"/>
        </w:rPr>
        <w:tab/>
      </w:r>
      <w:r w:rsidR="00B67EB8" w:rsidRPr="00E1372C">
        <w:rPr>
          <w:lang w:val="fr-FR" w:bidi="en-US"/>
        </w:rPr>
        <w:t>Prestations</w:t>
      </w:r>
    </w:p>
    <w:p w:rsidR="00B67EB8" w:rsidRPr="00E1372C" w:rsidRDefault="007A1757" w:rsidP="007A1757">
      <w:pPr>
        <w:pStyle w:val="SingleTxtG"/>
        <w:rPr>
          <w:lang w:val="fr-FR" w:bidi="en-US"/>
        </w:rPr>
      </w:pPr>
      <w:r w:rsidRPr="00E1372C">
        <w:rPr>
          <w:lang w:val="fr-FR" w:bidi="en-US"/>
        </w:rPr>
        <w:t>207.</w:t>
      </w:r>
      <w:r w:rsidRPr="00E1372C">
        <w:rPr>
          <w:lang w:val="fr-FR" w:bidi="en-US"/>
        </w:rPr>
        <w:tab/>
      </w:r>
      <w:r w:rsidR="00B67EB8" w:rsidRPr="00E1372C">
        <w:rPr>
          <w:lang w:val="fr-FR" w:bidi="en-US"/>
        </w:rPr>
        <w:t>Des prestations peuvent être versées à un employé qui est dans l</w:t>
      </w:r>
      <w:r w:rsidR="00731F09" w:rsidRPr="00E1372C">
        <w:rPr>
          <w:lang w:val="fr-FR" w:bidi="en-US"/>
        </w:rPr>
        <w:t>’</w:t>
      </w:r>
      <w:r w:rsidR="00B67EB8" w:rsidRPr="00E1372C">
        <w:rPr>
          <w:lang w:val="fr-FR" w:bidi="en-US"/>
        </w:rPr>
        <w:t>incapacité de travailler en raison d</w:t>
      </w:r>
      <w:r w:rsidR="00731F09" w:rsidRPr="00E1372C">
        <w:rPr>
          <w:lang w:val="fr-FR" w:bidi="en-US"/>
        </w:rPr>
        <w:t>’</w:t>
      </w:r>
      <w:r w:rsidR="00B67EB8" w:rsidRPr="00E1372C">
        <w:rPr>
          <w:lang w:val="fr-FR" w:bidi="en-US"/>
        </w:rPr>
        <w:t>un accident du travail ou d</w:t>
      </w:r>
      <w:r w:rsidR="00731F09" w:rsidRPr="00E1372C">
        <w:rPr>
          <w:lang w:val="fr-FR" w:bidi="en-US"/>
        </w:rPr>
        <w:t>’</w:t>
      </w:r>
      <w:r w:rsidR="00B67EB8" w:rsidRPr="00E1372C">
        <w:rPr>
          <w:lang w:val="fr-FR" w:bidi="en-US"/>
        </w:rPr>
        <w:t>une maladie à déclaration obligatoire qui survient en cours d</w:t>
      </w:r>
      <w:r w:rsidR="00731F09" w:rsidRPr="00E1372C">
        <w:rPr>
          <w:lang w:val="fr-FR" w:bidi="en-US"/>
        </w:rPr>
        <w:t>’</w:t>
      </w:r>
      <w:r w:rsidR="00B67EB8" w:rsidRPr="00E1372C">
        <w:rPr>
          <w:lang w:val="fr-FR" w:bidi="en-US"/>
        </w:rPr>
        <w:t>emploi. Les prestations sont les suivantes</w:t>
      </w:r>
      <w:r w:rsidR="00AE017E" w:rsidRPr="00E1372C">
        <w:rPr>
          <w:lang w:val="fr-FR" w:bidi="en-US"/>
        </w:rPr>
        <w:t>:</w:t>
      </w:r>
    </w:p>
    <w:p w:rsidR="00B67EB8" w:rsidRPr="00E1372C" w:rsidRDefault="00B67EB8" w:rsidP="00913FBC">
      <w:pPr>
        <w:pStyle w:val="Bullet1G"/>
      </w:pPr>
      <w:r w:rsidRPr="00E1372C">
        <w:rPr>
          <w:i/>
        </w:rPr>
        <w:t>Invalidité temporaire</w:t>
      </w:r>
      <w:r w:rsidR="00A55A0E" w:rsidRPr="00E1372C">
        <w:t xml:space="preserve"> – </w:t>
      </w:r>
      <w:r w:rsidRPr="00E1372C">
        <w:t>Pour chaque jour d</w:t>
      </w:r>
      <w:r w:rsidR="00731F09" w:rsidRPr="00E1372C">
        <w:t>’</w:t>
      </w:r>
      <w:r w:rsidRPr="00E1372C">
        <w:t>inaptitude au travail, jusqu</w:t>
      </w:r>
      <w:r w:rsidR="00731F09" w:rsidRPr="00E1372C">
        <w:t>’</w:t>
      </w:r>
      <w:r w:rsidRPr="00E1372C">
        <w:t xml:space="preserve">à </w:t>
      </w:r>
      <w:r w:rsidR="00913FBC" w:rsidRPr="00E1372C">
        <w:t>12</w:t>
      </w:r>
      <w:r w:rsidR="007778CE" w:rsidRPr="00E1372C">
        <w:t xml:space="preserve"> </w:t>
      </w:r>
      <w:r w:rsidRPr="00E1372C">
        <w:t>mois au maximum, sauf si un traitement médical effectif est nécessaire plus longtemps, une indemnisation est versée à un employé accidenté au taux de 75</w:t>
      </w:r>
      <w:r w:rsidR="007064FC" w:rsidRPr="00E1372C">
        <w:t> %</w:t>
      </w:r>
      <w:r w:rsidRPr="00E1372C">
        <w:t xml:space="preserve"> de sa rémunération </w:t>
      </w:r>
      <w:r w:rsidR="00ED7701" w:rsidRPr="00E1372C">
        <w:t>soumis</w:t>
      </w:r>
      <w:r w:rsidRPr="00E1372C">
        <w:t>e</w:t>
      </w:r>
      <w:r w:rsidR="00ED7701" w:rsidRPr="00E1372C">
        <w:t xml:space="preserve"> à cotisation</w:t>
      </w:r>
      <w:r w:rsidRPr="00E1372C">
        <w:t>. Toutefois, aucune indemnisation n</w:t>
      </w:r>
      <w:r w:rsidR="00731F09" w:rsidRPr="00E1372C">
        <w:t>’</w:t>
      </w:r>
      <w:r w:rsidRPr="00E1372C">
        <w:t xml:space="preserve">est due pour les </w:t>
      </w:r>
      <w:r w:rsidR="007778CE" w:rsidRPr="00E1372C">
        <w:t>trois</w:t>
      </w:r>
      <w:r w:rsidRPr="00E1372C">
        <w:t xml:space="preserve"> premiers jours d</w:t>
      </w:r>
      <w:r w:rsidR="00731F09" w:rsidRPr="00E1372C">
        <w:t>’</w:t>
      </w:r>
      <w:r w:rsidRPr="00E1372C">
        <w:t>une invali</w:t>
      </w:r>
      <w:r w:rsidR="00140CFC" w:rsidRPr="00E1372C">
        <w:t xml:space="preserve">dité qui dure moins de </w:t>
      </w:r>
      <w:r w:rsidR="00913FBC" w:rsidRPr="00E1372C">
        <w:t>14</w:t>
      </w:r>
      <w:r w:rsidR="007778CE" w:rsidRPr="00E1372C">
        <w:t xml:space="preserve"> </w:t>
      </w:r>
      <w:r w:rsidR="00140CFC" w:rsidRPr="00E1372C">
        <w:t>jours</w:t>
      </w:r>
      <w:r w:rsidR="00731F09" w:rsidRPr="00E1372C">
        <w:t>;</w:t>
      </w:r>
    </w:p>
    <w:p w:rsidR="00B67EB8" w:rsidRPr="00E1372C" w:rsidRDefault="00B67EB8" w:rsidP="00DF3E0E">
      <w:pPr>
        <w:pStyle w:val="Bullet1G"/>
      </w:pPr>
      <w:r w:rsidRPr="00E1372C">
        <w:rPr>
          <w:i/>
        </w:rPr>
        <w:t>Invalidité permanente</w:t>
      </w:r>
      <w:r w:rsidR="00A55A0E" w:rsidRPr="00E1372C">
        <w:t xml:space="preserve"> – </w:t>
      </w:r>
      <w:r w:rsidRPr="00E1372C">
        <w:t>Pour les employés atteints d</w:t>
      </w:r>
      <w:r w:rsidR="00731F09" w:rsidRPr="00E1372C">
        <w:t>’</w:t>
      </w:r>
      <w:r w:rsidRPr="00E1372C">
        <w:t>une perte de fonction ou d</w:t>
      </w:r>
      <w:r w:rsidR="00731F09" w:rsidRPr="00E1372C">
        <w:t>’</w:t>
      </w:r>
      <w:r w:rsidRPr="00E1372C">
        <w:t>un défaut anatomique en raison d</w:t>
      </w:r>
      <w:r w:rsidR="00731F09" w:rsidRPr="00E1372C">
        <w:t>’</w:t>
      </w:r>
      <w:r w:rsidRPr="00E1372C">
        <w:t>un accident du travail ou d</w:t>
      </w:r>
      <w:r w:rsidR="00731F09" w:rsidRPr="00E1372C">
        <w:t>’</w:t>
      </w:r>
      <w:r w:rsidRPr="00E1372C">
        <w:t>une maladie professionnelle, le degré d</w:t>
      </w:r>
      <w:r w:rsidR="00731F09" w:rsidRPr="00E1372C">
        <w:t>’</w:t>
      </w:r>
      <w:r w:rsidRPr="00E1372C">
        <w:t xml:space="preserve">invalidité est évalué en pourcentage et </w:t>
      </w:r>
      <w:r w:rsidR="00281E4A" w:rsidRPr="00E1372C">
        <w:t>la prestation est proportionnelle au</w:t>
      </w:r>
      <w:r w:rsidRPr="00E1372C">
        <w:t xml:space="preserve"> montant dû pour invalidité totale. Si le degré d</w:t>
      </w:r>
      <w:r w:rsidR="00731F09" w:rsidRPr="00E1372C">
        <w:t>’</w:t>
      </w:r>
      <w:r w:rsidRPr="00E1372C">
        <w:t>invalidité permanente est de 30</w:t>
      </w:r>
      <w:r w:rsidR="007064FC" w:rsidRPr="00E1372C">
        <w:t> %</w:t>
      </w:r>
      <w:r w:rsidRPr="00E1372C">
        <w:t xml:space="preserve"> ou moins, la prestation consistera en un versement unique. Pour une invalidité de 30</w:t>
      </w:r>
      <w:r w:rsidR="007064FC" w:rsidRPr="00E1372C">
        <w:t> %</w:t>
      </w:r>
      <w:r w:rsidRPr="00E1372C">
        <w:t>, l</w:t>
      </w:r>
      <w:r w:rsidR="00731F09" w:rsidRPr="00E1372C">
        <w:t>’</w:t>
      </w:r>
      <w:r w:rsidRPr="00E1372C">
        <w:t xml:space="preserve">indemnisation est égale à </w:t>
      </w:r>
      <w:r w:rsidR="00DF3E0E" w:rsidRPr="00E1372C">
        <w:t xml:space="preserve">15 </w:t>
      </w:r>
      <w:r w:rsidRPr="00E1372C">
        <w:t>fois la rémunération mensuelle de l</w:t>
      </w:r>
      <w:r w:rsidR="00731F09" w:rsidRPr="00E1372C">
        <w:t>’</w:t>
      </w:r>
      <w:r w:rsidRPr="00E1372C">
        <w:t>employé jusqu</w:t>
      </w:r>
      <w:r w:rsidR="00731F09" w:rsidRPr="00E1372C">
        <w:t>’</w:t>
      </w:r>
      <w:r w:rsidRPr="00E1372C">
        <w:t>au maximum de 3 000 </w:t>
      </w:r>
      <w:r w:rsidR="00AC15E0" w:rsidRPr="00E1372C">
        <w:t>dollars namibiens</w:t>
      </w:r>
      <w:r w:rsidRPr="00E1372C">
        <w:t>. Pour une invalidité inférieure à 30</w:t>
      </w:r>
      <w:r w:rsidR="007064FC" w:rsidRPr="00E1372C">
        <w:t> %</w:t>
      </w:r>
      <w:r w:rsidRPr="00E1372C">
        <w:t>, le montant unique est proportionnel. Si le degré d</w:t>
      </w:r>
      <w:r w:rsidR="00731F09" w:rsidRPr="00E1372C">
        <w:t>’</w:t>
      </w:r>
      <w:r w:rsidRPr="00E1372C">
        <w:t>invalidité est supérieur à 30</w:t>
      </w:r>
      <w:r w:rsidR="007064FC" w:rsidRPr="00E1372C">
        <w:t> %</w:t>
      </w:r>
      <w:r w:rsidRPr="00E1372C">
        <w:t>, l</w:t>
      </w:r>
      <w:r w:rsidR="00731F09" w:rsidRPr="00E1372C">
        <w:t>’</w:t>
      </w:r>
      <w:r w:rsidRPr="00E1372C">
        <w:t>indemnisation est versée sous forme de pension. Une invalidité de 100</w:t>
      </w:r>
      <w:r w:rsidR="007064FC" w:rsidRPr="00E1372C">
        <w:t> %</w:t>
      </w:r>
      <w:r w:rsidRPr="00E1372C">
        <w:t xml:space="preserve"> ou totale ouvre le droit à une pension de 75</w:t>
      </w:r>
      <w:r w:rsidR="007064FC" w:rsidRPr="00E1372C">
        <w:t> %</w:t>
      </w:r>
      <w:r w:rsidRPr="00E1372C">
        <w:t xml:space="preserve"> de la rémunération mensuelle assurée du travailleur</w:t>
      </w:r>
      <w:r w:rsidR="00A037D0" w:rsidRPr="00E1372C">
        <w:t>. Pour des degrés d</w:t>
      </w:r>
      <w:r w:rsidR="00731F09" w:rsidRPr="00E1372C">
        <w:t>’</w:t>
      </w:r>
      <w:r w:rsidR="00A037D0" w:rsidRPr="00E1372C">
        <w:t>invalidité inférieurs à 100</w:t>
      </w:r>
      <w:r w:rsidR="007064FC" w:rsidRPr="00E1372C">
        <w:t> %</w:t>
      </w:r>
      <w:r w:rsidR="00A037D0" w:rsidRPr="00E1372C">
        <w:t>, la pension est proportionnelle au montan</w:t>
      </w:r>
      <w:r w:rsidR="00140CFC" w:rsidRPr="00E1372C">
        <w:t>t dû pour une invalidité totale</w:t>
      </w:r>
      <w:r w:rsidR="00731F09" w:rsidRPr="00E1372C">
        <w:t>;</w:t>
      </w:r>
    </w:p>
    <w:p w:rsidR="00A037D0" w:rsidRPr="00E1372C" w:rsidRDefault="00A037D0" w:rsidP="00CE2771">
      <w:pPr>
        <w:pStyle w:val="Bullet1G"/>
      </w:pPr>
      <w:r w:rsidRPr="00E1372C">
        <w:rPr>
          <w:i/>
        </w:rPr>
        <w:t>Pension de survivants</w:t>
      </w:r>
      <w:r w:rsidR="00A55A0E" w:rsidRPr="00E1372C">
        <w:t xml:space="preserve"> – </w:t>
      </w:r>
      <w:r w:rsidRPr="00E1372C">
        <w:t>Les pensions de survivants sont dues aux personnes à charge (conjoints et enfants) d</w:t>
      </w:r>
      <w:r w:rsidR="00731F09" w:rsidRPr="00E1372C">
        <w:t>’</w:t>
      </w:r>
      <w:r w:rsidRPr="00E1372C">
        <w:t>un travailleur qui décède des suites d</w:t>
      </w:r>
      <w:r w:rsidR="00731F09" w:rsidRPr="00E1372C">
        <w:t>’</w:t>
      </w:r>
      <w:r w:rsidRPr="00E1372C">
        <w:t>un accident du travail ou d</w:t>
      </w:r>
      <w:r w:rsidR="00731F09" w:rsidRPr="00E1372C">
        <w:t>’</w:t>
      </w:r>
      <w:r w:rsidRPr="00E1372C">
        <w:t>une maladie professionnelle. Il s</w:t>
      </w:r>
      <w:r w:rsidR="00731F09" w:rsidRPr="00E1372C">
        <w:t>’</w:t>
      </w:r>
      <w:r w:rsidRPr="00E1372C">
        <w:t>agit d</w:t>
      </w:r>
      <w:r w:rsidR="00731F09" w:rsidRPr="00E1372C">
        <w:t>’</w:t>
      </w:r>
      <w:r w:rsidRPr="00E1372C">
        <w:t>un montant unique de 3 750 </w:t>
      </w:r>
      <w:r w:rsidR="00AC15E0" w:rsidRPr="00E1372C">
        <w:t xml:space="preserve">dollars namibiens </w:t>
      </w:r>
      <w:r w:rsidRPr="00E1372C">
        <w:t>ou l</w:t>
      </w:r>
      <w:r w:rsidR="00731F09" w:rsidRPr="00E1372C">
        <w:t>’</w:t>
      </w:r>
      <w:r w:rsidRPr="00E1372C">
        <w:t>équivalent de deux mois de salaire, le moindre de ces montants étant retenu, ainsi qu</w:t>
      </w:r>
      <w:r w:rsidR="00731F09" w:rsidRPr="00E1372C">
        <w:t>’</w:t>
      </w:r>
      <w:r w:rsidRPr="00E1372C">
        <w:t>une pension calculée au prorata de ce que le travailleur aurait reçu si son invalidité avait été totale et permanente. Les taux de pension de survivants s</w:t>
      </w:r>
      <w:r w:rsidR="00731F09" w:rsidRPr="00E1372C">
        <w:t>’</w:t>
      </w:r>
      <w:r w:rsidRPr="00E1372C">
        <w:t>élèvent à 40</w:t>
      </w:r>
      <w:r w:rsidR="007064FC" w:rsidRPr="00E1372C">
        <w:t> %</w:t>
      </w:r>
      <w:r w:rsidRPr="00E1372C">
        <w:t xml:space="preserve"> pour les conjoints et 20</w:t>
      </w:r>
      <w:r w:rsidR="007064FC" w:rsidRPr="00E1372C">
        <w:t> %</w:t>
      </w:r>
      <w:r w:rsidRPr="00E1372C">
        <w:t xml:space="preserve"> pour chacun des enfants survivants de moins de 18 ans jusqu</w:t>
      </w:r>
      <w:r w:rsidR="00731F09" w:rsidRPr="00E1372C">
        <w:t>’</w:t>
      </w:r>
      <w:r w:rsidRPr="00E1372C">
        <w:t>au montant auquel le défunt aurait eu droit si son invalidité avait été totale et permanente (100</w:t>
      </w:r>
      <w:r w:rsidR="007064FC" w:rsidRPr="00E1372C">
        <w:t> %</w:t>
      </w:r>
      <w:r w:rsidR="00140CFC" w:rsidRPr="00E1372C">
        <w:t>)</w:t>
      </w:r>
      <w:r w:rsidR="00731F09" w:rsidRPr="00E1372C">
        <w:t>;</w:t>
      </w:r>
    </w:p>
    <w:p w:rsidR="00A55A0E" w:rsidRPr="00E1372C" w:rsidRDefault="00A037D0" w:rsidP="00CE2771">
      <w:pPr>
        <w:pStyle w:val="Bullet1G"/>
      </w:pPr>
      <w:r w:rsidRPr="00E1372C">
        <w:rPr>
          <w:i/>
          <w:iCs/>
        </w:rPr>
        <w:t>Allocation funéraire</w:t>
      </w:r>
      <w:r w:rsidR="00A55A0E" w:rsidRPr="00E1372C">
        <w:t xml:space="preserve"> – </w:t>
      </w:r>
      <w:r w:rsidRPr="00E1372C">
        <w:t xml:space="preserve">Un montant de </w:t>
      </w:r>
      <w:r w:rsidR="00A55A0E" w:rsidRPr="00E1372C">
        <w:t>3</w:t>
      </w:r>
      <w:r w:rsidRPr="00E1372C">
        <w:t> </w:t>
      </w:r>
      <w:r w:rsidR="00A55A0E" w:rsidRPr="00E1372C">
        <w:t>120</w:t>
      </w:r>
      <w:r w:rsidRPr="00E1372C">
        <w:t> </w:t>
      </w:r>
      <w:r w:rsidR="00AC15E0" w:rsidRPr="00E1372C">
        <w:t>dollars namibiens</w:t>
      </w:r>
      <w:r w:rsidRPr="00E1372C">
        <w:t xml:space="preserve"> (367 dollars</w:t>
      </w:r>
      <w:r w:rsidR="00A301C2" w:rsidRPr="00E1372C">
        <w:t xml:space="preserve"> É.-U.</w:t>
      </w:r>
      <w:r w:rsidRPr="00E1372C">
        <w:t>) peut être remboursé pour frai</w:t>
      </w:r>
      <w:r w:rsidR="00140CFC" w:rsidRPr="00E1372C">
        <w:t>s funéraires d</w:t>
      </w:r>
      <w:r w:rsidR="00731F09" w:rsidRPr="00E1372C">
        <w:t>’</w:t>
      </w:r>
      <w:r w:rsidR="00140CFC" w:rsidRPr="00E1372C">
        <w:t>un membre décédé</w:t>
      </w:r>
      <w:r w:rsidR="00731F09" w:rsidRPr="00E1372C">
        <w:t>;</w:t>
      </w:r>
    </w:p>
    <w:p w:rsidR="00A55A0E" w:rsidRPr="00E1372C" w:rsidRDefault="00A037D0" w:rsidP="00CE2771">
      <w:pPr>
        <w:pStyle w:val="Bullet1G"/>
      </w:pPr>
      <w:r w:rsidRPr="00E1372C">
        <w:rPr>
          <w:i/>
          <w:iCs/>
        </w:rPr>
        <w:t>Autres prestations</w:t>
      </w:r>
      <w:r w:rsidR="00A55A0E" w:rsidRPr="00E1372C">
        <w:t xml:space="preserve"> – </w:t>
      </w:r>
      <w:r w:rsidRPr="00E1372C">
        <w:t>Tous frais médicaux et de transport normaux encourus par un employé accidenté ou pour son compte sont remboursés par la Caisse des accidents aux taux prescrits.</w:t>
      </w:r>
    </w:p>
    <w:p w:rsidR="00A55A0E" w:rsidRPr="00E1372C" w:rsidRDefault="00A55A0E" w:rsidP="00A55A0E">
      <w:pPr>
        <w:pStyle w:val="H23G"/>
        <w:rPr>
          <w:lang w:val="fr-FR" w:bidi="en-US"/>
        </w:rPr>
      </w:pPr>
      <w:r w:rsidRPr="00E1372C">
        <w:rPr>
          <w:lang w:val="fr-FR" w:bidi="en-US"/>
        </w:rPr>
        <w:tab/>
      </w:r>
      <w:r w:rsidRPr="00E1372C">
        <w:rPr>
          <w:lang w:val="fr-FR" w:bidi="en-US"/>
        </w:rPr>
        <w:tab/>
        <w:t xml:space="preserve">Pension </w:t>
      </w:r>
      <w:r w:rsidR="006035CD" w:rsidRPr="00E1372C">
        <w:rPr>
          <w:lang w:val="fr-FR" w:bidi="en-US"/>
        </w:rPr>
        <w:t>de vieillesse</w:t>
      </w:r>
    </w:p>
    <w:p w:rsidR="00DA5749" w:rsidRPr="00E1372C" w:rsidRDefault="007A1757" w:rsidP="007A1757">
      <w:pPr>
        <w:pStyle w:val="SingleTxtG"/>
        <w:rPr>
          <w:lang w:val="fr-FR" w:bidi="en-US"/>
        </w:rPr>
      </w:pPr>
      <w:r w:rsidRPr="00E1372C">
        <w:rPr>
          <w:lang w:val="fr-FR" w:bidi="en-US"/>
        </w:rPr>
        <w:t>208.</w:t>
      </w:r>
      <w:r w:rsidRPr="00E1372C">
        <w:rPr>
          <w:lang w:val="fr-FR" w:bidi="en-US"/>
        </w:rPr>
        <w:tab/>
      </w:r>
      <w:r w:rsidR="006035CD" w:rsidRPr="00E1372C">
        <w:rPr>
          <w:lang w:val="fr-FR" w:bidi="en-US"/>
        </w:rPr>
        <w:t>La Namibie est l</w:t>
      </w:r>
      <w:r w:rsidR="00731F09" w:rsidRPr="00E1372C">
        <w:rPr>
          <w:lang w:val="fr-FR" w:bidi="en-US"/>
        </w:rPr>
        <w:t>’</w:t>
      </w:r>
      <w:r w:rsidR="006035CD" w:rsidRPr="00E1372C">
        <w:rPr>
          <w:lang w:val="fr-FR" w:bidi="en-US"/>
        </w:rPr>
        <w:t>un des quelques pays en Afrique qui prévoit une pension de vieillesse mensuelle versée par l</w:t>
      </w:r>
      <w:r w:rsidR="00731F09" w:rsidRPr="00E1372C">
        <w:rPr>
          <w:lang w:val="fr-FR" w:bidi="en-US"/>
        </w:rPr>
        <w:t>’</w:t>
      </w:r>
      <w:r w:rsidR="006035CD" w:rsidRPr="00E1372C">
        <w:rPr>
          <w:lang w:val="fr-FR" w:bidi="en-US"/>
        </w:rPr>
        <w:t>État. Cette allocation est une importante source de revenu pour les personnes âgées et les ménages pauvres. En réalité, certains ménages dépendent de ces pensions. Avant l</w:t>
      </w:r>
      <w:r w:rsidR="00731F09" w:rsidRPr="00E1372C">
        <w:rPr>
          <w:lang w:val="fr-FR" w:bidi="en-US"/>
        </w:rPr>
        <w:t>’</w:t>
      </w:r>
      <w:r w:rsidR="006035CD" w:rsidRPr="00E1372C">
        <w:rPr>
          <w:lang w:val="fr-FR" w:bidi="en-US"/>
        </w:rPr>
        <w:t>indépendance, les montants de pension étaient calculés selon des critères ethniques au sens de la loi n</w:t>
      </w:r>
      <w:r w:rsidR="00B277C4" w:rsidRPr="00E1372C">
        <w:rPr>
          <w:vertAlign w:val="superscript"/>
          <w:lang w:val="fr-FR" w:bidi="en-US"/>
        </w:rPr>
        <w:t>o</w:t>
      </w:r>
      <w:r w:rsidR="006035CD" w:rsidRPr="00E1372C">
        <w:rPr>
          <w:lang w:val="fr-FR" w:bidi="en-US"/>
        </w:rPr>
        <w:t> 37</w:t>
      </w:r>
      <w:r w:rsidR="00EA5ADE" w:rsidRPr="00E1372C">
        <w:rPr>
          <w:lang w:val="fr-FR" w:bidi="en-US"/>
        </w:rPr>
        <w:t xml:space="preserve"> de 1973</w:t>
      </w:r>
      <w:r w:rsidR="006035CD" w:rsidRPr="00E1372C">
        <w:rPr>
          <w:lang w:val="fr-FR" w:bidi="en-US"/>
        </w:rPr>
        <w:t xml:space="preserve"> relative aux pensions, héritée de l</w:t>
      </w:r>
      <w:r w:rsidR="00731F09" w:rsidRPr="00E1372C">
        <w:rPr>
          <w:lang w:val="fr-FR" w:bidi="en-US"/>
        </w:rPr>
        <w:t>’</w:t>
      </w:r>
      <w:r w:rsidR="006035CD" w:rsidRPr="00E1372C">
        <w:rPr>
          <w:lang w:val="fr-FR" w:bidi="en-US"/>
        </w:rPr>
        <w:t>Afrique du Sud</w:t>
      </w:r>
      <w:r w:rsidR="00AE017E" w:rsidRPr="00E1372C">
        <w:rPr>
          <w:lang w:val="fr-FR" w:bidi="en-US"/>
        </w:rPr>
        <w:t>:</w:t>
      </w:r>
      <w:r w:rsidR="007A02A8" w:rsidRPr="00E1372C">
        <w:rPr>
          <w:lang w:val="fr-FR" w:bidi="en-US"/>
        </w:rPr>
        <w:t xml:space="preserve"> ils s</w:t>
      </w:r>
      <w:r w:rsidR="00731F09" w:rsidRPr="00E1372C">
        <w:rPr>
          <w:lang w:val="fr-FR" w:bidi="en-US"/>
        </w:rPr>
        <w:t>’</w:t>
      </w:r>
      <w:r w:rsidR="007A02A8" w:rsidRPr="00E1372C">
        <w:rPr>
          <w:lang w:val="fr-FR" w:bidi="en-US"/>
        </w:rPr>
        <w:t>élevaient à 382 </w:t>
      </w:r>
      <w:r w:rsidR="00AC15E0" w:rsidRPr="00E1372C">
        <w:rPr>
          <w:lang w:val="fr-FR" w:bidi="en-US"/>
        </w:rPr>
        <w:t>dollars namibiens</w:t>
      </w:r>
      <w:r w:rsidR="007A02A8" w:rsidRPr="00E1372C">
        <w:rPr>
          <w:lang w:val="fr-FR" w:bidi="en-US"/>
        </w:rPr>
        <w:t xml:space="preserve"> (44,90 dollars</w:t>
      </w:r>
      <w:r w:rsidR="00A301C2" w:rsidRPr="00E1372C">
        <w:rPr>
          <w:lang w:val="fr-FR" w:bidi="en-US"/>
        </w:rPr>
        <w:t xml:space="preserve"> É.-U.</w:t>
      </w:r>
      <w:r w:rsidR="007A02A8" w:rsidRPr="00E1372C">
        <w:rPr>
          <w:lang w:val="fr-FR" w:bidi="en-US"/>
        </w:rPr>
        <w:t xml:space="preserve">) par mois pour les Blancs et à </w:t>
      </w:r>
      <w:r w:rsidR="00A55A0E" w:rsidRPr="00E1372C">
        <w:rPr>
          <w:lang w:val="fr-FR" w:bidi="en-US"/>
        </w:rPr>
        <w:t>55</w:t>
      </w:r>
      <w:r w:rsidR="007A02A8" w:rsidRPr="00E1372C">
        <w:rPr>
          <w:lang w:val="fr-FR" w:bidi="en-US"/>
        </w:rPr>
        <w:t> </w:t>
      </w:r>
      <w:r w:rsidR="00AC15E0" w:rsidRPr="00E1372C">
        <w:rPr>
          <w:lang w:val="fr-FR" w:bidi="en-US"/>
        </w:rPr>
        <w:t>dollars namibiens</w:t>
      </w:r>
      <w:r w:rsidR="007A02A8" w:rsidRPr="00E1372C">
        <w:rPr>
          <w:lang w:val="fr-FR" w:bidi="en-US"/>
        </w:rPr>
        <w:t xml:space="preserve"> (6,47 dollars</w:t>
      </w:r>
      <w:r w:rsidR="00A301C2" w:rsidRPr="00E1372C">
        <w:rPr>
          <w:lang w:val="fr-FR" w:bidi="en-US"/>
        </w:rPr>
        <w:t xml:space="preserve"> É.-U.</w:t>
      </w:r>
      <w:r w:rsidR="007A02A8" w:rsidRPr="00E1372C">
        <w:rPr>
          <w:lang w:val="fr-FR" w:bidi="en-US"/>
        </w:rPr>
        <w:t>) par mois pour les Noirs dans les régions d</w:t>
      </w:r>
      <w:r w:rsidR="00731F09" w:rsidRPr="00E1372C">
        <w:rPr>
          <w:lang w:val="fr-FR" w:bidi="en-US"/>
        </w:rPr>
        <w:t>’</w:t>
      </w:r>
      <w:r w:rsidR="00A55A0E" w:rsidRPr="00E1372C">
        <w:rPr>
          <w:lang w:val="fr-FR" w:bidi="en-US"/>
        </w:rPr>
        <w:t>Ovambo (</w:t>
      </w:r>
      <w:r w:rsidR="007A02A8" w:rsidRPr="00E1372C">
        <w:rPr>
          <w:lang w:val="fr-FR" w:bidi="en-US"/>
        </w:rPr>
        <w:t>tel</w:t>
      </w:r>
      <w:r w:rsidR="00EA5ADE" w:rsidRPr="00E1372C">
        <w:rPr>
          <w:lang w:val="fr-FR" w:bidi="en-US"/>
        </w:rPr>
        <w:t>le</w:t>
      </w:r>
      <w:r w:rsidR="00B44F43" w:rsidRPr="00E1372C">
        <w:rPr>
          <w:lang w:val="fr-FR" w:bidi="en-US"/>
        </w:rPr>
        <w:t xml:space="preserve"> que connue</w:t>
      </w:r>
      <w:r w:rsidR="007A02A8" w:rsidRPr="00E1372C">
        <w:rPr>
          <w:lang w:val="fr-FR" w:bidi="en-US"/>
        </w:rPr>
        <w:t xml:space="preserve"> alors), de </w:t>
      </w:r>
      <w:r w:rsidR="00A55A0E" w:rsidRPr="00E1372C">
        <w:rPr>
          <w:lang w:val="fr-FR" w:bidi="en-US"/>
        </w:rPr>
        <w:t xml:space="preserve">Kavango </w:t>
      </w:r>
      <w:r w:rsidR="007A02A8" w:rsidRPr="00E1372C">
        <w:rPr>
          <w:lang w:val="fr-FR" w:bidi="en-US"/>
        </w:rPr>
        <w:t>et de</w:t>
      </w:r>
      <w:r w:rsidR="00A55A0E" w:rsidRPr="00E1372C">
        <w:rPr>
          <w:lang w:val="fr-FR" w:bidi="en-US"/>
        </w:rPr>
        <w:t xml:space="preserve"> Caprivi. </w:t>
      </w:r>
      <w:r w:rsidR="007A02A8" w:rsidRPr="00E1372C">
        <w:rPr>
          <w:lang w:val="fr-FR" w:bidi="en-US"/>
        </w:rPr>
        <w:t xml:space="preserve">Le Gouvernement a remédié à ces écarts en maintenant la pension la plus élevée tout en augmentant progressivement les montants les plus bas. Toutefois, tous les montants ont été ensuite ramenés à </w:t>
      </w:r>
      <w:r w:rsidR="00A55A0E" w:rsidRPr="00E1372C">
        <w:rPr>
          <w:lang w:val="fr-FR" w:bidi="en-US"/>
        </w:rPr>
        <w:t>370</w:t>
      </w:r>
      <w:r w:rsidR="007A02A8" w:rsidRPr="00E1372C">
        <w:rPr>
          <w:lang w:val="fr-FR" w:bidi="en-US"/>
        </w:rPr>
        <w:t> </w:t>
      </w:r>
      <w:r w:rsidR="00AC15E0" w:rsidRPr="00E1372C">
        <w:rPr>
          <w:lang w:val="fr-FR" w:bidi="en-US"/>
        </w:rPr>
        <w:t>dollars namibiens</w:t>
      </w:r>
      <w:r w:rsidR="00A55A0E" w:rsidRPr="00E1372C">
        <w:rPr>
          <w:lang w:val="fr-FR" w:bidi="en-US"/>
        </w:rPr>
        <w:t xml:space="preserve"> (43,53</w:t>
      </w:r>
      <w:r w:rsidR="00DA5749" w:rsidRPr="00E1372C">
        <w:rPr>
          <w:lang w:val="fr-FR" w:bidi="en-US"/>
        </w:rPr>
        <w:t> dollars</w:t>
      </w:r>
      <w:r w:rsidR="00A301C2" w:rsidRPr="00E1372C">
        <w:rPr>
          <w:lang w:val="fr-FR" w:bidi="en-US"/>
        </w:rPr>
        <w:t xml:space="preserve"> É.-U.</w:t>
      </w:r>
      <w:r w:rsidR="00DA5749" w:rsidRPr="00E1372C">
        <w:rPr>
          <w:lang w:val="fr-FR" w:bidi="en-US"/>
        </w:rPr>
        <w:t xml:space="preserve">) et la pension est passée à </w:t>
      </w:r>
      <w:r w:rsidR="00A55A0E" w:rsidRPr="00E1372C">
        <w:rPr>
          <w:lang w:val="fr-FR" w:bidi="en-US"/>
        </w:rPr>
        <w:t>450</w:t>
      </w:r>
      <w:r w:rsidR="00DA5749" w:rsidRPr="00E1372C">
        <w:rPr>
          <w:lang w:val="fr-FR" w:bidi="en-US"/>
        </w:rPr>
        <w:t> </w:t>
      </w:r>
      <w:r w:rsidR="00AC15E0" w:rsidRPr="00E1372C">
        <w:rPr>
          <w:lang w:val="fr-FR" w:bidi="en-US"/>
        </w:rPr>
        <w:t>dollars namibiens</w:t>
      </w:r>
      <w:r w:rsidR="00DA5749" w:rsidRPr="00E1372C">
        <w:rPr>
          <w:lang w:val="fr-FR" w:bidi="en-US"/>
        </w:rPr>
        <w:t xml:space="preserve"> (</w:t>
      </w:r>
      <w:r w:rsidR="00A55A0E" w:rsidRPr="00E1372C">
        <w:rPr>
          <w:lang w:val="fr-FR" w:bidi="en-US"/>
        </w:rPr>
        <w:t>52,94</w:t>
      </w:r>
      <w:r w:rsidR="00DA5749" w:rsidRPr="00E1372C">
        <w:rPr>
          <w:lang w:val="fr-FR" w:bidi="en-US"/>
        </w:rPr>
        <w:t> </w:t>
      </w:r>
      <w:r w:rsidR="00A301C2" w:rsidRPr="00E1372C">
        <w:rPr>
          <w:lang w:val="fr-FR" w:bidi="en-US"/>
        </w:rPr>
        <w:t>dollars É.-U.</w:t>
      </w:r>
      <w:r w:rsidR="00A55A0E" w:rsidRPr="00E1372C">
        <w:rPr>
          <w:lang w:val="fr-FR" w:bidi="en-US"/>
        </w:rPr>
        <w:t>) p</w:t>
      </w:r>
      <w:r w:rsidR="00DA5749" w:rsidRPr="00E1372C">
        <w:rPr>
          <w:lang w:val="fr-FR" w:bidi="en-US"/>
        </w:rPr>
        <w:t xml:space="preserve">ar mois en </w:t>
      </w:r>
      <w:r w:rsidR="00A55A0E" w:rsidRPr="00E1372C">
        <w:rPr>
          <w:lang w:val="fr-FR" w:bidi="en-US"/>
        </w:rPr>
        <w:t>2008</w:t>
      </w:r>
      <w:r w:rsidR="00B44F43" w:rsidRPr="00E1372C">
        <w:rPr>
          <w:lang w:val="fr-FR" w:bidi="en-US"/>
        </w:rPr>
        <w:t>/</w:t>
      </w:r>
      <w:r w:rsidR="00A55A0E" w:rsidRPr="00E1372C">
        <w:rPr>
          <w:lang w:val="fr-FR" w:bidi="en-US"/>
        </w:rPr>
        <w:t>09</w:t>
      </w:r>
      <w:r w:rsidR="00DA5749" w:rsidRPr="00E1372C">
        <w:rPr>
          <w:lang w:val="fr-FR" w:bidi="en-US"/>
        </w:rPr>
        <w:t xml:space="preserve">, puis à </w:t>
      </w:r>
      <w:r w:rsidR="00A55A0E" w:rsidRPr="00E1372C">
        <w:rPr>
          <w:lang w:val="fr-FR" w:bidi="en-US"/>
        </w:rPr>
        <w:t>500</w:t>
      </w:r>
      <w:r w:rsidR="00DA5749" w:rsidRPr="00E1372C">
        <w:rPr>
          <w:lang w:val="fr-FR" w:bidi="en-US"/>
        </w:rPr>
        <w:t> </w:t>
      </w:r>
      <w:r w:rsidR="00AC15E0" w:rsidRPr="00E1372C">
        <w:rPr>
          <w:lang w:val="fr-FR" w:bidi="en-US"/>
        </w:rPr>
        <w:t>dollars namibiens</w:t>
      </w:r>
      <w:r w:rsidR="00A55A0E" w:rsidRPr="00E1372C">
        <w:rPr>
          <w:lang w:val="fr-FR" w:bidi="en-US"/>
        </w:rPr>
        <w:t xml:space="preserve"> (58,82</w:t>
      </w:r>
      <w:r w:rsidR="00DA5749" w:rsidRPr="00E1372C">
        <w:rPr>
          <w:lang w:val="fr-FR" w:bidi="en-US"/>
        </w:rPr>
        <w:t> </w:t>
      </w:r>
      <w:r w:rsidR="00A301C2" w:rsidRPr="00E1372C">
        <w:rPr>
          <w:lang w:val="fr-FR" w:bidi="en-US"/>
        </w:rPr>
        <w:t>dollars É.-U.</w:t>
      </w:r>
      <w:r w:rsidR="00A55A0E" w:rsidRPr="00E1372C">
        <w:rPr>
          <w:lang w:val="fr-FR" w:bidi="en-US"/>
        </w:rPr>
        <w:t xml:space="preserve">) </w:t>
      </w:r>
      <w:r w:rsidR="00DA5749" w:rsidRPr="00E1372C">
        <w:rPr>
          <w:lang w:val="fr-FR" w:bidi="en-US"/>
        </w:rPr>
        <w:t>durant l</w:t>
      </w:r>
      <w:r w:rsidR="00731F09" w:rsidRPr="00E1372C">
        <w:rPr>
          <w:lang w:val="fr-FR" w:bidi="en-US"/>
        </w:rPr>
        <w:t>’</w:t>
      </w:r>
      <w:r w:rsidR="00DA5749" w:rsidRPr="00E1372C">
        <w:rPr>
          <w:lang w:val="fr-FR" w:bidi="en-US"/>
        </w:rPr>
        <w:t xml:space="preserve">exercice budgétaire </w:t>
      </w:r>
      <w:r w:rsidR="00A55A0E" w:rsidRPr="00E1372C">
        <w:rPr>
          <w:lang w:val="fr-FR" w:bidi="en-US"/>
        </w:rPr>
        <w:t>2010/11</w:t>
      </w:r>
      <w:r w:rsidR="00DA5749" w:rsidRPr="00E1372C">
        <w:rPr>
          <w:lang w:val="fr-FR" w:bidi="en-US"/>
        </w:rPr>
        <w:t xml:space="preserve">. Ce montant a été ultérieurement porté à </w:t>
      </w:r>
      <w:r w:rsidR="00A55A0E" w:rsidRPr="00E1372C">
        <w:rPr>
          <w:lang w:val="fr-FR" w:bidi="en-US"/>
        </w:rPr>
        <w:t>550</w:t>
      </w:r>
      <w:r w:rsidR="00DA5749" w:rsidRPr="00E1372C">
        <w:rPr>
          <w:lang w:val="fr-FR" w:bidi="en-US"/>
        </w:rPr>
        <w:t> </w:t>
      </w:r>
      <w:r w:rsidR="00AC15E0" w:rsidRPr="00E1372C">
        <w:rPr>
          <w:lang w:val="fr-FR" w:bidi="en-US"/>
        </w:rPr>
        <w:t>dollars namibiens</w:t>
      </w:r>
      <w:r w:rsidR="00DA5749" w:rsidRPr="00E1372C">
        <w:rPr>
          <w:lang w:val="fr-FR" w:bidi="en-US"/>
        </w:rPr>
        <w:t xml:space="preserve"> (64,70 </w:t>
      </w:r>
      <w:r w:rsidR="00A301C2" w:rsidRPr="00E1372C">
        <w:rPr>
          <w:lang w:val="fr-FR" w:bidi="en-US"/>
        </w:rPr>
        <w:t>dollars É.-U.</w:t>
      </w:r>
      <w:r w:rsidR="00DA5749" w:rsidRPr="00E1372C">
        <w:rPr>
          <w:lang w:val="fr-FR" w:bidi="en-US"/>
        </w:rPr>
        <w:t>) durant l</w:t>
      </w:r>
      <w:r w:rsidR="00731F09" w:rsidRPr="00E1372C">
        <w:rPr>
          <w:lang w:val="fr-FR" w:bidi="en-US"/>
        </w:rPr>
        <w:t>’</w:t>
      </w:r>
      <w:r w:rsidR="00DA5749" w:rsidRPr="00E1372C">
        <w:rPr>
          <w:lang w:val="fr-FR" w:bidi="en-US"/>
        </w:rPr>
        <w:t>exercice budgétaire 2012</w:t>
      </w:r>
      <w:r w:rsidR="00281E4A" w:rsidRPr="00E1372C">
        <w:rPr>
          <w:lang w:val="fr-FR" w:bidi="en-US"/>
        </w:rPr>
        <w:t>/</w:t>
      </w:r>
      <w:r w:rsidR="00DA5749" w:rsidRPr="00E1372C">
        <w:rPr>
          <w:lang w:val="fr-FR" w:bidi="en-US"/>
        </w:rPr>
        <w:t>13. La base de données de l</w:t>
      </w:r>
      <w:r w:rsidR="00731F09" w:rsidRPr="00E1372C">
        <w:rPr>
          <w:lang w:val="fr-FR" w:bidi="en-US"/>
        </w:rPr>
        <w:t>’</w:t>
      </w:r>
      <w:r w:rsidR="00DA5749" w:rsidRPr="00E1372C">
        <w:rPr>
          <w:lang w:val="fr-FR" w:bidi="en-US"/>
        </w:rPr>
        <w:t>assistance sociale de 2007-2009 révèle qu</w:t>
      </w:r>
      <w:r w:rsidR="00731F09" w:rsidRPr="00E1372C">
        <w:rPr>
          <w:lang w:val="fr-FR" w:bidi="en-US"/>
        </w:rPr>
        <w:t>’</w:t>
      </w:r>
      <w:r w:rsidR="00DA5749" w:rsidRPr="00E1372C">
        <w:rPr>
          <w:lang w:val="fr-FR" w:bidi="en-US"/>
        </w:rPr>
        <w:t xml:space="preserve">une pension est versée à </w:t>
      </w:r>
      <w:r w:rsidR="00A55A0E" w:rsidRPr="00E1372C">
        <w:rPr>
          <w:lang w:val="fr-FR" w:bidi="en-US"/>
        </w:rPr>
        <w:t>145</w:t>
      </w:r>
      <w:r w:rsidR="00DA5749" w:rsidRPr="00E1372C">
        <w:rPr>
          <w:lang w:val="fr-FR" w:bidi="en-US"/>
        </w:rPr>
        <w:t> </w:t>
      </w:r>
      <w:r w:rsidR="00A55A0E" w:rsidRPr="00E1372C">
        <w:rPr>
          <w:lang w:val="fr-FR" w:bidi="en-US"/>
        </w:rPr>
        <w:t xml:space="preserve">666 </w:t>
      </w:r>
      <w:r w:rsidR="00DA5749" w:rsidRPr="00E1372C">
        <w:rPr>
          <w:lang w:val="fr-FR" w:bidi="en-US"/>
        </w:rPr>
        <w:t>bénéficiaires</w:t>
      </w:r>
      <w:r w:rsidR="00A55A0E" w:rsidRPr="00E1372C">
        <w:rPr>
          <w:lang w:val="fr-FR" w:bidi="en-US"/>
        </w:rPr>
        <w:t xml:space="preserve"> </w:t>
      </w:r>
      <w:r w:rsidR="00DA5749" w:rsidRPr="00E1372C">
        <w:rPr>
          <w:lang w:val="fr-FR" w:bidi="en-US"/>
        </w:rPr>
        <w:t xml:space="preserve">(dont </w:t>
      </w:r>
      <w:r w:rsidR="00A55A0E" w:rsidRPr="00E1372C">
        <w:rPr>
          <w:lang w:val="fr-FR" w:bidi="en-US"/>
        </w:rPr>
        <w:t>126</w:t>
      </w:r>
      <w:r w:rsidR="00DA5749" w:rsidRPr="00E1372C">
        <w:rPr>
          <w:lang w:val="fr-FR" w:bidi="en-US"/>
        </w:rPr>
        <w:t> </w:t>
      </w:r>
      <w:r w:rsidR="00A55A0E" w:rsidRPr="00E1372C">
        <w:rPr>
          <w:lang w:val="fr-FR" w:bidi="en-US"/>
        </w:rPr>
        <w:t>919</w:t>
      </w:r>
      <w:r w:rsidR="00DA5749" w:rsidRPr="00E1372C">
        <w:rPr>
          <w:lang w:val="fr-FR" w:bidi="en-US"/>
        </w:rPr>
        <w:t xml:space="preserve"> personnes âgées et </w:t>
      </w:r>
      <w:r w:rsidR="00A55A0E" w:rsidRPr="00E1372C">
        <w:rPr>
          <w:lang w:val="fr-FR" w:bidi="en-US"/>
        </w:rPr>
        <w:t>18</w:t>
      </w:r>
      <w:r w:rsidR="00DA5749" w:rsidRPr="00E1372C">
        <w:rPr>
          <w:lang w:val="fr-FR" w:bidi="en-US"/>
        </w:rPr>
        <w:t> </w:t>
      </w:r>
      <w:r w:rsidR="00A55A0E" w:rsidRPr="00E1372C">
        <w:rPr>
          <w:lang w:val="fr-FR" w:bidi="en-US"/>
        </w:rPr>
        <w:t>747</w:t>
      </w:r>
      <w:r w:rsidR="00DA5749" w:rsidRPr="00E1372C">
        <w:rPr>
          <w:lang w:val="fr-FR" w:bidi="en-US"/>
        </w:rPr>
        <w:t> personnes handicapées) au titre du programme gouvernemental en vigueur. De plus, quelque 1 800 vétérans reçoivent 500 </w:t>
      </w:r>
      <w:r w:rsidR="00AC15E0" w:rsidRPr="00E1372C">
        <w:rPr>
          <w:lang w:val="fr-FR" w:bidi="en-US"/>
        </w:rPr>
        <w:t>dollars namibiens</w:t>
      </w:r>
      <w:r w:rsidR="00DA5749" w:rsidRPr="00E1372C">
        <w:rPr>
          <w:lang w:val="fr-FR" w:bidi="en-US"/>
        </w:rPr>
        <w:t xml:space="preserve"> (58,82 </w:t>
      </w:r>
      <w:r w:rsidR="00A301C2" w:rsidRPr="00E1372C">
        <w:rPr>
          <w:lang w:val="fr-FR" w:bidi="en-US"/>
        </w:rPr>
        <w:t>dollars É.-U.</w:t>
      </w:r>
      <w:r w:rsidR="00DA5749" w:rsidRPr="00E1372C">
        <w:rPr>
          <w:lang w:val="fr-FR" w:bidi="en-US"/>
        </w:rPr>
        <w:t>) par mois. Une allocation funéraire d</w:t>
      </w:r>
      <w:r w:rsidR="00731F09" w:rsidRPr="00E1372C">
        <w:rPr>
          <w:lang w:val="fr-FR" w:bidi="en-US"/>
        </w:rPr>
        <w:t>’</w:t>
      </w:r>
      <w:r w:rsidR="00DA5749" w:rsidRPr="00E1372C">
        <w:rPr>
          <w:lang w:val="fr-FR" w:bidi="en-US"/>
        </w:rPr>
        <w:t>un montant de 2 500 </w:t>
      </w:r>
      <w:r w:rsidR="00AC15E0" w:rsidRPr="00E1372C">
        <w:rPr>
          <w:lang w:val="fr-FR" w:bidi="en-US"/>
        </w:rPr>
        <w:t>dollars namibiens</w:t>
      </w:r>
      <w:r w:rsidR="00DA5749" w:rsidRPr="00E1372C">
        <w:rPr>
          <w:lang w:val="fr-FR" w:bidi="en-US"/>
        </w:rPr>
        <w:t xml:space="preserve"> (294,11 </w:t>
      </w:r>
      <w:r w:rsidR="00A301C2" w:rsidRPr="00E1372C">
        <w:rPr>
          <w:lang w:val="fr-FR" w:bidi="en-US"/>
        </w:rPr>
        <w:t>dollars É.-U.</w:t>
      </w:r>
      <w:r w:rsidR="00DA5749" w:rsidRPr="00E1372C">
        <w:rPr>
          <w:lang w:val="fr-FR" w:bidi="en-US"/>
        </w:rPr>
        <w:t>) est payée au décès d</w:t>
      </w:r>
      <w:r w:rsidR="00731F09" w:rsidRPr="00E1372C">
        <w:rPr>
          <w:lang w:val="fr-FR" w:bidi="en-US"/>
        </w:rPr>
        <w:t>’</w:t>
      </w:r>
      <w:r w:rsidR="00DA5749" w:rsidRPr="00E1372C">
        <w:rPr>
          <w:lang w:val="fr-FR" w:bidi="en-US"/>
        </w:rPr>
        <w:t>une personne âgée.</w:t>
      </w:r>
    </w:p>
    <w:p w:rsidR="00DA5749" w:rsidRPr="00E1372C" w:rsidRDefault="007A1757" w:rsidP="007A1757">
      <w:pPr>
        <w:pStyle w:val="SingleTxtG"/>
        <w:rPr>
          <w:b/>
          <w:lang w:val="fr-FR" w:bidi="en-US"/>
        </w:rPr>
      </w:pPr>
      <w:r w:rsidRPr="00E1372C">
        <w:rPr>
          <w:lang w:val="fr-FR" w:bidi="en-US"/>
        </w:rPr>
        <w:t>209.</w:t>
      </w:r>
      <w:r w:rsidRPr="00E1372C">
        <w:rPr>
          <w:lang w:val="fr-FR" w:bidi="en-US"/>
        </w:rPr>
        <w:tab/>
      </w:r>
      <w:r w:rsidR="00DA5749" w:rsidRPr="00E1372C">
        <w:rPr>
          <w:lang w:val="fr-FR" w:bidi="en-US"/>
        </w:rPr>
        <w:t>Le Gouvernement s</w:t>
      </w:r>
      <w:r w:rsidR="00731F09" w:rsidRPr="00E1372C">
        <w:rPr>
          <w:lang w:val="fr-FR" w:bidi="en-US"/>
        </w:rPr>
        <w:t>’</w:t>
      </w:r>
      <w:r w:rsidR="00DA5749" w:rsidRPr="00E1372C">
        <w:rPr>
          <w:lang w:val="fr-FR" w:bidi="en-US"/>
        </w:rPr>
        <w:t>emploie à examiner le régime de sécurité sociale établi pour s</w:t>
      </w:r>
      <w:r w:rsidR="00731F09" w:rsidRPr="00E1372C">
        <w:rPr>
          <w:lang w:val="fr-FR" w:bidi="en-US"/>
        </w:rPr>
        <w:t>’</w:t>
      </w:r>
      <w:r w:rsidR="00DA5749" w:rsidRPr="00E1372C">
        <w:rPr>
          <w:lang w:val="fr-FR" w:bidi="en-US"/>
        </w:rPr>
        <w:t>assurer qu</w:t>
      </w:r>
      <w:r w:rsidR="00731F09" w:rsidRPr="00E1372C">
        <w:rPr>
          <w:lang w:val="fr-FR" w:bidi="en-US"/>
        </w:rPr>
        <w:t>’</w:t>
      </w:r>
      <w:r w:rsidR="00DA5749" w:rsidRPr="00E1372C">
        <w:rPr>
          <w:lang w:val="fr-FR" w:bidi="en-US"/>
        </w:rPr>
        <w:t>il est tenu compte de tous les éléments de protection sociale nécessaires et que les structures de cotisation</w:t>
      </w:r>
      <w:r w:rsidR="00DD6FCB" w:rsidRPr="00E1372C">
        <w:rPr>
          <w:lang w:val="fr-FR" w:bidi="en-US"/>
        </w:rPr>
        <w:t>s et de prestations (y compris les prestations garanties par la Commission de la sécurité sociale) suffisent à assurer un maximum d</w:t>
      </w:r>
      <w:r w:rsidR="00731F09" w:rsidRPr="00E1372C">
        <w:rPr>
          <w:lang w:val="fr-FR" w:bidi="en-US"/>
        </w:rPr>
        <w:t>’</w:t>
      </w:r>
      <w:r w:rsidR="00DD6FCB" w:rsidRPr="00E1372C">
        <w:rPr>
          <w:lang w:val="fr-FR" w:bidi="en-US"/>
        </w:rPr>
        <w:t xml:space="preserve">avantages avec un minimum de cotisations. Il est envisagé de mettre en place prochainement une Caisse nationale de pension viable destinée à toute la population. </w:t>
      </w:r>
    </w:p>
    <w:p w:rsidR="00A55A0E" w:rsidRPr="00E1372C" w:rsidRDefault="00B649BB" w:rsidP="00B649BB">
      <w:pPr>
        <w:pStyle w:val="H23G"/>
        <w:rPr>
          <w:lang w:val="fr-FR" w:bidi="en-US"/>
        </w:rPr>
      </w:pPr>
      <w:r w:rsidRPr="00E1372C">
        <w:rPr>
          <w:lang w:val="fr-FR" w:bidi="en-US"/>
        </w:rPr>
        <w:tab/>
      </w:r>
      <w:r w:rsidRPr="00E1372C">
        <w:rPr>
          <w:lang w:val="fr-FR" w:bidi="en-US"/>
        </w:rPr>
        <w:tab/>
      </w:r>
      <w:r w:rsidR="005976A7" w:rsidRPr="00E1372C">
        <w:rPr>
          <w:lang w:val="fr-FR" w:bidi="en-US"/>
        </w:rPr>
        <w:t>Autres prestations</w:t>
      </w:r>
    </w:p>
    <w:p w:rsidR="00A55A0E" w:rsidRPr="00E1372C" w:rsidRDefault="007A1757" w:rsidP="007A1757">
      <w:pPr>
        <w:pStyle w:val="SingleTxtG"/>
        <w:rPr>
          <w:lang w:val="fr-FR" w:bidi="en-US"/>
        </w:rPr>
      </w:pPr>
      <w:r w:rsidRPr="00E1372C">
        <w:rPr>
          <w:lang w:val="fr-FR" w:bidi="en-US"/>
        </w:rPr>
        <w:t>210.</w:t>
      </w:r>
      <w:r w:rsidRPr="00E1372C">
        <w:rPr>
          <w:lang w:val="fr-FR" w:bidi="en-US"/>
        </w:rPr>
        <w:tab/>
      </w:r>
      <w:r w:rsidR="005976A7" w:rsidRPr="00E1372C">
        <w:rPr>
          <w:lang w:val="fr-FR" w:bidi="en-US"/>
        </w:rPr>
        <w:t>Tous frais médicaux et de transport normaux encourus par un employé accidenté ou pour son compte sont remboursés par la Caisse des accidents aux taux prescrits. Le revenu courant de la caisse s</w:t>
      </w:r>
      <w:r w:rsidR="00731F09" w:rsidRPr="00E1372C">
        <w:rPr>
          <w:lang w:val="fr-FR" w:bidi="en-US"/>
        </w:rPr>
        <w:t>’</w:t>
      </w:r>
      <w:r w:rsidR="005976A7" w:rsidRPr="00E1372C">
        <w:rPr>
          <w:lang w:val="fr-FR" w:bidi="en-US"/>
        </w:rPr>
        <w:t xml:space="preserve">élève dans la région à </w:t>
      </w:r>
      <w:r w:rsidR="00A55A0E" w:rsidRPr="00E1372C">
        <w:rPr>
          <w:lang w:val="fr-FR" w:bidi="en-US"/>
        </w:rPr>
        <w:t>90</w:t>
      </w:r>
      <w:r w:rsidR="00B649BB" w:rsidRPr="00E1372C">
        <w:rPr>
          <w:lang w:val="fr-FR" w:bidi="en-US"/>
        </w:rPr>
        <w:t xml:space="preserve"> </w:t>
      </w:r>
      <w:r w:rsidR="00A55A0E" w:rsidRPr="00E1372C">
        <w:rPr>
          <w:lang w:val="fr-FR" w:bidi="en-US"/>
        </w:rPr>
        <w:t>million</w:t>
      </w:r>
      <w:r w:rsidR="005976A7" w:rsidRPr="00E1372C">
        <w:rPr>
          <w:lang w:val="fr-FR" w:bidi="en-US"/>
        </w:rPr>
        <w:t xml:space="preserve">s de </w:t>
      </w:r>
      <w:r w:rsidR="00AC15E0" w:rsidRPr="00E1372C">
        <w:rPr>
          <w:lang w:val="fr-FR" w:bidi="en-US"/>
        </w:rPr>
        <w:t>dollars namibiens</w:t>
      </w:r>
      <w:r w:rsidR="005976A7" w:rsidRPr="00E1372C">
        <w:rPr>
          <w:lang w:val="fr-FR" w:bidi="en-US"/>
        </w:rPr>
        <w:t xml:space="preserve"> (</w:t>
      </w:r>
      <w:r w:rsidR="00A55A0E" w:rsidRPr="00E1372C">
        <w:rPr>
          <w:lang w:val="fr-FR" w:bidi="en-US"/>
        </w:rPr>
        <w:t>10</w:t>
      </w:r>
      <w:r w:rsidR="005976A7" w:rsidRPr="00E1372C">
        <w:rPr>
          <w:lang w:val="fr-FR" w:bidi="en-US"/>
        </w:rPr>
        <w:t> </w:t>
      </w:r>
      <w:r w:rsidR="00A55A0E" w:rsidRPr="00E1372C">
        <w:rPr>
          <w:lang w:val="fr-FR" w:bidi="en-US"/>
        </w:rPr>
        <w:t>588</w:t>
      </w:r>
      <w:r w:rsidR="005976A7" w:rsidRPr="00E1372C">
        <w:rPr>
          <w:lang w:val="fr-FR" w:bidi="en-US"/>
        </w:rPr>
        <w:t> </w:t>
      </w:r>
      <w:r w:rsidR="00A55A0E" w:rsidRPr="00E1372C">
        <w:rPr>
          <w:lang w:val="fr-FR" w:bidi="en-US"/>
        </w:rPr>
        <w:t>235</w:t>
      </w:r>
      <w:r w:rsidR="005976A7" w:rsidRPr="00E1372C">
        <w:rPr>
          <w:lang w:val="fr-FR" w:bidi="en-US"/>
        </w:rPr>
        <w:t> </w:t>
      </w:r>
      <w:r w:rsidR="00A301C2" w:rsidRPr="00E1372C">
        <w:rPr>
          <w:lang w:val="fr-FR" w:bidi="en-US"/>
        </w:rPr>
        <w:t>dollars É.-U.</w:t>
      </w:r>
      <w:r w:rsidR="00A55A0E" w:rsidRPr="00E1372C">
        <w:rPr>
          <w:lang w:val="fr-FR" w:bidi="en-US"/>
        </w:rPr>
        <w:t>) p</w:t>
      </w:r>
      <w:r w:rsidR="005976A7" w:rsidRPr="00E1372C">
        <w:rPr>
          <w:lang w:val="fr-FR" w:bidi="en-US"/>
        </w:rPr>
        <w:t>a</w:t>
      </w:r>
      <w:r w:rsidR="00A55A0E" w:rsidRPr="00E1372C">
        <w:rPr>
          <w:lang w:val="fr-FR" w:bidi="en-US"/>
        </w:rPr>
        <w:t xml:space="preserve">r an. </w:t>
      </w:r>
    </w:p>
    <w:p w:rsidR="005976A7" w:rsidRPr="00E1372C" w:rsidRDefault="007A1757" w:rsidP="007A1757">
      <w:pPr>
        <w:pStyle w:val="SingleTxtG"/>
        <w:rPr>
          <w:lang w:val="fr-FR" w:bidi="en-US"/>
        </w:rPr>
      </w:pPr>
      <w:r w:rsidRPr="00E1372C">
        <w:rPr>
          <w:lang w:val="fr-FR" w:bidi="en-US"/>
        </w:rPr>
        <w:t>211.</w:t>
      </w:r>
      <w:r w:rsidRPr="00E1372C">
        <w:rPr>
          <w:lang w:val="fr-FR" w:bidi="en-US"/>
        </w:rPr>
        <w:tab/>
      </w:r>
      <w:r w:rsidR="005976A7" w:rsidRPr="00E1372C">
        <w:rPr>
          <w:lang w:val="fr-FR" w:bidi="en-US"/>
        </w:rPr>
        <w:t>E</w:t>
      </w:r>
      <w:r w:rsidR="00A55A0E" w:rsidRPr="00E1372C">
        <w:rPr>
          <w:lang w:val="fr-FR" w:bidi="en-US"/>
        </w:rPr>
        <w:t xml:space="preserve">n </w:t>
      </w:r>
      <w:r w:rsidR="005976A7" w:rsidRPr="00E1372C">
        <w:rPr>
          <w:lang w:val="fr-FR" w:bidi="en-US"/>
        </w:rPr>
        <w:t>Namibie</w:t>
      </w:r>
      <w:r w:rsidR="00A55A0E" w:rsidRPr="00E1372C">
        <w:rPr>
          <w:lang w:val="fr-FR" w:bidi="en-US"/>
        </w:rPr>
        <w:t xml:space="preserve">, </w:t>
      </w:r>
      <w:r w:rsidR="005976A7" w:rsidRPr="00E1372C">
        <w:rPr>
          <w:lang w:val="fr-FR" w:bidi="en-US"/>
        </w:rPr>
        <w:t>les régimes publics de sécurité sociale décrits ci-dessus sont complétés par des dispositifs privés. Il est prévu d</w:t>
      </w:r>
      <w:r w:rsidR="00731F09" w:rsidRPr="00E1372C">
        <w:rPr>
          <w:lang w:val="fr-FR" w:bidi="en-US"/>
        </w:rPr>
        <w:t>’</w:t>
      </w:r>
      <w:r w:rsidR="005976A7" w:rsidRPr="00E1372C">
        <w:rPr>
          <w:lang w:val="fr-FR" w:bidi="en-US"/>
        </w:rPr>
        <w:t>externaliser l</w:t>
      </w:r>
      <w:r w:rsidR="00731F09" w:rsidRPr="00E1372C">
        <w:rPr>
          <w:lang w:val="fr-FR" w:bidi="en-US"/>
        </w:rPr>
        <w:t>’</w:t>
      </w:r>
      <w:r w:rsidR="005976A7" w:rsidRPr="00E1372C">
        <w:rPr>
          <w:lang w:val="fr-FR" w:bidi="en-US"/>
        </w:rPr>
        <w:t>administration de certaines activités de caisses futures – Caisse nationale de pension, Caisse des assurances maladie et Fonds de développement national. Les dispositifs privés seront par conséquent renforcés à l</w:t>
      </w:r>
      <w:r w:rsidR="00731F09" w:rsidRPr="00E1372C">
        <w:rPr>
          <w:lang w:val="fr-FR" w:bidi="en-US"/>
        </w:rPr>
        <w:t>’</w:t>
      </w:r>
      <w:r w:rsidR="005976A7" w:rsidRPr="00E1372C">
        <w:rPr>
          <w:lang w:val="fr-FR" w:bidi="en-US"/>
        </w:rPr>
        <w:t>avenir.</w:t>
      </w:r>
    </w:p>
    <w:p w:rsidR="005976A7" w:rsidRPr="00E1372C" w:rsidRDefault="007A1757" w:rsidP="007A1757">
      <w:pPr>
        <w:pStyle w:val="SingleTxtG"/>
        <w:rPr>
          <w:lang w:val="fr-FR" w:bidi="en-US"/>
        </w:rPr>
      </w:pPr>
      <w:r w:rsidRPr="00E1372C">
        <w:rPr>
          <w:lang w:val="fr-FR" w:bidi="en-US"/>
        </w:rPr>
        <w:t>212.</w:t>
      </w:r>
      <w:r w:rsidRPr="00E1372C">
        <w:rPr>
          <w:lang w:val="fr-FR" w:bidi="en-US"/>
        </w:rPr>
        <w:tab/>
      </w:r>
      <w:r w:rsidR="005976A7" w:rsidRPr="00E1372C">
        <w:rPr>
          <w:lang w:val="fr-FR" w:bidi="en-US"/>
        </w:rPr>
        <w:t>Quelques groupes ne bénéficient aucunement du droit à la sécurité sociale en Namibie</w:t>
      </w:r>
      <w:r w:rsidR="00AE017E" w:rsidRPr="00E1372C">
        <w:rPr>
          <w:lang w:val="fr-FR" w:bidi="en-US"/>
        </w:rPr>
        <w:t>:</w:t>
      </w:r>
      <w:r w:rsidR="005976A7" w:rsidRPr="00E1372C">
        <w:rPr>
          <w:lang w:val="fr-FR" w:bidi="en-US"/>
        </w:rPr>
        <w:t xml:space="preserve"> employés travaillant moins de trois jours par semaine pour le même employeur et les quelques travailleurs indépendants, la majorité n</w:t>
      </w:r>
      <w:r w:rsidR="00731F09" w:rsidRPr="00E1372C">
        <w:rPr>
          <w:lang w:val="fr-FR" w:bidi="en-US"/>
        </w:rPr>
        <w:t>’</w:t>
      </w:r>
      <w:r w:rsidR="005976A7" w:rsidRPr="00E1372C">
        <w:rPr>
          <w:lang w:val="fr-FR" w:bidi="en-US"/>
        </w:rPr>
        <w:t>étant pas enregistrés car la loi ne les oblige pas à s</w:t>
      </w:r>
      <w:r w:rsidR="00731F09" w:rsidRPr="00E1372C">
        <w:rPr>
          <w:lang w:val="fr-FR" w:bidi="en-US"/>
        </w:rPr>
        <w:t>’</w:t>
      </w:r>
      <w:r w:rsidR="005976A7" w:rsidRPr="00E1372C">
        <w:rPr>
          <w:lang w:val="fr-FR" w:bidi="en-US"/>
        </w:rPr>
        <w:t>inscrire auprès de la Commission de la sécurité sociale.</w:t>
      </w:r>
    </w:p>
    <w:p w:rsidR="005976A7" w:rsidRPr="00E1372C" w:rsidRDefault="007A1757" w:rsidP="007A1757">
      <w:pPr>
        <w:pStyle w:val="SingleTxtG"/>
        <w:rPr>
          <w:lang w:val="fr-FR" w:bidi="en-US"/>
        </w:rPr>
      </w:pPr>
      <w:r w:rsidRPr="00E1372C">
        <w:rPr>
          <w:lang w:val="fr-FR" w:bidi="en-US"/>
        </w:rPr>
        <w:t>213.</w:t>
      </w:r>
      <w:r w:rsidRPr="00E1372C">
        <w:rPr>
          <w:lang w:val="fr-FR" w:bidi="en-US"/>
        </w:rPr>
        <w:tab/>
      </w:r>
      <w:r w:rsidR="005976A7" w:rsidRPr="00E1372C">
        <w:rPr>
          <w:lang w:val="fr-FR" w:bidi="en-US"/>
        </w:rPr>
        <w:t>Les programmes de remplacement de revenu</w:t>
      </w:r>
      <w:r w:rsidR="00631C41" w:rsidRPr="00E1372C">
        <w:rPr>
          <w:lang w:val="fr-FR" w:bidi="en-US"/>
        </w:rPr>
        <w:t>,</w:t>
      </w:r>
      <w:r w:rsidR="005976A7" w:rsidRPr="00E1372C">
        <w:rPr>
          <w:lang w:val="fr-FR" w:bidi="en-US"/>
        </w:rPr>
        <w:t xml:space="preserve"> qui ont été adoptés</w:t>
      </w:r>
      <w:r w:rsidR="00631C41" w:rsidRPr="00E1372C">
        <w:rPr>
          <w:lang w:val="fr-FR" w:bidi="en-US"/>
        </w:rPr>
        <w:t>,</w:t>
      </w:r>
      <w:r w:rsidR="005976A7" w:rsidRPr="00E1372C">
        <w:rPr>
          <w:lang w:val="fr-FR" w:bidi="en-US"/>
        </w:rPr>
        <w:t xml:space="preserve"> ont permis d</w:t>
      </w:r>
      <w:r w:rsidR="00731F09" w:rsidRPr="00E1372C">
        <w:rPr>
          <w:lang w:val="fr-FR" w:bidi="en-US"/>
        </w:rPr>
        <w:t>’</w:t>
      </w:r>
      <w:r w:rsidR="005976A7" w:rsidRPr="00E1372C">
        <w:rPr>
          <w:lang w:val="fr-FR" w:bidi="en-US"/>
        </w:rPr>
        <w:t>accroître la sécurité économique et psychologique des travailleurs et de leur famille et</w:t>
      </w:r>
      <w:r w:rsidR="00631C41" w:rsidRPr="00E1372C">
        <w:rPr>
          <w:lang w:val="fr-FR" w:bidi="en-US"/>
        </w:rPr>
        <w:t xml:space="preserve"> ainsi</w:t>
      </w:r>
      <w:r w:rsidR="005976A7" w:rsidRPr="00E1372C">
        <w:rPr>
          <w:lang w:val="fr-FR" w:bidi="en-US"/>
        </w:rPr>
        <w:t xml:space="preserve"> la stabilité sociale. C</w:t>
      </w:r>
      <w:r w:rsidR="00731F09" w:rsidRPr="00E1372C">
        <w:rPr>
          <w:lang w:val="fr-FR" w:bidi="en-US"/>
        </w:rPr>
        <w:t>’</w:t>
      </w:r>
      <w:r w:rsidR="005976A7" w:rsidRPr="00E1372C">
        <w:rPr>
          <w:lang w:val="fr-FR" w:bidi="en-US"/>
        </w:rPr>
        <w:t>est pour cette raison que le Gouvernement a décidé d</w:t>
      </w:r>
      <w:r w:rsidR="00731F09" w:rsidRPr="00E1372C">
        <w:rPr>
          <w:lang w:val="fr-FR" w:bidi="en-US"/>
        </w:rPr>
        <w:t>’</w:t>
      </w:r>
      <w:r w:rsidR="005976A7" w:rsidRPr="00E1372C">
        <w:rPr>
          <w:lang w:val="fr-FR" w:bidi="en-US"/>
        </w:rPr>
        <w:t>étendre les prestations de la sécurité sociale à tous les groupes de travailleurs. Les caisses suivantes seront très prochainement mises en place</w:t>
      </w:r>
      <w:r w:rsidR="00AE017E" w:rsidRPr="00E1372C">
        <w:rPr>
          <w:lang w:val="fr-FR" w:bidi="en-US"/>
        </w:rPr>
        <w:t>:</w:t>
      </w:r>
    </w:p>
    <w:p w:rsidR="00A55A0E" w:rsidRPr="00E1372C" w:rsidRDefault="004A7FE0" w:rsidP="00CE2771">
      <w:pPr>
        <w:pStyle w:val="Bullet1G"/>
      </w:pPr>
      <w:r w:rsidRPr="00E1372C">
        <w:rPr>
          <w:b/>
        </w:rPr>
        <w:t>Soins médicaux</w:t>
      </w:r>
      <w:r w:rsidR="00AE017E" w:rsidRPr="00E1372C">
        <w:rPr>
          <w:b/>
        </w:rPr>
        <w:t>:</w:t>
      </w:r>
      <w:r w:rsidR="00A55A0E" w:rsidRPr="00E1372C">
        <w:t xml:space="preserve"> </w:t>
      </w:r>
      <w:r w:rsidRPr="00E1372C">
        <w:t>fourniture de soins médicaux, y compris les mesures de prévention, pour améliorer la santé des travailleurs et de leur famille. Aucun calendrier de mise en place de la Caisse d</w:t>
      </w:r>
      <w:r w:rsidR="00731F09" w:rsidRPr="00E1372C">
        <w:t>’</w:t>
      </w:r>
      <w:r w:rsidRPr="00E1372C">
        <w:t>assuranc</w:t>
      </w:r>
      <w:r w:rsidR="00B649BB" w:rsidRPr="00E1372C">
        <w:t>e maladie n</w:t>
      </w:r>
      <w:r w:rsidR="00731F09" w:rsidRPr="00E1372C">
        <w:t>’</w:t>
      </w:r>
      <w:r w:rsidR="00B649BB" w:rsidRPr="00E1372C">
        <w:t>a encore été arrêté</w:t>
      </w:r>
      <w:r w:rsidR="00731F09" w:rsidRPr="00E1372C">
        <w:t>;</w:t>
      </w:r>
    </w:p>
    <w:p w:rsidR="004A7FE0" w:rsidRPr="00E1372C" w:rsidRDefault="004A7FE0" w:rsidP="00CE2771">
      <w:pPr>
        <w:pStyle w:val="Bullet1G"/>
      </w:pPr>
      <w:r w:rsidRPr="00E1372C">
        <w:rPr>
          <w:b/>
        </w:rPr>
        <w:t>Caisse de pension de retraite</w:t>
      </w:r>
      <w:r w:rsidR="00AE017E" w:rsidRPr="00E1372C">
        <w:rPr>
          <w:b/>
        </w:rPr>
        <w:t>:</w:t>
      </w:r>
      <w:r w:rsidR="00A55A0E" w:rsidRPr="00E1372C">
        <w:t xml:space="preserve"> </w:t>
      </w:r>
      <w:r w:rsidRPr="00E1372C">
        <w:t>l</w:t>
      </w:r>
      <w:r w:rsidR="00731F09" w:rsidRPr="00E1372C">
        <w:t>’</w:t>
      </w:r>
      <w:r w:rsidRPr="00E1372C">
        <w:t>instauration d</w:t>
      </w:r>
      <w:r w:rsidR="00731F09" w:rsidRPr="00E1372C">
        <w:t>’</w:t>
      </w:r>
      <w:r w:rsidRPr="00E1372C">
        <w:t>une Caisse de pension de retraite permet aux travailleurs de ne plus dépendre d</w:t>
      </w:r>
      <w:r w:rsidR="00731F09" w:rsidRPr="00E1372C">
        <w:t>’</w:t>
      </w:r>
      <w:r w:rsidRPr="00E1372C">
        <w:t>une famille nombreuse pour s</w:t>
      </w:r>
      <w:r w:rsidR="00731F09" w:rsidRPr="00E1372C">
        <w:t>’</w:t>
      </w:r>
      <w:r w:rsidRPr="00E1372C">
        <w:t>assurer un soutien durant leur vieillesse. Il s</w:t>
      </w:r>
      <w:r w:rsidR="00731F09" w:rsidRPr="00E1372C">
        <w:t>’</w:t>
      </w:r>
      <w:r w:rsidRPr="00E1372C">
        <w:t>ensuivra une baisse progressive du taux de natalité. La Caisse sera mise en place dès que les parties prenantes seront convenues de son orientation et sa conception. L</w:t>
      </w:r>
      <w:r w:rsidR="00B649BB" w:rsidRPr="00E1372C">
        <w:t>es consultations se poursuivent</w:t>
      </w:r>
      <w:r w:rsidR="00731F09" w:rsidRPr="00E1372C">
        <w:t>;</w:t>
      </w:r>
    </w:p>
    <w:p w:rsidR="00A55A0E" w:rsidRPr="00E1372C" w:rsidRDefault="00A55A0E" w:rsidP="00CE2771">
      <w:pPr>
        <w:pStyle w:val="Bullet1G"/>
      </w:pPr>
      <w:r w:rsidRPr="00E1372C">
        <w:rPr>
          <w:b/>
        </w:rPr>
        <w:t>F</w:t>
      </w:r>
      <w:r w:rsidR="004A7FE0" w:rsidRPr="00E1372C">
        <w:rPr>
          <w:b/>
        </w:rPr>
        <w:t>o</w:t>
      </w:r>
      <w:r w:rsidRPr="00E1372C">
        <w:rPr>
          <w:b/>
        </w:rPr>
        <w:t>nd</w:t>
      </w:r>
      <w:r w:rsidR="004A7FE0" w:rsidRPr="00E1372C">
        <w:rPr>
          <w:b/>
        </w:rPr>
        <w:t>s de développement</w:t>
      </w:r>
      <w:r w:rsidR="00AE017E" w:rsidRPr="00E1372C">
        <w:rPr>
          <w:b/>
        </w:rPr>
        <w:t>:</w:t>
      </w:r>
      <w:r w:rsidRPr="00E1372C">
        <w:t xml:space="preserve"> </w:t>
      </w:r>
      <w:r w:rsidR="004A7FE0" w:rsidRPr="00E1372C">
        <w:t xml:space="preserve">ce </w:t>
      </w:r>
      <w:r w:rsidR="006B1F8B" w:rsidRPr="00E1372C">
        <w:t>f</w:t>
      </w:r>
      <w:r w:rsidR="004A7FE0" w:rsidRPr="00E1372C">
        <w:t>onds pourvoira aux besoins des programmes de formation et d</w:t>
      </w:r>
      <w:r w:rsidR="00731F09" w:rsidRPr="00E1372C">
        <w:t>’</w:t>
      </w:r>
      <w:r w:rsidR="004A7FE0" w:rsidRPr="00E1372C">
        <w:t>emploi destinés aux personnes socioéconomiquement défavorisées.</w:t>
      </w:r>
    </w:p>
    <w:p w:rsidR="004A7FE0" w:rsidRPr="00E1372C" w:rsidRDefault="007A1757" w:rsidP="007A1757">
      <w:pPr>
        <w:pStyle w:val="SingleTxtG"/>
        <w:rPr>
          <w:lang w:val="fr-FR" w:bidi="en-US"/>
        </w:rPr>
      </w:pPr>
      <w:r w:rsidRPr="00E1372C">
        <w:rPr>
          <w:lang w:val="fr-FR" w:bidi="en-US"/>
        </w:rPr>
        <w:t>214.</w:t>
      </w:r>
      <w:r w:rsidRPr="00E1372C">
        <w:rPr>
          <w:lang w:val="fr-FR" w:bidi="en-US"/>
        </w:rPr>
        <w:tab/>
      </w:r>
      <w:r w:rsidR="004A7FE0" w:rsidRPr="00E1372C">
        <w:rPr>
          <w:lang w:val="fr-FR" w:bidi="en-US"/>
        </w:rPr>
        <w:t>Les travailleurs affirment parfois que les cotisations à la sécurité sociale grèvent le budget des salariés à faible revenu et peuvent créer ou aggraver la pauvreté parmi eux. Sur le marché intérieur, les cotisations augmentent les coûts de production et réduisent la rentabilité, encourageant ainsi les employeurs à rechercher des méthodes à plus forte intensité de capital, lesquelles entraînent inévitablement des réductions d</w:t>
      </w:r>
      <w:r w:rsidR="00731F09" w:rsidRPr="00E1372C">
        <w:rPr>
          <w:lang w:val="fr-FR" w:bidi="en-US"/>
        </w:rPr>
        <w:t>’</w:t>
      </w:r>
      <w:r w:rsidR="004A7FE0" w:rsidRPr="00E1372C">
        <w:rPr>
          <w:lang w:val="fr-FR" w:bidi="en-US"/>
        </w:rPr>
        <w:t>emploi.</w:t>
      </w:r>
    </w:p>
    <w:p w:rsidR="004A7FE0" w:rsidRPr="00E1372C" w:rsidRDefault="007A1757" w:rsidP="007A1757">
      <w:pPr>
        <w:pStyle w:val="SingleTxtG"/>
        <w:rPr>
          <w:lang w:val="fr-FR" w:bidi="en-US"/>
        </w:rPr>
      </w:pPr>
      <w:r w:rsidRPr="00E1372C">
        <w:rPr>
          <w:lang w:val="fr-FR" w:bidi="en-US"/>
        </w:rPr>
        <w:t>215.</w:t>
      </w:r>
      <w:r w:rsidRPr="00E1372C">
        <w:rPr>
          <w:lang w:val="fr-FR" w:bidi="en-US"/>
        </w:rPr>
        <w:tab/>
      </w:r>
      <w:r w:rsidR="004A7FE0" w:rsidRPr="00E1372C">
        <w:rPr>
          <w:lang w:val="fr-FR" w:bidi="en-US"/>
        </w:rPr>
        <w:t>Tous les employés qui occupent des postes permanents dans les secteurs tant public que privé bénéficient de régimes de pension au moment de leur retraite ou dès qu</w:t>
      </w:r>
      <w:r w:rsidR="00731F09" w:rsidRPr="00E1372C">
        <w:rPr>
          <w:lang w:val="fr-FR" w:bidi="en-US"/>
        </w:rPr>
        <w:t>’</w:t>
      </w:r>
      <w:r w:rsidR="004A7FE0" w:rsidRPr="00E1372C">
        <w:rPr>
          <w:lang w:val="fr-FR" w:bidi="en-US"/>
        </w:rPr>
        <w:t>ils ne sont plus des actifs. Au sens de la loi n</w:t>
      </w:r>
      <w:r w:rsidR="00B277C4" w:rsidRPr="00E1372C">
        <w:rPr>
          <w:vertAlign w:val="superscript"/>
          <w:lang w:val="fr-FR" w:bidi="en-US"/>
        </w:rPr>
        <w:t>o</w:t>
      </w:r>
      <w:r w:rsidR="004A7FE0" w:rsidRPr="00E1372C">
        <w:rPr>
          <w:lang w:val="fr-FR" w:bidi="en-US"/>
        </w:rPr>
        <w:t xml:space="preserve"> 24 </w:t>
      </w:r>
      <w:r w:rsidR="00500F86" w:rsidRPr="00E1372C">
        <w:rPr>
          <w:lang w:val="fr-FR" w:bidi="en-US"/>
        </w:rPr>
        <w:t xml:space="preserve">de 1956 </w:t>
      </w:r>
      <w:r w:rsidR="004A7FE0" w:rsidRPr="00E1372C">
        <w:rPr>
          <w:lang w:val="fr-FR" w:bidi="en-US"/>
        </w:rPr>
        <w:t>relative aux caisses de pension, toutes les caisses de pension dans le pays doivent être enregistrées et relever de l</w:t>
      </w:r>
      <w:r w:rsidR="00731F09" w:rsidRPr="00E1372C">
        <w:rPr>
          <w:lang w:val="fr-FR" w:bidi="en-US"/>
        </w:rPr>
        <w:t>’</w:t>
      </w:r>
      <w:r w:rsidR="004A7FE0" w:rsidRPr="00E1372C">
        <w:rPr>
          <w:lang w:val="fr-FR" w:bidi="en-US"/>
        </w:rPr>
        <w:t>autorité de surveillance des institutions financières, qui est un organe gouvernemental.</w:t>
      </w:r>
    </w:p>
    <w:p w:rsidR="00A55A0E" w:rsidRPr="00E1372C" w:rsidRDefault="00A55A0E" w:rsidP="00A55A0E">
      <w:pPr>
        <w:pStyle w:val="H1G"/>
        <w:rPr>
          <w:lang w:val="fr-FR" w:bidi="en-US"/>
        </w:rPr>
      </w:pPr>
      <w:bookmarkStart w:id="5" w:name="_Toc13632571"/>
      <w:r w:rsidRPr="00E1372C">
        <w:rPr>
          <w:lang w:val="fr-FR"/>
        </w:rPr>
        <w:tab/>
      </w:r>
      <w:r w:rsidRPr="00E1372C">
        <w:rPr>
          <w:lang w:val="fr-FR"/>
        </w:rPr>
        <w:tab/>
        <w:t>Article 10</w:t>
      </w:r>
      <w:bookmarkEnd w:id="5"/>
      <w:r w:rsidR="00D93C60" w:rsidRPr="00E1372C">
        <w:rPr>
          <w:lang w:val="fr-FR"/>
        </w:rPr>
        <w:br/>
        <w:t xml:space="preserve">Droit </w:t>
      </w:r>
      <w:r w:rsidR="004A7FE0" w:rsidRPr="00E1372C">
        <w:rPr>
          <w:lang w:val="fr-FR"/>
        </w:rPr>
        <w:t>de la famille</w:t>
      </w:r>
    </w:p>
    <w:p w:rsidR="004A7FE0" w:rsidRPr="00E1372C" w:rsidRDefault="007A1757" w:rsidP="007A1757">
      <w:pPr>
        <w:pStyle w:val="SingleTxtG"/>
        <w:rPr>
          <w:lang w:val="fr-FR" w:bidi="en-US"/>
        </w:rPr>
      </w:pPr>
      <w:r w:rsidRPr="00E1372C">
        <w:rPr>
          <w:lang w:val="fr-FR" w:bidi="en-US"/>
        </w:rPr>
        <w:t>216.</w:t>
      </w:r>
      <w:r w:rsidRPr="00E1372C">
        <w:rPr>
          <w:lang w:val="fr-FR" w:bidi="en-US"/>
        </w:rPr>
        <w:tab/>
      </w:r>
      <w:r w:rsidR="004A7FE0" w:rsidRPr="00E1372C">
        <w:rPr>
          <w:lang w:val="fr-FR" w:bidi="en-US"/>
        </w:rPr>
        <w:t>La Namibie a fourni des renseignements concernant tant la Convention sur l</w:t>
      </w:r>
      <w:r w:rsidR="00731F09" w:rsidRPr="00E1372C">
        <w:rPr>
          <w:lang w:val="fr-FR" w:bidi="en-US"/>
        </w:rPr>
        <w:t>’</w:t>
      </w:r>
      <w:r w:rsidR="004A7FE0" w:rsidRPr="00E1372C">
        <w:rPr>
          <w:lang w:val="fr-FR" w:bidi="en-US"/>
        </w:rPr>
        <w:t>élimination de toutes les formes de discrimination à l</w:t>
      </w:r>
      <w:r w:rsidR="00731F09" w:rsidRPr="00E1372C">
        <w:rPr>
          <w:lang w:val="fr-FR" w:bidi="en-US"/>
        </w:rPr>
        <w:t>’</w:t>
      </w:r>
      <w:r w:rsidR="004A7FE0" w:rsidRPr="00E1372C">
        <w:rPr>
          <w:lang w:val="fr-FR" w:bidi="en-US"/>
        </w:rPr>
        <w:t>égard des femmes que la Convention relative aux droits de l</w:t>
      </w:r>
      <w:r w:rsidR="00731F09" w:rsidRPr="00E1372C">
        <w:rPr>
          <w:lang w:val="fr-FR" w:bidi="en-US"/>
        </w:rPr>
        <w:t>’</w:t>
      </w:r>
      <w:r w:rsidR="004A7FE0" w:rsidRPr="00E1372C">
        <w:rPr>
          <w:lang w:val="fr-FR" w:bidi="en-US"/>
        </w:rPr>
        <w:t>enfant aux comités respectifs de l</w:t>
      </w:r>
      <w:r w:rsidR="00731F09" w:rsidRPr="00E1372C">
        <w:rPr>
          <w:lang w:val="fr-FR" w:bidi="en-US"/>
        </w:rPr>
        <w:t>’</w:t>
      </w:r>
      <w:r w:rsidR="004A7FE0" w:rsidRPr="00E1372C">
        <w:rPr>
          <w:lang w:val="fr-FR" w:bidi="en-US"/>
        </w:rPr>
        <w:t>ONU en 2004 et 2009, respectivement.</w:t>
      </w:r>
    </w:p>
    <w:p w:rsidR="00A55A0E" w:rsidRPr="00E1372C" w:rsidRDefault="00D93C60" w:rsidP="00D93C60">
      <w:pPr>
        <w:pStyle w:val="H23G"/>
        <w:rPr>
          <w:lang w:val="fr-FR" w:bidi="en-US"/>
        </w:rPr>
      </w:pPr>
      <w:r w:rsidRPr="00E1372C">
        <w:rPr>
          <w:lang w:val="fr-FR" w:bidi="en-US"/>
        </w:rPr>
        <w:tab/>
      </w:r>
      <w:r w:rsidRPr="00E1372C">
        <w:rPr>
          <w:lang w:val="fr-FR" w:bidi="en-US"/>
        </w:rPr>
        <w:tab/>
      </w:r>
      <w:r w:rsidR="00A55A0E" w:rsidRPr="00E1372C">
        <w:rPr>
          <w:lang w:val="fr-FR" w:bidi="en-US"/>
        </w:rPr>
        <w:t>D</w:t>
      </w:r>
      <w:r w:rsidR="00CC70DA" w:rsidRPr="00E1372C">
        <w:rPr>
          <w:lang w:val="fr-FR" w:bidi="en-US"/>
        </w:rPr>
        <w:t>éfinition de la famille</w:t>
      </w:r>
    </w:p>
    <w:p w:rsidR="00A55A0E" w:rsidRPr="00E1372C" w:rsidRDefault="007A1757" w:rsidP="007A1757">
      <w:pPr>
        <w:pStyle w:val="SingleTxtG"/>
        <w:keepNext/>
        <w:rPr>
          <w:lang w:val="fr-FR" w:bidi="en-US"/>
        </w:rPr>
      </w:pPr>
      <w:r w:rsidRPr="00E1372C">
        <w:rPr>
          <w:lang w:val="fr-FR" w:bidi="en-US"/>
        </w:rPr>
        <w:t>217.</w:t>
      </w:r>
      <w:r w:rsidRPr="00E1372C">
        <w:rPr>
          <w:lang w:val="fr-FR" w:bidi="en-US"/>
        </w:rPr>
        <w:tab/>
      </w:r>
      <w:r w:rsidR="00CC70DA" w:rsidRPr="00E1372C">
        <w:rPr>
          <w:lang w:val="fr-FR" w:bidi="en-US"/>
        </w:rPr>
        <w:t>L</w:t>
      </w:r>
      <w:r w:rsidR="00731F09" w:rsidRPr="00E1372C">
        <w:rPr>
          <w:lang w:val="fr-FR" w:bidi="en-US"/>
        </w:rPr>
        <w:t>’</w:t>
      </w:r>
      <w:r w:rsidR="00CC70DA" w:rsidRPr="00E1372C">
        <w:rPr>
          <w:lang w:val="fr-FR" w:bidi="en-US"/>
        </w:rPr>
        <w:t>a</w:t>
      </w:r>
      <w:r w:rsidR="00A55A0E" w:rsidRPr="00E1372C">
        <w:rPr>
          <w:lang w:val="fr-FR" w:bidi="en-US"/>
        </w:rPr>
        <w:t xml:space="preserve">rticle 14 </w:t>
      </w:r>
      <w:r w:rsidR="00CC70DA" w:rsidRPr="00E1372C">
        <w:rPr>
          <w:lang w:val="fr-FR" w:bidi="en-US"/>
        </w:rPr>
        <w:t xml:space="preserve">de la </w:t>
      </w:r>
      <w:r w:rsidR="00A55A0E" w:rsidRPr="00E1372C">
        <w:rPr>
          <w:lang w:val="fr-FR" w:bidi="en-US"/>
        </w:rPr>
        <w:t xml:space="preserve">Constitution </w:t>
      </w:r>
      <w:r w:rsidR="00CC70DA" w:rsidRPr="00E1372C">
        <w:rPr>
          <w:lang w:val="fr-FR" w:bidi="en-US"/>
        </w:rPr>
        <w:t>dispose que</w:t>
      </w:r>
      <w:r w:rsidR="00AE017E" w:rsidRPr="00E1372C">
        <w:rPr>
          <w:lang w:val="fr-FR" w:bidi="en-US"/>
        </w:rPr>
        <w:t>:</w:t>
      </w:r>
      <w:r w:rsidR="00A55A0E" w:rsidRPr="00E1372C">
        <w:rPr>
          <w:lang w:val="fr-FR" w:bidi="en-US"/>
        </w:rPr>
        <w:t xml:space="preserve"> </w:t>
      </w:r>
    </w:p>
    <w:p w:rsidR="00A55A0E" w:rsidRPr="00E1372C" w:rsidRDefault="00AE017E" w:rsidP="00A55A0E">
      <w:pPr>
        <w:pStyle w:val="SingleTxtG"/>
        <w:ind w:left="1701"/>
        <w:rPr>
          <w:lang w:val="fr-FR" w:bidi="en-US"/>
        </w:rPr>
      </w:pPr>
      <w:r w:rsidRPr="00E1372C">
        <w:rPr>
          <w:lang w:val="fr-FR"/>
        </w:rPr>
        <w:t>«</w:t>
      </w:r>
      <w:r w:rsidR="00035D9B" w:rsidRPr="00E1372C">
        <w:rPr>
          <w:lang w:val="fr-FR"/>
        </w:rPr>
        <w:t>À partir de l</w:t>
      </w:r>
      <w:r w:rsidR="00731F09" w:rsidRPr="00E1372C">
        <w:rPr>
          <w:lang w:val="fr-FR"/>
        </w:rPr>
        <w:t>’</w:t>
      </w:r>
      <w:r w:rsidR="00035D9B" w:rsidRPr="00E1372C">
        <w:rPr>
          <w:lang w:val="fr-FR"/>
        </w:rPr>
        <w:t>âge nubile, l</w:t>
      </w:r>
      <w:r w:rsidR="00731F09" w:rsidRPr="00E1372C">
        <w:rPr>
          <w:lang w:val="fr-FR"/>
        </w:rPr>
        <w:t>’</w:t>
      </w:r>
      <w:r w:rsidR="00035D9B" w:rsidRPr="00E1372C">
        <w:rPr>
          <w:lang w:val="fr-FR"/>
        </w:rPr>
        <w:t>homme et la femme, sans aucune restriction quant à la race, la nationalité ou la religion, ont le droit de se marier et de fonder une famille. Ils ont des droits égaux au regard du mariage, durant le mariage et lors de sa dissolution. Le mariage ne peut être conclu qu</w:t>
      </w:r>
      <w:r w:rsidR="00731F09" w:rsidRPr="00E1372C">
        <w:rPr>
          <w:lang w:val="fr-FR"/>
        </w:rPr>
        <w:t>’</w:t>
      </w:r>
      <w:r w:rsidR="00035D9B" w:rsidRPr="00E1372C">
        <w:rPr>
          <w:lang w:val="fr-FR"/>
        </w:rPr>
        <w:t>avec le libre et plein consentement des futurs époux. La famille est l</w:t>
      </w:r>
      <w:r w:rsidR="00731F09" w:rsidRPr="00E1372C">
        <w:rPr>
          <w:lang w:val="fr-FR"/>
        </w:rPr>
        <w:t>’</w:t>
      </w:r>
      <w:r w:rsidR="00035D9B" w:rsidRPr="00E1372C">
        <w:rPr>
          <w:lang w:val="fr-FR"/>
        </w:rPr>
        <w:t>élément naturel et fondamental de la société et a droit à la protection de la société et de l</w:t>
      </w:r>
      <w:r w:rsidR="00731F09" w:rsidRPr="00E1372C">
        <w:rPr>
          <w:lang w:val="fr-FR"/>
        </w:rPr>
        <w:t>’</w:t>
      </w:r>
      <w:r w:rsidR="00035D9B" w:rsidRPr="00E1372C">
        <w:rPr>
          <w:lang w:val="fr-FR"/>
        </w:rPr>
        <w:t>État.</w:t>
      </w:r>
      <w:r w:rsidRPr="00E1372C">
        <w:rPr>
          <w:lang w:val="fr-FR"/>
        </w:rPr>
        <w:t>»</w:t>
      </w:r>
    </w:p>
    <w:p w:rsidR="00035D9B" w:rsidRPr="00E1372C" w:rsidRDefault="007A1757" w:rsidP="007A1757">
      <w:pPr>
        <w:pStyle w:val="SingleTxtG"/>
        <w:rPr>
          <w:lang w:val="fr-FR" w:bidi="en-US"/>
        </w:rPr>
      </w:pPr>
      <w:r w:rsidRPr="00E1372C">
        <w:rPr>
          <w:lang w:val="fr-FR" w:bidi="en-US"/>
        </w:rPr>
        <w:t>218.</w:t>
      </w:r>
      <w:r w:rsidRPr="00E1372C">
        <w:rPr>
          <w:lang w:val="fr-FR" w:bidi="en-US"/>
        </w:rPr>
        <w:tab/>
      </w:r>
      <w:r w:rsidR="00035D9B" w:rsidRPr="00E1372C">
        <w:rPr>
          <w:lang w:val="fr-FR" w:bidi="en-US"/>
        </w:rPr>
        <w:t>Outre la disposition constitutionnelle, le droit coutumier relatif au divorce ne facilite pas les demandes en divorce pour des motifs différents de ceux reconnus dans la loi. En Namibie, le mariage est célébré par un fonctionnaire agréé au tribunal de première instance et par un pasteur ou un prêtre de différente</w:t>
      </w:r>
      <w:r w:rsidR="00500F86" w:rsidRPr="00E1372C">
        <w:rPr>
          <w:lang w:val="fr-FR" w:bidi="en-US"/>
        </w:rPr>
        <w:t>s</w:t>
      </w:r>
      <w:r w:rsidR="00035D9B" w:rsidRPr="00E1372C">
        <w:rPr>
          <w:lang w:val="fr-FR" w:bidi="en-US"/>
        </w:rPr>
        <w:t xml:space="preserve"> confession</w:t>
      </w:r>
      <w:r w:rsidR="00500F86" w:rsidRPr="00E1372C">
        <w:rPr>
          <w:lang w:val="fr-FR" w:bidi="en-US"/>
        </w:rPr>
        <w:t>s</w:t>
      </w:r>
      <w:r w:rsidR="00035D9B" w:rsidRPr="00E1372C">
        <w:rPr>
          <w:lang w:val="fr-FR" w:bidi="en-US"/>
        </w:rPr>
        <w:t>; afin de protéger la famille, une action en divorce ne peut être introduite qu</w:t>
      </w:r>
      <w:r w:rsidR="00731F09" w:rsidRPr="00E1372C">
        <w:rPr>
          <w:lang w:val="fr-FR" w:bidi="en-US"/>
        </w:rPr>
        <w:t>’</w:t>
      </w:r>
      <w:r w:rsidR="00035D9B" w:rsidRPr="00E1372C">
        <w:rPr>
          <w:lang w:val="fr-FR" w:bidi="en-US"/>
        </w:rPr>
        <w:t>auprès de la Haute Cour et le divorce prononcé par celle-ci.</w:t>
      </w:r>
    </w:p>
    <w:p w:rsidR="00035D9B" w:rsidRPr="00E1372C" w:rsidRDefault="007A1757" w:rsidP="007A1757">
      <w:pPr>
        <w:pStyle w:val="SingleTxtG"/>
        <w:rPr>
          <w:lang w:val="fr-FR" w:bidi="en-US"/>
        </w:rPr>
      </w:pPr>
      <w:r w:rsidRPr="00E1372C">
        <w:rPr>
          <w:lang w:val="fr-FR" w:bidi="en-US"/>
        </w:rPr>
        <w:t>219.</w:t>
      </w:r>
      <w:r w:rsidRPr="00E1372C">
        <w:rPr>
          <w:lang w:val="fr-FR" w:bidi="en-US"/>
        </w:rPr>
        <w:tab/>
      </w:r>
      <w:r w:rsidR="00035D9B" w:rsidRPr="00E1372C">
        <w:rPr>
          <w:lang w:val="fr-FR" w:bidi="en-US"/>
        </w:rPr>
        <w:t>Comme il est indiqué dans la partie concernant l</w:t>
      </w:r>
      <w:r w:rsidR="00731F09" w:rsidRPr="00E1372C">
        <w:rPr>
          <w:lang w:val="fr-FR" w:bidi="en-US"/>
        </w:rPr>
        <w:t>’</w:t>
      </w:r>
      <w:r w:rsidR="00035D9B" w:rsidRPr="00E1372C">
        <w:rPr>
          <w:lang w:val="fr-FR" w:bidi="en-US"/>
        </w:rPr>
        <w:t>article 16 du rapport initial de la Namibie présenté en application de la Convention sur l</w:t>
      </w:r>
      <w:r w:rsidR="00731F09" w:rsidRPr="00E1372C">
        <w:rPr>
          <w:lang w:val="fr-FR" w:bidi="en-US"/>
        </w:rPr>
        <w:t>’</w:t>
      </w:r>
      <w:r w:rsidR="00035D9B" w:rsidRPr="00E1372C">
        <w:rPr>
          <w:lang w:val="fr-FR" w:bidi="en-US"/>
        </w:rPr>
        <w:t>élimination de toutes les formes de discrimination à l</w:t>
      </w:r>
      <w:r w:rsidR="00731F09" w:rsidRPr="00E1372C">
        <w:rPr>
          <w:lang w:val="fr-FR" w:bidi="en-US"/>
        </w:rPr>
        <w:t>’</w:t>
      </w:r>
      <w:r w:rsidR="00035D9B" w:rsidRPr="00E1372C">
        <w:rPr>
          <w:lang w:val="fr-FR" w:bidi="en-US"/>
        </w:rPr>
        <w:t xml:space="preserve">égard des femmes, la </w:t>
      </w:r>
      <w:r w:rsidR="00AE017E" w:rsidRPr="00E1372C">
        <w:rPr>
          <w:lang w:val="fr-FR" w:bidi="en-US"/>
        </w:rPr>
        <w:t>«</w:t>
      </w:r>
      <w:r w:rsidR="00035D9B" w:rsidRPr="00E1372C">
        <w:rPr>
          <w:lang w:val="fr-FR" w:bidi="en-US"/>
        </w:rPr>
        <w:t>famille</w:t>
      </w:r>
      <w:r w:rsidR="00AE017E" w:rsidRPr="00E1372C">
        <w:rPr>
          <w:lang w:val="fr-FR" w:bidi="en-US"/>
        </w:rPr>
        <w:t>»</w:t>
      </w:r>
      <w:r w:rsidR="00035D9B" w:rsidRPr="00E1372C">
        <w:rPr>
          <w:lang w:val="fr-FR" w:bidi="en-US"/>
        </w:rPr>
        <w:t xml:space="preserve"> s</w:t>
      </w:r>
      <w:r w:rsidR="00731F09" w:rsidRPr="00E1372C">
        <w:rPr>
          <w:lang w:val="fr-FR" w:bidi="en-US"/>
        </w:rPr>
        <w:t>’</w:t>
      </w:r>
      <w:r w:rsidR="00035D9B" w:rsidRPr="00E1372C">
        <w:rPr>
          <w:lang w:val="fr-FR" w:bidi="en-US"/>
        </w:rPr>
        <w:t>étend bien au-delà de la famille nucléaire et inclut grands-parents, tantes, oncles, cousins et autres membres de la famille élargie.</w:t>
      </w:r>
    </w:p>
    <w:p w:rsidR="00A55A0E" w:rsidRPr="00E1372C" w:rsidRDefault="00D93C60" w:rsidP="00D93C60">
      <w:pPr>
        <w:pStyle w:val="H23G"/>
        <w:rPr>
          <w:lang w:val="fr-FR" w:bidi="en-US"/>
        </w:rPr>
      </w:pPr>
      <w:r w:rsidRPr="00E1372C">
        <w:rPr>
          <w:lang w:val="fr-FR" w:bidi="en-US"/>
        </w:rPr>
        <w:tab/>
      </w:r>
      <w:r w:rsidRPr="00E1372C">
        <w:rPr>
          <w:lang w:val="fr-FR" w:bidi="en-US"/>
        </w:rPr>
        <w:tab/>
      </w:r>
      <w:r w:rsidR="00A55A0E" w:rsidRPr="00E1372C">
        <w:rPr>
          <w:lang w:val="fr-FR" w:bidi="en-US"/>
        </w:rPr>
        <w:t>Mesures</w:t>
      </w:r>
      <w:r w:rsidR="00035D9B" w:rsidRPr="00E1372C">
        <w:rPr>
          <w:lang w:val="fr-FR" w:bidi="en-US"/>
        </w:rPr>
        <w:t xml:space="preserve"> de protection de la famille</w:t>
      </w:r>
    </w:p>
    <w:p w:rsidR="00035D9B" w:rsidRPr="00E1372C" w:rsidRDefault="007A1757" w:rsidP="007A1757">
      <w:pPr>
        <w:pStyle w:val="SingleTxtG"/>
        <w:rPr>
          <w:lang w:val="fr-FR" w:bidi="en-US"/>
        </w:rPr>
      </w:pPr>
      <w:r w:rsidRPr="00E1372C">
        <w:rPr>
          <w:lang w:val="fr-FR" w:bidi="en-US"/>
        </w:rPr>
        <w:t>220.</w:t>
      </w:r>
      <w:r w:rsidRPr="00E1372C">
        <w:rPr>
          <w:lang w:val="fr-FR" w:bidi="en-US"/>
        </w:rPr>
        <w:tab/>
      </w:r>
      <w:r w:rsidR="00035D9B" w:rsidRPr="00E1372C">
        <w:rPr>
          <w:lang w:val="fr-FR" w:bidi="en-US"/>
        </w:rPr>
        <w:t>Le Gouvernement encourage, dans la mesure du possible, les personnes mariées à ne pas s</w:t>
      </w:r>
      <w:r w:rsidR="00731F09" w:rsidRPr="00E1372C">
        <w:rPr>
          <w:lang w:val="fr-FR" w:bidi="en-US"/>
        </w:rPr>
        <w:t>’</w:t>
      </w:r>
      <w:r w:rsidR="00035D9B" w:rsidRPr="00E1372C">
        <w:rPr>
          <w:lang w:val="fr-FR" w:bidi="en-US"/>
        </w:rPr>
        <w:t>éloigner de leurs maisons familiales. Outre par la disposition constitutionnelle, l</w:t>
      </w:r>
      <w:r w:rsidR="00731F09" w:rsidRPr="00E1372C">
        <w:rPr>
          <w:lang w:val="fr-FR" w:bidi="en-US"/>
        </w:rPr>
        <w:t>’</w:t>
      </w:r>
      <w:r w:rsidR="00035D9B" w:rsidRPr="00E1372C">
        <w:rPr>
          <w:lang w:val="fr-FR" w:bidi="en-US"/>
        </w:rPr>
        <w:t>institution du mariage et la préservation de la famille sont protégées par le fait que la loi relative au divorce rend difficile la dissolution du mariage en limitant les motifs de divorce. Des services de consultation sociale et familiale sont mis en place et fournis par des travailleurs sociaux du Gouvernement dans les hôpitaux du pays. Certaines confessions n</w:t>
      </w:r>
      <w:r w:rsidR="00731F09" w:rsidRPr="00E1372C">
        <w:rPr>
          <w:lang w:val="fr-FR" w:bidi="en-US"/>
        </w:rPr>
        <w:t>’</w:t>
      </w:r>
      <w:r w:rsidR="00035D9B" w:rsidRPr="00E1372C">
        <w:rPr>
          <w:lang w:val="fr-FR" w:bidi="en-US"/>
        </w:rPr>
        <w:t>autorisent pas le divorce. Les mariages traditionnels ne sont d</w:t>
      </w:r>
      <w:r w:rsidR="00731F09" w:rsidRPr="00E1372C">
        <w:rPr>
          <w:lang w:val="fr-FR" w:bidi="en-US"/>
        </w:rPr>
        <w:t>’</w:t>
      </w:r>
      <w:r w:rsidR="00035D9B" w:rsidRPr="00E1372C">
        <w:rPr>
          <w:lang w:val="fr-FR" w:bidi="en-US"/>
        </w:rPr>
        <w:t>ordinaire pas rompus sans le consentement des parents et des aînés de la famille.</w:t>
      </w:r>
    </w:p>
    <w:p w:rsidR="00035D9B" w:rsidRPr="00E1372C" w:rsidRDefault="007A1757" w:rsidP="007A1757">
      <w:pPr>
        <w:pStyle w:val="SingleTxtG"/>
        <w:rPr>
          <w:lang w:val="fr-FR" w:bidi="en-US"/>
        </w:rPr>
      </w:pPr>
      <w:r w:rsidRPr="00E1372C">
        <w:rPr>
          <w:lang w:val="fr-FR" w:bidi="en-US"/>
        </w:rPr>
        <w:t>221.</w:t>
      </w:r>
      <w:r w:rsidRPr="00E1372C">
        <w:rPr>
          <w:lang w:val="fr-FR" w:bidi="en-US"/>
        </w:rPr>
        <w:tab/>
      </w:r>
      <w:r w:rsidR="00035D9B" w:rsidRPr="00E1372C">
        <w:rPr>
          <w:lang w:val="fr-FR" w:bidi="en-US"/>
        </w:rPr>
        <w:t>La loi n</w:t>
      </w:r>
      <w:r w:rsidR="00B277C4" w:rsidRPr="00E1372C">
        <w:rPr>
          <w:vertAlign w:val="superscript"/>
          <w:lang w:val="fr-FR" w:bidi="en-US"/>
        </w:rPr>
        <w:t>o</w:t>
      </w:r>
      <w:r w:rsidR="00035D9B" w:rsidRPr="00E1372C">
        <w:rPr>
          <w:lang w:val="fr-FR" w:bidi="en-US"/>
        </w:rPr>
        <w:t> 9 de 2003 relative à l</w:t>
      </w:r>
      <w:r w:rsidR="00731F09" w:rsidRPr="00E1372C">
        <w:rPr>
          <w:lang w:val="fr-FR" w:bidi="en-US"/>
        </w:rPr>
        <w:t>’</w:t>
      </w:r>
      <w:r w:rsidR="00035D9B" w:rsidRPr="00E1372C">
        <w:rPr>
          <w:lang w:val="fr-FR" w:bidi="en-US"/>
        </w:rPr>
        <w:t>entretien des enfants dispose que les parents ont l</w:t>
      </w:r>
      <w:r w:rsidR="00731F09" w:rsidRPr="00E1372C">
        <w:rPr>
          <w:lang w:val="fr-FR" w:bidi="en-US"/>
        </w:rPr>
        <w:t>’</w:t>
      </w:r>
      <w:r w:rsidR="00035D9B" w:rsidRPr="00E1372C">
        <w:rPr>
          <w:lang w:val="fr-FR" w:bidi="en-US"/>
        </w:rPr>
        <w:t>obligation légale d</w:t>
      </w:r>
      <w:r w:rsidR="00731F09" w:rsidRPr="00E1372C">
        <w:rPr>
          <w:lang w:val="fr-FR" w:bidi="en-US"/>
        </w:rPr>
        <w:t>’</w:t>
      </w:r>
      <w:r w:rsidR="00035D9B" w:rsidRPr="00E1372C">
        <w:rPr>
          <w:lang w:val="fr-FR" w:bidi="en-US"/>
        </w:rPr>
        <w:t>entretenir leurs enfants. Elle s</w:t>
      </w:r>
      <w:r w:rsidR="00731F09" w:rsidRPr="00E1372C">
        <w:rPr>
          <w:lang w:val="fr-FR" w:bidi="en-US"/>
        </w:rPr>
        <w:t>’</w:t>
      </w:r>
      <w:r w:rsidR="00035D9B" w:rsidRPr="00E1372C">
        <w:rPr>
          <w:lang w:val="fr-FR" w:bidi="en-US"/>
        </w:rPr>
        <w:t>applique également à toutes les personnes qui ont une obligation légale d</w:t>
      </w:r>
      <w:r w:rsidR="00731F09" w:rsidRPr="00E1372C">
        <w:rPr>
          <w:lang w:val="fr-FR" w:bidi="en-US"/>
        </w:rPr>
        <w:t>’</w:t>
      </w:r>
      <w:r w:rsidR="00035D9B" w:rsidRPr="00E1372C">
        <w:rPr>
          <w:lang w:val="fr-FR" w:bidi="en-US"/>
        </w:rPr>
        <w:t>entretenir un tiers indépendamment de la nature des liens.</w:t>
      </w:r>
    </w:p>
    <w:p w:rsidR="00035D9B" w:rsidRPr="00E1372C" w:rsidRDefault="007A1757" w:rsidP="007A1757">
      <w:pPr>
        <w:pStyle w:val="SingleTxtG"/>
        <w:rPr>
          <w:lang w:val="fr-FR" w:bidi="en-US"/>
        </w:rPr>
      </w:pPr>
      <w:r w:rsidRPr="00E1372C">
        <w:rPr>
          <w:lang w:val="fr-FR" w:bidi="en-US"/>
        </w:rPr>
        <w:t>222.</w:t>
      </w:r>
      <w:r w:rsidRPr="00E1372C">
        <w:rPr>
          <w:lang w:val="fr-FR" w:bidi="en-US"/>
        </w:rPr>
        <w:tab/>
      </w:r>
      <w:r w:rsidR="00035D9B" w:rsidRPr="00E1372C">
        <w:rPr>
          <w:lang w:val="fr-FR" w:bidi="en-US"/>
        </w:rPr>
        <w:t>La loi n</w:t>
      </w:r>
      <w:r w:rsidR="00B277C4" w:rsidRPr="00E1372C">
        <w:rPr>
          <w:vertAlign w:val="superscript"/>
          <w:lang w:val="fr-FR" w:bidi="en-US"/>
        </w:rPr>
        <w:t>o</w:t>
      </w:r>
      <w:r w:rsidR="00035D9B" w:rsidRPr="00E1372C">
        <w:rPr>
          <w:lang w:val="fr-FR" w:bidi="en-US"/>
        </w:rPr>
        <w:t xml:space="preserve"> 10 de 2007 relative à la Caisse des accidents de véhicules </w:t>
      </w:r>
      <w:r w:rsidR="00E62870" w:rsidRPr="00E1372C">
        <w:rPr>
          <w:lang w:val="fr-FR" w:bidi="en-US"/>
        </w:rPr>
        <w:t>automobiles</w:t>
      </w:r>
      <w:r w:rsidR="00035D9B" w:rsidRPr="00E1372C">
        <w:rPr>
          <w:lang w:val="fr-FR" w:bidi="en-US"/>
        </w:rPr>
        <w:t>, qui a remplacé les anciennes lois de 1991 et 2001, redéfinit l</w:t>
      </w:r>
      <w:r w:rsidR="00731F09" w:rsidRPr="00E1372C">
        <w:rPr>
          <w:lang w:val="fr-FR" w:bidi="en-US"/>
        </w:rPr>
        <w:t>’</w:t>
      </w:r>
      <w:r w:rsidR="00035D9B" w:rsidRPr="00E1372C">
        <w:rPr>
          <w:lang w:val="fr-FR" w:bidi="en-US"/>
        </w:rPr>
        <w:t>objet de la Caisse</w:t>
      </w:r>
      <w:r w:rsidR="00AE017E" w:rsidRPr="00E1372C">
        <w:rPr>
          <w:lang w:val="fr-FR" w:bidi="en-US"/>
        </w:rPr>
        <w:t>:</w:t>
      </w:r>
      <w:r w:rsidR="00035D9B" w:rsidRPr="00E1372C">
        <w:rPr>
          <w:lang w:val="fr-FR" w:bidi="en-US"/>
        </w:rPr>
        <w:t xml:space="preserve"> le régime, qui s</w:t>
      </w:r>
      <w:r w:rsidR="00731F09" w:rsidRPr="00E1372C">
        <w:rPr>
          <w:lang w:val="fr-FR" w:bidi="en-US"/>
        </w:rPr>
        <w:t>’</w:t>
      </w:r>
      <w:r w:rsidR="00035D9B" w:rsidRPr="00E1372C">
        <w:rPr>
          <w:lang w:val="fr-FR" w:bidi="en-US"/>
        </w:rPr>
        <w:t>appuyait sur le principe de la responsabilité pour faute où la négligence devait être prou</w:t>
      </w:r>
      <w:r w:rsidR="00434138" w:rsidRPr="00E1372C">
        <w:rPr>
          <w:lang w:val="fr-FR" w:bidi="en-US"/>
        </w:rPr>
        <w:t>vée avant qu</w:t>
      </w:r>
      <w:r w:rsidR="00731F09" w:rsidRPr="00E1372C">
        <w:rPr>
          <w:lang w:val="fr-FR" w:bidi="en-US"/>
        </w:rPr>
        <w:t>’</w:t>
      </w:r>
      <w:r w:rsidR="00434138" w:rsidRPr="00E1372C">
        <w:rPr>
          <w:lang w:val="fr-FR" w:bidi="en-US"/>
        </w:rPr>
        <w:t xml:space="preserve">un demandeur puisse obtenir une indemnisation, est désormais fondé sur celui de la responsabilité sans faute, devenant ainsi un système qui tend à offrir un filet de sécurité sociale à ceux qui seraient malencontreusement impliqués dans des accidents de véhicules </w:t>
      </w:r>
      <w:r w:rsidR="00E62870" w:rsidRPr="00E1372C">
        <w:rPr>
          <w:lang w:val="fr-FR" w:bidi="en-US"/>
        </w:rPr>
        <w:t>automobiles</w:t>
      </w:r>
      <w:r w:rsidR="00434138" w:rsidRPr="00E1372C">
        <w:rPr>
          <w:lang w:val="fr-FR" w:bidi="en-US"/>
        </w:rPr>
        <w:t>.</w:t>
      </w:r>
    </w:p>
    <w:p w:rsidR="00434138" w:rsidRPr="00E1372C" w:rsidRDefault="007A1757" w:rsidP="007A1757">
      <w:pPr>
        <w:pStyle w:val="SingleTxtG"/>
        <w:rPr>
          <w:lang w:val="fr-FR" w:bidi="en-US"/>
        </w:rPr>
      </w:pPr>
      <w:r w:rsidRPr="00E1372C">
        <w:rPr>
          <w:lang w:val="fr-FR" w:bidi="en-US"/>
        </w:rPr>
        <w:t>223.</w:t>
      </w:r>
      <w:r w:rsidRPr="00E1372C">
        <w:rPr>
          <w:lang w:val="fr-FR" w:bidi="en-US"/>
        </w:rPr>
        <w:tab/>
      </w:r>
      <w:r w:rsidR="00434138" w:rsidRPr="00E1372C">
        <w:rPr>
          <w:lang w:val="fr-FR" w:bidi="en-US"/>
        </w:rPr>
        <w:t>La Caisse de pension des institutions gouvernementales a été créée aux fins d</w:t>
      </w:r>
      <w:r w:rsidR="00731F09" w:rsidRPr="00E1372C">
        <w:rPr>
          <w:lang w:val="fr-FR" w:bidi="en-US"/>
        </w:rPr>
        <w:t>’</w:t>
      </w:r>
      <w:r w:rsidR="00434138" w:rsidRPr="00E1372C">
        <w:rPr>
          <w:lang w:val="fr-FR" w:bidi="en-US"/>
        </w:rPr>
        <w:t xml:space="preserve">administration et de versement des pensions et autres prestations des fonctionnaires du service public. Selon le règlement de la Caisse, chaque fonctionnaire doit désigner la ou les personnes à sa charge en tant que bénéficiaires </w:t>
      </w:r>
      <w:r w:rsidR="00CF0F7C" w:rsidRPr="00E1372C">
        <w:rPr>
          <w:lang w:val="fr-FR" w:bidi="en-US"/>
        </w:rPr>
        <w:t>lors</w:t>
      </w:r>
      <w:r w:rsidR="00434138" w:rsidRPr="00E1372C">
        <w:rPr>
          <w:lang w:val="fr-FR" w:bidi="en-US"/>
        </w:rPr>
        <w:t xml:space="preserve"> d</w:t>
      </w:r>
      <w:r w:rsidR="00CF0F7C" w:rsidRPr="00E1372C">
        <w:rPr>
          <w:lang w:val="fr-FR" w:bidi="en-US"/>
        </w:rPr>
        <w:t>e son</w:t>
      </w:r>
      <w:r w:rsidR="00434138" w:rsidRPr="00E1372C">
        <w:rPr>
          <w:lang w:val="fr-FR" w:bidi="en-US"/>
        </w:rPr>
        <w:t xml:space="preserve"> décès.</w:t>
      </w:r>
    </w:p>
    <w:p w:rsidR="00434138" w:rsidRPr="00E1372C" w:rsidRDefault="007A1757" w:rsidP="00CB0362">
      <w:pPr>
        <w:pStyle w:val="SingleTxtG"/>
        <w:rPr>
          <w:lang w:val="fr-FR" w:bidi="en-US"/>
        </w:rPr>
      </w:pPr>
      <w:r w:rsidRPr="00E1372C">
        <w:rPr>
          <w:lang w:val="fr-FR" w:bidi="en-US"/>
        </w:rPr>
        <w:t>224.</w:t>
      </w:r>
      <w:r w:rsidRPr="00E1372C">
        <w:rPr>
          <w:lang w:val="fr-FR" w:bidi="en-US"/>
        </w:rPr>
        <w:tab/>
      </w:r>
      <w:r w:rsidR="00434138" w:rsidRPr="00E1372C">
        <w:rPr>
          <w:lang w:val="fr-FR" w:bidi="en-US"/>
        </w:rPr>
        <w:t xml:space="preserve">Aux termes </w:t>
      </w:r>
      <w:r w:rsidR="001E2544" w:rsidRPr="00E1372C">
        <w:rPr>
          <w:lang w:val="fr-FR" w:bidi="en-US"/>
        </w:rPr>
        <w:t>de l</w:t>
      </w:r>
      <w:r w:rsidR="00731F09" w:rsidRPr="00E1372C">
        <w:rPr>
          <w:lang w:val="fr-FR" w:bidi="en-US"/>
        </w:rPr>
        <w:t>’</w:t>
      </w:r>
      <w:r w:rsidR="001E2544" w:rsidRPr="00E1372C">
        <w:rPr>
          <w:lang w:val="fr-FR" w:bidi="en-US"/>
        </w:rPr>
        <w:t xml:space="preserve">alinéa </w:t>
      </w:r>
      <w:r w:rsidR="001E2544" w:rsidRPr="00CB0362">
        <w:rPr>
          <w:i/>
          <w:lang w:val="fr-FR" w:bidi="en-US"/>
        </w:rPr>
        <w:t>f</w:t>
      </w:r>
      <w:r w:rsidR="001E2544" w:rsidRPr="00E1372C">
        <w:rPr>
          <w:lang w:val="fr-FR" w:bidi="en-US"/>
        </w:rPr>
        <w:t xml:space="preserve"> </w:t>
      </w:r>
      <w:r w:rsidR="00434138" w:rsidRPr="00E1372C">
        <w:rPr>
          <w:lang w:val="fr-FR" w:bidi="en-US"/>
        </w:rPr>
        <w:t>du paragraphe 1</w:t>
      </w:r>
      <w:r w:rsidR="00D93C60" w:rsidRPr="00E1372C">
        <w:rPr>
          <w:lang w:val="fr-FR" w:bidi="en-US"/>
        </w:rPr>
        <w:t xml:space="preserve"> </w:t>
      </w:r>
      <w:r w:rsidR="00434138" w:rsidRPr="00E1372C">
        <w:rPr>
          <w:lang w:val="fr-FR" w:bidi="en-US"/>
        </w:rPr>
        <w:t>de l</w:t>
      </w:r>
      <w:r w:rsidR="00731F09" w:rsidRPr="00E1372C">
        <w:rPr>
          <w:lang w:val="fr-FR" w:bidi="en-US"/>
        </w:rPr>
        <w:t>’</w:t>
      </w:r>
      <w:r w:rsidR="00434138" w:rsidRPr="00E1372C">
        <w:rPr>
          <w:lang w:val="fr-FR" w:bidi="en-US"/>
        </w:rPr>
        <w:t>article 12 de la Constitution, les particuliers ont le droit de ne pas témoigner en justice contre eux-mêmes ou leurs conjoints.</w:t>
      </w:r>
    </w:p>
    <w:p w:rsidR="00A55A0E" w:rsidRPr="00E1372C" w:rsidRDefault="007A1757" w:rsidP="007A1757">
      <w:pPr>
        <w:pStyle w:val="SingleTxtG"/>
        <w:rPr>
          <w:lang w:val="fr-FR" w:bidi="en-US"/>
        </w:rPr>
      </w:pPr>
      <w:r w:rsidRPr="00E1372C">
        <w:rPr>
          <w:lang w:val="fr-FR" w:bidi="en-US"/>
        </w:rPr>
        <w:t>225.</w:t>
      </w:r>
      <w:r w:rsidRPr="00E1372C">
        <w:rPr>
          <w:lang w:val="fr-FR" w:bidi="en-US"/>
        </w:rPr>
        <w:tab/>
      </w:r>
      <w:r w:rsidR="00434138" w:rsidRPr="00E1372C">
        <w:rPr>
          <w:lang w:val="fr-FR" w:bidi="en-US"/>
        </w:rPr>
        <w:t>La loi n</w:t>
      </w:r>
      <w:r w:rsidR="00B277C4" w:rsidRPr="00E1372C">
        <w:rPr>
          <w:vertAlign w:val="superscript"/>
          <w:lang w:val="fr-FR" w:bidi="en-US"/>
        </w:rPr>
        <w:t>o</w:t>
      </w:r>
      <w:r w:rsidR="00434138" w:rsidRPr="00E1372C">
        <w:rPr>
          <w:lang w:val="fr-FR" w:bidi="en-US"/>
        </w:rPr>
        <w:t> 51 de 1977 relative à la procédure pénale reconnaît au mari ou à une épouse le droit de ne pas témoigner dans des affaires pénales contre son conjoint.</w:t>
      </w:r>
      <w:r w:rsidR="00A55A0E" w:rsidRPr="00E1372C">
        <w:rPr>
          <w:lang w:val="fr-FR" w:bidi="en-US"/>
        </w:rPr>
        <w:t xml:space="preserve"> </w:t>
      </w:r>
    </w:p>
    <w:p w:rsidR="00A55A0E" w:rsidRPr="00E1372C" w:rsidRDefault="00D93C60" w:rsidP="00D93C60">
      <w:pPr>
        <w:pStyle w:val="H23G"/>
        <w:rPr>
          <w:lang w:val="fr-FR" w:bidi="en-US"/>
        </w:rPr>
      </w:pPr>
      <w:r w:rsidRPr="00E1372C">
        <w:rPr>
          <w:lang w:val="fr-FR" w:bidi="en-US"/>
        </w:rPr>
        <w:tab/>
      </w:r>
      <w:r w:rsidRPr="00E1372C">
        <w:rPr>
          <w:lang w:val="fr-FR" w:bidi="en-US"/>
        </w:rPr>
        <w:tab/>
      </w:r>
      <w:r w:rsidR="00A55A0E" w:rsidRPr="00E1372C">
        <w:rPr>
          <w:lang w:val="fr-FR" w:bidi="en-US"/>
        </w:rPr>
        <w:t>Consent</w:t>
      </w:r>
      <w:r w:rsidR="00434138" w:rsidRPr="00E1372C">
        <w:rPr>
          <w:lang w:val="fr-FR" w:bidi="en-US"/>
        </w:rPr>
        <w:t>ement au mariage</w:t>
      </w:r>
    </w:p>
    <w:p w:rsidR="00434138" w:rsidRPr="00E1372C" w:rsidRDefault="007A1757" w:rsidP="007A1757">
      <w:pPr>
        <w:pStyle w:val="SingleTxtG"/>
        <w:rPr>
          <w:lang w:val="fr-FR" w:bidi="en-US"/>
        </w:rPr>
      </w:pPr>
      <w:r w:rsidRPr="00E1372C">
        <w:rPr>
          <w:lang w:val="fr-FR" w:bidi="en-US"/>
        </w:rPr>
        <w:t>226.</w:t>
      </w:r>
      <w:r w:rsidRPr="00E1372C">
        <w:rPr>
          <w:lang w:val="fr-FR" w:bidi="en-US"/>
        </w:rPr>
        <w:tab/>
      </w:r>
      <w:r w:rsidR="00434138" w:rsidRPr="00E1372C">
        <w:rPr>
          <w:lang w:val="fr-FR" w:bidi="en-US"/>
        </w:rPr>
        <w:t>En Namibie, les personnes de 15 ans et plus qui sont mariées selon le droit civil ou le droit traditionnel représentent à peine plus de 28</w:t>
      </w:r>
      <w:r w:rsidR="007064FC" w:rsidRPr="00E1372C">
        <w:rPr>
          <w:lang w:val="fr-FR" w:bidi="en-US"/>
        </w:rPr>
        <w:t> %</w:t>
      </w:r>
      <w:r w:rsidR="00434138" w:rsidRPr="00E1372C">
        <w:rPr>
          <w:lang w:val="fr-FR" w:bidi="en-US"/>
        </w:rPr>
        <w:t xml:space="preserve"> de la population. Seules 19</w:t>
      </w:r>
      <w:r w:rsidR="007064FC" w:rsidRPr="00E1372C">
        <w:rPr>
          <w:lang w:val="fr-FR" w:bidi="en-US"/>
        </w:rPr>
        <w:t> %</w:t>
      </w:r>
      <w:r w:rsidR="00434138" w:rsidRPr="00E1372C">
        <w:rPr>
          <w:lang w:val="fr-FR" w:bidi="en-US"/>
        </w:rPr>
        <w:t xml:space="preserve"> sont mariées selon le droit civil. Les personnes qui n</w:t>
      </w:r>
      <w:r w:rsidR="00731F09" w:rsidRPr="00E1372C">
        <w:rPr>
          <w:lang w:val="fr-FR" w:bidi="en-US"/>
        </w:rPr>
        <w:t>’</w:t>
      </w:r>
      <w:r w:rsidR="00434138" w:rsidRPr="00E1372C">
        <w:rPr>
          <w:lang w:val="fr-FR" w:bidi="en-US"/>
        </w:rPr>
        <w:t>ont jamais été mariées constituent la plus forte proportion (56</w:t>
      </w:r>
      <w:r w:rsidR="007064FC" w:rsidRPr="00E1372C">
        <w:rPr>
          <w:lang w:val="fr-FR" w:bidi="en-US"/>
        </w:rPr>
        <w:t> %</w:t>
      </w:r>
      <w:r w:rsidR="00434138" w:rsidRPr="00E1372C">
        <w:rPr>
          <w:lang w:val="fr-FR" w:bidi="en-US"/>
        </w:rPr>
        <w:t>). En outre, 7</w:t>
      </w:r>
      <w:r w:rsidR="007064FC" w:rsidRPr="00E1372C">
        <w:rPr>
          <w:lang w:val="fr-FR" w:bidi="en-US"/>
        </w:rPr>
        <w:t> %</w:t>
      </w:r>
      <w:r w:rsidR="00434138" w:rsidRPr="00E1372C">
        <w:rPr>
          <w:lang w:val="fr-FR" w:bidi="en-US"/>
        </w:rPr>
        <w:t xml:space="preserve"> de la population sont formés de couples qui vivent en union consensuelle</w:t>
      </w:r>
      <w:r w:rsidR="00AE017E" w:rsidRPr="00E1372C">
        <w:rPr>
          <w:lang w:val="fr-FR" w:bidi="en-US"/>
        </w:rPr>
        <w:t>:</w:t>
      </w:r>
      <w:r w:rsidR="00434138" w:rsidRPr="00E1372C">
        <w:rPr>
          <w:lang w:val="fr-FR" w:bidi="en-US"/>
        </w:rPr>
        <w:t xml:space="preserve"> ils se considèrent comme étant mariés sans avoir officialisé leur union selon la loi ou la tradition. La proportion de personnes veuves, divorcées ou séparées avoisine 7</w:t>
      </w:r>
      <w:r w:rsidR="007064FC" w:rsidRPr="00E1372C">
        <w:rPr>
          <w:lang w:val="fr-FR" w:bidi="en-US"/>
        </w:rPr>
        <w:t> %</w:t>
      </w:r>
      <w:r w:rsidR="00434138" w:rsidRPr="00E1372C">
        <w:rPr>
          <w:lang w:val="fr-FR" w:bidi="en-US"/>
        </w:rPr>
        <w:t>. Toutefois, l</w:t>
      </w:r>
      <w:r w:rsidR="00CF0F7C" w:rsidRPr="00E1372C">
        <w:rPr>
          <w:lang w:val="fr-FR" w:bidi="en-US"/>
        </w:rPr>
        <w:t>eur</w:t>
      </w:r>
      <w:r w:rsidR="00434138" w:rsidRPr="00E1372C">
        <w:rPr>
          <w:lang w:val="fr-FR" w:bidi="en-US"/>
        </w:rPr>
        <w:t xml:space="preserve"> part est relativement plus élevée, pour les femmes comme pour les hommes.</w:t>
      </w:r>
    </w:p>
    <w:p w:rsidR="00A55A0E" w:rsidRPr="00E1372C" w:rsidRDefault="007A1757" w:rsidP="007A1757">
      <w:pPr>
        <w:pStyle w:val="SingleTxtG"/>
        <w:rPr>
          <w:lang w:val="fr-FR" w:bidi="en-US"/>
        </w:rPr>
      </w:pPr>
      <w:r w:rsidRPr="00E1372C">
        <w:rPr>
          <w:lang w:val="fr-FR" w:bidi="en-US"/>
        </w:rPr>
        <w:t>227.</w:t>
      </w:r>
      <w:r w:rsidRPr="00E1372C">
        <w:rPr>
          <w:lang w:val="fr-FR" w:bidi="en-US"/>
        </w:rPr>
        <w:tab/>
      </w:r>
      <w:r w:rsidR="00400F7F" w:rsidRPr="00E1372C">
        <w:rPr>
          <w:lang w:val="fr-FR"/>
        </w:rPr>
        <w:t>L</w:t>
      </w:r>
      <w:r w:rsidR="00731F09" w:rsidRPr="00E1372C">
        <w:rPr>
          <w:lang w:val="fr-FR"/>
        </w:rPr>
        <w:t>’</w:t>
      </w:r>
      <w:r w:rsidR="00400F7F" w:rsidRPr="00E1372C">
        <w:rPr>
          <w:lang w:val="fr-FR"/>
        </w:rPr>
        <w:t>article 14 de la Constitution namibienne dispose que le mariage ne peut être conclu qu</w:t>
      </w:r>
      <w:r w:rsidR="00731F09" w:rsidRPr="00E1372C">
        <w:rPr>
          <w:lang w:val="fr-FR"/>
        </w:rPr>
        <w:t>’</w:t>
      </w:r>
      <w:r w:rsidR="00400F7F" w:rsidRPr="00E1372C">
        <w:rPr>
          <w:lang w:val="fr-FR"/>
        </w:rPr>
        <w:t>avec le libre et plein consentement des futurs époux et entre un homme et une femme d</w:t>
      </w:r>
      <w:r w:rsidR="00731F09" w:rsidRPr="00E1372C">
        <w:rPr>
          <w:lang w:val="fr-FR"/>
        </w:rPr>
        <w:t>’</w:t>
      </w:r>
      <w:r w:rsidR="00400F7F" w:rsidRPr="00E1372C">
        <w:rPr>
          <w:lang w:val="fr-FR"/>
        </w:rPr>
        <w:t>âge nubile, sans aucune restriction relative à la race, la couleur, l</w:t>
      </w:r>
      <w:r w:rsidR="00731F09" w:rsidRPr="00E1372C">
        <w:rPr>
          <w:lang w:val="fr-FR"/>
        </w:rPr>
        <w:t>’</w:t>
      </w:r>
      <w:r w:rsidR="00400F7F" w:rsidRPr="00E1372C">
        <w:rPr>
          <w:lang w:val="fr-FR"/>
        </w:rPr>
        <w:t>origine ethnique, la nationalité, la religion, la croyance ou la situation sociale ou économique.</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228.</w:t>
      </w:r>
      <w:r w:rsidRPr="00E1372C">
        <w:rPr>
          <w:lang w:val="fr-FR" w:bidi="en-US"/>
        </w:rPr>
        <w:tab/>
      </w:r>
      <w:r w:rsidR="00400F7F" w:rsidRPr="00E1372C">
        <w:rPr>
          <w:lang w:val="fr-FR"/>
        </w:rPr>
        <w:t>Les mariages civils sont régis par la loi n</w:t>
      </w:r>
      <w:r w:rsidR="00B277C4" w:rsidRPr="00E1372C">
        <w:rPr>
          <w:vertAlign w:val="superscript"/>
          <w:lang w:val="fr-FR"/>
        </w:rPr>
        <w:t>o</w:t>
      </w:r>
      <w:r w:rsidR="00400F7F" w:rsidRPr="00E1372C">
        <w:rPr>
          <w:lang w:val="fr-FR"/>
        </w:rPr>
        <w:t> 1 de 1996 relative à l</w:t>
      </w:r>
      <w:r w:rsidR="00731F09" w:rsidRPr="00E1372C">
        <w:rPr>
          <w:lang w:val="fr-FR"/>
        </w:rPr>
        <w:t>’</w:t>
      </w:r>
      <w:r w:rsidR="00400F7F" w:rsidRPr="00E1372C">
        <w:rPr>
          <w:lang w:val="fr-FR"/>
        </w:rPr>
        <w:t>égalité des personnes mariées. Les hommes et les femmes âgés d</w:t>
      </w:r>
      <w:r w:rsidR="00731F09" w:rsidRPr="00E1372C">
        <w:rPr>
          <w:lang w:val="fr-FR"/>
        </w:rPr>
        <w:t>’</w:t>
      </w:r>
      <w:r w:rsidR="00400F7F" w:rsidRPr="00E1372C">
        <w:rPr>
          <w:lang w:val="fr-FR"/>
        </w:rPr>
        <w:t>au moins 18 ans ont le droit de se marier et de fonder une famille. L</w:t>
      </w:r>
      <w:r w:rsidR="00731F09" w:rsidRPr="00E1372C">
        <w:rPr>
          <w:lang w:val="fr-FR"/>
        </w:rPr>
        <w:t>’</w:t>
      </w:r>
      <w:r w:rsidR="00400F7F" w:rsidRPr="00E1372C">
        <w:rPr>
          <w:lang w:val="fr-FR"/>
        </w:rPr>
        <w:t>élément le plus important de la loi est l</w:t>
      </w:r>
      <w:r w:rsidR="00731F09" w:rsidRPr="00E1372C">
        <w:rPr>
          <w:lang w:val="fr-FR"/>
        </w:rPr>
        <w:t>’</w:t>
      </w:r>
      <w:r w:rsidR="00400F7F" w:rsidRPr="00E1372C">
        <w:rPr>
          <w:lang w:val="fr-FR"/>
        </w:rPr>
        <w:t xml:space="preserve">abolition de la règle de </w:t>
      </w:r>
      <w:r w:rsidR="00400F7F" w:rsidRPr="00E1372C">
        <w:rPr>
          <w:i/>
          <w:lang w:val="fr-FR"/>
        </w:rPr>
        <w:t>common law</w:t>
      </w:r>
      <w:r w:rsidR="00400F7F" w:rsidRPr="00E1372C">
        <w:rPr>
          <w:lang w:val="fr-FR"/>
        </w:rPr>
        <w:t xml:space="preserve"> qui conférait au mari l</w:t>
      </w:r>
      <w:r w:rsidR="00731F09" w:rsidRPr="00E1372C">
        <w:rPr>
          <w:lang w:val="fr-FR"/>
        </w:rPr>
        <w:t>’</w:t>
      </w:r>
      <w:r w:rsidR="00400F7F" w:rsidRPr="00E1372C">
        <w:rPr>
          <w:lang w:val="fr-FR"/>
        </w:rPr>
        <w:t>autorité conjugale sur son épouse. En conséquence, les femmes mariées sont devenues pleinement émancipées; elles ont le droit de conclure des contrats, de posséder des biens, de diriger des sociétés et de se porter caution, sans le consentement de leur mari</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229.</w:t>
      </w:r>
      <w:r w:rsidRPr="00E1372C">
        <w:rPr>
          <w:lang w:val="fr-FR" w:bidi="en-US"/>
        </w:rPr>
        <w:tab/>
      </w:r>
      <w:r w:rsidR="00400F7F" w:rsidRPr="00E1372C">
        <w:rPr>
          <w:lang w:val="fr-FR"/>
        </w:rPr>
        <w:t>Le droit coutumier ne fixe pas d</w:t>
      </w:r>
      <w:r w:rsidR="00731F09" w:rsidRPr="00E1372C">
        <w:rPr>
          <w:lang w:val="fr-FR"/>
        </w:rPr>
        <w:t>’</w:t>
      </w:r>
      <w:r w:rsidR="00400F7F" w:rsidRPr="00E1372C">
        <w:rPr>
          <w:lang w:val="fr-FR"/>
        </w:rPr>
        <w:t>âge minimum pour le mariage, mais celui-ci n</w:t>
      </w:r>
      <w:r w:rsidR="00731F09" w:rsidRPr="00E1372C">
        <w:rPr>
          <w:lang w:val="fr-FR"/>
        </w:rPr>
        <w:t>’</w:t>
      </w:r>
      <w:r w:rsidR="00400F7F" w:rsidRPr="00E1372C">
        <w:rPr>
          <w:lang w:val="fr-FR"/>
        </w:rPr>
        <w:t>a généralement pas lieu avant la puberté ou avant que la personne ait atteint un niveau acceptable de maturité sociale. Le consentement de la famille est nécessaire mais ces derniers temps (dans la plupart des communautés)</w:t>
      </w:r>
      <w:r w:rsidR="00CF0F7C" w:rsidRPr="00E1372C">
        <w:rPr>
          <w:lang w:val="fr-FR"/>
        </w:rPr>
        <w:t>,</w:t>
      </w:r>
      <w:r w:rsidR="00400F7F" w:rsidRPr="00E1372C">
        <w:rPr>
          <w:lang w:val="fr-FR"/>
        </w:rPr>
        <w:t xml:space="preserve"> le consentement des deux futurs époux est également nécessaire. Un mariage coutumier suppose une série de négociations entre les deux groupes et crée des droits et des responsabilités entre tous les membres de la famille. La Commission pour la réforme et le développement du droit a rédigé un projet de loi sur la reconnaissance des mariages de droit coutumier qui sera soumis à la consultation du public et des parties prenantes</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230.</w:t>
      </w:r>
      <w:r w:rsidRPr="00E1372C">
        <w:rPr>
          <w:lang w:val="fr-FR" w:bidi="en-US"/>
        </w:rPr>
        <w:tab/>
      </w:r>
      <w:r w:rsidR="00400F7F" w:rsidRPr="00E1372C">
        <w:rPr>
          <w:lang w:val="fr-FR" w:bidi="en-US"/>
        </w:rPr>
        <w:t>Comme il est indiqué dans le rapport au Comité pour l</w:t>
      </w:r>
      <w:r w:rsidR="00731F09" w:rsidRPr="00E1372C">
        <w:rPr>
          <w:lang w:val="fr-FR" w:bidi="en-US"/>
        </w:rPr>
        <w:t>’</w:t>
      </w:r>
      <w:r w:rsidR="00400F7F" w:rsidRPr="00E1372C">
        <w:rPr>
          <w:lang w:val="fr-FR" w:bidi="en-US"/>
        </w:rPr>
        <w:t>élimination de la discrimination</w:t>
      </w:r>
      <w:r w:rsidR="00CF0F7C" w:rsidRPr="00E1372C">
        <w:rPr>
          <w:lang w:val="fr-FR" w:bidi="en-US"/>
        </w:rPr>
        <w:t xml:space="preserve"> à l</w:t>
      </w:r>
      <w:r w:rsidR="00731F09" w:rsidRPr="00E1372C">
        <w:rPr>
          <w:lang w:val="fr-FR" w:bidi="en-US"/>
        </w:rPr>
        <w:t>’</w:t>
      </w:r>
      <w:r w:rsidR="00CF0F7C" w:rsidRPr="00E1372C">
        <w:rPr>
          <w:lang w:val="fr-FR" w:bidi="en-US"/>
        </w:rPr>
        <w:t>égard des femmes</w:t>
      </w:r>
      <w:r w:rsidR="00400F7F" w:rsidRPr="00E1372C">
        <w:rPr>
          <w:lang w:val="fr-FR" w:bidi="en-US"/>
        </w:rPr>
        <w:t xml:space="preserve">, le droit de contracter mariage est restreint pour les hommes et les femmes par </w:t>
      </w:r>
      <w:r w:rsidR="00CF0F7C" w:rsidRPr="00E1372C">
        <w:rPr>
          <w:lang w:val="fr-FR" w:bidi="en-US"/>
        </w:rPr>
        <w:t>un</w:t>
      </w:r>
      <w:r w:rsidR="00AE017E" w:rsidRPr="00E1372C">
        <w:rPr>
          <w:lang w:val="fr-FR" w:bidi="en-US"/>
        </w:rPr>
        <w:t xml:space="preserve"> </w:t>
      </w:r>
      <w:r w:rsidR="00400F7F" w:rsidRPr="00E1372C">
        <w:rPr>
          <w:lang w:val="fr-FR" w:bidi="en-US"/>
        </w:rPr>
        <w:t>manque d</w:t>
      </w:r>
      <w:r w:rsidR="00731F09" w:rsidRPr="00E1372C">
        <w:rPr>
          <w:lang w:val="fr-FR" w:bidi="en-US"/>
        </w:rPr>
        <w:t>’</w:t>
      </w:r>
      <w:r w:rsidR="00400F7F" w:rsidRPr="00E1372C">
        <w:rPr>
          <w:lang w:val="fr-FR" w:bidi="en-US"/>
        </w:rPr>
        <w:t>information sur les conséquences juridiques du mariage.</w:t>
      </w:r>
      <w:r w:rsidR="00A55A0E" w:rsidRPr="00E1372C">
        <w:rPr>
          <w:lang w:val="fr-FR" w:bidi="en-US"/>
        </w:rPr>
        <w:t xml:space="preserve"> </w:t>
      </w:r>
    </w:p>
    <w:p w:rsidR="00A55A0E" w:rsidRPr="00E1372C" w:rsidRDefault="00A55A0E" w:rsidP="00A55A0E">
      <w:pPr>
        <w:pStyle w:val="H23G"/>
        <w:rPr>
          <w:lang w:val="fr-FR" w:bidi="en-US"/>
        </w:rPr>
      </w:pPr>
      <w:r w:rsidRPr="00E1372C">
        <w:rPr>
          <w:lang w:val="fr-FR" w:bidi="en-US"/>
        </w:rPr>
        <w:tab/>
      </w:r>
      <w:r w:rsidRPr="00E1372C">
        <w:rPr>
          <w:lang w:val="fr-FR" w:bidi="en-US"/>
        </w:rPr>
        <w:tab/>
        <w:t xml:space="preserve">Protection </w:t>
      </w:r>
      <w:r w:rsidR="00272679" w:rsidRPr="00E1372C">
        <w:rPr>
          <w:lang w:val="fr-FR" w:bidi="en-US"/>
        </w:rPr>
        <w:t>des mères avant et après l</w:t>
      </w:r>
      <w:r w:rsidR="00731F09" w:rsidRPr="00E1372C">
        <w:rPr>
          <w:lang w:val="fr-FR" w:bidi="en-US"/>
        </w:rPr>
        <w:t>’</w:t>
      </w:r>
      <w:r w:rsidR="00272679" w:rsidRPr="00E1372C">
        <w:rPr>
          <w:lang w:val="fr-FR" w:bidi="en-US"/>
        </w:rPr>
        <w:t>accouchement</w:t>
      </w:r>
    </w:p>
    <w:p w:rsidR="00A55A0E" w:rsidRPr="00E1372C" w:rsidRDefault="007A1757" w:rsidP="007A1757">
      <w:pPr>
        <w:pStyle w:val="SingleTxtG"/>
        <w:rPr>
          <w:lang w:val="fr-FR" w:bidi="en-US"/>
        </w:rPr>
      </w:pPr>
      <w:r w:rsidRPr="00E1372C">
        <w:rPr>
          <w:lang w:val="fr-FR" w:bidi="en-US"/>
        </w:rPr>
        <w:t>231.</w:t>
      </w:r>
      <w:r w:rsidRPr="00E1372C">
        <w:rPr>
          <w:lang w:val="fr-FR" w:bidi="en-US"/>
        </w:rPr>
        <w:tab/>
      </w:r>
      <w:r w:rsidR="00272679" w:rsidRPr="00E1372C">
        <w:rPr>
          <w:lang w:val="fr-FR" w:bidi="en-US"/>
        </w:rPr>
        <w:t>Les allocations de la sécurité sociale liées au congé de maternité sont accordées aux travailleuses au sens de la loi de 2007 relative au travail. Ces allocations sont versées aux femmes membres pendant une période de quatre semaines avant la date prévue de l</w:t>
      </w:r>
      <w:r w:rsidR="00731F09" w:rsidRPr="00E1372C">
        <w:rPr>
          <w:lang w:val="fr-FR" w:bidi="en-US"/>
        </w:rPr>
        <w:t>’</w:t>
      </w:r>
      <w:r w:rsidR="00272679" w:rsidRPr="00E1372C">
        <w:rPr>
          <w:lang w:val="fr-FR" w:bidi="en-US"/>
        </w:rPr>
        <w:t>accouchement et de huit semaines après la naissance. Le montant est l</w:t>
      </w:r>
      <w:r w:rsidR="00731F09" w:rsidRPr="00E1372C">
        <w:rPr>
          <w:lang w:val="fr-FR" w:bidi="en-US"/>
        </w:rPr>
        <w:t>’</w:t>
      </w:r>
      <w:r w:rsidR="00272679" w:rsidRPr="00E1372C">
        <w:rPr>
          <w:lang w:val="fr-FR" w:bidi="en-US"/>
        </w:rPr>
        <w:t>équivalent de 80</w:t>
      </w:r>
      <w:r w:rsidR="007064FC" w:rsidRPr="00E1372C">
        <w:rPr>
          <w:lang w:val="fr-FR" w:bidi="en-US"/>
        </w:rPr>
        <w:t> %</w:t>
      </w:r>
      <w:r w:rsidR="00272679" w:rsidRPr="00E1372C">
        <w:rPr>
          <w:lang w:val="fr-FR" w:bidi="en-US"/>
        </w:rPr>
        <w:t xml:space="preserve"> de la rémunération assurée de l</w:t>
      </w:r>
      <w:r w:rsidR="00731F09" w:rsidRPr="00E1372C">
        <w:rPr>
          <w:lang w:val="fr-FR" w:bidi="en-US"/>
        </w:rPr>
        <w:t>’</w:t>
      </w:r>
      <w:r w:rsidR="00272679" w:rsidRPr="00E1372C">
        <w:rPr>
          <w:lang w:val="fr-FR" w:bidi="en-US"/>
        </w:rPr>
        <w:t>employée ou d</w:t>
      </w:r>
      <w:r w:rsidR="00731F09" w:rsidRPr="00E1372C">
        <w:rPr>
          <w:lang w:val="fr-FR" w:bidi="en-US"/>
        </w:rPr>
        <w:t>’</w:t>
      </w:r>
      <w:r w:rsidR="00272679" w:rsidRPr="00E1372C">
        <w:rPr>
          <w:lang w:val="fr-FR" w:bidi="en-US"/>
        </w:rPr>
        <w:t xml:space="preserve">un maximum de </w:t>
      </w:r>
      <w:r w:rsidR="00A55A0E" w:rsidRPr="00E1372C">
        <w:rPr>
          <w:lang w:val="fr-FR" w:bidi="en-US"/>
        </w:rPr>
        <w:t>9</w:t>
      </w:r>
      <w:r w:rsidR="00272679" w:rsidRPr="00E1372C">
        <w:rPr>
          <w:lang w:val="fr-FR" w:bidi="en-US"/>
        </w:rPr>
        <w:t> </w:t>
      </w:r>
      <w:r w:rsidR="00A55A0E" w:rsidRPr="00E1372C">
        <w:rPr>
          <w:lang w:val="fr-FR" w:bidi="en-US"/>
        </w:rPr>
        <w:t>000</w:t>
      </w:r>
      <w:r w:rsidR="00272679" w:rsidRPr="00E1372C">
        <w:rPr>
          <w:lang w:val="fr-FR" w:bidi="en-US"/>
        </w:rPr>
        <w:t> </w:t>
      </w:r>
      <w:r w:rsidR="00AC15E0" w:rsidRPr="00E1372C">
        <w:rPr>
          <w:lang w:val="fr-FR" w:bidi="en-US"/>
        </w:rPr>
        <w:t>dollars namibiens</w:t>
      </w:r>
      <w:r w:rsidR="00272679" w:rsidRPr="00E1372C">
        <w:rPr>
          <w:lang w:val="fr-FR" w:bidi="en-US"/>
        </w:rPr>
        <w:t xml:space="preserve"> (</w:t>
      </w:r>
      <w:r w:rsidR="00A55A0E" w:rsidRPr="00E1372C">
        <w:rPr>
          <w:lang w:val="fr-FR" w:bidi="en-US"/>
        </w:rPr>
        <w:t>1</w:t>
      </w:r>
      <w:r w:rsidR="00272679" w:rsidRPr="00E1372C">
        <w:rPr>
          <w:lang w:val="fr-FR" w:bidi="en-US"/>
        </w:rPr>
        <w:t> </w:t>
      </w:r>
      <w:r w:rsidR="00A55A0E" w:rsidRPr="00E1372C">
        <w:rPr>
          <w:lang w:val="fr-FR" w:bidi="en-US"/>
        </w:rPr>
        <w:t>058</w:t>
      </w:r>
      <w:r w:rsidR="00272679" w:rsidRPr="00E1372C">
        <w:rPr>
          <w:lang w:val="fr-FR" w:bidi="en-US"/>
        </w:rPr>
        <w:t>,</w:t>
      </w:r>
      <w:r w:rsidR="00A55A0E" w:rsidRPr="00E1372C">
        <w:rPr>
          <w:lang w:val="fr-FR" w:bidi="en-US"/>
        </w:rPr>
        <w:t>82</w:t>
      </w:r>
      <w:r w:rsidR="00272679" w:rsidRPr="00E1372C">
        <w:rPr>
          <w:lang w:val="fr-FR" w:bidi="en-US"/>
        </w:rPr>
        <w:t> </w:t>
      </w:r>
      <w:r w:rsidR="00A301C2" w:rsidRPr="00E1372C">
        <w:rPr>
          <w:lang w:val="fr-FR" w:bidi="en-US"/>
        </w:rPr>
        <w:t>dollars É.-U.</w:t>
      </w:r>
      <w:r w:rsidR="00A55A0E" w:rsidRPr="00E1372C">
        <w:rPr>
          <w:lang w:val="fr-FR" w:bidi="en-US"/>
        </w:rPr>
        <w:t xml:space="preserve">). </w:t>
      </w:r>
    </w:p>
    <w:p w:rsidR="00272679" w:rsidRPr="00E1372C" w:rsidRDefault="007A1757" w:rsidP="007A1757">
      <w:pPr>
        <w:pStyle w:val="SingleTxtG"/>
        <w:rPr>
          <w:lang w:val="fr-FR" w:bidi="en-US"/>
        </w:rPr>
      </w:pPr>
      <w:r w:rsidRPr="00E1372C">
        <w:rPr>
          <w:lang w:val="fr-FR" w:bidi="en-US"/>
        </w:rPr>
        <w:t>232.</w:t>
      </w:r>
      <w:r w:rsidRPr="00E1372C">
        <w:rPr>
          <w:lang w:val="fr-FR" w:bidi="en-US"/>
        </w:rPr>
        <w:tab/>
      </w:r>
      <w:r w:rsidR="00272679" w:rsidRPr="00E1372C">
        <w:rPr>
          <w:lang w:val="fr-FR" w:bidi="en-US"/>
        </w:rPr>
        <w:t xml:space="preserve">Des </w:t>
      </w:r>
      <w:r w:rsidR="00234C44" w:rsidRPr="00E1372C">
        <w:rPr>
          <w:lang w:val="fr-FR" w:bidi="en-US"/>
        </w:rPr>
        <w:t>établissement</w:t>
      </w:r>
      <w:r w:rsidR="00272679" w:rsidRPr="00E1372C">
        <w:rPr>
          <w:lang w:val="fr-FR" w:bidi="en-US"/>
        </w:rPr>
        <w:t>s de santé qui dispensent des séances de préparation à l</w:t>
      </w:r>
      <w:r w:rsidR="00731F09" w:rsidRPr="00E1372C">
        <w:rPr>
          <w:lang w:val="fr-FR" w:bidi="en-US"/>
        </w:rPr>
        <w:t>’</w:t>
      </w:r>
      <w:r w:rsidR="00272679" w:rsidRPr="00E1372C">
        <w:rPr>
          <w:lang w:val="fr-FR" w:bidi="en-US"/>
        </w:rPr>
        <w:t xml:space="preserve">accouchement </w:t>
      </w:r>
      <w:r w:rsidR="00B662D3" w:rsidRPr="00E1372C">
        <w:rPr>
          <w:lang w:val="fr-FR" w:bidi="en-US"/>
        </w:rPr>
        <w:t>pour les</w:t>
      </w:r>
      <w:r w:rsidR="00272679" w:rsidRPr="00E1372C">
        <w:rPr>
          <w:lang w:val="fr-FR" w:bidi="en-US"/>
        </w:rPr>
        <w:t xml:space="preserve"> futures mères ont été installés dans tout le pays. De plus, des structures d</w:t>
      </w:r>
      <w:r w:rsidR="00731F09" w:rsidRPr="00E1372C">
        <w:rPr>
          <w:lang w:val="fr-FR" w:bidi="en-US"/>
        </w:rPr>
        <w:t>’</w:t>
      </w:r>
      <w:r w:rsidR="00272679" w:rsidRPr="00E1372C">
        <w:rPr>
          <w:lang w:val="fr-FR" w:bidi="en-US"/>
        </w:rPr>
        <w:t>accueil sont également organisées dans certaines régions pour pourvoir aux besoins des futures mères près des services d</w:t>
      </w:r>
      <w:r w:rsidR="00731F09" w:rsidRPr="00E1372C">
        <w:rPr>
          <w:lang w:val="fr-FR" w:bidi="en-US"/>
        </w:rPr>
        <w:t>’</w:t>
      </w:r>
      <w:r w:rsidR="00272679" w:rsidRPr="00E1372C">
        <w:rPr>
          <w:lang w:val="fr-FR" w:bidi="en-US"/>
        </w:rPr>
        <w:t>obstétrique.</w:t>
      </w:r>
    </w:p>
    <w:p w:rsidR="00272679" w:rsidRPr="00E1372C" w:rsidRDefault="007A1757" w:rsidP="007A1757">
      <w:pPr>
        <w:pStyle w:val="SingleTxtG"/>
        <w:rPr>
          <w:lang w:val="fr-FR" w:bidi="en-US"/>
        </w:rPr>
      </w:pPr>
      <w:r w:rsidRPr="00E1372C">
        <w:rPr>
          <w:lang w:val="fr-FR" w:bidi="en-US"/>
        </w:rPr>
        <w:t>233.</w:t>
      </w:r>
      <w:r w:rsidRPr="00E1372C">
        <w:rPr>
          <w:lang w:val="fr-FR" w:bidi="en-US"/>
        </w:rPr>
        <w:tab/>
      </w:r>
      <w:r w:rsidR="00272679" w:rsidRPr="00E1372C">
        <w:rPr>
          <w:lang w:val="fr-FR" w:bidi="en-US"/>
        </w:rPr>
        <w:t>Par tradition, les membres de la famille dans la communauté assistent les femmes qui ont accouché en leur fournissant nourriture, vêtements, voire en s</w:t>
      </w:r>
      <w:r w:rsidR="00731F09" w:rsidRPr="00E1372C">
        <w:rPr>
          <w:lang w:val="fr-FR" w:bidi="en-US"/>
        </w:rPr>
        <w:t>’</w:t>
      </w:r>
      <w:r w:rsidR="00272679" w:rsidRPr="00E1372C">
        <w:rPr>
          <w:lang w:val="fr-FR" w:bidi="en-US"/>
        </w:rPr>
        <w:t>occupant de leurs enfants jusqu</w:t>
      </w:r>
      <w:r w:rsidR="00731F09" w:rsidRPr="00E1372C">
        <w:rPr>
          <w:lang w:val="fr-FR" w:bidi="en-US"/>
        </w:rPr>
        <w:t>’</w:t>
      </w:r>
      <w:r w:rsidR="00272679" w:rsidRPr="00E1372C">
        <w:rPr>
          <w:lang w:val="fr-FR" w:bidi="en-US"/>
        </w:rPr>
        <w:t>à ce qu</w:t>
      </w:r>
      <w:r w:rsidR="00731F09" w:rsidRPr="00E1372C">
        <w:rPr>
          <w:lang w:val="fr-FR" w:bidi="en-US"/>
        </w:rPr>
        <w:t>’</w:t>
      </w:r>
      <w:r w:rsidR="00272679" w:rsidRPr="00E1372C">
        <w:rPr>
          <w:lang w:val="fr-FR" w:bidi="en-US"/>
        </w:rPr>
        <w:t xml:space="preserve">elles soient entièrement rétablies. Toutes les femmes peuvent bénéficier des </w:t>
      </w:r>
      <w:r w:rsidR="00234C44" w:rsidRPr="00E1372C">
        <w:rPr>
          <w:lang w:val="fr-FR" w:bidi="en-US"/>
        </w:rPr>
        <w:t>établissement</w:t>
      </w:r>
      <w:r w:rsidR="00272679" w:rsidRPr="00E1372C">
        <w:rPr>
          <w:lang w:val="fr-FR" w:bidi="en-US"/>
        </w:rPr>
        <w:t>s de santé publique et les structures d</w:t>
      </w:r>
      <w:r w:rsidR="00731F09" w:rsidRPr="00E1372C">
        <w:rPr>
          <w:lang w:val="fr-FR" w:bidi="en-US"/>
        </w:rPr>
        <w:t>’</w:t>
      </w:r>
      <w:r w:rsidR="00272679" w:rsidRPr="00E1372C">
        <w:rPr>
          <w:lang w:val="fr-FR" w:bidi="en-US"/>
        </w:rPr>
        <w:t>accueil sont disponibles gratuitement pour celles issues de régions rurales reculées. Il n</w:t>
      </w:r>
      <w:r w:rsidR="00731F09" w:rsidRPr="00E1372C">
        <w:rPr>
          <w:lang w:val="fr-FR" w:bidi="en-US"/>
        </w:rPr>
        <w:t>’</w:t>
      </w:r>
      <w:r w:rsidR="00272679" w:rsidRPr="00E1372C">
        <w:rPr>
          <w:lang w:val="fr-FR" w:bidi="en-US"/>
        </w:rPr>
        <w:t xml:space="preserve">existe pas de dispositions </w:t>
      </w:r>
      <w:r w:rsidR="006B1F8B" w:rsidRPr="00E1372C">
        <w:rPr>
          <w:lang w:val="fr-FR" w:bidi="en-US"/>
        </w:rPr>
        <w:t xml:space="preserve">légales </w:t>
      </w:r>
      <w:r w:rsidR="00272679" w:rsidRPr="00E1372C">
        <w:rPr>
          <w:lang w:val="fr-FR" w:bidi="en-US"/>
        </w:rPr>
        <w:t>relatives au congé de paternité en Namibie.</w:t>
      </w:r>
    </w:p>
    <w:p w:rsidR="00A55A0E" w:rsidRPr="00E1372C" w:rsidRDefault="007A1757" w:rsidP="007A1757">
      <w:pPr>
        <w:pStyle w:val="SingleTxtG"/>
        <w:rPr>
          <w:b/>
          <w:lang w:val="fr-FR" w:bidi="en-US"/>
        </w:rPr>
      </w:pPr>
      <w:r w:rsidRPr="00E1372C">
        <w:rPr>
          <w:lang w:val="fr-FR" w:bidi="en-US"/>
        </w:rPr>
        <w:t>234.</w:t>
      </w:r>
      <w:r w:rsidRPr="00E1372C">
        <w:rPr>
          <w:lang w:val="fr-FR" w:bidi="en-US"/>
        </w:rPr>
        <w:tab/>
      </w:r>
      <w:r w:rsidR="00272679" w:rsidRPr="00E1372C">
        <w:rPr>
          <w:lang w:val="fr-FR" w:bidi="en-US"/>
        </w:rPr>
        <w:t>La protection des enfants et des jeunes contre l</w:t>
      </w:r>
      <w:r w:rsidR="00731F09" w:rsidRPr="00E1372C">
        <w:rPr>
          <w:lang w:val="fr-FR" w:bidi="en-US"/>
        </w:rPr>
        <w:t>’</w:t>
      </w:r>
      <w:r w:rsidR="00272679" w:rsidRPr="00E1372C">
        <w:rPr>
          <w:lang w:val="fr-FR" w:bidi="en-US"/>
        </w:rPr>
        <w:t xml:space="preserve">exploitation économique et sociale et les mesures pénales ont été traitées dans le rapport initial et les </w:t>
      </w:r>
      <w:r w:rsidR="00B662D3" w:rsidRPr="00E1372C">
        <w:rPr>
          <w:lang w:val="fr-FR" w:bidi="en-US"/>
        </w:rPr>
        <w:t>deuxième</w:t>
      </w:r>
      <w:r w:rsidR="00272679" w:rsidRPr="00E1372C">
        <w:rPr>
          <w:lang w:val="fr-FR" w:bidi="en-US"/>
        </w:rPr>
        <w:t xml:space="preserve"> et </w:t>
      </w:r>
      <w:r w:rsidR="00B662D3" w:rsidRPr="00E1372C">
        <w:rPr>
          <w:lang w:val="fr-FR" w:bidi="en-US"/>
        </w:rPr>
        <w:t>troisième</w:t>
      </w:r>
      <w:r w:rsidR="00272679" w:rsidRPr="00E1372C">
        <w:rPr>
          <w:lang w:val="fr-FR" w:bidi="en-US"/>
        </w:rPr>
        <w:t xml:space="preserve"> rapports périodiques </w:t>
      </w:r>
      <w:r w:rsidR="006B1F8B" w:rsidRPr="00E1372C">
        <w:rPr>
          <w:lang w:val="fr-FR" w:bidi="en-US"/>
        </w:rPr>
        <w:t xml:space="preserve">de 2009 </w:t>
      </w:r>
      <w:r w:rsidR="00272679" w:rsidRPr="00E1372C">
        <w:rPr>
          <w:lang w:val="fr-FR" w:bidi="en-US"/>
        </w:rPr>
        <w:t>au titre de la Convention relative aux droits de l</w:t>
      </w:r>
      <w:r w:rsidR="00731F09" w:rsidRPr="00E1372C">
        <w:rPr>
          <w:lang w:val="fr-FR" w:bidi="en-US"/>
        </w:rPr>
        <w:t>’</w:t>
      </w:r>
      <w:r w:rsidR="00272679" w:rsidRPr="00E1372C">
        <w:rPr>
          <w:lang w:val="fr-FR" w:bidi="en-US"/>
        </w:rPr>
        <w:t>enfant.</w:t>
      </w:r>
    </w:p>
    <w:p w:rsidR="00A55A0E" w:rsidRPr="00E1372C" w:rsidRDefault="00A55A0E" w:rsidP="00A55A0E">
      <w:pPr>
        <w:pStyle w:val="H23G"/>
        <w:rPr>
          <w:lang w:val="fr-FR" w:bidi="en-US"/>
        </w:rPr>
      </w:pPr>
      <w:r w:rsidRPr="00E1372C">
        <w:rPr>
          <w:lang w:val="fr-FR" w:bidi="en-US"/>
        </w:rPr>
        <w:tab/>
      </w:r>
      <w:r w:rsidRPr="00E1372C">
        <w:rPr>
          <w:lang w:val="fr-FR" w:bidi="en-US"/>
        </w:rPr>
        <w:tab/>
        <w:t xml:space="preserve">Protection </w:t>
      </w:r>
      <w:r w:rsidR="0015634B" w:rsidRPr="00E1372C">
        <w:rPr>
          <w:lang w:val="fr-FR" w:bidi="en-US"/>
        </w:rPr>
        <w:t>des personnes âgées</w:t>
      </w:r>
    </w:p>
    <w:p w:rsidR="00A55A0E" w:rsidRPr="00E1372C" w:rsidRDefault="007A1757" w:rsidP="007A1757">
      <w:pPr>
        <w:pStyle w:val="SingleTxtG"/>
        <w:rPr>
          <w:b/>
          <w:lang w:val="fr-FR" w:bidi="en-US"/>
        </w:rPr>
      </w:pPr>
      <w:r w:rsidRPr="00E1372C">
        <w:rPr>
          <w:lang w:val="fr-FR" w:bidi="en-US"/>
        </w:rPr>
        <w:t>235.</w:t>
      </w:r>
      <w:r w:rsidRPr="00E1372C">
        <w:rPr>
          <w:lang w:val="fr-FR" w:bidi="en-US"/>
        </w:rPr>
        <w:tab/>
      </w:r>
      <w:r w:rsidR="0015634B" w:rsidRPr="00E1372C">
        <w:rPr>
          <w:lang w:val="fr-FR" w:bidi="en-US"/>
        </w:rPr>
        <w:t>Aucune législation ne protège expressément les personnes âgées. La Constitution protège toutes les personnes qui vivent en Namibie. Toutefois, il existe des règles directrices qui permettent au Gouvernement d</w:t>
      </w:r>
      <w:r w:rsidR="00731F09" w:rsidRPr="00E1372C">
        <w:rPr>
          <w:lang w:val="fr-FR" w:bidi="en-US"/>
        </w:rPr>
        <w:t>’</w:t>
      </w:r>
      <w:r w:rsidR="0015634B" w:rsidRPr="00E1372C">
        <w:rPr>
          <w:lang w:val="fr-FR" w:bidi="en-US"/>
        </w:rPr>
        <w:t>octroyer des allocations sociales aux personnes âgées, comme il est expliqué plus haut.</w:t>
      </w:r>
    </w:p>
    <w:p w:rsidR="00A55A0E" w:rsidRPr="00E1372C" w:rsidRDefault="00D93C60" w:rsidP="00D93C60">
      <w:pPr>
        <w:pStyle w:val="H23G"/>
        <w:rPr>
          <w:lang w:val="fr-FR" w:bidi="en-US"/>
        </w:rPr>
      </w:pPr>
      <w:r w:rsidRPr="00E1372C">
        <w:rPr>
          <w:lang w:val="fr-FR" w:bidi="en-US"/>
        </w:rPr>
        <w:tab/>
      </w:r>
      <w:r w:rsidRPr="00E1372C">
        <w:rPr>
          <w:lang w:val="fr-FR" w:bidi="en-US"/>
        </w:rPr>
        <w:tab/>
      </w:r>
      <w:r w:rsidR="0015634B" w:rsidRPr="00E1372C">
        <w:rPr>
          <w:lang w:val="fr-FR" w:bidi="en-US"/>
        </w:rPr>
        <w:t>Demandeurs d</w:t>
      </w:r>
      <w:r w:rsidR="00731F09" w:rsidRPr="00E1372C">
        <w:rPr>
          <w:lang w:val="fr-FR" w:bidi="en-US"/>
        </w:rPr>
        <w:t>’</w:t>
      </w:r>
      <w:r w:rsidR="0015634B" w:rsidRPr="00E1372C">
        <w:rPr>
          <w:lang w:val="fr-FR" w:bidi="en-US"/>
        </w:rPr>
        <w:t>asile</w:t>
      </w:r>
    </w:p>
    <w:p w:rsidR="00A55A0E" w:rsidRPr="00E1372C" w:rsidRDefault="007A1757" w:rsidP="007A1757">
      <w:pPr>
        <w:pStyle w:val="SingleTxtG"/>
        <w:rPr>
          <w:lang w:val="fr-FR" w:bidi="en-US"/>
        </w:rPr>
      </w:pPr>
      <w:r w:rsidRPr="00E1372C">
        <w:rPr>
          <w:lang w:val="fr-FR" w:bidi="en-US"/>
        </w:rPr>
        <w:t>236.</w:t>
      </w:r>
      <w:r w:rsidRPr="00E1372C">
        <w:rPr>
          <w:lang w:val="fr-FR" w:bidi="en-US"/>
        </w:rPr>
        <w:tab/>
      </w:r>
      <w:r w:rsidR="0015634B" w:rsidRPr="00E1372C">
        <w:rPr>
          <w:lang w:val="fr-FR"/>
        </w:rPr>
        <w:t xml:space="preserve">La </w:t>
      </w:r>
      <w:r w:rsidR="00B662D3" w:rsidRPr="00E1372C">
        <w:rPr>
          <w:lang w:val="fr-FR"/>
        </w:rPr>
        <w:t xml:space="preserve">Namibie a ratifié la </w:t>
      </w:r>
      <w:r w:rsidR="0015634B" w:rsidRPr="00E1372C">
        <w:rPr>
          <w:lang w:val="fr-FR"/>
        </w:rPr>
        <w:t>Convention de 1951 relative au statut des réfugiés ainsi que le Protocole de 1967 relatif au statut des réfugiés. Le Parlement a adopté la loi de 1999 relative à la reconnaissance et à la réglementation du statut de réfugié pour donner effet à ces instruments internationaux. Cette loi prévoit l</w:t>
      </w:r>
      <w:r w:rsidR="00731F09" w:rsidRPr="00E1372C">
        <w:rPr>
          <w:lang w:val="fr-FR"/>
        </w:rPr>
        <w:t>’</w:t>
      </w:r>
      <w:r w:rsidR="0015634B" w:rsidRPr="00E1372C">
        <w:rPr>
          <w:lang w:val="fr-FR"/>
        </w:rPr>
        <w:t>octroi de l</w:t>
      </w:r>
      <w:r w:rsidR="00731F09" w:rsidRPr="00E1372C">
        <w:rPr>
          <w:lang w:val="fr-FR"/>
        </w:rPr>
        <w:t>’</w:t>
      </w:r>
      <w:r w:rsidR="0015634B" w:rsidRPr="00E1372C">
        <w:rPr>
          <w:lang w:val="fr-FR"/>
        </w:rPr>
        <w:t>asile ou du statut de réfugié et le Gouvernement a mis en place un système permettant de fournir une protection aux réfugiés. Il se réserve le droit de désigner le ou les principaux lieux d</w:t>
      </w:r>
      <w:r w:rsidR="00731F09" w:rsidRPr="00E1372C">
        <w:rPr>
          <w:lang w:val="fr-FR"/>
        </w:rPr>
        <w:t>’</w:t>
      </w:r>
      <w:r w:rsidR="0015634B" w:rsidRPr="00E1372C">
        <w:rPr>
          <w:lang w:val="fr-FR"/>
        </w:rPr>
        <w:t xml:space="preserve">accueil et de résidence des réfugiés ou de restreindre leur liberté de </w:t>
      </w:r>
      <w:r w:rsidR="006B1F8B" w:rsidRPr="00E1372C">
        <w:rPr>
          <w:lang w:val="fr-FR"/>
        </w:rPr>
        <w:t>circulation</w:t>
      </w:r>
      <w:r w:rsidR="0015634B" w:rsidRPr="00E1372C">
        <w:rPr>
          <w:lang w:val="fr-FR"/>
        </w:rPr>
        <w:t xml:space="preserve"> pour des considérations de sécurité nationale. Dans la pratique, il protège les réfugiés de l</w:t>
      </w:r>
      <w:r w:rsidR="00731F09" w:rsidRPr="00E1372C">
        <w:rPr>
          <w:lang w:val="fr-FR"/>
        </w:rPr>
        <w:t>’</w:t>
      </w:r>
      <w:r w:rsidR="0015634B" w:rsidRPr="00E1372C">
        <w:rPr>
          <w:lang w:val="fr-FR"/>
        </w:rPr>
        <w:t>expulsion ou du retour dans des pays où leur vie ou leur liberté seraient menacées.</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237.</w:t>
      </w:r>
      <w:r w:rsidRPr="00E1372C">
        <w:rPr>
          <w:lang w:val="fr-FR" w:bidi="en-US"/>
        </w:rPr>
        <w:tab/>
      </w:r>
      <w:r w:rsidR="0015634B" w:rsidRPr="00E1372C">
        <w:rPr>
          <w:lang w:val="fr-FR" w:bidi="en-US"/>
        </w:rPr>
        <w:t>Les enfants de réfugiés sont autorisés à fréquenter les écoles de leur choix. Des cadres peuvent être engagés dans des institutions gouvernementales en fonction de leurs qualifications. Le regroupement familial a lieu uniquement à titre volontaire lorsque les réfugiés sont rapatriés de leur propre gré.</w:t>
      </w:r>
    </w:p>
    <w:p w:rsidR="00A55A0E" w:rsidRPr="00E1372C" w:rsidRDefault="00D93C60" w:rsidP="00D93C60">
      <w:pPr>
        <w:pStyle w:val="H23G"/>
        <w:rPr>
          <w:lang w:val="fr-FR" w:bidi="en-US"/>
        </w:rPr>
      </w:pPr>
      <w:r w:rsidRPr="00E1372C">
        <w:rPr>
          <w:lang w:val="fr-FR" w:bidi="en-US"/>
        </w:rPr>
        <w:tab/>
      </w:r>
      <w:r w:rsidRPr="00E1372C">
        <w:rPr>
          <w:lang w:val="fr-FR" w:bidi="en-US"/>
        </w:rPr>
        <w:tab/>
      </w:r>
      <w:r w:rsidR="0015634B" w:rsidRPr="00E1372C">
        <w:rPr>
          <w:lang w:val="fr-FR" w:bidi="en-US"/>
        </w:rPr>
        <w:t>Traite des personnes</w:t>
      </w:r>
    </w:p>
    <w:p w:rsidR="0015634B" w:rsidRPr="00E1372C" w:rsidRDefault="007A1757" w:rsidP="007A1757">
      <w:pPr>
        <w:pStyle w:val="SingleTxtG"/>
        <w:rPr>
          <w:lang w:val="fr-FR" w:bidi="en-US"/>
        </w:rPr>
      </w:pPr>
      <w:r w:rsidRPr="00E1372C">
        <w:rPr>
          <w:lang w:val="fr-FR" w:bidi="en-US"/>
        </w:rPr>
        <w:t>238.</w:t>
      </w:r>
      <w:r w:rsidRPr="00E1372C">
        <w:rPr>
          <w:lang w:val="fr-FR" w:bidi="en-US"/>
        </w:rPr>
        <w:tab/>
      </w:r>
      <w:r w:rsidR="0015634B" w:rsidRPr="00E1372C">
        <w:rPr>
          <w:lang w:val="fr-FR" w:bidi="en-US"/>
        </w:rPr>
        <w:t>La Namibie a ratifié</w:t>
      </w:r>
      <w:r w:rsidR="00B662D3" w:rsidRPr="00E1372C">
        <w:rPr>
          <w:lang w:val="fr-FR" w:bidi="en-US"/>
        </w:rPr>
        <w:t xml:space="preserve"> en 2003</w:t>
      </w:r>
      <w:r w:rsidR="0015634B" w:rsidRPr="00E1372C">
        <w:rPr>
          <w:lang w:val="fr-FR" w:bidi="en-US"/>
        </w:rPr>
        <w:t xml:space="preserve"> la Convention des Nations Unies contre la criminalité transnationale organisée </w:t>
      </w:r>
      <w:r w:rsidR="00D22EFE" w:rsidRPr="00E1372C">
        <w:rPr>
          <w:lang w:val="fr-FR" w:bidi="en-US"/>
        </w:rPr>
        <w:t xml:space="preserve">de 2000 </w:t>
      </w:r>
      <w:r w:rsidR="0015634B" w:rsidRPr="00E1372C">
        <w:rPr>
          <w:lang w:val="fr-FR" w:bidi="en-US"/>
        </w:rPr>
        <w:t xml:space="preserve">et le Protocole additionnel visant à prévenir, réprimer et punir la traite des personnes, en particulier des femmes et des enfants. En conséquence, le Parlement a adopté la loi </w:t>
      </w:r>
      <w:r w:rsidR="002D6641" w:rsidRPr="00E1372C">
        <w:rPr>
          <w:lang w:val="fr-FR" w:bidi="en-US"/>
        </w:rPr>
        <w:t>n</w:t>
      </w:r>
      <w:r w:rsidR="00B277C4" w:rsidRPr="00E1372C">
        <w:rPr>
          <w:vertAlign w:val="superscript"/>
          <w:lang w:val="fr-FR" w:bidi="en-US"/>
        </w:rPr>
        <w:t>o</w:t>
      </w:r>
      <w:r w:rsidR="00D93C60" w:rsidRPr="00E1372C">
        <w:rPr>
          <w:lang w:val="fr-FR" w:bidi="en-US"/>
        </w:rPr>
        <w:t> </w:t>
      </w:r>
      <w:r w:rsidR="002D6641" w:rsidRPr="00E1372C">
        <w:rPr>
          <w:lang w:val="fr-FR" w:bidi="en-US"/>
        </w:rPr>
        <w:t xml:space="preserve">29 </w:t>
      </w:r>
      <w:r w:rsidR="00B662D3" w:rsidRPr="00E1372C">
        <w:rPr>
          <w:lang w:val="fr-FR" w:bidi="en-US"/>
        </w:rPr>
        <w:t xml:space="preserve">de 2004 </w:t>
      </w:r>
      <w:r w:rsidR="0015634B" w:rsidRPr="00E1372C">
        <w:rPr>
          <w:lang w:val="fr-FR" w:bidi="en-US"/>
        </w:rPr>
        <w:t>relative à la prévention de la criminalité organisée, qui érige en infraction la traite des personnes.</w:t>
      </w:r>
    </w:p>
    <w:p w:rsidR="0015634B" w:rsidRPr="00E1372C" w:rsidRDefault="007A1757" w:rsidP="007A1757">
      <w:pPr>
        <w:pStyle w:val="SingleTxtG"/>
        <w:rPr>
          <w:lang w:val="fr-FR" w:bidi="en-US"/>
        </w:rPr>
      </w:pPr>
      <w:r w:rsidRPr="00E1372C">
        <w:rPr>
          <w:lang w:val="fr-FR" w:bidi="en-US"/>
        </w:rPr>
        <w:t>239.</w:t>
      </w:r>
      <w:r w:rsidRPr="00E1372C">
        <w:rPr>
          <w:lang w:val="fr-FR" w:bidi="en-US"/>
        </w:rPr>
        <w:tab/>
      </w:r>
      <w:r w:rsidR="0015634B" w:rsidRPr="00E1372C">
        <w:rPr>
          <w:lang w:val="fr-FR" w:bidi="en-US"/>
        </w:rPr>
        <w:t>En avril 2009, le Ministère de l</w:t>
      </w:r>
      <w:r w:rsidR="00731F09" w:rsidRPr="00E1372C">
        <w:rPr>
          <w:lang w:val="fr-FR" w:bidi="en-US"/>
        </w:rPr>
        <w:t>’</w:t>
      </w:r>
      <w:r w:rsidR="0015634B" w:rsidRPr="00E1372C">
        <w:rPr>
          <w:lang w:val="fr-FR" w:bidi="en-US"/>
        </w:rPr>
        <w:t>égalité entre les sexes et de la protection de l</w:t>
      </w:r>
      <w:r w:rsidR="00731F09" w:rsidRPr="00E1372C">
        <w:rPr>
          <w:lang w:val="fr-FR" w:bidi="en-US"/>
        </w:rPr>
        <w:t>’</w:t>
      </w:r>
      <w:r w:rsidR="0015634B" w:rsidRPr="00E1372C">
        <w:rPr>
          <w:lang w:val="fr-FR" w:bidi="en-US"/>
        </w:rPr>
        <w:t>enfance, en collaboration avec le Ministère de l</w:t>
      </w:r>
      <w:r w:rsidR="00731F09" w:rsidRPr="00E1372C">
        <w:rPr>
          <w:lang w:val="fr-FR" w:bidi="en-US"/>
        </w:rPr>
        <w:t>’</w:t>
      </w:r>
      <w:r w:rsidR="0015634B" w:rsidRPr="00E1372C">
        <w:rPr>
          <w:lang w:val="fr-FR" w:bidi="en-US"/>
        </w:rPr>
        <w:t>agriculture, des eaux et forêts, a entrepris une évaluation concernant la traite de personnes en Namibie. Les résultats indiquent un nombre restreint de cas reconnus ou signalés.</w:t>
      </w:r>
    </w:p>
    <w:p w:rsidR="00A55A0E" w:rsidRPr="00E1372C" w:rsidRDefault="007A1757" w:rsidP="007A1757">
      <w:pPr>
        <w:pStyle w:val="SingleTxtG"/>
        <w:rPr>
          <w:lang w:val="fr-FR" w:bidi="en-US"/>
        </w:rPr>
      </w:pPr>
      <w:r w:rsidRPr="00E1372C">
        <w:rPr>
          <w:lang w:val="fr-FR" w:bidi="en-US"/>
        </w:rPr>
        <w:t>240.</w:t>
      </w:r>
      <w:r w:rsidRPr="00E1372C">
        <w:rPr>
          <w:lang w:val="fr-FR" w:bidi="en-US"/>
        </w:rPr>
        <w:tab/>
      </w:r>
      <w:r w:rsidR="00590A3C" w:rsidRPr="00E1372C">
        <w:rPr>
          <w:lang w:val="fr-FR"/>
        </w:rPr>
        <w:t xml:space="preserve">Ainsi, </w:t>
      </w:r>
      <w:r w:rsidR="0015634B" w:rsidRPr="00E1372C">
        <w:rPr>
          <w:lang w:val="fr-FR"/>
        </w:rPr>
        <w:t>une mère</w:t>
      </w:r>
      <w:r w:rsidR="00590A3C" w:rsidRPr="00E1372C">
        <w:rPr>
          <w:lang w:val="fr-FR"/>
        </w:rPr>
        <w:t>,</w:t>
      </w:r>
      <w:r w:rsidR="0015634B" w:rsidRPr="00E1372C">
        <w:rPr>
          <w:lang w:val="fr-FR"/>
        </w:rPr>
        <w:t xml:space="preserve"> dans la ville côtière de Walvisbay, aurait utilisé sa fille adolescente qui vivait dans le nord à des fins d</w:t>
      </w:r>
      <w:r w:rsidR="00731F09" w:rsidRPr="00E1372C">
        <w:rPr>
          <w:lang w:val="fr-FR"/>
        </w:rPr>
        <w:t>’</w:t>
      </w:r>
      <w:r w:rsidR="0015634B" w:rsidRPr="00E1372C">
        <w:rPr>
          <w:lang w:val="fr-FR"/>
        </w:rPr>
        <w:t>exploitation sexu</w:t>
      </w:r>
      <w:r w:rsidR="00590A3C" w:rsidRPr="00E1372C">
        <w:rPr>
          <w:lang w:val="fr-FR"/>
        </w:rPr>
        <w:t>elle par la prostitution forcée et</w:t>
      </w:r>
      <w:r w:rsidR="005C765D" w:rsidRPr="00E1372C">
        <w:rPr>
          <w:lang w:val="fr-FR"/>
        </w:rPr>
        <w:t xml:space="preserve"> </w:t>
      </w:r>
      <w:r w:rsidR="0015634B" w:rsidRPr="00E1372C">
        <w:rPr>
          <w:lang w:val="fr-FR"/>
        </w:rPr>
        <w:t>un ressortissant zambien serait l</w:t>
      </w:r>
      <w:r w:rsidR="00731F09" w:rsidRPr="00E1372C">
        <w:rPr>
          <w:lang w:val="fr-FR"/>
        </w:rPr>
        <w:t>’</w:t>
      </w:r>
      <w:r w:rsidR="0015634B" w:rsidRPr="00E1372C">
        <w:rPr>
          <w:lang w:val="fr-FR"/>
        </w:rPr>
        <w:t>auteur d</w:t>
      </w:r>
      <w:r w:rsidR="00731F09" w:rsidRPr="00E1372C">
        <w:rPr>
          <w:lang w:val="fr-FR"/>
        </w:rPr>
        <w:t>’</w:t>
      </w:r>
      <w:r w:rsidR="0015634B" w:rsidRPr="00E1372C">
        <w:rPr>
          <w:lang w:val="fr-FR"/>
        </w:rPr>
        <w:t>un trafic de garçons zambiens en Namibie à des fins d</w:t>
      </w:r>
      <w:r w:rsidR="00731F09" w:rsidRPr="00E1372C">
        <w:rPr>
          <w:lang w:val="fr-FR"/>
        </w:rPr>
        <w:t>’</w:t>
      </w:r>
      <w:r w:rsidR="0015634B" w:rsidRPr="00E1372C">
        <w:rPr>
          <w:lang w:val="fr-FR"/>
        </w:rPr>
        <w:t>exploitation dans des fermes agricoles. Ces cas ont été signalés à la police et les auteurs ont été arrêtés.</w:t>
      </w:r>
    </w:p>
    <w:p w:rsidR="005C765D" w:rsidRPr="00E1372C" w:rsidRDefault="007A1757" w:rsidP="007A1757">
      <w:pPr>
        <w:pStyle w:val="SingleTxtG"/>
        <w:rPr>
          <w:lang w:val="fr-FR" w:bidi="en-US"/>
        </w:rPr>
      </w:pPr>
      <w:r w:rsidRPr="00E1372C">
        <w:rPr>
          <w:lang w:val="fr-FR" w:bidi="en-US"/>
        </w:rPr>
        <w:t>241.</w:t>
      </w:r>
      <w:r w:rsidRPr="00E1372C">
        <w:rPr>
          <w:lang w:val="fr-FR" w:bidi="en-US"/>
        </w:rPr>
        <w:tab/>
      </w:r>
      <w:r w:rsidR="005C765D" w:rsidRPr="00E1372C">
        <w:rPr>
          <w:lang w:val="fr-FR" w:bidi="en-US"/>
        </w:rPr>
        <w:t xml:space="preserve">Un effectif de 102 policiers des unités de protection des femmes et des enfants de la </w:t>
      </w:r>
      <w:r w:rsidR="00590A3C" w:rsidRPr="00E1372C">
        <w:rPr>
          <w:lang w:val="fr-FR" w:bidi="en-US"/>
        </w:rPr>
        <w:t>p</w:t>
      </w:r>
      <w:r w:rsidR="005C765D" w:rsidRPr="00E1372C">
        <w:rPr>
          <w:lang w:val="fr-FR" w:bidi="en-US"/>
        </w:rPr>
        <w:t>olice namibienne et 25 travailleurs sociaux rattachés au Ministère de la santé et des services sociaux ont reçu une formation spéciale. La Namibie ne compte pas, en matière de traite de personnes, de programmes</w:t>
      </w:r>
      <w:r w:rsidR="00590A3C" w:rsidRPr="00E1372C">
        <w:rPr>
          <w:lang w:val="fr-FR" w:bidi="en-US"/>
        </w:rPr>
        <w:t xml:space="preserve"> établis</w:t>
      </w:r>
      <w:r w:rsidR="005C765D" w:rsidRPr="00E1372C">
        <w:rPr>
          <w:lang w:val="fr-FR" w:bidi="en-US"/>
        </w:rPr>
        <w:t xml:space="preserve"> de protection des témoins, lesquels sont toutefois protégés dans le cadre du système de justice pénale par d</w:t>
      </w:r>
      <w:r w:rsidR="00731F09" w:rsidRPr="00E1372C">
        <w:rPr>
          <w:lang w:val="fr-FR" w:bidi="en-US"/>
        </w:rPr>
        <w:t>’</w:t>
      </w:r>
      <w:r w:rsidR="005C765D" w:rsidRPr="00E1372C">
        <w:rPr>
          <w:lang w:val="fr-FR" w:bidi="en-US"/>
        </w:rPr>
        <w:t>autres dispositions législatives, notamment la loi n</w:t>
      </w:r>
      <w:r w:rsidR="00B277C4" w:rsidRPr="00E1372C">
        <w:rPr>
          <w:vertAlign w:val="superscript"/>
          <w:lang w:val="fr-FR" w:bidi="en-US"/>
        </w:rPr>
        <w:t>o</w:t>
      </w:r>
      <w:r w:rsidR="00D93C60" w:rsidRPr="00E1372C">
        <w:rPr>
          <w:lang w:val="fr-FR" w:bidi="en-US"/>
        </w:rPr>
        <w:t> </w:t>
      </w:r>
      <w:r w:rsidR="005C765D" w:rsidRPr="00E1372C">
        <w:rPr>
          <w:lang w:val="fr-FR" w:bidi="en-US"/>
        </w:rPr>
        <w:t>51 de 1977 relative à la procédure pénale.</w:t>
      </w:r>
    </w:p>
    <w:p w:rsidR="00A55A0E" w:rsidRPr="00E1372C" w:rsidRDefault="00D93C60" w:rsidP="00A55A0E">
      <w:pPr>
        <w:pStyle w:val="H1G"/>
        <w:rPr>
          <w:lang w:val="fr-FR" w:bidi="en-US"/>
        </w:rPr>
      </w:pPr>
      <w:r w:rsidRPr="00E1372C">
        <w:rPr>
          <w:lang w:val="fr-FR" w:bidi="en-US"/>
        </w:rPr>
        <w:tab/>
      </w:r>
      <w:r w:rsidRPr="00E1372C">
        <w:rPr>
          <w:lang w:val="fr-FR" w:bidi="en-US"/>
        </w:rPr>
        <w:tab/>
        <w:t>Article 11</w:t>
      </w:r>
      <w:r w:rsidRPr="00E1372C">
        <w:rPr>
          <w:lang w:val="fr-FR" w:bidi="en-US"/>
        </w:rPr>
        <w:br/>
        <w:t xml:space="preserve">Droit </w:t>
      </w:r>
      <w:r w:rsidR="005C765D" w:rsidRPr="00E1372C">
        <w:rPr>
          <w:lang w:val="fr-FR" w:bidi="en-US"/>
        </w:rPr>
        <w:t>au logement et à une nourriture suffisante</w:t>
      </w:r>
    </w:p>
    <w:p w:rsidR="00A55A0E" w:rsidRPr="00E1372C" w:rsidRDefault="00A55A0E" w:rsidP="00A55A0E">
      <w:pPr>
        <w:pStyle w:val="H23G"/>
        <w:rPr>
          <w:lang w:val="fr-FR" w:bidi="en-US"/>
        </w:rPr>
      </w:pPr>
      <w:r w:rsidRPr="00E1372C">
        <w:rPr>
          <w:lang w:val="fr-FR" w:bidi="en-US"/>
        </w:rPr>
        <w:tab/>
      </w:r>
      <w:r w:rsidRPr="00E1372C">
        <w:rPr>
          <w:lang w:val="fr-FR" w:bidi="en-US"/>
        </w:rPr>
        <w:tab/>
      </w:r>
      <w:r w:rsidR="005C765D" w:rsidRPr="00E1372C">
        <w:rPr>
          <w:lang w:val="fr-FR" w:bidi="en-US"/>
        </w:rPr>
        <w:t>Logement</w:t>
      </w:r>
    </w:p>
    <w:p w:rsidR="00F64EED" w:rsidRPr="00E1372C" w:rsidRDefault="007A1757" w:rsidP="007A1757">
      <w:pPr>
        <w:pStyle w:val="SingleTxtG"/>
        <w:rPr>
          <w:lang w:val="fr-FR" w:bidi="en-US"/>
        </w:rPr>
      </w:pPr>
      <w:r w:rsidRPr="00E1372C">
        <w:rPr>
          <w:lang w:val="fr-FR" w:bidi="en-US"/>
        </w:rPr>
        <w:t>242.</w:t>
      </w:r>
      <w:r w:rsidRPr="00E1372C">
        <w:rPr>
          <w:lang w:val="fr-FR" w:bidi="en-US"/>
        </w:rPr>
        <w:tab/>
      </w:r>
      <w:r w:rsidR="00F64EED" w:rsidRPr="00E1372C">
        <w:rPr>
          <w:lang w:val="fr-FR" w:bidi="en-US"/>
        </w:rPr>
        <w:t>Le taux de croissance de la population namibienne étant d</w:t>
      </w:r>
      <w:r w:rsidR="00731F09" w:rsidRPr="00E1372C">
        <w:rPr>
          <w:lang w:val="fr-FR" w:bidi="en-US"/>
        </w:rPr>
        <w:t>’</w:t>
      </w:r>
      <w:r w:rsidR="00F64EED" w:rsidRPr="00E1372C">
        <w:rPr>
          <w:lang w:val="fr-FR" w:bidi="en-US"/>
        </w:rPr>
        <w:t>environ 3</w:t>
      </w:r>
      <w:r w:rsidR="007064FC" w:rsidRPr="00E1372C">
        <w:rPr>
          <w:lang w:val="fr-FR" w:bidi="en-US"/>
        </w:rPr>
        <w:t> %</w:t>
      </w:r>
      <w:r w:rsidR="00F64EED" w:rsidRPr="00E1372C">
        <w:rPr>
          <w:lang w:val="fr-FR" w:bidi="en-US"/>
        </w:rPr>
        <w:t xml:space="preserve"> par an, la fourniture de logements suffisants est l</w:t>
      </w:r>
      <w:r w:rsidR="00731F09" w:rsidRPr="00E1372C">
        <w:rPr>
          <w:lang w:val="fr-FR" w:bidi="en-US"/>
        </w:rPr>
        <w:t>’</w:t>
      </w:r>
      <w:r w:rsidR="00F64EED" w:rsidRPr="00E1372C">
        <w:rPr>
          <w:lang w:val="fr-FR" w:bidi="en-US"/>
        </w:rPr>
        <w:t>une des exigences les plus pressantes du pays. Avec sa politique nationale en la matière, le Gouvernement reconnaît dans le logement un droit fondamental. L</w:t>
      </w:r>
      <w:r w:rsidR="00731F09" w:rsidRPr="00E1372C">
        <w:rPr>
          <w:lang w:val="fr-FR" w:bidi="en-US"/>
        </w:rPr>
        <w:t>’</w:t>
      </w:r>
      <w:r w:rsidR="00F64EED" w:rsidRPr="00E1372C">
        <w:rPr>
          <w:lang w:val="fr-FR" w:bidi="en-US"/>
        </w:rPr>
        <w:t>objectif visé est de créer les conditions nécessaires pour permettre à tout Namibien d</w:t>
      </w:r>
      <w:r w:rsidR="00731F09" w:rsidRPr="00E1372C">
        <w:rPr>
          <w:lang w:val="fr-FR" w:bidi="en-US"/>
        </w:rPr>
        <w:t>’</w:t>
      </w:r>
      <w:r w:rsidR="00F64EED" w:rsidRPr="00E1372C">
        <w:rPr>
          <w:lang w:val="fr-FR" w:bidi="en-US"/>
        </w:rPr>
        <w:t>obtenir un logement selon ses besoins, ses priorités et ses moyens. Toutefois, la politique établit clairement qu</w:t>
      </w:r>
      <w:r w:rsidR="00731F09" w:rsidRPr="00E1372C">
        <w:rPr>
          <w:lang w:val="fr-FR" w:bidi="en-US"/>
        </w:rPr>
        <w:t>’</w:t>
      </w:r>
      <w:r w:rsidR="00F64EED" w:rsidRPr="00E1372C">
        <w:rPr>
          <w:lang w:val="fr-FR" w:bidi="en-US"/>
        </w:rPr>
        <w:t>il appartient au chef de famille d</w:t>
      </w:r>
      <w:r w:rsidR="00731F09" w:rsidRPr="00E1372C">
        <w:rPr>
          <w:lang w:val="fr-FR" w:bidi="en-US"/>
        </w:rPr>
        <w:t>’</w:t>
      </w:r>
      <w:r w:rsidR="00F64EED" w:rsidRPr="00E1372C">
        <w:rPr>
          <w:lang w:val="fr-FR" w:bidi="en-US"/>
        </w:rPr>
        <w:t>assurer le logement de ses proches. Le Ministère des pouvoirs régionaux et locaux, du logement et du développement rural, l</w:t>
      </w:r>
      <w:r w:rsidR="00731F09" w:rsidRPr="00E1372C">
        <w:rPr>
          <w:lang w:val="fr-FR" w:bidi="en-US"/>
        </w:rPr>
        <w:t>’</w:t>
      </w:r>
      <w:r w:rsidR="00F64EED" w:rsidRPr="00E1372C">
        <w:rPr>
          <w:lang w:val="fr-FR" w:bidi="en-US"/>
        </w:rPr>
        <w:t>entreprise nationale du logement et le secteur privé permettent aux communautés et aux particuliers de se loger grâce à des prêts, à l</w:t>
      </w:r>
      <w:r w:rsidR="00731F09" w:rsidRPr="00E1372C">
        <w:rPr>
          <w:lang w:val="fr-FR" w:bidi="en-US"/>
        </w:rPr>
        <w:t>’</w:t>
      </w:r>
      <w:r w:rsidR="00F64EED" w:rsidRPr="00E1372C">
        <w:rPr>
          <w:lang w:val="fr-FR" w:bidi="en-US"/>
        </w:rPr>
        <w:t>offre de terrains viabilisés, aux conseils et au soutien nécessaires pour acquérir ou construire un logement à un prix abordable et d</w:t>
      </w:r>
      <w:r w:rsidR="00731F09" w:rsidRPr="00E1372C">
        <w:rPr>
          <w:lang w:val="fr-FR" w:bidi="en-US"/>
        </w:rPr>
        <w:t>’</w:t>
      </w:r>
      <w:r w:rsidR="00F64EED" w:rsidRPr="00E1372C">
        <w:rPr>
          <w:lang w:val="fr-FR" w:bidi="en-US"/>
        </w:rPr>
        <w:t>une qualité convenable.</w:t>
      </w:r>
    </w:p>
    <w:p w:rsidR="00A55A0E" w:rsidRPr="00E1372C" w:rsidRDefault="007A1757" w:rsidP="007A1757">
      <w:pPr>
        <w:pStyle w:val="SingleTxtG"/>
        <w:rPr>
          <w:lang w:val="fr-FR" w:bidi="en-US"/>
        </w:rPr>
      </w:pPr>
      <w:r w:rsidRPr="00E1372C">
        <w:rPr>
          <w:lang w:val="fr-FR" w:bidi="en-US"/>
        </w:rPr>
        <w:t>243.</w:t>
      </w:r>
      <w:r w:rsidRPr="00E1372C">
        <w:rPr>
          <w:lang w:val="fr-FR" w:bidi="en-US"/>
        </w:rPr>
        <w:tab/>
      </w:r>
      <w:r w:rsidR="00F64EED" w:rsidRPr="00E1372C">
        <w:rPr>
          <w:lang w:val="fr-FR" w:bidi="en-US"/>
        </w:rPr>
        <w:t>Il existe trois types principaux de logement en Namibie</w:t>
      </w:r>
      <w:r w:rsidR="00AE017E" w:rsidRPr="00E1372C">
        <w:rPr>
          <w:lang w:val="fr-FR" w:bidi="en-US"/>
        </w:rPr>
        <w:t>:</w:t>
      </w:r>
      <w:r w:rsidR="00F64EED" w:rsidRPr="00E1372C">
        <w:rPr>
          <w:lang w:val="fr-FR" w:bidi="en-US"/>
        </w:rPr>
        <w:t xml:space="preserve"> maisons traditionnelles, pavillons et maisons jumelées.</w:t>
      </w:r>
      <w:r w:rsidR="00590A3C" w:rsidRPr="00E1372C">
        <w:rPr>
          <w:lang w:val="fr-FR" w:bidi="en-US"/>
        </w:rPr>
        <w:t xml:space="preserve"> Dès lors que</w:t>
      </w:r>
      <w:r w:rsidR="00F64EED" w:rsidRPr="00E1372C">
        <w:rPr>
          <w:lang w:val="fr-FR" w:bidi="en-US"/>
        </w:rPr>
        <w:t xml:space="preserve"> </w:t>
      </w:r>
      <w:r w:rsidR="00590A3C" w:rsidRPr="00E1372C">
        <w:rPr>
          <w:lang w:val="fr-FR" w:bidi="en-US"/>
        </w:rPr>
        <w:t>q</w:t>
      </w:r>
      <w:r w:rsidR="00F64EED" w:rsidRPr="00E1372C">
        <w:rPr>
          <w:lang w:val="fr-FR" w:bidi="en-US"/>
        </w:rPr>
        <w:t>uelque 44</w:t>
      </w:r>
      <w:r w:rsidR="007064FC" w:rsidRPr="00E1372C">
        <w:rPr>
          <w:lang w:val="fr-FR" w:bidi="en-US"/>
        </w:rPr>
        <w:t> %</w:t>
      </w:r>
      <w:r w:rsidR="00F64EED" w:rsidRPr="00E1372C">
        <w:rPr>
          <w:lang w:val="fr-FR" w:bidi="en-US"/>
        </w:rPr>
        <w:t xml:space="preserve"> de la population résid</w:t>
      </w:r>
      <w:r w:rsidR="00590A3C" w:rsidRPr="00E1372C">
        <w:rPr>
          <w:lang w:val="fr-FR" w:bidi="en-US"/>
        </w:rPr>
        <w:t>e</w:t>
      </w:r>
      <w:r w:rsidR="00F64EED" w:rsidRPr="00E1372C">
        <w:rPr>
          <w:lang w:val="fr-FR" w:bidi="en-US"/>
        </w:rPr>
        <w:t>nt dans une maison traditionnelle, cette forme d</w:t>
      </w:r>
      <w:r w:rsidR="00731F09" w:rsidRPr="00E1372C">
        <w:rPr>
          <w:lang w:val="fr-FR" w:bidi="en-US"/>
        </w:rPr>
        <w:t>’</w:t>
      </w:r>
      <w:r w:rsidR="00F64EED" w:rsidRPr="00E1372C">
        <w:rPr>
          <w:lang w:val="fr-FR" w:bidi="en-US"/>
        </w:rPr>
        <w:t xml:space="preserve">habitat est la plus courante dans le pays. Dans le </w:t>
      </w:r>
      <w:r w:rsidR="00B426C3" w:rsidRPr="00E1372C">
        <w:rPr>
          <w:lang w:val="fr-FR" w:bidi="en-US"/>
        </w:rPr>
        <w:t>nord comme dans les régions d</w:t>
      </w:r>
      <w:r w:rsidR="00731F09" w:rsidRPr="00E1372C">
        <w:rPr>
          <w:lang w:val="fr-FR" w:bidi="en-US"/>
        </w:rPr>
        <w:t>’</w:t>
      </w:r>
      <w:r w:rsidR="00A55A0E" w:rsidRPr="00E1372C">
        <w:rPr>
          <w:lang w:val="fr-FR" w:bidi="en-US"/>
        </w:rPr>
        <w:t xml:space="preserve">Ohangwena, </w:t>
      </w:r>
      <w:r w:rsidR="00B426C3" w:rsidRPr="00E1372C">
        <w:rPr>
          <w:lang w:val="fr-FR" w:bidi="en-US"/>
        </w:rPr>
        <w:t>d</w:t>
      </w:r>
      <w:r w:rsidR="00731F09" w:rsidRPr="00E1372C">
        <w:rPr>
          <w:lang w:val="fr-FR" w:bidi="en-US"/>
        </w:rPr>
        <w:t>’</w:t>
      </w:r>
      <w:r w:rsidR="00A55A0E" w:rsidRPr="00E1372C">
        <w:rPr>
          <w:lang w:val="fr-FR" w:bidi="en-US"/>
        </w:rPr>
        <w:t xml:space="preserve">Omusati, </w:t>
      </w:r>
      <w:r w:rsidR="00B426C3" w:rsidRPr="00E1372C">
        <w:rPr>
          <w:lang w:val="fr-FR" w:bidi="en-US"/>
        </w:rPr>
        <w:t xml:space="preserve">de </w:t>
      </w:r>
      <w:r w:rsidR="00A55A0E" w:rsidRPr="00E1372C">
        <w:rPr>
          <w:lang w:val="fr-FR" w:bidi="en-US"/>
        </w:rPr>
        <w:t xml:space="preserve">Kavango </w:t>
      </w:r>
      <w:r w:rsidR="00B426C3" w:rsidRPr="00E1372C">
        <w:rPr>
          <w:lang w:val="fr-FR" w:bidi="en-US"/>
        </w:rPr>
        <w:t>et de</w:t>
      </w:r>
      <w:r w:rsidR="00A55A0E" w:rsidRPr="00E1372C">
        <w:rPr>
          <w:lang w:val="fr-FR" w:bidi="en-US"/>
        </w:rPr>
        <w:t xml:space="preserve"> Caprivi,</w:t>
      </w:r>
      <w:r w:rsidR="00B426C3" w:rsidRPr="00E1372C">
        <w:rPr>
          <w:lang w:val="fr-FR" w:bidi="en-US"/>
        </w:rPr>
        <w:t xml:space="preserve"> plus de 80</w:t>
      </w:r>
      <w:r w:rsidR="007064FC" w:rsidRPr="00E1372C">
        <w:rPr>
          <w:lang w:val="fr-FR" w:bidi="en-US"/>
        </w:rPr>
        <w:t> %</w:t>
      </w:r>
      <w:r w:rsidR="00B426C3" w:rsidRPr="00E1372C">
        <w:rPr>
          <w:lang w:val="fr-FR" w:bidi="en-US"/>
        </w:rPr>
        <w:t xml:space="preserve"> des ménages vivent dans un habitat traditionnel</w:t>
      </w:r>
      <w:r w:rsidR="00A55A0E" w:rsidRPr="00E1372C">
        <w:rPr>
          <w:lang w:val="fr-FR" w:bidi="en-US"/>
        </w:rPr>
        <w:t xml:space="preserve">. </w:t>
      </w:r>
    </w:p>
    <w:p w:rsidR="00A55A0E" w:rsidRPr="00E1372C" w:rsidRDefault="007A1757" w:rsidP="007A1757">
      <w:pPr>
        <w:pStyle w:val="SingleTxtG"/>
        <w:rPr>
          <w:rFonts w:eastAsia="Arial Unicode MS"/>
          <w:b/>
          <w:lang w:val="fr-FR" w:bidi="en-US"/>
        </w:rPr>
      </w:pPr>
      <w:r w:rsidRPr="00E1372C">
        <w:rPr>
          <w:rFonts w:eastAsia="Arial Unicode MS"/>
          <w:lang w:val="fr-FR" w:bidi="en-US"/>
        </w:rPr>
        <w:t>244.</w:t>
      </w:r>
      <w:r w:rsidRPr="00E1372C">
        <w:rPr>
          <w:rFonts w:eastAsia="Arial Unicode MS"/>
          <w:lang w:val="fr-FR" w:bidi="en-US"/>
        </w:rPr>
        <w:tab/>
      </w:r>
      <w:r w:rsidR="00B426C3" w:rsidRPr="00E1372C">
        <w:rPr>
          <w:rFonts w:eastAsia="Arial Unicode MS"/>
          <w:lang w:val="fr-FR" w:bidi="en-US"/>
        </w:rPr>
        <w:t>Du bois, de la paille, d</w:t>
      </w:r>
      <w:r w:rsidR="001E2544" w:rsidRPr="00E1372C">
        <w:rPr>
          <w:rFonts w:eastAsia="Arial Unicode MS"/>
          <w:lang w:val="fr-FR" w:bidi="en-US"/>
        </w:rPr>
        <w:t>e la bouse de vache</w:t>
      </w:r>
      <w:r w:rsidR="00B426C3" w:rsidRPr="00E1372C">
        <w:rPr>
          <w:rFonts w:eastAsia="Arial Unicode MS"/>
          <w:lang w:val="fr-FR" w:bidi="en-US"/>
        </w:rPr>
        <w:t>, de la tôle ondulée ou du zinc, du ciment et des briques sont les matériaux utilisés dans la construction de logements en Namibie. En zones urbaines, 8</w:t>
      </w:r>
      <w:r w:rsidR="00590A3C" w:rsidRPr="00E1372C">
        <w:rPr>
          <w:rFonts w:eastAsia="Arial Unicode MS"/>
          <w:lang w:val="fr-FR" w:bidi="en-US"/>
        </w:rPr>
        <w:t>2</w:t>
      </w:r>
      <w:r w:rsidR="007064FC" w:rsidRPr="00E1372C">
        <w:rPr>
          <w:rFonts w:eastAsia="Arial Unicode MS"/>
          <w:lang w:val="fr-FR" w:bidi="en-US"/>
        </w:rPr>
        <w:t> %</w:t>
      </w:r>
      <w:r w:rsidR="00B426C3" w:rsidRPr="00E1372C">
        <w:rPr>
          <w:rFonts w:eastAsia="Arial Unicode MS"/>
          <w:lang w:val="fr-FR" w:bidi="en-US"/>
        </w:rPr>
        <w:t xml:space="preserve"> des maisons ont les toits en tôle ondulée ou en zinc, alors qu</w:t>
      </w:r>
      <w:r w:rsidR="00731F09" w:rsidRPr="00E1372C">
        <w:rPr>
          <w:rFonts w:eastAsia="Arial Unicode MS"/>
          <w:lang w:val="fr-FR" w:bidi="en-US"/>
        </w:rPr>
        <w:t>’</w:t>
      </w:r>
      <w:r w:rsidR="00B426C3" w:rsidRPr="00E1372C">
        <w:rPr>
          <w:rFonts w:eastAsia="Arial Unicode MS"/>
          <w:lang w:val="fr-FR" w:bidi="en-US"/>
        </w:rPr>
        <w:t>en zones rurales, 80</w:t>
      </w:r>
      <w:r w:rsidR="007064FC" w:rsidRPr="00E1372C">
        <w:rPr>
          <w:rFonts w:eastAsia="Arial Unicode MS"/>
          <w:lang w:val="fr-FR" w:bidi="en-US"/>
        </w:rPr>
        <w:t> %</w:t>
      </w:r>
      <w:r w:rsidR="00B426C3" w:rsidRPr="00E1372C">
        <w:rPr>
          <w:rFonts w:eastAsia="Arial Unicode MS"/>
          <w:lang w:val="fr-FR" w:bidi="en-US"/>
        </w:rPr>
        <w:t xml:space="preserve"> </w:t>
      </w:r>
      <w:r w:rsidR="00590A3C" w:rsidRPr="00E1372C">
        <w:rPr>
          <w:rFonts w:eastAsia="Arial Unicode MS"/>
          <w:lang w:val="fr-FR" w:bidi="en-US"/>
        </w:rPr>
        <w:t xml:space="preserve">environ </w:t>
      </w:r>
      <w:r w:rsidR="00B426C3" w:rsidRPr="00E1372C">
        <w:rPr>
          <w:rFonts w:eastAsia="Arial Unicode MS"/>
          <w:lang w:val="fr-FR" w:bidi="en-US"/>
        </w:rPr>
        <w:t xml:space="preserve">des toits sont recouverts de bois, de paille et de </w:t>
      </w:r>
      <w:r w:rsidR="001E2544" w:rsidRPr="00E1372C">
        <w:rPr>
          <w:rFonts w:eastAsia="Arial Unicode MS"/>
          <w:lang w:val="fr-FR" w:bidi="en-US"/>
        </w:rPr>
        <w:t>bouse de vache</w:t>
      </w:r>
      <w:r w:rsidR="00B426C3" w:rsidRPr="00E1372C">
        <w:rPr>
          <w:rFonts w:eastAsia="Arial Unicode MS"/>
          <w:lang w:val="fr-FR" w:bidi="en-US"/>
        </w:rPr>
        <w:t>. Dans les régions d</w:t>
      </w:r>
      <w:r w:rsidR="00731F09" w:rsidRPr="00E1372C">
        <w:rPr>
          <w:rFonts w:eastAsia="Arial Unicode MS"/>
          <w:lang w:val="fr-FR" w:bidi="en-US"/>
        </w:rPr>
        <w:t>’</w:t>
      </w:r>
      <w:r w:rsidR="00A55A0E" w:rsidRPr="00E1372C">
        <w:rPr>
          <w:rFonts w:eastAsia="Arial Unicode MS"/>
          <w:lang w:val="fr-FR" w:bidi="en-US"/>
        </w:rPr>
        <w:t xml:space="preserve">Otjozondjupa, </w:t>
      </w:r>
      <w:r w:rsidR="00B426C3" w:rsidRPr="00E1372C">
        <w:rPr>
          <w:rFonts w:eastAsia="Arial Unicode MS"/>
          <w:lang w:val="fr-FR" w:bidi="en-US"/>
        </w:rPr>
        <w:t xml:space="preserve">de </w:t>
      </w:r>
      <w:r w:rsidR="00A55A0E" w:rsidRPr="00E1372C">
        <w:rPr>
          <w:rFonts w:eastAsia="Arial Unicode MS"/>
          <w:lang w:val="fr-FR" w:bidi="en-US"/>
        </w:rPr>
        <w:t xml:space="preserve">Hardap </w:t>
      </w:r>
      <w:r w:rsidR="00B426C3" w:rsidRPr="00E1372C">
        <w:rPr>
          <w:rFonts w:eastAsia="Arial Unicode MS"/>
          <w:lang w:val="fr-FR" w:bidi="en-US"/>
        </w:rPr>
        <w:t>et de</w:t>
      </w:r>
      <w:r w:rsidR="00A55A0E" w:rsidRPr="00E1372C">
        <w:rPr>
          <w:rFonts w:eastAsia="Arial Unicode MS"/>
          <w:lang w:val="fr-FR" w:bidi="en-US"/>
        </w:rPr>
        <w:t xml:space="preserve"> Khomas, </w:t>
      </w:r>
      <w:r w:rsidR="00B426C3" w:rsidRPr="00E1372C">
        <w:rPr>
          <w:rFonts w:eastAsia="Arial Unicode MS"/>
          <w:lang w:val="fr-FR" w:bidi="en-US"/>
        </w:rPr>
        <w:t>les toitures sont en majorité en tôle ondulée ou en zinc (96</w:t>
      </w:r>
      <w:r w:rsidR="007064FC" w:rsidRPr="00E1372C">
        <w:rPr>
          <w:rFonts w:eastAsia="Arial Unicode MS"/>
          <w:lang w:val="fr-FR" w:bidi="en-US"/>
        </w:rPr>
        <w:t> %</w:t>
      </w:r>
      <w:r w:rsidR="00B426C3" w:rsidRPr="00E1372C">
        <w:rPr>
          <w:rFonts w:eastAsia="Arial Unicode MS"/>
          <w:lang w:val="fr-FR" w:bidi="en-US"/>
        </w:rPr>
        <w:t>). En revanche, les sols sont essentiellement en béton (48</w:t>
      </w:r>
      <w:r w:rsidR="007064FC" w:rsidRPr="00E1372C">
        <w:rPr>
          <w:rFonts w:eastAsia="Arial Unicode MS"/>
          <w:lang w:val="fr-FR" w:bidi="en-US"/>
        </w:rPr>
        <w:t> %</w:t>
      </w:r>
      <w:r w:rsidR="00B426C3" w:rsidRPr="00E1372C">
        <w:rPr>
          <w:rFonts w:eastAsia="Arial Unicode MS"/>
          <w:lang w:val="fr-FR" w:bidi="en-US"/>
        </w:rPr>
        <w:t>) ou sont faits de sable (36</w:t>
      </w:r>
      <w:r w:rsidR="007064FC" w:rsidRPr="00E1372C">
        <w:rPr>
          <w:rFonts w:eastAsia="Arial Unicode MS"/>
          <w:lang w:val="fr-FR" w:bidi="en-US"/>
        </w:rPr>
        <w:t> %</w:t>
      </w:r>
      <w:r w:rsidR="00B426C3" w:rsidRPr="00E1372C">
        <w:rPr>
          <w:rFonts w:eastAsia="Arial Unicode MS"/>
          <w:lang w:val="fr-FR" w:bidi="en-US"/>
        </w:rPr>
        <w:t>) et de terre, d</w:t>
      </w:r>
      <w:r w:rsidR="00731F09" w:rsidRPr="00E1372C">
        <w:rPr>
          <w:rFonts w:eastAsia="Arial Unicode MS"/>
          <w:lang w:val="fr-FR" w:bidi="en-US"/>
        </w:rPr>
        <w:t>’</w:t>
      </w:r>
      <w:r w:rsidR="00B426C3" w:rsidRPr="00E1372C">
        <w:rPr>
          <w:rFonts w:eastAsia="Arial Unicode MS"/>
          <w:lang w:val="fr-FR" w:bidi="en-US"/>
        </w:rPr>
        <w:t xml:space="preserve">argile ou de </w:t>
      </w:r>
      <w:r w:rsidR="00EF263A" w:rsidRPr="00E1372C">
        <w:rPr>
          <w:rFonts w:eastAsia="Arial Unicode MS"/>
          <w:lang w:val="fr-FR" w:bidi="en-US"/>
        </w:rPr>
        <w:t>bouse de vache</w:t>
      </w:r>
      <w:r w:rsidR="00B426C3" w:rsidRPr="00E1372C">
        <w:rPr>
          <w:rFonts w:eastAsia="Arial Unicode MS"/>
          <w:lang w:val="fr-FR" w:bidi="en-US"/>
        </w:rPr>
        <w:t xml:space="preserve"> (15</w:t>
      </w:r>
      <w:r w:rsidR="007064FC" w:rsidRPr="00E1372C">
        <w:rPr>
          <w:rFonts w:eastAsia="Arial Unicode MS"/>
          <w:lang w:val="fr-FR" w:bidi="en-US"/>
        </w:rPr>
        <w:t> %</w:t>
      </w:r>
      <w:r w:rsidR="00B426C3" w:rsidRPr="00E1372C">
        <w:rPr>
          <w:rFonts w:eastAsia="Arial Unicode MS"/>
          <w:lang w:val="fr-FR" w:bidi="en-US"/>
        </w:rPr>
        <w:t>, respectivement). Dans les régions d</w:t>
      </w:r>
      <w:r w:rsidR="00731F09" w:rsidRPr="00E1372C">
        <w:rPr>
          <w:rFonts w:eastAsia="Arial Unicode MS"/>
          <w:lang w:val="fr-FR" w:bidi="en-US"/>
        </w:rPr>
        <w:t>’</w:t>
      </w:r>
      <w:r w:rsidR="00A55A0E" w:rsidRPr="00E1372C">
        <w:rPr>
          <w:rFonts w:eastAsia="Arial Unicode MS"/>
          <w:lang w:val="fr-FR" w:bidi="en-US"/>
        </w:rPr>
        <w:t xml:space="preserve">Erongo </w:t>
      </w:r>
      <w:r w:rsidR="00B426C3" w:rsidRPr="00E1372C">
        <w:rPr>
          <w:rFonts w:eastAsia="Arial Unicode MS"/>
          <w:lang w:val="fr-FR" w:bidi="en-US"/>
        </w:rPr>
        <w:t>et de</w:t>
      </w:r>
      <w:r w:rsidR="00A55A0E" w:rsidRPr="00E1372C">
        <w:rPr>
          <w:rFonts w:eastAsia="Arial Unicode MS"/>
          <w:lang w:val="fr-FR" w:bidi="en-US"/>
        </w:rPr>
        <w:t xml:space="preserve"> Khomas, 78</w:t>
      </w:r>
      <w:r w:rsidR="007064FC" w:rsidRPr="00E1372C">
        <w:rPr>
          <w:rFonts w:eastAsia="Arial Unicode MS"/>
          <w:lang w:val="fr-FR" w:bidi="en-US"/>
        </w:rPr>
        <w:t> %</w:t>
      </w:r>
      <w:r w:rsidR="00B426C3" w:rsidRPr="00E1372C">
        <w:rPr>
          <w:rFonts w:eastAsia="Arial Unicode MS"/>
          <w:lang w:val="fr-FR" w:bidi="en-US"/>
        </w:rPr>
        <w:t xml:space="preserve"> des sols sont en béton</w:t>
      </w:r>
      <w:r w:rsidR="00A55A0E" w:rsidRPr="00E1372C">
        <w:rPr>
          <w:rFonts w:eastAsia="Arial Unicode MS"/>
          <w:lang w:val="fr-FR" w:bidi="en-US"/>
        </w:rPr>
        <w:t>.</w:t>
      </w:r>
    </w:p>
    <w:p w:rsidR="00A55A0E" w:rsidRPr="00E1372C" w:rsidRDefault="00D93C60" w:rsidP="00D93C60">
      <w:pPr>
        <w:pStyle w:val="H23G"/>
        <w:rPr>
          <w:rFonts w:eastAsia="Arial Unicode MS"/>
          <w:lang w:val="fr-FR" w:bidi="en-US"/>
        </w:rPr>
      </w:pPr>
      <w:r w:rsidRPr="00E1372C">
        <w:rPr>
          <w:rFonts w:eastAsia="Arial Unicode MS"/>
          <w:lang w:val="fr-FR" w:bidi="en-US"/>
        </w:rPr>
        <w:tab/>
      </w:r>
      <w:r w:rsidRPr="00E1372C">
        <w:rPr>
          <w:rFonts w:eastAsia="Arial Unicode MS"/>
          <w:lang w:val="fr-FR" w:bidi="en-US"/>
        </w:rPr>
        <w:tab/>
      </w:r>
      <w:r w:rsidR="002C59A7" w:rsidRPr="00E1372C">
        <w:rPr>
          <w:rFonts w:eastAsia="Arial Unicode MS"/>
          <w:lang w:val="fr-FR" w:bidi="en-US"/>
        </w:rPr>
        <w:t>Propriété et régime foncier</w:t>
      </w:r>
    </w:p>
    <w:p w:rsidR="00A55A0E" w:rsidRPr="00E1372C" w:rsidRDefault="007A1757" w:rsidP="007A1757">
      <w:pPr>
        <w:pStyle w:val="SingleTxtG"/>
        <w:rPr>
          <w:rFonts w:eastAsia="Arial Unicode MS"/>
          <w:b/>
          <w:lang w:val="fr-FR" w:bidi="en-US"/>
        </w:rPr>
      </w:pPr>
      <w:r w:rsidRPr="00E1372C">
        <w:rPr>
          <w:rFonts w:eastAsia="Arial Unicode MS"/>
          <w:lang w:val="fr-FR" w:bidi="en-US"/>
        </w:rPr>
        <w:t>245.</w:t>
      </w:r>
      <w:r w:rsidRPr="00E1372C">
        <w:rPr>
          <w:rFonts w:eastAsia="Arial Unicode MS"/>
          <w:lang w:val="fr-FR" w:bidi="en-US"/>
        </w:rPr>
        <w:tab/>
      </w:r>
      <w:r w:rsidR="002C59A7" w:rsidRPr="00E1372C">
        <w:rPr>
          <w:rFonts w:eastAsia="Arial Unicode MS"/>
          <w:lang w:val="fr-FR" w:bidi="en-US"/>
        </w:rPr>
        <w:t>Quelque 76</w:t>
      </w:r>
      <w:r w:rsidR="007064FC" w:rsidRPr="00E1372C">
        <w:rPr>
          <w:rFonts w:eastAsia="Arial Unicode MS"/>
          <w:lang w:val="fr-FR" w:bidi="en-US"/>
        </w:rPr>
        <w:t> %</w:t>
      </w:r>
      <w:r w:rsidR="002C59A7" w:rsidRPr="00E1372C">
        <w:rPr>
          <w:rFonts w:eastAsia="Arial Unicode MS"/>
          <w:lang w:val="fr-FR" w:bidi="en-US"/>
        </w:rPr>
        <w:t xml:space="preserve"> des ménages en Namibie possèdent leur logement, dont 65</w:t>
      </w:r>
      <w:r w:rsidR="007064FC" w:rsidRPr="00E1372C">
        <w:rPr>
          <w:rFonts w:eastAsia="Arial Unicode MS"/>
          <w:lang w:val="fr-FR" w:bidi="en-US"/>
        </w:rPr>
        <w:t> %</w:t>
      </w:r>
      <w:r w:rsidR="002C59A7" w:rsidRPr="00E1372C">
        <w:rPr>
          <w:rFonts w:eastAsia="Arial Unicode MS"/>
          <w:lang w:val="fr-FR" w:bidi="en-US"/>
        </w:rPr>
        <w:t xml:space="preserve"> sont libres d</w:t>
      </w:r>
      <w:r w:rsidR="00731F09" w:rsidRPr="00E1372C">
        <w:rPr>
          <w:rFonts w:eastAsia="Arial Unicode MS"/>
          <w:lang w:val="fr-FR" w:bidi="en-US"/>
        </w:rPr>
        <w:t>’</w:t>
      </w:r>
      <w:r w:rsidR="002C59A7" w:rsidRPr="00E1372C">
        <w:rPr>
          <w:rFonts w:eastAsia="Arial Unicode MS"/>
          <w:lang w:val="fr-FR" w:bidi="en-US"/>
        </w:rPr>
        <w:t>hypothèques et 12</w:t>
      </w:r>
      <w:r w:rsidR="007064FC" w:rsidRPr="00E1372C">
        <w:rPr>
          <w:rFonts w:eastAsia="Arial Unicode MS"/>
          <w:lang w:val="fr-FR" w:bidi="en-US"/>
        </w:rPr>
        <w:t> %</w:t>
      </w:r>
      <w:r w:rsidR="002C59A7" w:rsidRPr="00E1372C">
        <w:rPr>
          <w:rFonts w:eastAsia="Arial Unicode MS"/>
          <w:lang w:val="fr-FR" w:bidi="en-US"/>
        </w:rPr>
        <w:t xml:space="preserve"> sont hypothéqués. De plus, 11</w:t>
      </w:r>
      <w:r w:rsidR="007064FC" w:rsidRPr="00E1372C">
        <w:rPr>
          <w:rFonts w:eastAsia="Arial Unicode MS"/>
          <w:lang w:val="fr-FR" w:bidi="en-US"/>
        </w:rPr>
        <w:t> %</w:t>
      </w:r>
      <w:r w:rsidR="002C59A7" w:rsidRPr="00E1372C">
        <w:rPr>
          <w:rFonts w:eastAsia="Arial Unicode MS"/>
          <w:lang w:val="fr-FR" w:bidi="en-US"/>
        </w:rPr>
        <w:t xml:space="preserve"> occupent leur logement à titre gratuit et 12</w:t>
      </w:r>
      <w:r w:rsidR="007064FC" w:rsidRPr="00E1372C">
        <w:rPr>
          <w:rFonts w:eastAsia="Arial Unicode MS"/>
          <w:lang w:val="fr-FR" w:bidi="en-US"/>
        </w:rPr>
        <w:t> %</w:t>
      </w:r>
      <w:r w:rsidR="002C59A7" w:rsidRPr="00E1372C">
        <w:rPr>
          <w:rFonts w:eastAsia="Arial Unicode MS"/>
          <w:lang w:val="fr-FR" w:bidi="en-US"/>
        </w:rPr>
        <w:t xml:space="preserve"> le louent. Les régions d</w:t>
      </w:r>
      <w:r w:rsidR="00731F09" w:rsidRPr="00E1372C">
        <w:rPr>
          <w:rFonts w:eastAsia="Arial Unicode MS"/>
          <w:lang w:val="fr-FR" w:bidi="en-US"/>
        </w:rPr>
        <w:t>’</w:t>
      </w:r>
      <w:r w:rsidR="00A55A0E" w:rsidRPr="00E1372C">
        <w:rPr>
          <w:rFonts w:eastAsia="Arial Unicode MS"/>
          <w:lang w:val="fr-FR" w:bidi="en-US"/>
        </w:rPr>
        <w:t xml:space="preserve">Omusati </w:t>
      </w:r>
      <w:r w:rsidR="002C59A7" w:rsidRPr="00E1372C">
        <w:rPr>
          <w:rFonts w:eastAsia="Arial Unicode MS"/>
          <w:lang w:val="fr-FR" w:bidi="en-US"/>
        </w:rPr>
        <w:t>et de</w:t>
      </w:r>
      <w:r w:rsidR="00A55A0E" w:rsidRPr="00E1372C">
        <w:rPr>
          <w:rFonts w:eastAsia="Arial Unicode MS"/>
          <w:lang w:val="fr-FR" w:bidi="en-US"/>
        </w:rPr>
        <w:t xml:space="preserve"> Kavango, </w:t>
      </w:r>
      <w:r w:rsidR="002C59A7" w:rsidRPr="00E1372C">
        <w:rPr>
          <w:rFonts w:eastAsia="Arial Unicode MS"/>
          <w:lang w:val="fr-FR" w:bidi="en-US"/>
        </w:rPr>
        <w:t>où l</w:t>
      </w:r>
      <w:r w:rsidR="00731F09" w:rsidRPr="00E1372C">
        <w:rPr>
          <w:rFonts w:eastAsia="Arial Unicode MS"/>
          <w:lang w:val="fr-FR" w:bidi="en-US"/>
        </w:rPr>
        <w:t>’</w:t>
      </w:r>
      <w:r w:rsidR="002C59A7" w:rsidRPr="00E1372C">
        <w:rPr>
          <w:rFonts w:eastAsia="Arial Unicode MS"/>
          <w:lang w:val="fr-FR" w:bidi="en-US"/>
        </w:rPr>
        <w:t>habitat est principalement traditionnel, comptent la plus forte proportion de propriétés libres d</w:t>
      </w:r>
      <w:r w:rsidR="00731F09" w:rsidRPr="00E1372C">
        <w:rPr>
          <w:rFonts w:eastAsia="Arial Unicode MS"/>
          <w:lang w:val="fr-FR" w:bidi="en-US"/>
        </w:rPr>
        <w:t>’</w:t>
      </w:r>
      <w:r w:rsidR="002C59A7" w:rsidRPr="00E1372C">
        <w:rPr>
          <w:rFonts w:eastAsia="Arial Unicode MS"/>
          <w:lang w:val="fr-FR" w:bidi="en-US"/>
        </w:rPr>
        <w:t>hypothèques (92</w:t>
      </w:r>
      <w:r w:rsidR="007064FC" w:rsidRPr="00E1372C">
        <w:rPr>
          <w:rFonts w:eastAsia="Arial Unicode MS"/>
          <w:lang w:val="fr-FR" w:bidi="en-US"/>
        </w:rPr>
        <w:t> %</w:t>
      </w:r>
      <w:r w:rsidR="002C59A7" w:rsidRPr="00E1372C">
        <w:rPr>
          <w:rFonts w:eastAsia="Arial Unicode MS"/>
          <w:lang w:val="fr-FR" w:bidi="en-US"/>
        </w:rPr>
        <w:t xml:space="preserve"> chacune). Les régions de </w:t>
      </w:r>
      <w:r w:rsidR="00A55A0E" w:rsidRPr="00E1372C">
        <w:rPr>
          <w:rFonts w:eastAsia="Arial Unicode MS"/>
          <w:lang w:val="fr-FR" w:bidi="en-US"/>
        </w:rPr>
        <w:t xml:space="preserve">Khomas, </w:t>
      </w:r>
      <w:r w:rsidR="002C59A7" w:rsidRPr="00E1372C">
        <w:rPr>
          <w:rFonts w:eastAsia="Arial Unicode MS"/>
          <w:lang w:val="fr-FR" w:bidi="en-US"/>
        </w:rPr>
        <w:t>d</w:t>
      </w:r>
      <w:r w:rsidR="00731F09" w:rsidRPr="00E1372C">
        <w:rPr>
          <w:rFonts w:eastAsia="Arial Unicode MS"/>
          <w:lang w:val="fr-FR" w:bidi="en-US"/>
        </w:rPr>
        <w:t>’</w:t>
      </w:r>
      <w:r w:rsidR="00A55A0E" w:rsidRPr="00E1372C">
        <w:rPr>
          <w:rFonts w:eastAsia="Arial Unicode MS"/>
          <w:lang w:val="fr-FR" w:bidi="en-US"/>
        </w:rPr>
        <w:t>Erongo</w:t>
      </w:r>
      <w:r w:rsidR="002C59A7" w:rsidRPr="00E1372C">
        <w:rPr>
          <w:rFonts w:eastAsia="Arial Unicode MS"/>
          <w:lang w:val="fr-FR" w:bidi="en-US"/>
        </w:rPr>
        <w:t xml:space="preserve"> et d</w:t>
      </w:r>
      <w:r w:rsidR="00731F09" w:rsidRPr="00E1372C">
        <w:rPr>
          <w:rFonts w:eastAsia="Arial Unicode MS"/>
          <w:lang w:val="fr-FR" w:bidi="en-US"/>
        </w:rPr>
        <w:t>’</w:t>
      </w:r>
      <w:r w:rsidR="00A55A0E" w:rsidRPr="00E1372C">
        <w:rPr>
          <w:rFonts w:eastAsia="Arial Unicode MS"/>
          <w:lang w:val="fr-FR" w:bidi="en-US"/>
        </w:rPr>
        <w:t xml:space="preserve">Otjozondjupa </w:t>
      </w:r>
      <w:r w:rsidR="002C59A7" w:rsidRPr="00E1372C">
        <w:rPr>
          <w:rFonts w:eastAsia="Arial Unicode MS"/>
          <w:lang w:val="fr-FR" w:bidi="en-US"/>
        </w:rPr>
        <w:t>comptent la plus forte proportion de logements hypothéqués</w:t>
      </w:r>
      <w:r w:rsidR="00A55A0E" w:rsidRPr="00E1372C">
        <w:rPr>
          <w:rFonts w:eastAsia="Arial Unicode MS"/>
          <w:lang w:val="fr-FR" w:bidi="en-US"/>
        </w:rPr>
        <w:t xml:space="preserve">. </w:t>
      </w:r>
    </w:p>
    <w:p w:rsidR="00C50AC5" w:rsidRPr="00E1372C" w:rsidRDefault="007A1757" w:rsidP="007A1757">
      <w:pPr>
        <w:pStyle w:val="SingleTxtG"/>
        <w:rPr>
          <w:lang w:val="fr-FR" w:bidi="en-US"/>
        </w:rPr>
      </w:pPr>
      <w:r w:rsidRPr="00E1372C">
        <w:rPr>
          <w:lang w:val="fr-FR" w:bidi="en-US"/>
        </w:rPr>
        <w:t>246.</w:t>
      </w:r>
      <w:r w:rsidRPr="00E1372C">
        <w:rPr>
          <w:lang w:val="fr-FR" w:bidi="en-US"/>
        </w:rPr>
        <w:tab/>
      </w:r>
      <w:r w:rsidR="00C50AC5" w:rsidRPr="00E1372C">
        <w:rPr>
          <w:lang w:val="fr-FR" w:bidi="en-US"/>
        </w:rPr>
        <w:t>Au moment de l</w:t>
      </w:r>
      <w:r w:rsidR="00731F09" w:rsidRPr="00E1372C">
        <w:rPr>
          <w:lang w:val="fr-FR" w:bidi="en-US"/>
        </w:rPr>
        <w:t>’</w:t>
      </w:r>
      <w:r w:rsidR="00C50AC5" w:rsidRPr="00E1372C">
        <w:rPr>
          <w:lang w:val="fr-FR" w:bidi="en-US"/>
        </w:rPr>
        <w:t>indépendance, la Namibie a fait du logement l</w:t>
      </w:r>
      <w:r w:rsidR="00731F09" w:rsidRPr="00E1372C">
        <w:rPr>
          <w:lang w:val="fr-FR" w:bidi="en-US"/>
        </w:rPr>
        <w:t>’</w:t>
      </w:r>
      <w:r w:rsidR="00C50AC5" w:rsidRPr="00E1372C">
        <w:rPr>
          <w:lang w:val="fr-FR" w:bidi="en-US"/>
        </w:rPr>
        <w:t>un des domaines prioritaires du développement. Ainsi, une politique nationale du logement a été élaborée et adoptée par le Conseil des ministres en juillet 1991. L</w:t>
      </w:r>
      <w:r w:rsidR="00731F09" w:rsidRPr="00E1372C">
        <w:rPr>
          <w:lang w:val="fr-FR" w:bidi="en-US"/>
        </w:rPr>
        <w:t>’</w:t>
      </w:r>
      <w:r w:rsidR="00C50AC5" w:rsidRPr="00E1372C">
        <w:rPr>
          <w:lang w:val="fr-FR" w:bidi="en-US"/>
        </w:rPr>
        <w:t xml:space="preserve">un de ses objectifs consistait à encourager le partenariat entre les secteurs public et privé en vue de garantir à tous les Namibiens une offre de logements qualitatifs, bien conçus, suffisants et abordables. Une stratégie nationale, établie à cet effet, a donné naissance à un programme national de logement, intitulé </w:t>
      </w:r>
      <w:r w:rsidR="00AE017E" w:rsidRPr="00E1372C">
        <w:rPr>
          <w:lang w:val="fr-FR" w:bidi="en-US"/>
        </w:rPr>
        <w:t>«</w:t>
      </w:r>
      <w:r w:rsidR="00C50AC5" w:rsidRPr="00E1372C">
        <w:rPr>
          <w:lang w:val="fr-FR" w:bidi="en-US"/>
        </w:rPr>
        <w:t>Construire ensemble</w:t>
      </w:r>
      <w:r w:rsidR="00AE017E" w:rsidRPr="00E1372C">
        <w:rPr>
          <w:lang w:val="fr-FR" w:bidi="en-US"/>
        </w:rPr>
        <w:t>»</w:t>
      </w:r>
      <w:r w:rsidR="00C50AC5" w:rsidRPr="00E1372C">
        <w:rPr>
          <w:lang w:val="fr-FR" w:bidi="en-US"/>
        </w:rPr>
        <w:t>. Le programme permet aux personnes à faible et très faible revenu d</w:t>
      </w:r>
      <w:r w:rsidR="00731F09" w:rsidRPr="00E1372C">
        <w:rPr>
          <w:lang w:val="fr-FR" w:bidi="en-US"/>
        </w:rPr>
        <w:t>’</w:t>
      </w:r>
      <w:r w:rsidR="00C50AC5" w:rsidRPr="00E1372C">
        <w:rPr>
          <w:lang w:val="fr-FR" w:bidi="en-US"/>
        </w:rPr>
        <w:t>obtenir un crédit pour acquérir un logement.</w:t>
      </w:r>
    </w:p>
    <w:p w:rsidR="00A55A0E" w:rsidRPr="00E1372C" w:rsidRDefault="007A1757" w:rsidP="007A1757">
      <w:pPr>
        <w:pStyle w:val="SingleTxtG"/>
        <w:rPr>
          <w:lang w:val="fr-FR" w:bidi="en-US"/>
        </w:rPr>
      </w:pPr>
      <w:r w:rsidRPr="00E1372C">
        <w:rPr>
          <w:lang w:val="fr-FR" w:bidi="en-US"/>
        </w:rPr>
        <w:t>247.</w:t>
      </w:r>
      <w:r w:rsidRPr="00E1372C">
        <w:rPr>
          <w:lang w:val="fr-FR" w:bidi="en-US"/>
        </w:rPr>
        <w:tab/>
      </w:r>
      <w:r w:rsidR="00C50AC5" w:rsidRPr="00E1372C">
        <w:rPr>
          <w:lang w:val="fr-FR" w:bidi="en-US"/>
        </w:rPr>
        <w:t>L</w:t>
      </w:r>
      <w:r w:rsidR="00731F09" w:rsidRPr="00E1372C">
        <w:rPr>
          <w:lang w:val="fr-FR" w:bidi="en-US"/>
        </w:rPr>
        <w:t>’</w:t>
      </w:r>
      <w:r w:rsidR="00C50AC5" w:rsidRPr="00E1372C">
        <w:rPr>
          <w:lang w:val="fr-FR" w:bidi="en-US"/>
        </w:rPr>
        <w:t>Entreprise nationale du logement, organisme paraétatique, a été établie en 1993 par une loi adoptée au Parlement en vue de fournir et de financer des logements abordables pour les personnes à faible revenu et à revenu moyen, dans une fourchette qui s</w:t>
      </w:r>
      <w:r w:rsidR="00731F09" w:rsidRPr="00E1372C">
        <w:rPr>
          <w:lang w:val="fr-FR" w:bidi="en-US"/>
        </w:rPr>
        <w:t>’</w:t>
      </w:r>
      <w:r w:rsidR="00C50AC5" w:rsidRPr="00E1372C">
        <w:rPr>
          <w:lang w:val="fr-FR" w:bidi="en-US"/>
        </w:rPr>
        <w:t xml:space="preserve">étend de </w:t>
      </w:r>
      <w:r w:rsidR="00A55A0E" w:rsidRPr="00E1372C">
        <w:rPr>
          <w:lang w:val="fr-FR" w:bidi="en-US"/>
        </w:rPr>
        <w:t>85</w:t>
      </w:r>
      <w:r w:rsidR="00C50AC5" w:rsidRPr="00E1372C">
        <w:rPr>
          <w:lang w:val="fr-FR" w:bidi="en-US"/>
        </w:rPr>
        <w:t> </w:t>
      </w:r>
      <w:r w:rsidR="00A55A0E" w:rsidRPr="00E1372C">
        <w:rPr>
          <w:lang w:val="fr-FR" w:bidi="en-US"/>
        </w:rPr>
        <w:t>000</w:t>
      </w:r>
      <w:r w:rsidR="00C50AC5" w:rsidRPr="00E1372C">
        <w:rPr>
          <w:lang w:val="fr-FR" w:bidi="en-US"/>
        </w:rPr>
        <w:t xml:space="preserve"> à </w:t>
      </w:r>
      <w:r w:rsidR="00A55A0E" w:rsidRPr="00E1372C">
        <w:rPr>
          <w:lang w:val="fr-FR" w:bidi="en-US"/>
        </w:rPr>
        <w:t>500</w:t>
      </w:r>
      <w:r w:rsidR="00C50AC5" w:rsidRPr="00E1372C">
        <w:rPr>
          <w:lang w:val="fr-FR" w:bidi="en-US"/>
        </w:rPr>
        <w:t> </w:t>
      </w:r>
      <w:r w:rsidR="00A55A0E" w:rsidRPr="00E1372C">
        <w:rPr>
          <w:lang w:val="fr-FR" w:bidi="en-US"/>
        </w:rPr>
        <w:t>000</w:t>
      </w:r>
      <w:r w:rsidR="00C50AC5" w:rsidRPr="00E1372C">
        <w:rPr>
          <w:lang w:val="fr-FR" w:bidi="en-US"/>
        </w:rPr>
        <w:t> </w:t>
      </w:r>
      <w:r w:rsidR="00AC15E0" w:rsidRPr="00E1372C">
        <w:rPr>
          <w:lang w:val="fr-FR" w:bidi="en-US"/>
        </w:rPr>
        <w:t>dollars namibiens</w:t>
      </w:r>
      <w:r w:rsidR="00C50AC5" w:rsidRPr="00E1372C">
        <w:rPr>
          <w:lang w:val="fr-FR" w:bidi="en-US"/>
        </w:rPr>
        <w:t xml:space="preserve"> (10 000 à</w:t>
      </w:r>
      <w:r w:rsidR="00A55A0E" w:rsidRPr="00E1372C">
        <w:rPr>
          <w:lang w:val="fr-FR" w:bidi="en-US"/>
        </w:rPr>
        <w:t> 58</w:t>
      </w:r>
      <w:r w:rsidR="00C50AC5" w:rsidRPr="00E1372C">
        <w:rPr>
          <w:lang w:val="fr-FR" w:bidi="en-US"/>
        </w:rPr>
        <w:t> </w:t>
      </w:r>
      <w:r w:rsidR="00A55A0E" w:rsidRPr="00E1372C">
        <w:rPr>
          <w:lang w:val="fr-FR" w:bidi="en-US"/>
        </w:rPr>
        <w:t>823</w:t>
      </w:r>
      <w:r w:rsidR="00C50AC5" w:rsidRPr="00E1372C">
        <w:rPr>
          <w:lang w:val="fr-FR" w:bidi="en-US"/>
        </w:rPr>
        <w:t> </w:t>
      </w:r>
      <w:r w:rsidR="00A301C2" w:rsidRPr="00E1372C">
        <w:rPr>
          <w:lang w:val="fr-FR" w:bidi="en-US"/>
        </w:rPr>
        <w:t>dollars É.-U.</w:t>
      </w:r>
      <w:r w:rsidR="00C50AC5" w:rsidRPr="00E1372C">
        <w:rPr>
          <w:lang w:val="fr-FR" w:bidi="en-US"/>
        </w:rPr>
        <w:t>).</w:t>
      </w:r>
    </w:p>
    <w:p w:rsidR="00A55A0E" w:rsidRPr="00E1372C" w:rsidRDefault="007A1757" w:rsidP="007A1757">
      <w:pPr>
        <w:pStyle w:val="SingleTxtG"/>
        <w:rPr>
          <w:lang w:val="fr-FR" w:bidi="en-US"/>
        </w:rPr>
      </w:pPr>
      <w:r w:rsidRPr="00E1372C">
        <w:rPr>
          <w:lang w:val="fr-FR" w:bidi="en-US"/>
        </w:rPr>
        <w:t>248.</w:t>
      </w:r>
      <w:r w:rsidRPr="00E1372C">
        <w:rPr>
          <w:lang w:val="fr-FR" w:bidi="en-US"/>
        </w:rPr>
        <w:tab/>
      </w:r>
      <w:r w:rsidR="00C50AC5" w:rsidRPr="00E1372C">
        <w:rPr>
          <w:lang w:val="fr-FR" w:bidi="en-US"/>
        </w:rPr>
        <w:t>Le secteur privé (institutions financières/banques) octroie des prêts hypothécaires par l</w:t>
      </w:r>
      <w:r w:rsidR="00731F09" w:rsidRPr="00E1372C">
        <w:rPr>
          <w:lang w:val="fr-FR" w:bidi="en-US"/>
        </w:rPr>
        <w:t>’</w:t>
      </w:r>
      <w:r w:rsidR="00C50AC5" w:rsidRPr="00E1372C">
        <w:rPr>
          <w:lang w:val="fr-FR" w:bidi="en-US"/>
        </w:rPr>
        <w:t>intermédiaire de promoteurs immobiliers aux personnes à revenu moyen et supérieur.</w:t>
      </w:r>
    </w:p>
    <w:p w:rsidR="00A55A0E" w:rsidRPr="00E1372C" w:rsidRDefault="007A1757" w:rsidP="00B65A47">
      <w:pPr>
        <w:pStyle w:val="SingleTxtG"/>
        <w:rPr>
          <w:lang w:val="fr-FR" w:bidi="en-US"/>
        </w:rPr>
      </w:pPr>
      <w:r w:rsidRPr="00E1372C">
        <w:rPr>
          <w:lang w:val="fr-FR" w:bidi="en-US"/>
        </w:rPr>
        <w:t>249.</w:t>
      </w:r>
      <w:r w:rsidRPr="00E1372C">
        <w:rPr>
          <w:lang w:val="fr-FR" w:bidi="en-US"/>
        </w:rPr>
        <w:tab/>
      </w:r>
      <w:r w:rsidR="00C50AC5" w:rsidRPr="00E1372C">
        <w:rPr>
          <w:lang w:val="fr-FR" w:bidi="en-US"/>
        </w:rPr>
        <w:t xml:space="preserve">Le </w:t>
      </w:r>
      <w:r w:rsidR="00F41A65" w:rsidRPr="00E1372C">
        <w:rPr>
          <w:lang w:val="fr-FR" w:bidi="en-US"/>
        </w:rPr>
        <w:t>p</w:t>
      </w:r>
      <w:r w:rsidR="00C50AC5" w:rsidRPr="00E1372C">
        <w:rPr>
          <w:lang w:val="fr-FR" w:bidi="en-US"/>
        </w:rPr>
        <w:t xml:space="preserve">rogramme national de logement </w:t>
      </w:r>
      <w:r w:rsidR="00AE017E" w:rsidRPr="00E1372C">
        <w:rPr>
          <w:lang w:val="fr-FR" w:bidi="en-US"/>
        </w:rPr>
        <w:t>«</w:t>
      </w:r>
      <w:r w:rsidR="00C50AC5" w:rsidRPr="00E1372C">
        <w:rPr>
          <w:lang w:val="fr-FR" w:bidi="en-US"/>
        </w:rPr>
        <w:t>Construire ensemble</w:t>
      </w:r>
      <w:r w:rsidR="00AE017E" w:rsidRPr="00E1372C">
        <w:rPr>
          <w:lang w:val="fr-FR" w:bidi="en-US"/>
        </w:rPr>
        <w:t>»</w:t>
      </w:r>
      <w:r w:rsidR="00C50AC5" w:rsidRPr="00E1372C">
        <w:rPr>
          <w:lang w:val="fr-FR" w:bidi="en-US"/>
        </w:rPr>
        <w:t xml:space="preserve"> est fortement subventionné par le Gouvernement avec des taux d</w:t>
      </w:r>
      <w:r w:rsidR="00731F09" w:rsidRPr="00E1372C">
        <w:rPr>
          <w:lang w:val="fr-FR" w:bidi="en-US"/>
        </w:rPr>
        <w:t>’</w:t>
      </w:r>
      <w:r w:rsidR="00C50AC5" w:rsidRPr="00E1372C">
        <w:rPr>
          <w:lang w:val="fr-FR" w:bidi="en-US"/>
        </w:rPr>
        <w:t>intérêt fixes de 4 à 7</w:t>
      </w:r>
      <w:r w:rsidR="007064FC" w:rsidRPr="00E1372C">
        <w:rPr>
          <w:lang w:val="fr-FR" w:bidi="en-US"/>
        </w:rPr>
        <w:t> %</w:t>
      </w:r>
      <w:r w:rsidR="00C50AC5" w:rsidRPr="00E1372C">
        <w:rPr>
          <w:lang w:val="fr-FR" w:bidi="en-US"/>
        </w:rPr>
        <w:t>. Le prêt immobilier s</w:t>
      </w:r>
      <w:r w:rsidR="00731F09" w:rsidRPr="00E1372C">
        <w:rPr>
          <w:lang w:val="fr-FR" w:bidi="en-US"/>
        </w:rPr>
        <w:t>’</w:t>
      </w:r>
      <w:r w:rsidR="00C50AC5" w:rsidRPr="00E1372C">
        <w:rPr>
          <w:lang w:val="fr-FR" w:bidi="en-US"/>
        </w:rPr>
        <w:t xml:space="preserve">élève au maximum à </w:t>
      </w:r>
      <w:r w:rsidR="00A55A0E" w:rsidRPr="00E1372C">
        <w:rPr>
          <w:lang w:val="fr-FR" w:bidi="en-US"/>
        </w:rPr>
        <w:t>40</w:t>
      </w:r>
      <w:r w:rsidR="00C50AC5" w:rsidRPr="00E1372C">
        <w:rPr>
          <w:lang w:val="fr-FR" w:bidi="en-US"/>
        </w:rPr>
        <w:t> </w:t>
      </w:r>
      <w:r w:rsidR="00A55A0E" w:rsidRPr="00E1372C">
        <w:rPr>
          <w:lang w:val="fr-FR" w:bidi="en-US"/>
        </w:rPr>
        <w:t>000</w:t>
      </w:r>
      <w:r w:rsidR="00C50AC5" w:rsidRPr="00E1372C">
        <w:rPr>
          <w:lang w:val="fr-FR" w:bidi="en-US"/>
        </w:rPr>
        <w:t> </w:t>
      </w:r>
      <w:r w:rsidR="00AC15E0" w:rsidRPr="00E1372C">
        <w:rPr>
          <w:lang w:val="fr-FR" w:bidi="en-US"/>
        </w:rPr>
        <w:t>dollars namibiens</w:t>
      </w:r>
      <w:r w:rsidR="00C50AC5" w:rsidRPr="00E1372C">
        <w:rPr>
          <w:lang w:val="fr-FR" w:bidi="en-US"/>
        </w:rPr>
        <w:t xml:space="preserve"> (quelque </w:t>
      </w:r>
      <w:r w:rsidR="00A55A0E" w:rsidRPr="00E1372C">
        <w:rPr>
          <w:lang w:val="fr-FR" w:bidi="en-US"/>
        </w:rPr>
        <w:t>4</w:t>
      </w:r>
      <w:r w:rsidR="00C50AC5" w:rsidRPr="00E1372C">
        <w:rPr>
          <w:lang w:val="fr-FR" w:bidi="en-US"/>
        </w:rPr>
        <w:t> </w:t>
      </w:r>
      <w:r w:rsidR="00A55A0E" w:rsidRPr="00E1372C">
        <w:rPr>
          <w:lang w:val="fr-FR" w:bidi="en-US"/>
        </w:rPr>
        <w:t>750</w:t>
      </w:r>
      <w:r w:rsidR="00C50AC5" w:rsidRPr="00E1372C">
        <w:rPr>
          <w:lang w:val="fr-FR" w:bidi="en-US"/>
        </w:rPr>
        <w:t> </w:t>
      </w:r>
      <w:r w:rsidR="00A301C2" w:rsidRPr="00E1372C">
        <w:rPr>
          <w:lang w:val="fr-FR" w:bidi="en-US"/>
        </w:rPr>
        <w:t>dollars É.-U.</w:t>
      </w:r>
      <w:r w:rsidR="00C50AC5" w:rsidRPr="00E1372C">
        <w:rPr>
          <w:lang w:val="fr-FR" w:bidi="en-US"/>
        </w:rPr>
        <w:t>)</w:t>
      </w:r>
      <w:r w:rsidR="00B958DE" w:rsidRPr="00E1372C">
        <w:rPr>
          <w:lang w:val="fr-FR" w:bidi="en-US"/>
        </w:rPr>
        <w:t>,</w:t>
      </w:r>
      <w:r w:rsidR="00A40F9E" w:rsidRPr="00E1372C">
        <w:rPr>
          <w:lang w:val="fr-FR" w:bidi="en-US"/>
        </w:rPr>
        <w:t xml:space="preserve"> remboursable sur une période de </w:t>
      </w:r>
      <w:r w:rsidR="00B65A47" w:rsidRPr="00E1372C">
        <w:rPr>
          <w:lang w:val="fr-FR" w:bidi="en-US"/>
        </w:rPr>
        <w:t xml:space="preserve">vingt </w:t>
      </w:r>
      <w:r w:rsidR="00A40F9E" w:rsidRPr="00E1372C">
        <w:rPr>
          <w:lang w:val="fr-FR" w:bidi="en-US"/>
        </w:rPr>
        <w:t>ans</w:t>
      </w:r>
      <w:r w:rsidR="00AB3542" w:rsidRPr="00E1372C">
        <w:rPr>
          <w:lang w:val="fr-FR" w:bidi="en-US"/>
        </w:rPr>
        <w:t>.</w:t>
      </w:r>
    </w:p>
    <w:p w:rsidR="00A55A0E" w:rsidRPr="00E1372C" w:rsidRDefault="007A1757" w:rsidP="007A1757">
      <w:pPr>
        <w:pStyle w:val="SingleTxtG"/>
        <w:rPr>
          <w:lang w:val="fr-FR" w:bidi="en-US"/>
        </w:rPr>
      </w:pPr>
      <w:r w:rsidRPr="00E1372C">
        <w:rPr>
          <w:lang w:val="fr-FR" w:bidi="en-US"/>
        </w:rPr>
        <w:t>250.</w:t>
      </w:r>
      <w:r w:rsidRPr="00E1372C">
        <w:rPr>
          <w:lang w:val="fr-FR" w:bidi="en-US"/>
        </w:rPr>
        <w:tab/>
      </w:r>
      <w:r w:rsidR="00A40F9E" w:rsidRPr="00E1372C">
        <w:rPr>
          <w:lang w:val="fr-FR" w:bidi="en-US"/>
        </w:rPr>
        <w:t>Le Gouvernement a adopté des programmes de logement intégralement financés pour ses fonctionnaires et le secteur privé octroie des allocations-logement à ses employés.</w:t>
      </w:r>
    </w:p>
    <w:p w:rsidR="00A40F9E" w:rsidRPr="00E1372C" w:rsidRDefault="007A1757" w:rsidP="007A1757">
      <w:pPr>
        <w:pStyle w:val="SingleTxtG"/>
        <w:rPr>
          <w:lang w:val="fr-FR" w:bidi="en-US"/>
        </w:rPr>
      </w:pPr>
      <w:r w:rsidRPr="00E1372C">
        <w:rPr>
          <w:lang w:val="fr-FR" w:bidi="en-US"/>
        </w:rPr>
        <w:t>251.</w:t>
      </w:r>
      <w:r w:rsidRPr="00E1372C">
        <w:rPr>
          <w:lang w:val="fr-FR" w:bidi="en-US"/>
        </w:rPr>
        <w:tab/>
      </w:r>
      <w:r w:rsidR="00A40F9E" w:rsidRPr="00E1372C">
        <w:rPr>
          <w:lang w:val="fr-FR" w:bidi="en-US"/>
        </w:rPr>
        <w:t xml:space="preserve">Le Gouvernement a acquis les droits de brevet pour un modèle de construction simple. Ce modèle est conçu selon une technologie simple que chacun peut utiliser avec un minimum de connaissance et de conseils durant la construction. La structure est </w:t>
      </w:r>
      <w:r w:rsidR="00B958DE" w:rsidRPr="00E1372C">
        <w:rPr>
          <w:lang w:val="fr-FR" w:bidi="en-US"/>
        </w:rPr>
        <w:t xml:space="preserve">enduite de plâtre </w:t>
      </w:r>
      <w:r w:rsidR="00A40F9E" w:rsidRPr="00E1372C">
        <w:rPr>
          <w:lang w:val="fr-FR" w:bidi="en-US"/>
        </w:rPr>
        <w:t xml:space="preserve">au </w:t>
      </w:r>
      <w:r w:rsidR="00B958DE" w:rsidRPr="00E1372C">
        <w:rPr>
          <w:lang w:val="fr-FR" w:bidi="en-US"/>
        </w:rPr>
        <w:t>cours</w:t>
      </w:r>
      <w:r w:rsidR="00A40F9E" w:rsidRPr="00E1372C">
        <w:rPr>
          <w:lang w:val="fr-FR" w:bidi="en-US"/>
        </w:rPr>
        <w:t xml:space="preserve"> de la construction, ce qui supprime des coûts liés à la participation de maçons qualifiés et autres frais connexes. Des consultants privés ont, avec le soutien du Gouvernement, fait adopter la construction de maisons en argile.</w:t>
      </w:r>
    </w:p>
    <w:p w:rsidR="00A55A0E" w:rsidRPr="00E1372C" w:rsidRDefault="00D93C60" w:rsidP="00D93C60">
      <w:pPr>
        <w:pStyle w:val="H23G"/>
        <w:rPr>
          <w:lang w:val="fr-FR" w:bidi="en-US"/>
        </w:rPr>
      </w:pPr>
      <w:r w:rsidRPr="00E1372C">
        <w:rPr>
          <w:lang w:val="fr-FR" w:bidi="en-US"/>
        </w:rPr>
        <w:tab/>
      </w:r>
      <w:r w:rsidRPr="00E1372C">
        <w:rPr>
          <w:lang w:val="fr-FR" w:bidi="en-US"/>
        </w:rPr>
        <w:tab/>
      </w:r>
      <w:r w:rsidR="00A55A0E" w:rsidRPr="00E1372C">
        <w:rPr>
          <w:lang w:val="fr-FR" w:bidi="en-US"/>
        </w:rPr>
        <w:t>Acc</w:t>
      </w:r>
      <w:r w:rsidR="00A40F9E" w:rsidRPr="00E1372C">
        <w:rPr>
          <w:lang w:val="fr-FR" w:bidi="en-US"/>
        </w:rPr>
        <w:t>ès au logement</w:t>
      </w:r>
    </w:p>
    <w:p w:rsidR="00A55A0E" w:rsidRPr="00E1372C" w:rsidRDefault="007A1757" w:rsidP="007A1757">
      <w:pPr>
        <w:pStyle w:val="SingleTxtG"/>
        <w:rPr>
          <w:lang w:val="fr-FR" w:bidi="en-US"/>
        </w:rPr>
      </w:pPr>
      <w:r w:rsidRPr="00E1372C">
        <w:rPr>
          <w:lang w:val="fr-FR" w:bidi="en-US"/>
        </w:rPr>
        <w:t>252.</w:t>
      </w:r>
      <w:r w:rsidRPr="00E1372C">
        <w:rPr>
          <w:lang w:val="fr-FR" w:bidi="en-US"/>
        </w:rPr>
        <w:tab/>
      </w:r>
      <w:r w:rsidR="00A40F9E" w:rsidRPr="00E1372C">
        <w:rPr>
          <w:lang w:val="fr-FR" w:bidi="en-US"/>
        </w:rPr>
        <w:t xml:space="preserve">Le Gouvernement, au titre du </w:t>
      </w:r>
      <w:r w:rsidR="00F41A65" w:rsidRPr="00E1372C">
        <w:rPr>
          <w:lang w:val="fr-FR" w:bidi="en-US"/>
        </w:rPr>
        <w:t>s</w:t>
      </w:r>
      <w:r w:rsidR="00A40F9E" w:rsidRPr="00E1372C">
        <w:rPr>
          <w:lang w:val="fr-FR" w:bidi="en-US"/>
        </w:rPr>
        <w:t xml:space="preserve">ous-programme de logement social </w:t>
      </w:r>
      <w:r w:rsidR="00AE017E" w:rsidRPr="00E1372C">
        <w:rPr>
          <w:lang w:val="fr-FR" w:bidi="en-US"/>
        </w:rPr>
        <w:t>«</w:t>
      </w:r>
      <w:r w:rsidR="00A40F9E" w:rsidRPr="00E1372C">
        <w:rPr>
          <w:lang w:val="fr-FR" w:bidi="en-US"/>
        </w:rPr>
        <w:t>Construire ensemble</w:t>
      </w:r>
      <w:r w:rsidR="00AE017E" w:rsidRPr="00E1372C">
        <w:rPr>
          <w:lang w:val="fr-FR" w:bidi="en-US"/>
        </w:rPr>
        <w:t>»</w:t>
      </w:r>
      <w:r w:rsidR="00A40F9E" w:rsidRPr="00E1372C">
        <w:rPr>
          <w:lang w:val="fr-FR" w:bidi="en-US"/>
        </w:rPr>
        <w:t>, favorise la fourniture de logements à des cas sociaux, notamment les personnes défavorisées, d</w:t>
      </w:r>
      <w:r w:rsidR="00731F09" w:rsidRPr="00E1372C">
        <w:rPr>
          <w:lang w:val="fr-FR" w:bidi="en-US"/>
        </w:rPr>
        <w:t>’</w:t>
      </w:r>
      <w:r w:rsidR="00A40F9E" w:rsidRPr="00E1372C">
        <w:rPr>
          <w:lang w:val="fr-FR" w:bidi="en-US"/>
        </w:rPr>
        <w:t>une façon économique viable et selon un système de subvention croisée. Les logements sont loués à des cas sociaux à un taux d</w:t>
      </w:r>
      <w:r w:rsidR="00731F09" w:rsidRPr="00E1372C">
        <w:rPr>
          <w:lang w:val="fr-FR" w:bidi="en-US"/>
        </w:rPr>
        <w:t>’</w:t>
      </w:r>
      <w:r w:rsidR="00A40F9E" w:rsidRPr="00E1372C">
        <w:rPr>
          <w:lang w:val="fr-FR" w:bidi="en-US"/>
        </w:rPr>
        <w:t>intérêt très bas que subventionne la location aux taux d</w:t>
      </w:r>
      <w:r w:rsidR="00731F09" w:rsidRPr="00E1372C">
        <w:rPr>
          <w:lang w:val="fr-FR" w:bidi="en-US"/>
        </w:rPr>
        <w:t>’</w:t>
      </w:r>
      <w:r w:rsidR="00A40F9E" w:rsidRPr="00E1372C">
        <w:rPr>
          <w:lang w:val="fr-FR" w:bidi="en-US"/>
        </w:rPr>
        <w:t xml:space="preserve">intérêt du marché aux personnes non assistées. Le Gouvernement offre également un appui financier de </w:t>
      </w:r>
      <w:r w:rsidR="00A55A0E" w:rsidRPr="00E1372C">
        <w:rPr>
          <w:lang w:val="fr-FR" w:bidi="en-US"/>
        </w:rPr>
        <w:t>1</w:t>
      </w:r>
      <w:r w:rsidR="00A40F9E" w:rsidRPr="00E1372C">
        <w:rPr>
          <w:lang w:val="fr-FR" w:bidi="en-US"/>
        </w:rPr>
        <w:t> </w:t>
      </w:r>
      <w:r w:rsidR="00A55A0E" w:rsidRPr="00E1372C">
        <w:rPr>
          <w:lang w:val="fr-FR" w:bidi="en-US"/>
        </w:rPr>
        <w:t>million</w:t>
      </w:r>
      <w:r w:rsidR="00A40F9E" w:rsidRPr="00E1372C">
        <w:rPr>
          <w:lang w:val="fr-FR" w:bidi="en-US"/>
        </w:rPr>
        <w:t xml:space="preserve"> de </w:t>
      </w:r>
      <w:r w:rsidR="00AC15E0" w:rsidRPr="00E1372C">
        <w:rPr>
          <w:lang w:val="fr-FR" w:bidi="en-US"/>
        </w:rPr>
        <w:t>dollars namibiens</w:t>
      </w:r>
      <w:r w:rsidR="00A40F9E" w:rsidRPr="00E1372C">
        <w:rPr>
          <w:lang w:val="fr-FR" w:bidi="en-US"/>
        </w:rPr>
        <w:t xml:space="preserve"> </w:t>
      </w:r>
      <w:r w:rsidR="00A55A0E" w:rsidRPr="00E1372C">
        <w:rPr>
          <w:lang w:val="fr-FR" w:bidi="en-US"/>
        </w:rPr>
        <w:t>(117</w:t>
      </w:r>
      <w:r w:rsidR="00A40F9E" w:rsidRPr="00E1372C">
        <w:rPr>
          <w:lang w:val="fr-FR" w:bidi="en-US"/>
        </w:rPr>
        <w:t> </w:t>
      </w:r>
      <w:r w:rsidR="00A55A0E" w:rsidRPr="00E1372C">
        <w:rPr>
          <w:lang w:val="fr-FR" w:bidi="en-US"/>
        </w:rPr>
        <w:t>647</w:t>
      </w:r>
      <w:r w:rsidR="00A40F9E" w:rsidRPr="00E1372C">
        <w:rPr>
          <w:lang w:val="fr-FR" w:bidi="en-US"/>
        </w:rPr>
        <w:t> </w:t>
      </w:r>
      <w:r w:rsidR="00A301C2" w:rsidRPr="00E1372C">
        <w:rPr>
          <w:lang w:val="fr-FR" w:bidi="en-US"/>
        </w:rPr>
        <w:t>dollars É.-U.</w:t>
      </w:r>
      <w:r w:rsidR="00A40F9E" w:rsidRPr="00E1372C">
        <w:rPr>
          <w:lang w:val="fr-FR" w:bidi="en-US"/>
        </w:rPr>
        <w:t xml:space="preserve">) par an à la </w:t>
      </w:r>
      <w:r w:rsidR="00A55A0E" w:rsidRPr="00E1372C">
        <w:rPr>
          <w:i/>
          <w:lang w:val="fr-FR" w:bidi="en-US"/>
        </w:rPr>
        <w:t>Shack Dwellers Federation of Namibia</w:t>
      </w:r>
      <w:r w:rsidR="00A55A0E" w:rsidRPr="00E1372C">
        <w:rPr>
          <w:lang w:val="fr-FR" w:bidi="en-US"/>
        </w:rPr>
        <w:t xml:space="preserve">, </w:t>
      </w:r>
      <w:r w:rsidR="00A40F9E" w:rsidRPr="00E1372C">
        <w:rPr>
          <w:lang w:val="fr-FR" w:bidi="en-US"/>
        </w:rPr>
        <w:t>groupe d</w:t>
      </w:r>
      <w:r w:rsidR="00731F09" w:rsidRPr="00E1372C">
        <w:rPr>
          <w:lang w:val="fr-FR" w:bidi="en-US"/>
        </w:rPr>
        <w:t>’</w:t>
      </w:r>
      <w:r w:rsidR="00A40F9E" w:rsidRPr="00E1372C">
        <w:rPr>
          <w:lang w:val="fr-FR" w:bidi="en-US"/>
        </w:rPr>
        <w:t>épargne communautaire, en signe de reconnaissance et d</w:t>
      </w:r>
      <w:r w:rsidR="00731F09" w:rsidRPr="00E1372C">
        <w:rPr>
          <w:lang w:val="fr-FR" w:bidi="en-US"/>
        </w:rPr>
        <w:t>’</w:t>
      </w:r>
      <w:r w:rsidR="00A40F9E" w:rsidRPr="00E1372C">
        <w:rPr>
          <w:lang w:val="fr-FR" w:bidi="en-US"/>
        </w:rPr>
        <w:t>encouragement de leurs efforts dans le domaine du logement en faveur des pauvres.</w:t>
      </w:r>
    </w:p>
    <w:p w:rsidR="00A55A0E" w:rsidRPr="00E1372C" w:rsidRDefault="007A1757" w:rsidP="007A1757">
      <w:pPr>
        <w:pStyle w:val="SingleTxtG"/>
        <w:rPr>
          <w:lang w:val="fr-FR" w:bidi="en-US"/>
        </w:rPr>
      </w:pPr>
      <w:r w:rsidRPr="00E1372C">
        <w:rPr>
          <w:lang w:val="fr-FR" w:bidi="en-US"/>
        </w:rPr>
        <w:t>253.</w:t>
      </w:r>
      <w:r w:rsidRPr="00E1372C">
        <w:rPr>
          <w:lang w:val="fr-FR" w:bidi="en-US"/>
        </w:rPr>
        <w:tab/>
      </w:r>
      <w:r w:rsidR="00B958DE" w:rsidRPr="00E1372C">
        <w:rPr>
          <w:lang w:val="fr-FR" w:bidi="en-US"/>
        </w:rPr>
        <w:t>Rien qu</w:t>
      </w:r>
      <w:r w:rsidR="00731F09" w:rsidRPr="00E1372C">
        <w:rPr>
          <w:lang w:val="fr-FR" w:bidi="en-US"/>
        </w:rPr>
        <w:t>’</w:t>
      </w:r>
      <w:r w:rsidR="00B958DE" w:rsidRPr="00E1372C">
        <w:rPr>
          <w:lang w:val="fr-FR" w:bidi="en-US"/>
        </w:rPr>
        <w:t>en</w:t>
      </w:r>
      <w:r w:rsidR="00A55A0E" w:rsidRPr="00E1372C">
        <w:rPr>
          <w:lang w:val="fr-FR" w:bidi="en-US"/>
        </w:rPr>
        <w:t xml:space="preserve"> 2008, </w:t>
      </w:r>
      <w:r w:rsidR="00B958DE" w:rsidRPr="00E1372C">
        <w:rPr>
          <w:lang w:val="fr-FR" w:bidi="en-US"/>
        </w:rPr>
        <w:t>quelque</w:t>
      </w:r>
      <w:r w:rsidR="00A55A0E" w:rsidRPr="00E1372C">
        <w:rPr>
          <w:lang w:val="fr-FR" w:bidi="en-US"/>
        </w:rPr>
        <w:t xml:space="preserve"> 422</w:t>
      </w:r>
      <w:r w:rsidR="00B958DE" w:rsidRPr="00E1372C">
        <w:rPr>
          <w:lang w:val="fr-FR" w:bidi="en-US"/>
        </w:rPr>
        <w:t xml:space="preserve"> maisons ont été construites dans le pays</w:t>
      </w:r>
      <w:r w:rsidR="00A55A0E" w:rsidRPr="00E1372C">
        <w:rPr>
          <w:lang w:val="fr-FR" w:bidi="en-US"/>
        </w:rPr>
        <w:t xml:space="preserve">, </w:t>
      </w:r>
      <w:r w:rsidR="00B958DE" w:rsidRPr="00E1372C">
        <w:rPr>
          <w:lang w:val="fr-FR" w:bidi="en-US"/>
        </w:rPr>
        <w:t>dotées des services essentiels – eau, réseau d</w:t>
      </w:r>
      <w:r w:rsidR="00731F09" w:rsidRPr="00E1372C">
        <w:rPr>
          <w:lang w:val="fr-FR" w:bidi="en-US"/>
        </w:rPr>
        <w:t>’</w:t>
      </w:r>
      <w:r w:rsidR="00B958DE" w:rsidRPr="00E1372C">
        <w:rPr>
          <w:lang w:val="fr-FR" w:bidi="en-US"/>
        </w:rPr>
        <w:t>égout,</w:t>
      </w:r>
      <w:r w:rsidR="00A55A0E" w:rsidRPr="00E1372C">
        <w:rPr>
          <w:lang w:val="fr-FR" w:bidi="en-US"/>
        </w:rPr>
        <w:t xml:space="preserve"> </w:t>
      </w:r>
      <w:r w:rsidR="00B958DE" w:rsidRPr="00E1372C">
        <w:rPr>
          <w:lang w:val="fr-FR" w:bidi="en-US"/>
        </w:rPr>
        <w:t>électricité et routes</w:t>
      </w:r>
      <w:r w:rsidR="00A55A0E" w:rsidRPr="00E1372C">
        <w:rPr>
          <w:lang w:val="fr-FR" w:bidi="en-US"/>
        </w:rPr>
        <w:t>.</w:t>
      </w:r>
    </w:p>
    <w:p w:rsidR="00A55A0E" w:rsidRPr="00E1372C" w:rsidRDefault="00D93C60" w:rsidP="00D93C60">
      <w:pPr>
        <w:pStyle w:val="H23G"/>
        <w:rPr>
          <w:lang w:val="fr-FR" w:bidi="en-US"/>
        </w:rPr>
      </w:pPr>
      <w:r w:rsidRPr="00E1372C">
        <w:rPr>
          <w:lang w:val="fr-FR" w:bidi="en-US"/>
        </w:rPr>
        <w:tab/>
      </w:r>
      <w:r w:rsidRPr="00E1372C">
        <w:rPr>
          <w:lang w:val="fr-FR" w:bidi="en-US"/>
        </w:rPr>
        <w:tab/>
      </w:r>
      <w:r w:rsidR="008577F2" w:rsidRPr="00E1372C">
        <w:rPr>
          <w:lang w:val="fr-FR" w:bidi="en-US"/>
        </w:rPr>
        <w:t>Législation</w:t>
      </w:r>
      <w:r w:rsidR="00B958DE" w:rsidRPr="00E1372C">
        <w:rPr>
          <w:lang w:val="fr-FR" w:bidi="en-US"/>
        </w:rPr>
        <w:t>;</w:t>
      </w:r>
      <w:r w:rsidR="008577F2" w:rsidRPr="00E1372C">
        <w:rPr>
          <w:lang w:val="fr-FR" w:bidi="en-US"/>
        </w:rPr>
        <w:t xml:space="preserve"> plan et politique nationaux du logement</w:t>
      </w:r>
    </w:p>
    <w:p w:rsidR="00A55A0E" w:rsidRPr="00E1372C" w:rsidRDefault="007A1757" w:rsidP="007A1757">
      <w:pPr>
        <w:pStyle w:val="SingleTxtG"/>
        <w:rPr>
          <w:lang w:val="fr-FR" w:bidi="en-US"/>
        </w:rPr>
      </w:pPr>
      <w:r w:rsidRPr="00E1372C">
        <w:rPr>
          <w:lang w:val="fr-FR" w:bidi="en-US"/>
        </w:rPr>
        <w:t>254.</w:t>
      </w:r>
      <w:r w:rsidRPr="00E1372C">
        <w:rPr>
          <w:lang w:val="fr-FR" w:bidi="en-US"/>
        </w:rPr>
        <w:tab/>
      </w:r>
      <w:r w:rsidR="008577F2" w:rsidRPr="00E1372C">
        <w:rPr>
          <w:lang w:val="fr-FR" w:bidi="en-US"/>
        </w:rPr>
        <w:t>Les documents et lois ci-après énoncent le plan et la politique du Gouvernement en matière de logement</w:t>
      </w:r>
      <w:r w:rsidR="00AE017E" w:rsidRPr="00E1372C">
        <w:rPr>
          <w:lang w:val="fr-FR" w:bidi="en-US"/>
        </w:rPr>
        <w:t>:</w:t>
      </w:r>
    </w:p>
    <w:p w:rsidR="00A55A0E" w:rsidRPr="00E1372C" w:rsidRDefault="008577F2" w:rsidP="00CE2771">
      <w:pPr>
        <w:pStyle w:val="Bullet1G"/>
      </w:pPr>
      <w:r w:rsidRPr="00E1372C">
        <w:t>Constitution namibienne</w:t>
      </w:r>
      <w:r w:rsidR="00A55A0E" w:rsidRPr="00E1372C">
        <w:t>;</w:t>
      </w:r>
    </w:p>
    <w:p w:rsidR="00A55A0E" w:rsidRPr="00E1372C" w:rsidRDefault="00A55A0E" w:rsidP="00CE2771">
      <w:pPr>
        <w:pStyle w:val="Bullet1G"/>
      </w:pPr>
      <w:r w:rsidRPr="00E1372C">
        <w:t>Vision 2030;</w:t>
      </w:r>
    </w:p>
    <w:p w:rsidR="00A55A0E" w:rsidRPr="00E1372C" w:rsidRDefault="00D93C60" w:rsidP="00CE2771">
      <w:pPr>
        <w:pStyle w:val="Bullet1G"/>
      </w:pPr>
      <w:r w:rsidRPr="00E1372C">
        <w:t xml:space="preserve">Troisième </w:t>
      </w:r>
      <w:r w:rsidR="00F41A65" w:rsidRPr="00E1372C">
        <w:t>p</w:t>
      </w:r>
      <w:r w:rsidR="008577F2" w:rsidRPr="00E1372C">
        <w:t>lan national de développement</w:t>
      </w:r>
      <w:r w:rsidR="00A55A0E" w:rsidRPr="00E1372C">
        <w:t>;</w:t>
      </w:r>
    </w:p>
    <w:p w:rsidR="00A55A0E" w:rsidRPr="00E1372C" w:rsidRDefault="00D93C60" w:rsidP="00CE2771">
      <w:pPr>
        <w:pStyle w:val="Bullet1G"/>
      </w:pPr>
      <w:r w:rsidRPr="00E1372C">
        <w:t xml:space="preserve">Politique </w:t>
      </w:r>
      <w:r w:rsidR="008577F2" w:rsidRPr="00E1372C">
        <w:t xml:space="preserve">nationale du logement de </w:t>
      </w:r>
      <w:r w:rsidR="00A55A0E" w:rsidRPr="00E1372C">
        <w:t>1991;</w:t>
      </w:r>
    </w:p>
    <w:p w:rsidR="00A55A0E" w:rsidRPr="00E1372C" w:rsidRDefault="00D93C60" w:rsidP="00CE2771">
      <w:pPr>
        <w:pStyle w:val="Bullet1G"/>
      </w:pPr>
      <w:r w:rsidRPr="00E1372C">
        <w:t xml:space="preserve">Loi </w:t>
      </w:r>
      <w:r w:rsidR="008577F2" w:rsidRPr="00E1372C">
        <w:t>n</w:t>
      </w:r>
      <w:r w:rsidR="00B277C4" w:rsidRPr="00E1372C">
        <w:rPr>
          <w:vertAlign w:val="superscript"/>
        </w:rPr>
        <w:t>o</w:t>
      </w:r>
      <w:r w:rsidR="008577F2" w:rsidRPr="00E1372C">
        <w:t> 28 de 2000 relative au développement national du logement</w:t>
      </w:r>
      <w:r w:rsidR="00A55A0E" w:rsidRPr="00E1372C">
        <w:t>;</w:t>
      </w:r>
    </w:p>
    <w:p w:rsidR="00A55A0E" w:rsidRPr="00E1372C" w:rsidRDefault="00D93C60" w:rsidP="00CE2771">
      <w:pPr>
        <w:pStyle w:val="Bullet1G"/>
      </w:pPr>
      <w:r w:rsidRPr="00E1372C">
        <w:t xml:space="preserve">Loi </w:t>
      </w:r>
      <w:r w:rsidR="008577F2" w:rsidRPr="00E1372C">
        <w:t>n</w:t>
      </w:r>
      <w:r w:rsidR="00B277C4" w:rsidRPr="00E1372C">
        <w:rPr>
          <w:vertAlign w:val="superscript"/>
        </w:rPr>
        <w:t>o</w:t>
      </w:r>
      <w:r w:rsidR="008577F2" w:rsidRPr="00E1372C">
        <w:t> 22 de 1992 relative aux conseils régionaux</w:t>
      </w:r>
      <w:r w:rsidR="00A55A0E" w:rsidRPr="00E1372C">
        <w:t>;</w:t>
      </w:r>
    </w:p>
    <w:p w:rsidR="00A55A0E" w:rsidRPr="00E1372C" w:rsidRDefault="00D93C60" w:rsidP="00CE2771">
      <w:pPr>
        <w:pStyle w:val="Bullet1G"/>
      </w:pPr>
      <w:r w:rsidRPr="00E1372C">
        <w:t xml:space="preserve">Loi </w:t>
      </w:r>
      <w:r w:rsidR="008577F2" w:rsidRPr="00E1372C">
        <w:t>n</w:t>
      </w:r>
      <w:r w:rsidR="00B277C4" w:rsidRPr="00E1372C">
        <w:rPr>
          <w:vertAlign w:val="superscript"/>
        </w:rPr>
        <w:t>o</w:t>
      </w:r>
      <w:r w:rsidR="008577F2" w:rsidRPr="00E1372C">
        <w:t> 23 de 1992 relative aux pouvoirs locaux</w:t>
      </w:r>
      <w:r w:rsidR="00A55A0E" w:rsidRPr="00E1372C">
        <w:t>;</w:t>
      </w:r>
    </w:p>
    <w:p w:rsidR="00A55A0E" w:rsidRPr="00E1372C" w:rsidRDefault="00D93C60" w:rsidP="00CE2771">
      <w:pPr>
        <w:pStyle w:val="Bullet1G"/>
      </w:pPr>
      <w:r w:rsidRPr="00E1372C">
        <w:t xml:space="preserve">Politique </w:t>
      </w:r>
      <w:r w:rsidR="008577F2" w:rsidRPr="00E1372C">
        <w:t xml:space="preserve">de décentralisation de </w:t>
      </w:r>
      <w:r w:rsidR="00A55A0E" w:rsidRPr="00E1372C">
        <w:t>1998;</w:t>
      </w:r>
    </w:p>
    <w:p w:rsidR="00A55A0E" w:rsidRPr="00E1372C" w:rsidRDefault="00D93C60" w:rsidP="00CE2771">
      <w:pPr>
        <w:pStyle w:val="Bullet1G"/>
      </w:pPr>
      <w:r w:rsidRPr="00E1372C">
        <w:t xml:space="preserve">Loi </w:t>
      </w:r>
      <w:r w:rsidR="008577F2" w:rsidRPr="00E1372C">
        <w:t>n</w:t>
      </w:r>
      <w:r w:rsidR="00B277C4" w:rsidRPr="00E1372C">
        <w:rPr>
          <w:vertAlign w:val="superscript"/>
        </w:rPr>
        <w:t>o</w:t>
      </w:r>
      <w:r w:rsidR="008577F2" w:rsidRPr="00E1372C">
        <w:t xml:space="preserve"> 33 de 2000 relative à la décentralisation</w:t>
      </w:r>
      <w:r w:rsidR="00A55A0E" w:rsidRPr="00E1372C">
        <w:t>;</w:t>
      </w:r>
    </w:p>
    <w:p w:rsidR="00A55A0E" w:rsidRPr="00E1372C" w:rsidRDefault="00D93C60" w:rsidP="00CE2771">
      <w:pPr>
        <w:pStyle w:val="Bullet1G"/>
      </w:pPr>
      <w:r w:rsidRPr="00E1372C">
        <w:t xml:space="preserve">Orientations </w:t>
      </w:r>
      <w:r w:rsidR="008577F2" w:rsidRPr="00E1372C">
        <w:t>et modalités d</w:t>
      </w:r>
      <w:r w:rsidR="00731F09" w:rsidRPr="00E1372C">
        <w:t>’</w:t>
      </w:r>
      <w:r w:rsidR="008577F2" w:rsidRPr="00E1372C">
        <w:t xml:space="preserve">application du programme </w:t>
      </w:r>
      <w:r w:rsidR="00AE017E" w:rsidRPr="00E1372C">
        <w:t>«</w:t>
      </w:r>
      <w:r w:rsidR="008577F2" w:rsidRPr="00E1372C">
        <w:t>Construire ensemble</w:t>
      </w:r>
      <w:r w:rsidR="00AE017E" w:rsidRPr="00E1372C">
        <w:t>»</w:t>
      </w:r>
      <w:r w:rsidR="008577F2" w:rsidRPr="00E1372C">
        <w:t xml:space="preserve"> 2007, édition révisée</w:t>
      </w:r>
      <w:r w:rsidR="00A55A0E" w:rsidRPr="00E1372C">
        <w:t>.</w:t>
      </w:r>
    </w:p>
    <w:p w:rsidR="008577F2" w:rsidRPr="00E1372C" w:rsidRDefault="007A1757" w:rsidP="007A1757">
      <w:pPr>
        <w:pStyle w:val="SingleTxtG"/>
        <w:rPr>
          <w:b/>
          <w:lang w:val="fr-FR" w:bidi="en-US"/>
        </w:rPr>
      </w:pPr>
      <w:r w:rsidRPr="00E1372C">
        <w:rPr>
          <w:lang w:val="fr-FR" w:bidi="en-US"/>
        </w:rPr>
        <w:t>255.</w:t>
      </w:r>
      <w:r w:rsidRPr="00E1372C">
        <w:rPr>
          <w:lang w:val="fr-FR" w:bidi="en-US"/>
        </w:rPr>
        <w:tab/>
      </w:r>
      <w:r w:rsidR="008577F2" w:rsidRPr="00E1372C">
        <w:rPr>
          <w:lang w:val="fr-FR" w:bidi="en-US"/>
        </w:rPr>
        <w:t>La politique nationale du logement a pour objectif de mettre à disposition les moyens de développer les infrastructures et installations qui permettent à toutes les familles namibiennes d</w:t>
      </w:r>
      <w:r w:rsidR="00731F09" w:rsidRPr="00E1372C">
        <w:rPr>
          <w:lang w:val="fr-FR" w:bidi="en-US"/>
        </w:rPr>
        <w:t>’</w:t>
      </w:r>
      <w:r w:rsidR="008577F2" w:rsidRPr="00E1372C">
        <w:rPr>
          <w:lang w:val="fr-FR" w:bidi="en-US"/>
        </w:rPr>
        <w:t>avoir une possibilité égale d</w:t>
      </w:r>
      <w:r w:rsidR="00731F09" w:rsidRPr="00E1372C">
        <w:rPr>
          <w:lang w:val="fr-FR" w:bidi="en-US"/>
        </w:rPr>
        <w:t>’</w:t>
      </w:r>
      <w:r w:rsidR="008577F2" w:rsidRPr="00E1372C">
        <w:rPr>
          <w:lang w:val="fr-FR" w:bidi="en-US"/>
        </w:rPr>
        <w:t>acquérir un terrain viabilisé, ainsi que de se loger convenablement à un coût et selon des normes qui soient à la portée tant des familles que de la nation. Les évictions constituent une mesure de dernier ressort aux échelons des collectivités locales dans le cadre des dispositions légales requises.</w:t>
      </w:r>
    </w:p>
    <w:p w:rsidR="00A55A0E" w:rsidRPr="00E1372C" w:rsidRDefault="00A55A0E" w:rsidP="00A55A0E">
      <w:pPr>
        <w:pStyle w:val="H23G"/>
        <w:rPr>
          <w:lang w:val="fr-FR" w:bidi="en-US"/>
        </w:rPr>
      </w:pPr>
      <w:r w:rsidRPr="00E1372C">
        <w:rPr>
          <w:lang w:val="fr-FR" w:bidi="en-US"/>
        </w:rPr>
        <w:tab/>
      </w:r>
      <w:r w:rsidRPr="00E1372C">
        <w:rPr>
          <w:lang w:val="fr-FR" w:bidi="en-US"/>
        </w:rPr>
        <w:tab/>
        <w:t>Agriculture</w:t>
      </w:r>
    </w:p>
    <w:p w:rsidR="00547332" w:rsidRPr="00E1372C" w:rsidRDefault="007A1757" w:rsidP="007A1757">
      <w:pPr>
        <w:pStyle w:val="SingleTxtG"/>
        <w:rPr>
          <w:lang w:val="fr-FR" w:bidi="en-US"/>
        </w:rPr>
      </w:pPr>
      <w:r w:rsidRPr="00E1372C">
        <w:rPr>
          <w:lang w:val="fr-FR" w:bidi="en-US"/>
        </w:rPr>
        <w:t>256.</w:t>
      </w:r>
      <w:r w:rsidRPr="00E1372C">
        <w:rPr>
          <w:lang w:val="fr-FR" w:bidi="en-US"/>
        </w:rPr>
        <w:tab/>
      </w:r>
      <w:r w:rsidR="008577F2" w:rsidRPr="00E1372C">
        <w:rPr>
          <w:lang w:val="fr-FR" w:bidi="en-US"/>
        </w:rPr>
        <w:t xml:space="preserve">En </w:t>
      </w:r>
      <w:r w:rsidR="00A55A0E" w:rsidRPr="00E1372C">
        <w:rPr>
          <w:lang w:val="fr-FR" w:bidi="en-US"/>
        </w:rPr>
        <w:t>Namibi</w:t>
      </w:r>
      <w:r w:rsidR="008577F2" w:rsidRPr="00E1372C">
        <w:rPr>
          <w:lang w:val="fr-FR" w:bidi="en-US"/>
        </w:rPr>
        <w:t>e, le système de production agricole est mixte</w:t>
      </w:r>
      <w:r w:rsidR="00AE017E" w:rsidRPr="00E1372C">
        <w:rPr>
          <w:lang w:val="fr-FR" w:bidi="en-US"/>
        </w:rPr>
        <w:t>:</w:t>
      </w:r>
      <w:r w:rsidR="008577F2" w:rsidRPr="00E1372C">
        <w:rPr>
          <w:lang w:val="fr-FR" w:bidi="en-US"/>
        </w:rPr>
        <w:t xml:space="preserve"> les exploitations agricoles communautaires (essentiellement </w:t>
      </w:r>
      <w:r w:rsidR="001E2544" w:rsidRPr="00E1372C">
        <w:rPr>
          <w:lang w:val="fr-FR" w:bidi="en-US"/>
        </w:rPr>
        <w:t>destinées aux</w:t>
      </w:r>
      <w:r w:rsidR="008577F2" w:rsidRPr="00E1372C">
        <w:rPr>
          <w:lang w:val="fr-FR" w:bidi="en-US"/>
        </w:rPr>
        <w:t xml:space="preserve"> agriculteurs de subsistance) représentant 41</w:t>
      </w:r>
      <w:r w:rsidR="007064FC" w:rsidRPr="00E1372C">
        <w:rPr>
          <w:lang w:val="fr-FR" w:bidi="en-US"/>
        </w:rPr>
        <w:t> %</w:t>
      </w:r>
      <w:r w:rsidR="008577F2" w:rsidRPr="00E1372C">
        <w:rPr>
          <w:lang w:val="fr-FR" w:bidi="en-US"/>
        </w:rPr>
        <w:t xml:space="preserve"> des terres arables et le secteur commercial qui occupe quelque 48</w:t>
      </w:r>
      <w:r w:rsidR="007064FC" w:rsidRPr="00E1372C">
        <w:rPr>
          <w:lang w:val="fr-FR" w:bidi="en-US"/>
        </w:rPr>
        <w:t> %</w:t>
      </w:r>
      <w:r w:rsidR="008577F2" w:rsidRPr="00E1372C">
        <w:rPr>
          <w:lang w:val="fr-FR" w:bidi="en-US"/>
        </w:rPr>
        <w:t xml:space="preserve"> des terres cultivables. En 2005, </w:t>
      </w:r>
      <w:r w:rsidR="00A55A0E" w:rsidRPr="00E1372C">
        <w:rPr>
          <w:lang w:val="fr-FR" w:bidi="en-US"/>
        </w:rPr>
        <w:t>4</w:t>
      </w:r>
      <w:r w:rsidR="008577F2" w:rsidRPr="00E1372C">
        <w:rPr>
          <w:lang w:val="fr-FR" w:bidi="en-US"/>
        </w:rPr>
        <w:t> </w:t>
      </w:r>
      <w:r w:rsidR="00A55A0E" w:rsidRPr="00E1372C">
        <w:rPr>
          <w:lang w:val="fr-FR" w:bidi="en-US"/>
        </w:rPr>
        <w:t>000</w:t>
      </w:r>
      <w:r w:rsidR="008577F2" w:rsidRPr="00E1372C">
        <w:rPr>
          <w:lang w:val="fr-FR" w:bidi="en-US"/>
        </w:rPr>
        <w:t xml:space="preserve"> familles </w:t>
      </w:r>
      <w:r w:rsidR="00547332" w:rsidRPr="00E1372C">
        <w:rPr>
          <w:lang w:val="fr-FR" w:bidi="en-US"/>
        </w:rPr>
        <w:t xml:space="preserve">environ de ces exploitations commerciales employaient </w:t>
      </w:r>
      <w:r w:rsidR="00A55A0E" w:rsidRPr="00E1372C">
        <w:rPr>
          <w:lang w:val="fr-FR" w:bidi="en-US"/>
        </w:rPr>
        <w:t>70</w:t>
      </w:r>
      <w:r w:rsidR="00547332" w:rsidRPr="00E1372C">
        <w:rPr>
          <w:lang w:val="fr-FR" w:bidi="en-US"/>
        </w:rPr>
        <w:t> </w:t>
      </w:r>
      <w:r w:rsidR="00A55A0E" w:rsidRPr="00E1372C">
        <w:rPr>
          <w:lang w:val="fr-FR" w:bidi="en-US"/>
        </w:rPr>
        <w:t>000</w:t>
      </w:r>
      <w:r w:rsidR="00547332" w:rsidRPr="00E1372C">
        <w:rPr>
          <w:lang w:val="fr-FR" w:bidi="en-US"/>
        </w:rPr>
        <w:t> familles. Le secteur agricole revêt une importance particulière du fait qu</w:t>
      </w:r>
      <w:r w:rsidR="00731F09" w:rsidRPr="00E1372C">
        <w:rPr>
          <w:lang w:val="fr-FR" w:bidi="en-US"/>
        </w:rPr>
        <w:t>’</w:t>
      </w:r>
      <w:r w:rsidR="00547332" w:rsidRPr="00E1372C">
        <w:rPr>
          <w:lang w:val="fr-FR" w:bidi="en-US"/>
        </w:rPr>
        <w:t>il contribue aux moyens de subsistance des communautés rurales. Quelque 70</w:t>
      </w:r>
      <w:r w:rsidR="007064FC" w:rsidRPr="00E1372C">
        <w:rPr>
          <w:lang w:val="fr-FR" w:bidi="en-US"/>
        </w:rPr>
        <w:t> %</w:t>
      </w:r>
      <w:r w:rsidR="00547332" w:rsidRPr="00E1372C">
        <w:rPr>
          <w:lang w:val="fr-FR" w:bidi="en-US"/>
        </w:rPr>
        <w:t xml:space="preserve"> de la population dépendent directement ou indirectement de la petite agriculture, comme agriculteurs communautaires ou comme ouvriers agricoles.</w:t>
      </w:r>
    </w:p>
    <w:p w:rsidR="00547332" w:rsidRPr="00E1372C" w:rsidRDefault="007A1757" w:rsidP="007A1757">
      <w:pPr>
        <w:pStyle w:val="SingleTxtG"/>
        <w:rPr>
          <w:lang w:val="fr-FR" w:bidi="en-US"/>
        </w:rPr>
      </w:pPr>
      <w:r w:rsidRPr="00E1372C">
        <w:rPr>
          <w:lang w:val="fr-FR" w:bidi="en-US"/>
        </w:rPr>
        <w:t>257.</w:t>
      </w:r>
      <w:r w:rsidRPr="00E1372C">
        <w:rPr>
          <w:lang w:val="fr-FR" w:bidi="en-US"/>
        </w:rPr>
        <w:tab/>
      </w:r>
      <w:r w:rsidR="00547332" w:rsidRPr="00E1372C">
        <w:rPr>
          <w:lang w:val="fr-FR" w:bidi="en-US"/>
        </w:rPr>
        <w:t xml:space="preserve">Le climat de la Namibie est marginalement propice à une production vivrière de terre </w:t>
      </w:r>
      <w:r w:rsidR="009D03A3" w:rsidRPr="00E1372C">
        <w:rPr>
          <w:lang w:val="fr-FR" w:bidi="en-US"/>
        </w:rPr>
        <w:t>arid</w:t>
      </w:r>
      <w:r w:rsidR="00547332" w:rsidRPr="00E1372C">
        <w:rPr>
          <w:lang w:val="fr-FR" w:bidi="en-US"/>
        </w:rPr>
        <w:t>e, excepté dans les régions du nord et du nord-est du pays. L</w:t>
      </w:r>
      <w:r w:rsidR="00731F09" w:rsidRPr="00E1372C">
        <w:rPr>
          <w:lang w:val="fr-FR" w:bidi="en-US"/>
        </w:rPr>
        <w:t>’</w:t>
      </w:r>
      <w:r w:rsidR="00547332" w:rsidRPr="00E1372C">
        <w:rPr>
          <w:lang w:val="fr-FR" w:bidi="en-US"/>
        </w:rPr>
        <w:t>irrigation n</w:t>
      </w:r>
      <w:r w:rsidR="00731F09" w:rsidRPr="00E1372C">
        <w:rPr>
          <w:lang w:val="fr-FR" w:bidi="en-US"/>
        </w:rPr>
        <w:t>’</w:t>
      </w:r>
      <w:r w:rsidR="00547332" w:rsidRPr="00E1372C">
        <w:rPr>
          <w:lang w:val="fr-FR" w:bidi="en-US"/>
        </w:rPr>
        <w:t>est possible que le long des cours d</w:t>
      </w:r>
      <w:r w:rsidR="00731F09" w:rsidRPr="00E1372C">
        <w:rPr>
          <w:lang w:val="fr-FR" w:bidi="en-US"/>
        </w:rPr>
        <w:t>’</w:t>
      </w:r>
      <w:r w:rsidR="00547332" w:rsidRPr="00E1372C">
        <w:rPr>
          <w:lang w:val="fr-FR" w:bidi="en-US"/>
        </w:rPr>
        <w:t>eau pérennes aux frontières du nord et du sud et près des barrages qui en assurent l</w:t>
      </w:r>
      <w:r w:rsidR="00731F09" w:rsidRPr="00E1372C">
        <w:rPr>
          <w:lang w:val="fr-FR" w:bidi="en-US"/>
        </w:rPr>
        <w:t>’</w:t>
      </w:r>
      <w:r w:rsidR="00547332" w:rsidRPr="00E1372C">
        <w:rPr>
          <w:lang w:val="fr-FR" w:bidi="en-US"/>
        </w:rPr>
        <w:t>alimentation. La Namibie, où la production de denrées de base est importante, dépend toutefois des importations alimentaires essentiellement de l</w:t>
      </w:r>
      <w:r w:rsidR="00731F09" w:rsidRPr="00E1372C">
        <w:rPr>
          <w:lang w:val="fr-FR" w:bidi="en-US"/>
        </w:rPr>
        <w:t>’</w:t>
      </w:r>
      <w:r w:rsidR="00547332" w:rsidRPr="00E1372C">
        <w:rPr>
          <w:lang w:val="fr-FR" w:bidi="en-US"/>
        </w:rPr>
        <w:t>Afrique du Sud voisine pour remédier à son insécurité alimentaire.</w:t>
      </w:r>
    </w:p>
    <w:p w:rsidR="00A55A0E" w:rsidRPr="00E1372C" w:rsidRDefault="007A1757" w:rsidP="007A1757">
      <w:pPr>
        <w:pStyle w:val="SingleTxtG"/>
        <w:rPr>
          <w:lang w:val="fr-FR" w:bidi="en-US"/>
        </w:rPr>
      </w:pPr>
      <w:r w:rsidRPr="00E1372C">
        <w:rPr>
          <w:lang w:val="fr-FR" w:bidi="en-US"/>
        </w:rPr>
        <w:t>258.</w:t>
      </w:r>
      <w:r w:rsidRPr="00E1372C">
        <w:rPr>
          <w:lang w:val="fr-FR" w:bidi="en-US"/>
        </w:rPr>
        <w:tab/>
      </w:r>
      <w:r w:rsidR="00547332" w:rsidRPr="00E1372C">
        <w:rPr>
          <w:lang w:val="fr-FR" w:bidi="en-US"/>
        </w:rPr>
        <w:t xml:space="preserve">Le pays est semi-aride à aride avec une pluviométrie irrégulière, la moyenne des précipitations allant de plus de </w:t>
      </w:r>
      <w:r w:rsidR="00A55A0E" w:rsidRPr="00E1372C">
        <w:rPr>
          <w:lang w:val="fr-FR" w:bidi="en-US"/>
        </w:rPr>
        <w:t xml:space="preserve">700 mm </w:t>
      </w:r>
      <w:r w:rsidR="00547332" w:rsidRPr="00E1372C">
        <w:rPr>
          <w:lang w:val="fr-FR" w:bidi="en-US"/>
        </w:rPr>
        <w:t xml:space="preserve">dans le nord-est à moins de </w:t>
      </w:r>
      <w:r w:rsidR="00A55A0E" w:rsidRPr="00E1372C">
        <w:rPr>
          <w:lang w:val="fr-FR" w:bidi="en-US"/>
        </w:rPr>
        <w:t xml:space="preserve">25 mm </w:t>
      </w:r>
      <w:r w:rsidR="00547332" w:rsidRPr="00E1372C">
        <w:rPr>
          <w:lang w:val="fr-FR" w:bidi="en-US"/>
        </w:rPr>
        <w:t>dans le sud</w:t>
      </w:r>
      <w:r w:rsidR="007064FC" w:rsidRPr="00E1372C">
        <w:rPr>
          <w:lang w:val="fr-FR" w:bidi="en-US"/>
        </w:rPr>
        <w:t>-</w:t>
      </w:r>
      <w:r w:rsidR="00547332" w:rsidRPr="00E1372C">
        <w:rPr>
          <w:lang w:val="fr-FR" w:bidi="en-US"/>
        </w:rPr>
        <w:t>ouest et l</w:t>
      </w:r>
      <w:r w:rsidR="00731F09" w:rsidRPr="00E1372C">
        <w:rPr>
          <w:lang w:val="fr-FR" w:bidi="en-US"/>
        </w:rPr>
        <w:t>’</w:t>
      </w:r>
      <w:r w:rsidR="00547332" w:rsidRPr="00E1372C">
        <w:rPr>
          <w:lang w:val="fr-FR" w:bidi="en-US"/>
        </w:rPr>
        <w:t>ouest du pays. Les pluies se produisent durant les mois d</w:t>
      </w:r>
      <w:r w:rsidR="00731F09" w:rsidRPr="00E1372C">
        <w:rPr>
          <w:lang w:val="fr-FR" w:bidi="en-US"/>
        </w:rPr>
        <w:t>’</w:t>
      </w:r>
      <w:r w:rsidR="00547332" w:rsidRPr="00E1372C">
        <w:rPr>
          <w:lang w:val="fr-FR" w:bidi="en-US"/>
        </w:rPr>
        <w:t>été, de novembre à avril.</w:t>
      </w:r>
    </w:p>
    <w:p w:rsidR="00A55A0E" w:rsidRPr="00E1372C" w:rsidRDefault="009D5779" w:rsidP="009D5779">
      <w:pPr>
        <w:pStyle w:val="H23G"/>
        <w:rPr>
          <w:lang w:val="fr-FR" w:bidi="en-US"/>
        </w:rPr>
      </w:pPr>
      <w:r w:rsidRPr="00E1372C">
        <w:rPr>
          <w:lang w:val="fr-FR" w:bidi="en-US"/>
        </w:rPr>
        <w:tab/>
      </w:r>
      <w:r w:rsidRPr="00E1372C">
        <w:rPr>
          <w:lang w:val="fr-FR" w:bidi="en-US"/>
        </w:rPr>
        <w:tab/>
      </w:r>
      <w:r w:rsidR="00547332" w:rsidRPr="00E1372C">
        <w:rPr>
          <w:lang w:val="fr-FR" w:bidi="en-US"/>
        </w:rPr>
        <w:t>Droit à une nourriture suffisante</w:t>
      </w:r>
    </w:p>
    <w:p w:rsidR="00547332" w:rsidRPr="00E1372C" w:rsidRDefault="007A1757" w:rsidP="00DF3E0E">
      <w:pPr>
        <w:pStyle w:val="SingleTxtG"/>
        <w:rPr>
          <w:lang w:val="fr-FR" w:bidi="en-US"/>
        </w:rPr>
      </w:pPr>
      <w:r w:rsidRPr="00E1372C">
        <w:rPr>
          <w:lang w:val="fr-FR" w:bidi="en-US"/>
        </w:rPr>
        <w:t>259.</w:t>
      </w:r>
      <w:r w:rsidRPr="00E1372C">
        <w:rPr>
          <w:lang w:val="fr-FR" w:bidi="en-US"/>
        </w:rPr>
        <w:tab/>
      </w:r>
      <w:r w:rsidR="00A55A0E" w:rsidRPr="00E1372C">
        <w:rPr>
          <w:lang w:val="fr-FR" w:bidi="en-US"/>
        </w:rPr>
        <w:t>La</w:t>
      </w:r>
      <w:r w:rsidR="00547332" w:rsidRPr="00E1372C">
        <w:rPr>
          <w:lang w:val="fr-FR" w:bidi="en-US"/>
        </w:rPr>
        <w:t xml:space="preserve"> terre est une ressource importante dans la production agricole. Les objectifs, à la fois politiques, sociaux, économiques et écologiques</w:t>
      </w:r>
      <w:r w:rsidR="00CB3D67" w:rsidRPr="00E1372C">
        <w:rPr>
          <w:lang w:val="fr-FR" w:bidi="en-US"/>
        </w:rPr>
        <w:t>,</w:t>
      </w:r>
      <w:r w:rsidR="00547332" w:rsidRPr="00E1372C">
        <w:rPr>
          <w:lang w:val="fr-FR" w:bidi="en-US"/>
        </w:rPr>
        <w:t xml:space="preserve"> sont tous essentiels pour le développement. Le Gouvernement a renforcé et fait appliquer la politique de réforme agraire fondée sur le principe du vendeur et de l</w:t>
      </w:r>
      <w:r w:rsidR="00731F09" w:rsidRPr="00E1372C">
        <w:rPr>
          <w:lang w:val="fr-FR" w:bidi="en-US"/>
        </w:rPr>
        <w:t>’</w:t>
      </w:r>
      <w:r w:rsidR="00547332" w:rsidRPr="00E1372C">
        <w:rPr>
          <w:lang w:val="fr-FR" w:bidi="en-US"/>
        </w:rPr>
        <w:t>acheteur consentants, tout en facilitant l</w:t>
      </w:r>
      <w:r w:rsidR="00731F09" w:rsidRPr="00E1372C">
        <w:rPr>
          <w:lang w:val="fr-FR" w:bidi="en-US"/>
        </w:rPr>
        <w:t>’</w:t>
      </w:r>
      <w:r w:rsidR="00547332" w:rsidRPr="00E1372C">
        <w:rPr>
          <w:lang w:val="fr-FR" w:bidi="en-US"/>
        </w:rPr>
        <w:t>octroi de crédit pour de nombreux groupes défavorisés. Un montant accru de ressources financières a été alloué au programme de réforme agraire, qui a permis l</w:t>
      </w:r>
      <w:r w:rsidR="00731F09" w:rsidRPr="00E1372C">
        <w:rPr>
          <w:lang w:val="fr-FR" w:bidi="en-US"/>
        </w:rPr>
        <w:t>’</w:t>
      </w:r>
      <w:r w:rsidR="00547332" w:rsidRPr="00E1372C">
        <w:rPr>
          <w:lang w:val="fr-FR" w:bidi="en-US"/>
        </w:rPr>
        <w:t xml:space="preserve">établissement de </w:t>
      </w:r>
      <w:r w:rsidR="00DF3E0E" w:rsidRPr="00E1372C">
        <w:rPr>
          <w:lang w:val="fr-FR" w:bidi="en-US"/>
        </w:rPr>
        <w:t>12</w:t>
      </w:r>
      <w:r w:rsidR="00547332" w:rsidRPr="00E1372C">
        <w:rPr>
          <w:lang w:val="fr-FR" w:bidi="en-US"/>
        </w:rPr>
        <w:t xml:space="preserve"> conseils fonciers régionaux et la réinstallation de 295 familles démunies et sans terre</w:t>
      </w:r>
      <w:r w:rsidR="00836C33" w:rsidRPr="00E1372C">
        <w:rPr>
          <w:lang w:val="fr-FR" w:bidi="en-US"/>
        </w:rPr>
        <w:t>s</w:t>
      </w:r>
      <w:r w:rsidR="00547332" w:rsidRPr="00E1372C">
        <w:rPr>
          <w:lang w:val="fr-FR" w:bidi="en-US"/>
        </w:rPr>
        <w:t>.</w:t>
      </w:r>
    </w:p>
    <w:p w:rsidR="00A55A0E" w:rsidRPr="00E1372C" w:rsidRDefault="007A1757" w:rsidP="007A1757">
      <w:pPr>
        <w:pStyle w:val="SingleTxtG"/>
        <w:rPr>
          <w:lang w:val="fr-FR" w:bidi="en-US"/>
        </w:rPr>
      </w:pPr>
      <w:r w:rsidRPr="00E1372C">
        <w:rPr>
          <w:lang w:val="fr-FR" w:bidi="en-US"/>
        </w:rPr>
        <w:t>260.</w:t>
      </w:r>
      <w:r w:rsidRPr="00E1372C">
        <w:rPr>
          <w:lang w:val="fr-FR" w:bidi="en-US"/>
        </w:rPr>
        <w:tab/>
      </w:r>
      <w:r w:rsidR="00547332" w:rsidRPr="00E1372C">
        <w:rPr>
          <w:lang w:val="fr-FR" w:bidi="en-US"/>
        </w:rPr>
        <w:t>La politique foncière nationale</w:t>
      </w:r>
      <w:r w:rsidR="009D03A3" w:rsidRPr="00E1372C">
        <w:rPr>
          <w:lang w:val="fr-FR" w:bidi="en-US"/>
        </w:rPr>
        <w:t>,</w:t>
      </w:r>
      <w:r w:rsidR="00547332" w:rsidRPr="00E1372C">
        <w:rPr>
          <w:lang w:val="fr-FR" w:bidi="en-US"/>
        </w:rPr>
        <w:t xml:space="preserve"> adoptée par le Gouvernement en avril 1998</w:t>
      </w:r>
      <w:r w:rsidR="009D03A3" w:rsidRPr="00E1372C">
        <w:rPr>
          <w:lang w:val="fr-FR" w:bidi="en-US"/>
        </w:rPr>
        <w:t>,</w:t>
      </w:r>
      <w:r w:rsidR="00836C33" w:rsidRPr="00E1372C">
        <w:rPr>
          <w:lang w:val="fr-FR" w:bidi="en-US"/>
        </w:rPr>
        <w:t xml:space="preserve"> </w:t>
      </w:r>
      <w:r w:rsidR="009D03A3" w:rsidRPr="00E1372C">
        <w:rPr>
          <w:lang w:val="fr-FR" w:bidi="en-US"/>
        </w:rPr>
        <w:t>fait ressortir</w:t>
      </w:r>
      <w:r w:rsidR="00AE017E" w:rsidRPr="00E1372C">
        <w:rPr>
          <w:lang w:val="fr-FR" w:bidi="en-US"/>
        </w:rPr>
        <w:t xml:space="preserve"> </w:t>
      </w:r>
      <w:r w:rsidR="00836C33" w:rsidRPr="00E1372C">
        <w:rPr>
          <w:lang w:val="fr-FR" w:bidi="en-US"/>
        </w:rPr>
        <w:t>la nécessité de garantir la participation des femmes au développement agricole et de les reconnaître comme des agricultrices à part entière. Le Gouvernement a mis en place, en 2004, un fonds d</w:t>
      </w:r>
      <w:r w:rsidR="00731F09" w:rsidRPr="00E1372C">
        <w:rPr>
          <w:lang w:val="fr-FR" w:bidi="en-US"/>
        </w:rPr>
        <w:t>’</w:t>
      </w:r>
      <w:r w:rsidR="00836C33" w:rsidRPr="00E1372C">
        <w:rPr>
          <w:lang w:val="fr-FR" w:bidi="en-US"/>
        </w:rPr>
        <w:t xml:space="preserve">acquisition et de développement de la terre et a acheté </w:t>
      </w:r>
      <w:r w:rsidR="00A55A0E" w:rsidRPr="00E1372C">
        <w:rPr>
          <w:lang w:val="fr-FR" w:bidi="en-US"/>
        </w:rPr>
        <w:t>828</w:t>
      </w:r>
      <w:r w:rsidR="00836C33" w:rsidRPr="00E1372C">
        <w:rPr>
          <w:lang w:val="fr-FR" w:bidi="en-US"/>
        </w:rPr>
        <w:t> </w:t>
      </w:r>
      <w:r w:rsidR="00A55A0E" w:rsidRPr="00E1372C">
        <w:rPr>
          <w:lang w:val="fr-FR" w:bidi="en-US"/>
        </w:rPr>
        <w:t xml:space="preserve">265 hectares </w:t>
      </w:r>
      <w:r w:rsidR="00836C33" w:rsidRPr="00E1372C">
        <w:rPr>
          <w:lang w:val="fr-FR" w:bidi="en-US"/>
        </w:rPr>
        <w:t>supplémentaires à 113 exploitants. Il a encouragé la transformation des zones communautaires en petites exploitations commerciales</w:t>
      </w:r>
      <w:r w:rsidR="00AE017E" w:rsidRPr="00E1372C">
        <w:rPr>
          <w:lang w:val="fr-FR" w:bidi="en-US"/>
        </w:rPr>
        <w:t>:</w:t>
      </w:r>
      <w:r w:rsidR="00836C33" w:rsidRPr="00E1372C">
        <w:rPr>
          <w:lang w:val="fr-FR" w:bidi="en-US"/>
        </w:rPr>
        <w:t xml:space="preserve"> </w:t>
      </w:r>
      <w:r w:rsidR="00A55A0E" w:rsidRPr="00E1372C">
        <w:rPr>
          <w:lang w:val="fr-FR" w:bidi="en-US"/>
        </w:rPr>
        <w:t>563</w:t>
      </w:r>
      <w:r w:rsidR="00836C33" w:rsidRPr="00E1372C">
        <w:rPr>
          <w:lang w:val="fr-FR" w:bidi="en-US"/>
        </w:rPr>
        <w:t> domaines ont été recensés dans ces zones</w:t>
      </w:r>
      <w:r w:rsidR="00A55A0E" w:rsidRPr="00E1372C">
        <w:rPr>
          <w:lang w:val="fr-FR" w:bidi="en-US"/>
        </w:rPr>
        <w:t xml:space="preserve">. </w:t>
      </w:r>
    </w:p>
    <w:p w:rsidR="00836C33" w:rsidRPr="00E1372C" w:rsidRDefault="007A1757" w:rsidP="007A1757">
      <w:pPr>
        <w:pStyle w:val="SingleTxtG"/>
        <w:rPr>
          <w:lang w:val="fr-FR" w:bidi="en-US"/>
        </w:rPr>
      </w:pPr>
      <w:r w:rsidRPr="00E1372C">
        <w:rPr>
          <w:lang w:val="fr-FR" w:bidi="en-US"/>
        </w:rPr>
        <w:t>261.</w:t>
      </w:r>
      <w:r w:rsidRPr="00E1372C">
        <w:rPr>
          <w:lang w:val="fr-FR" w:bidi="en-US"/>
        </w:rPr>
        <w:tab/>
      </w:r>
      <w:r w:rsidR="00836C33" w:rsidRPr="00E1372C">
        <w:rPr>
          <w:lang w:val="fr-FR" w:bidi="en-US"/>
        </w:rPr>
        <w:t>Il est manifeste que l</w:t>
      </w:r>
      <w:r w:rsidR="00731F09" w:rsidRPr="00E1372C">
        <w:rPr>
          <w:lang w:val="fr-FR" w:bidi="en-US"/>
        </w:rPr>
        <w:t>’</w:t>
      </w:r>
      <w:r w:rsidR="00836C33" w:rsidRPr="00E1372C">
        <w:rPr>
          <w:lang w:val="fr-FR" w:bidi="en-US"/>
        </w:rPr>
        <w:t>économie namibienne repose principalement sur l</w:t>
      </w:r>
      <w:r w:rsidR="00731F09" w:rsidRPr="00E1372C">
        <w:rPr>
          <w:lang w:val="fr-FR" w:bidi="en-US"/>
        </w:rPr>
        <w:t>’</w:t>
      </w:r>
      <w:r w:rsidR="00836C33" w:rsidRPr="00E1372C">
        <w:rPr>
          <w:lang w:val="fr-FR" w:bidi="en-US"/>
        </w:rPr>
        <w:t xml:space="preserve">agriculture, qui assure la subsistance de la majorité de la population. La structure mixte du secteur explique pourquoi quelque </w:t>
      </w:r>
      <w:r w:rsidR="00A55A0E" w:rsidRPr="00E1372C">
        <w:rPr>
          <w:lang w:val="fr-FR" w:bidi="en-US"/>
        </w:rPr>
        <w:t>6</w:t>
      </w:r>
      <w:r w:rsidR="00836C33" w:rsidRPr="00E1372C">
        <w:rPr>
          <w:lang w:val="fr-FR" w:bidi="en-US"/>
        </w:rPr>
        <w:t> </w:t>
      </w:r>
      <w:r w:rsidR="00A55A0E" w:rsidRPr="00E1372C">
        <w:rPr>
          <w:lang w:val="fr-FR" w:bidi="en-US"/>
        </w:rPr>
        <w:t>500</w:t>
      </w:r>
      <w:r w:rsidR="00836C33" w:rsidRPr="00E1372C">
        <w:rPr>
          <w:lang w:val="fr-FR" w:bidi="en-US"/>
        </w:rPr>
        <w:t> exploitations d</w:t>
      </w:r>
      <w:r w:rsidR="00731F09" w:rsidRPr="00E1372C">
        <w:rPr>
          <w:lang w:val="fr-FR" w:bidi="en-US"/>
        </w:rPr>
        <w:t>’</w:t>
      </w:r>
      <w:r w:rsidR="00836C33" w:rsidRPr="00E1372C">
        <w:rPr>
          <w:lang w:val="fr-FR" w:bidi="en-US"/>
        </w:rPr>
        <w:t>environ</w:t>
      </w:r>
      <w:r w:rsidR="00A55A0E" w:rsidRPr="00E1372C">
        <w:rPr>
          <w:lang w:val="fr-FR" w:bidi="en-US"/>
        </w:rPr>
        <w:t xml:space="preserve"> 7</w:t>
      </w:r>
      <w:r w:rsidR="00836C33" w:rsidRPr="00E1372C">
        <w:rPr>
          <w:lang w:val="fr-FR" w:bidi="en-US"/>
        </w:rPr>
        <w:t> </w:t>
      </w:r>
      <w:r w:rsidR="00DD1F54" w:rsidRPr="00E1372C">
        <w:rPr>
          <w:lang w:val="fr-FR" w:bidi="en-US"/>
        </w:rPr>
        <w:t xml:space="preserve">000 </w:t>
      </w:r>
      <w:r w:rsidR="00836C33" w:rsidRPr="00E1372C">
        <w:rPr>
          <w:lang w:val="fr-FR" w:bidi="en-US"/>
        </w:rPr>
        <w:t xml:space="preserve">à 10 000 hectares chacune représentent </w:t>
      </w:r>
      <w:r w:rsidR="00836C33" w:rsidRPr="00E1372C">
        <w:rPr>
          <w:i/>
          <w:lang w:val="fr-FR" w:bidi="en-US"/>
        </w:rPr>
        <w:t xml:space="preserve">grosso modo </w:t>
      </w:r>
      <w:r w:rsidR="00A55A0E" w:rsidRPr="00E1372C">
        <w:rPr>
          <w:lang w:val="fr-FR" w:bidi="en-US"/>
        </w:rPr>
        <w:t>44</w:t>
      </w:r>
      <w:r w:rsidR="007064FC" w:rsidRPr="00E1372C">
        <w:rPr>
          <w:lang w:val="fr-FR" w:bidi="en-US"/>
        </w:rPr>
        <w:t> %</w:t>
      </w:r>
      <w:r w:rsidR="00A55A0E" w:rsidRPr="00E1372C">
        <w:rPr>
          <w:lang w:val="fr-FR" w:bidi="en-US"/>
        </w:rPr>
        <w:t xml:space="preserve"> </w:t>
      </w:r>
      <w:r w:rsidR="00836C33" w:rsidRPr="00E1372C">
        <w:rPr>
          <w:lang w:val="fr-FR" w:bidi="en-US"/>
        </w:rPr>
        <w:t>du territoire</w:t>
      </w:r>
      <w:r w:rsidR="00DD1F54" w:rsidRPr="00E1372C">
        <w:rPr>
          <w:lang w:val="fr-FR" w:bidi="en-US"/>
        </w:rPr>
        <w:t>,</w:t>
      </w:r>
      <w:r w:rsidR="00836C33" w:rsidRPr="00E1372C">
        <w:rPr>
          <w:lang w:val="fr-FR" w:bidi="en-US"/>
        </w:rPr>
        <w:t xml:space="preserve"> la majorité </w:t>
      </w:r>
      <w:r w:rsidR="00DD1F54" w:rsidRPr="00E1372C">
        <w:rPr>
          <w:lang w:val="fr-FR" w:bidi="en-US"/>
        </w:rPr>
        <w:t>d</w:t>
      </w:r>
      <w:r w:rsidR="00731F09" w:rsidRPr="00E1372C">
        <w:rPr>
          <w:lang w:val="fr-FR" w:bidi="en-US"/>
        </w:rPr>
        <w:t>’</w:t>
      </w:r>
      <w:r w:rsidR="00DD1F54" w:rsidRPr="00E1372C">
        <w:rPr>
          <w:lang w:val="fr-FR" w:bidi="en-US"/>
        </w:rPr>
        <w:t>entre elles étan</w:t>
      </w:r>
      <w:r w:rsidR="00836C33" w:rsidRPr="00E1372C">
        <w:rPr>
          <w:lang w:val="fr-FR" w:bidi="en-US"/>
        </w:rPr>
        <w:t>t détenu</w:t>
      </w:r>
      <w:r w:rsidR="00DD1F54" w:rsidRPr="00E1372C">
        <w:rPr>
          <w:lang w:val="fr-FR" w:bidi="en-US"/>
        </w:rPr>
        <w:t>e</w:t>
      </w:r>
      <w:r w:rsidR="00836C33" w:rsidRPr="00E1372C">
        <w:rPr>
          <w:lang w:val="fr-FR" w:bidi="en-US"/>
        </w:rPr>
        <w:t>s par des Namibiens blancs qui pratiquent la culture et l</w:t>
      </w:r>
      <w:r w:rsidR="00731F09" w:rsidRPr="00E1372C">
        <w:rPr>
          <w:lang w:val="fr-FR" w:bidi="en-US"/>
        </w:rPr>
        <w:t>’</w:t>
      </w:r>
      <w:r w:rsidR="00836C33" w:rsidRPr="00E1372C">
        <w:rPr>
          <w:lang w:val="fr-FR" w:bidi="en-US"/>
        </w:rPr>
        <w:t>élevage intensifs. En 2005, le sous-secteur commercial a représenté environ 65</w:t>
      </w:r>
      <w:r w:rsidR="007064FC" w:rsidRPr="00E1372C">
        <w:rPr>
          <w:lang w:val="fr-FR" w:bidi="en-US"/>
        </w:rPr>
        <w:t> %</w:t>
      </w:r>
      <w:r w:rsidR="00836C33" w:rsidRPr="00E1372C">
        <w:rPr>
          <w:lang w:val="fr-FR" w:bidi="en-US"/>
        </w:rPr>
        <w:t xml:space="preserve"> de la production agricole nationale. La principale ressource du secteur agricole est l</w:t>
      </w:r>
      <w:r w:rsidR="00731F09" w:rsidRPr="00E1372C">
        <w:rPr>
          <w:lang w:val="fr-FR" w:bidi="en-US"/>
        </w:rPr>
        <w:t>’</w:t>
      </w:r>
      <w:r w:rsidR="00836C33" w:rsidRPr="00E1372C">
        <w:rPr>
          <w:lang w:val="fr-FR" w:bidi="en-US"/>
        </w:rPr>
        <w:t>élevage de bovins et d</w:t>
      </w:r>
      <w:r w:rsidR="00731F09" w:rsidRPr="00E1372C">
        <w:rPr>
          <w:lang w:val="fr-FR" w:bidi="en-US"/>
        </w:rPr>
        <w:t>’</w:t>
      </w:r>
      <w:r w:rsidR="00836C33" w:rsidRPr="00E1372C">
        <w:rPr>
          <w:lang w:val="fr-FR" w:bidi="en-US"/>
        </w:rPr>
        <w:t xml:space="preserve">ovins; le maïs, le blé et le millet (appelé localement </w:t>
      </w:r>
      <w:r w:rsidR="00A55A0E" w:rsidRPr="00E1372C">
        <w:rPr>
          <w:i/>
          <w:lang w:val="fr-FR" w:bidi="en-US"/>
        </w:rPr>
        <w:t>mahangu</w:t>
      </w:r>
      <w:r w:rsidR="00A55A0E" w:rsidRPr="00E1372C">
        <w:rPr>
          <w:lang w:val="fr-FR" w:bidi="en-US"/>
        </w:rPr>
        <w:t xml:space="preserve">) </w:t>
      </w:r>
      <w:r w:rsidR="00836C33" w:rsidRPr="00E1372C">
        <w:rPr>
          <w:lang w:val="fr-FR" w:bidi="en-US"/>
        </w:rPr>
        <w:t>sont cultivés dans le nord du pays à forte pluviométrie. Le cheptel est composé d</w:t>
      </w:r>
      <w:r w:rsidR="00731F09" w:rsidRPr="00E1372C">
        <w:rPr>
          <w:lang w:val="fr-FR" w:bidi="en-US"/>
        </w:rPr>
        <w:t>’</w:t>
      </w:r>
      <w:r w:rsidR="00836C33" w:rsidRPr="00E1372C">
        <w:rPr>
          <w:lang w:val="fr-FR" w:bidi="en-US"/>
        </w:rPr>
        <w:t>environ 2,5 millions de bovins, 2,4 millions d</w:t>
      </w:r>
      <w:r w:rsidR="00731F09" w:rsidRPr="00E1372C">
        <w:rPr>
          <w:lang w:val="fr-FR" w:bidi="en-US"/>
        </w:rPr>
        <w:t>’</w:t>
      </w:r>
      <w:r w:rsidR="00836C33" w:rsidRPr="00E1372C">
        <w:rPr>
          <w:lang w:val="fr-FR" w:bidi="en-US"/>
        </w:rPr>
        <w:t>ovins et 1,8 million de caprins. L</w:t>
      </w:r>
      <w:r w:rsidR="00731F09" w:rsidRPr="00E1372C">
        <w:rPr>
          <w:lang w:val="fr-FR" w:bidi="en-US"/>
        </w:rPr>
        <w:t>’</w:t>
      </w:r>
      <w:r w:rsidR="00836C33" w:rsidRPr="00E1372C">
        <w:rPr>
          <w:lang w:val="fr-FR" w:bidi="en-US"/>
        </w:rPr>
        <w:t>élevage de bovins se concentre dans les parties centrale et septentrionale du pays, alors que les régions méridionales conviennent à l</w:t>
      </w:r>
      <w:r w:rsidR="00731F09" w:rsidRPr="00E1372C">
        <w:rPr>
          <w:lang w:val="fr-FR" w:bidi="en-US"/>
        </w:rPr>
        <w:t>’</w:t>
      </w:r>
      <w:r w:rsidR="00836C33" w:rsidRPr="00E1372C">
        <w:rPr>
          <w:lang w:val="fr-FR" w:bidi="en-US"/>
        </w:rPr>
        <w:t>élevage des ovins et des caprins.</w:t>
      </w:r>
    </w:p>
    <w:p w:rsidR="00836C33" w:rsidRPr="00E1372C" w:rsidRDefault="007A1757" w:rsidP="007A1757">
      <w:pPr>
        <w:pStyle w:val="SingleTxtG"/>
        <w:rPr>
          <w:lang w:val="fr-FR" w:bidi="en-US"/>
        </w:rPr>
      </w:pPr>
      <w:r w:rsidRPr="00E1372C">
        <w:rPr>
          <w:lang w:val="fr-FR" w:bidi="en-US"/>
        </w:rPr>
        <w:t>262.</w:t>
      </w:r>
      <w:r w:rsidRPr="00E1372C">
        <w:rPr>
          <w:lang w:val="fr-FR" w:bidi="en-US"/>
        </w:rPr>
        <w:tab/>
      </w:r>
      <w:r w:rsidR="00836C33" w:rsidRPr="00E1372C">
        <w:rPr>
          <w:lang w:val="fr-FR" w:bidi="en-US"/>
        </w:rPr>
        <w:t>E</w:t>
      </w:r>
      <w:r w:rsidR="00A55A0E" w:rsidRPr="00E1372C">
        <w:rPr>
          <w:lang w:val="fr-FR" w:bidi="en-US"/>
        </w:rPr>
        <w:t xml:space="preserve">n 1998, </w:t>
      </w:r>
      <w:r w:rsidR="00836C33" w:rsidRPr="00E1372C">
        <w:rPr>
          <w:lang w:val="fr-FR" w:bidi="en-US"/>
        </w:rPr>
        <w:t>le secteur agricole représentait respectivement 8</w:t>
      </w:r>
      <w:r w:rsidR="007064FC" w:rsidRPr="00E1372C">
        <w:rPr>
          <w:lang w:val="fr-FR" w:bidi="en-US"/>
        </w:rPr>
        <w:t> %</w:t>
      </w:r>
      <w:r w:rsidR="00836C33" w:rsidRPr="00E1372C">
        <w:rPr>
          <w:lang w:val="fr-FR" w:bidi="en-US"/>
        </w:rPr>
        <w:t xml:space="preserve"> du PIB et des exportations de marchandises, absorbant 25</w:t>
      </w:r>
      <w:r w:rsidR="007064FC" w:rsidRPr="00E1372C">
        <w:rPr>
          <w:lang w:val="fr-FR" w:bidi="en-US"/>
        </w:rPr>
        <w:t> %</w:t>
      </w:r>
      <w:r w:rsidR="00836C33" w:rsidRPr="00E1372C">
        <w:rPr>
          <w:lang w:val="fr-FR" w:bidi="en-US"/>
        </w:rPr>
        <w:t xml:space="preserve"> de la main-d</w:t>
      </w:r>
      <w:r w:rsidR="00731F09" w:rsidRPr="00E1372C">
        <w:rPr>
          <w:lang w:val="fr-FR" w:bidi="en-US"/>
        </w:rPr>
        <w:t>’</w:t>
      </w:r>
      <w:r w:rsidR="00836C33" w:rsidRPr="00E1372C">
        <w:rPr>
          <w:lang w:val="fr-FR" w:bidi="en-US"/>
        </w:rPr>
        <w:t>œuvre. Il a enregistré en 2000 une hausse de 4,3</w:t>
      </w:r>
      <w:r w:rsidR="007064FC" w:rsidRPr="00E1372C">
        <w:rPr>
          <w:lang w:val="fr-FR" w:bidi="en-US"/>
        </w:rPr>
        <w:t> %</w:t>
      </w:r>
      <w:r w:rsidR="00836C33" w:rsidRPr="00E1372C">
        <w:rPr>
          <w:lang w:val="fr-FR" w:bidi="en-US"/>
        </w:rPr>
        <w:t xml:space="preserve"> et, en 2001, une baisse de 11,4</w:t>
      </w:r>
      <w:r w:rsidR="007064FC" w:rsidRPr="00E1372C">
        <w:rPr>
          <w:lang w:val="fr-FR" w:bidi="en-US"/>
        </w:rPr>
        <w:t> %</w:t>
      </w:r>
      <w:r w:rsidR="00AE017E" w:rsidRPr="00E1372C">
        <w:rPr>
          <w:lang w:val="fr-FR" w:bidi="en-US"/>
        </w:rPr>
        <w:t>;</w:t>
      </w:r>
      <w:r w:rsidR="00836C33" w:rsidRPr="00E1372C">
        <w:rPr>
          <w:lang w:val="fr-FR" w:bidi="en-US"/>
        </w:rPr>
        <w:t xml:space="preserve"> le taux de croissance négatif a été attribué au nombre constant de têtes de bétail en 2001 par rapport à 2000 où l</w:t>
      </w:r>
      <w:r w:rsidR="00731F09" w:rsidRPr="00E1372C">
        <w:rPr>
          <w:lang w:val="fr-FR" w:bidi="en-US"/>
        </w:rPr>
        <w:t>’</w:t>
      </w:r>
      <w:r w:rsidR="00836C33" w:rsidRPr="00E1372C">
        <w:rPr>
          <w:lang w:val="fr-FR" w:bidi="en-US"/>
        </w:rPr>
        <w:t>augmentation était importante. En 2005, l</w:t>
      </w:r>
      <w:r w:rsidR="00731F09" w:rsidRPr="00E1372C">
        <w:rPr>
          <w:lang w:val="fr-FR" w:bidi="en-US"/>
        </w:rPr>
        <w:t>’</w:t>
      </w:r>
      <w:r w:rsidR="00836C33" w:rsidRPr="00E1372C">
        <w:rPr>
          <w:lang w:val="fr-FR" w:bidi="en-US"/>
        </w:rPr>
        <w:t>agriculture a représenté 10</w:t>
      </w:r>
      <w:r w:rsidR="007064FC" w:rsidRPr="00E1372C">
        <w:rPr>
          <w:lang w:val="fr-FR" w:bidi="en-US"/>
        </w:rPr>
        <w:t> %</w:t>
      </w:r>
      <w:r w:rsidR="00836C33" w:rsidRPr="00E1372C">
        <w:rPr>
          <w:lang w:val="fr-FR" w:bidi="en-US"/>
        </w:rPr>
        <w:t xml:space="preserve"> du PIB, dont 88</w:t>
      </w:r>
      <w:r w:rsidR="007064FC" w:rsidRPr="00E1372C">
        <w:rPr>
          <w:lang w:val="fr-FR" w:bidi="en-US"/>
        </w:rPr>
        <w:t> %</w:t>
      </w:r>
      <w:r w:rsidR="00836C33" w:rsidRPr="00E1372C">
        <w:rPr>
          <w:lang w:val="fr-FR" w:bidi="en-US"/>
        </w:rPr>
        <w:t xml:space="preserve"> provenant de l</w:t>
      </w:r>
      <w:r w:rsidR="00731F09" w:rsidRPr="00E1372C">
        <w:rPr>
          <w:lang w:val="fr-FR" w:bidi="en-US"/>
        </w:rPr>
        <w:t>’</w:t>
      </w:r>
      <w:r w:rsidR="00836C33" w:rsidRPr="00E1372C">
        <w:rPr>
          <w:lang w:val="fr-FR" w:bidi="en-US"/>
        </w:rPr>
        <w:t>élevage de bétail.</w:t>
      </w:r>
    </w:p>
    <w:p w:rsidR="00A55A0E" w:rsidRPr="00E1372C" w:rsidRDefault="007A1757" w:rsidP="007A1757">
      <w:pPr>
        <w:pStyle w:val="SingleTxtG"/>
        <w:rPr>
          <w:lang w:val="fr-FR" w:bidi="en-US"/>
        </w:rPr>
      </w:pPr>
      <w:r w:rsidRPr="00E1372C">
        <w:rPr>
          <w:lang w:val="fr-FR" w:bidi="en-US"/>
        </w:rPr>
        <w:t>263.</w:t>
      </w:r>
      <w:r w:rsidRPr="00E1372C">
        <w:rPr>
          <w:lang w:val="fr-FR" w:bidi="en-US"/>
        </w:rPr>
        <w:tab/>
      </w:r>
      <w:r w:rsidR="00836C33" w:rsidRPr="00E1372C">
        <w:rPr>
          <w:lang w:val="fr-FR" w:bidi="en-US"/>
        </w:rPr>
        <w:t xml:space="preserve">Les résultats du secteur dépendent essentiellement des conditions climatiques. Les sécheresses influent notablement sur la production et se traduisent par des taux de croissance négatifs. Le maïs blanc est produit principalement sur des terres arides. Plus de 7 000 hectares en sont </w:t>
      </w:r>
      <w:r w:rsidR="00DD1F54" w:rsidRPr="00E1372C">
        <w:rPr>
          <w:lang w:val="fr-FR" w:bidi="en-US"/>
        </w:rPr>
        <w:t>en</w:t>
      </w:r>
      <w:r w:rsidR="00836C33" w:rsidRPr="00E1372C">
        <w:rPr>
          <w:lang w:val="fr-FR" w:bidi="en-US"/>
        </w:rPr>
        <w:t>sem</w:t>
      </w:r>
      <w:r w:rsidR="00DD1F54" w:rsidRPr="00E1372C">
        <w:rPr>
          <w:lang w:val="fr-FR" w:bidi="en-US"/>
        </w:rPr>
        <w:t>enc</w:t>
      </w:r>
      <w:r w:rsidR="00836C33" w:rsidRPr="00E1372C">
        <w:rPr>
          <w:lang w:val="fr-FR" w:bidi="en-US"/>
        </w:rPr>
        <w:t>és chaque année dans les zones sèches de production commerciale. Les principaux programmes d</w:t>
      </w:r>
      <w:r w:rsidR="00731F09" w:rsidRPr="00E1372C">
        <w:rPr>
          <w:lang w:val="fr-FR" w:bidi="en-US"/>
        </w:rPr>
        <w:t>’</w:t>
      </w:r>
      <w:r w:rsidR="00836C33" w:rsidRPr="00E1372C">
        <w:rPr>
          <w:lang w:val="fr-FR" w:bidi="en-US"/>
        </w:rPr>
        <w:t xml:space="preserve">irrigation qui servent à la production nationale du maïs blanc sont les projets de </w:t>
      </w:r>
      <w:r w:rsidR="00A55A0E" w:rsidRPr="00E1372C">
        <w:rPr>
          <w:lang w:val="fr-FR" w:bidi="en-US"/>
        </w:rPr>
        <w:t xml:space="preserve">Hardap </w:t>
      </w:r>
      <w:r w:rsidR="005305B3" w:rsidRPr="00E1372C">
        <w:rPr>
          <w:lang w:val="fr-FR" w:bidi="en-US"/>
        </w:rPr>
        <w:t xml:space="preserve">et de </w:t>
      </w:r>
      <w:r w:rsidR="00A55A0E" w:rsidRPr="00E1372C">
        <w:rPr>
          <w:lang w:val="fr-FR" w:bidi="en-US"/>
        </w:rPr>
        <w:t>Naute</w:t>
      </w:r>
      <w:r w:rsidR="005305B3" w:rsidRPr="00E1372C">
        <w:rPr>
          <w:lang w:val="fr-FR" w:bidi="en-US"/>
        </w:rPr>
        <w:t xml:space="preserve"> dans le sud, d</w:t>
      </w:r>
      <w:r w:rsidR="00731F09" w:rsidRPr="00E1372C">
        <w:rPr>
          <w:lang w:val="fr-FR" w:bidi="en-US"/>
        </w:rPr>
        <w:t>’</w:t>
      </w:r>
      <w:r w:rsidR="00A55A0E" w:rsidRPr="00E1372C">
        <w:rPr>
          <w:lang w:val="fr-FR" w:bidi="en-US"/>
        </w:rPr>
        <w:t xml:space="preserve">Etunda, </w:t>
      </w:r>
      <w:r w:rsidR="005305B3" w:rsidRPr="00E1372C">
        <w:rPr>
          <w:lang w:val="fr-FR" w:bidi="en-US"/>
        </w:rPr>
        <w:t xml:space="preserve">de </w:t>
      </w:r>
      <w:r w:rsidR="00A55A0E" w:rsidRPr="00E1372C">
        <w:rPr>
          <w:lang w:val="fr-FR" w:bidi="en-US"/>
        </w:rPr>
        <w:t xml:space="preserve">Musese, </w:t>
      </w:r>
      <w:r w:rsidR="005305B3" w:rsidRPr="00E1372C">
        <w:rPr>
          <w:lang w:val="fr-FR" w:bidi="en-US"/>
        </w:rPr>
        <w:t xml:space="preserve">de </w:t>
      </w:r>
      <w:r w:rsidR="00A55A0E" w:rsidRPr="00E1372C">
        <w:rPr>
          <w:lang w:val="fr-FR" w:bidi="en-US"/>
        </w:rPr>
        <w:t xml:space="preserve">Ndonga Linena, </w:t>
      </w:r>
      <w:r w:rsidR="005305B3" w:rsidRPr="00E1372C">
        <w:rPr>
          <w:lang w:val="fr-FR" w:bidi="en-US"/>
        </w:rPr>
        <w:t xml:space="preserve">de </w:t>
      </w:r>
      <w:r w:rsidR="00A55A0E" w:rsidRPr="00E1372C">
        <w:rPr>
          <w:lang w:val="fr-FR" w:bidi="en-US"/>
        </w:rPr>
        <w:t>Shitemo</w:t>
      </w:r>
      <w:r w:rsidR="005305B3" w:rsidRPr="00E1372C">
        <w:rPr>
          <w:lang w:val="fr-FR" w:bidi="en-US"/>
        </w:rPr>
        <w:t xml:space="preserve"> et de</w:t>
      </w:r>
      <w:r w:rsidR="00A55A0E" w:rsidRPr="00E1372C">
        <w:rPr>
          <w:lang w:val="fr-FR" w:bidi="en-US"/>
        </w:rPr>
        <w:t xml:space="preserve"> Shadikongoro </w:t>
      </w:r>
      <w:r w:rsidR="005305B3" w:rsidRPr="00E1372C">
        <w:rPr>
          <w:lang w:val="fr-FR" w:bidi="en-US"/>
        </w:rPr>
        <w:t>dans le nord et le nord-est du pays.</w:t>
      </w:r>
    </w:p>
    <w:p w:rsidR="004D5004" w:rsidRPr="00E1372C" w:rsidRDefault="007A1757" w:rsidP="007A1757">
      <w:pPr>
        <w:pStyle w:val="SingleTxtG"/>
        <w:rPr>
          <w:lang w:val="fr-FR" w:bidi="en-US"/>
        </w:rPr>
      </w:pPr>
      <w:r w:rsidRPr="00E1372C">
        <w:rPr>
          <w:lang w:val="fr-FR" w:bidi="en-US"/>
        </w:rPr>
        <w:t>264.</w:t>
      </w:r>
      <w:r w:rsidRPr="00E1372C">
        <w:rPr>
          <w:lang w:val="fr-FR" w:bidi="en-US"/>
        </w:rPr>
        <w:tab/>
      </w:r>
      <w:r w:rsidR="004D5004" w:rsidRPr="00E1372C">
        <w:rPr>
          <w:lang w:val="fr-FR" w:bidi="en-US"/>
        </w:rPr>
        <w:t>Ces dernières années, de plus nombreux agriculteurs ont entrepris de planter davantage de produits résistant à la sécheresse, tels que le tabac et le coton au lieu du maïs, mais à une moindre échelle. La Namibie a également commencé avec succès à exploiter l</w:t>
      </w:r>
      <w:r w:rsidR="00731F09" w:rsidRPr="00E1372C">
        <w:rPr>
          <w:lang w:val="fr-FR" w:bidi="en-US"/>
        </w:rPr>
        <w:t>’</w:t>
      </w:r>
      <w:r w:rsidR="004D5004" w:rsidRPr="00E1372C">
        <w:rPr>
          <w:lang w:val="fr-FR" w:bidi="en-US"/>
        </w:rPr>
        <w:t>avantage concurrentiel de la viticulture le long du fleuve Orange dans le sud du pays. De 32 hectares au moment de l</w:t>
      </w:r>
      <w:r w:rsidR="00731F09" w:rsidRPr="00E1372C">
        <w:rPr>
          <w:lang w:val="fr-FR" w:bidi="en-US"/>
        </w:rPr>
        <w:t>’</w:t>
      </w:r>
      <w:r w:rsidR="004D5004" w:rsidRPr="00E1372C">
        <w:rPr>
          <w:lang w:val="fr-FR" w:bidi="en-US"/>
        </w:rPr>
        <w:t>indépendance en 1990, les terres exploitées pour la production viticole sont spectaculairement passées à 1 028 hectares en 1999.</w:t>
      </w:r>
    </w:p>
    <w:p w:rsidR="007B0541" w:rsidRPr="00E1372C" w:rsidRDefault="007A1757" w:rsidP="007A1757">
      <w:pPr>
        <w:pStyle w:val="SingleTxtG"/>
        <w:rPr>
          <w:lang w:val="fr-FR" w:bidi="en-US"/>
        </w:rPr>
      </w:pPr>
      <w:r w:rsidRPr="00E1372C">
        <w:rPr>
          <w:lang w:val="fr-FR" w:bidi="en-US"/>
        </w:rPr>
        <w:t>265.</w:t>
      </w:r>
      <w:r w:rsidRPr="00E1372C">
        <w:rPr>
          <w:lang w:val="fr-FR" w:bidi="en-US"/>
        </w:rPr>
        <w:tab/>
      </w:r>
      <w:r w:rsidR="007B0541" w:rsidRPr="00E1372C">
        <w:rPr>
          <w:lang w:val="fr-FR" w:bidi="en-US"/>
        </w:rPr>
        <w:t>La Namibie bénéficie de la sécurité alimentaire sur le plan national, en matière de production céréalière grâce aux cultures locales et aux importations. Toutefois, l</w:t>
      </w:r>
      <w:r w:rsidR="00731F09" w:rsidRPr="00E1372C">
        <w:rPr>
          <w:lang w:val="fr-FR" w:bidi="en-US"/>
        </w:rPr>
        <w:t>’</w:t>
      </w:r>
      <w:r w:rsidR="007B0541" w:rsidRPr="00E1372C">
        <w:rPr>
          <w:lang w:val="fr-FR" w:bidi="en-US"/>
        </w:rPr>
        <w:t>insécurité alimentaire demeure un problème dans les ménages dont nombre d</w:t>
      </w:r>
      <w:r w:rsidR="00731F09" w:rsidRPr="00E1372C">
        <w:rPr>
          <w:lang w:val="fr-FR" w:bidi="en-US"/>
        </w:rPr>
        <w:t>’</w:t>
      </w:r>
      <w:r w:rsidR="007B0541" w:rsidRPr="00E1372C">
        <w:rPr>
          <w:lang w:val="fr-FR" w:bidi="en-US"/>
        </w:rPr>
        <w:t>entre eux ne peuvent, faute de revenu, acheter des vivres, la plupart des produits alimentaires étant vendus par des détaillants.</w:t>
      </w:r>
    </w:p>
    <w:p w:rsidR="00A55A0E" w:rsidRPr="00E1372C" w:rsidRDefault="007A1757" w:rsidP="007A1757">
      <w:pPr>
        <w:pStyle w:val="SingleTxtG"/>
        <w:rPr>
          <w:lang w:val="fr-FR" w:bidi="en-US"/>
        </w:rPr>
      </w:pPr>
      <w:r w:rsidRPr="00E1372C">
        <w:rPr>
          <w:lang w:val="fr-FR" w:bidi="en-US"/>
        </w:rPr>
        <w:t>266.</w:t>
      </w:r>
      <w:r w:rsidRPr="00E1372C">
        <w:rPr>
          <w:lang w:val="fr-FR" w:bidi="en-US"/>
        </w:rPr>
        <w:tab/>
      </w:r>
      <w:r w:rsidR="007B0541" w:rsidRPr="00E1372C">
        <w:rPr>
          <w:lang w:val="fr-FR" w:bidi="en-US"/>
        </w:rPr>
        <w:t>La Banque agricole (</w:t>
      </w:r>
      <w:r w:rsidR="00A55A0E" w:rsidRPr="00E1372C">
        <w:rPr>
          <w:i/>
          <w:lang w:val="fr-FR" w:bidi="en-US"/>
        </w:rPr>
        <w:t>Agribank</w:t>
      </w:r>
      <w:r w:rsidR="007B0541" w:rsidRPr="00E1372C">
        <w:rPr>
          <w:lang w:val="fr-FR" w:bidi="en-US"/>
        </w:rPr>
        <w:t>) est la principale institution de crédit agricole et rural en Namibie; elle soutient l</w:t>
      </w:r>
      <w:r w:rsidR="00731F09" w:rsidRPr="00E1372C">
        <w:rPr>
          <w:lang w:val="fr-FR" w:bidi="en-US"/>
        </w:rPr>
        <w:t>’</w:t>
      </w:r>
      <w:r w:rsidR="007B0541" w:rsidRPr="00E1372C">
        <w:rPr>
          <w:lang w:val="fr-FR" w:bidi="en-US"/>
        </w:rPr>
        <w:t>industrie agricole en promouvant et en finançant le développement durable dans ce secteur. La banque est chargée par la loi n</w:t>
      </w:r>
      <w:r w:rsidR="00B277C4" w:rsidRPr="00E1372C">
        <w:rPr>
          <w:vertAlign w:val="superscript"/>
          <w:lang w:val="fr-FR" w:bidi="en-US"/>
        </w:rPr>
        <w:t>o</w:t>
      </w:r>
      <w:r w:rsidR="007B0541" w:rsidRPr="00E1372C">
        <w:rPr>
          <w:lang w:val="fr-FR" w:bidi="en-US"/>
        </w:rPr>
        <w:t> 5 de 2003 qui en porte création de fournir des ressources financières destinées à la promotion et au développement de l</w:t>
      </w:r>
      <w:r w:rsidR="00731F09" w:rsidRPr="00E1372C">
        <w:rPr>
          <w:lang w:val="fr-FR" w:bidi="en-US"/>
        </w:rPr>
        <w:t>’</w:t>
      </w:r>
      <w:r w:rsidR="007B0541" w:rsidRPr="00E1372C">
        <w:rPr>
          <w:lang w:val="fr-FR" w:bidi="en-US"/>
        </w:rPr>
        <w:t xml:space="preserve">agriculture et des activités liées au secteur. </w:t>
      </w:r>
      <w:r w:rsidR="00A55A0E" w:rsidRPr="00E1372C">
        <w:rPr>
          <w:i/>
          <w:lang w:val="fr-FR" w:bidi="en-US"/>
        </w:rPr>
        <w:t>Agribank</w:t>
      </w:r>
      <w:r w:rsidR="00A55A0E" w:rsidRPr="00E1372C">
        <w:rPr>
          <w:lang w:val="fr-FR" w:bidi="en-US"/>
        </w:rPr>
        <w:t xml:space="preserve"> </w:t>
      </w:r>
      <w:r w:rsidR="007B0541" w:rsidRPr="00E1372C">
        <w:rPr>
          <w:lang w:val="fr-FR" w:bidi="en-US"/>
        </w:rPr>
        <w:t>octroie des prêts à des groupes défavorisés à un taux d</w:t>
      </w:r>
      <w:r w:rsidR="00731F09" w:rsidRPr="00E1372C">
        <w:rPr>
          <w:lang w:val="fr-FR" w:bidi="en-US"/>
        </w:rPr>
        <w:t>’</w:t>
      </w:r>
      <w:r w:rsidR="007B0541" w:rsidRPr="00E1372C">
        <w:rPr>
          <w:lang w:val="fr-FR" w:bidi="en-US"/>
        </w:rPr>
        <w:t>intérêt réduit, permettant l</w:t>
      </w:r>
      <w:r w:rsidR="00731F09" w:rsidRPr="00E1372C">
        <w:rPr>
          <w:lang w:val="fr-FR" w:bidi="en-US"/>
        </w:rPr>
        <w:t>’</w:t>
      </w:r>
      <w:r w:rsidR="007B0541" w:rsidRPr="00E1372C">
        <w:rPr>
          <w:lang w:val="fr-FR" w:bidi="en-US"/>
        </w:rPr>
        <w:t>achat d</w:t>
      </w:r>
      <w:r w:rsidR="00731F09" w:rsidRPr="00E1372C">
        <w:rPr>
          <w:lang w:val="fr-FR" w:bidi="en-US"/>
        </w:rPr>
        <w:t>’</w:t>
      </w:r>
      <w:r w:rsidR="007B0541" w:rsidRPr="00E1372C">
        <w:rPr>
          <w:lang w:val="fr-FR" w:bidi="en-US"/>
        </w:rPr>
        <w:t>exploitations et la mise en valeur de terres agricoles.</w:t>
      </w:r>
      <w:r w:rsidR="00A55A0E" w:rsidRPr="00E1372C">
        <w:rPr>
          <w:lang w:val="fr-FR" w:bidi="en-US"/>
        </w:rPr>
        <w:t xml:space="preserve"> </w:t>
      </w:r>
    </w:p>
    <w:p w:rsidR="007B0541" w:rsidRPr="00E1372C" w:rsidRDefault="007A1757" w:rsidP="007A1757">
      <w:pPr>
        <w:pStyle w:val="SingleTxtG"/>
        <w:rPr>
          <w:lang w:val="fr-FR" w:bidi="en-US"/>
        </w:rPr>
      </w:pPr>
      <w:r w:rsidRPr="00E1372C">
        <w:rPr>
          <w:lang w:val="fr-FR" w:bidi="en-US"/>
        </w:rPr>
        <w:t>267.</w:t>
      </w:r>
      <w:r w:rsidRPr="00E1372C">
        <w:rPr>
          <w:lang w:val="fr-FR" w:bidi="en-US"/>
        </w:rPr>
        <w:tab/>
      </w:r>
      <w:r w:rsidR="007B0541" w:rsidRPr="00E1372C">
        <w:rPr>
          <w:lang w:val="fr-FR" w:bidi="en-US"/>
        </w:rPr>
        <w:t>La plupart des matières premières du pays sont exportées, alors que la quasi-totalité de ses biens de consommation sont importés. Il existe certaines possibilités d</w:t>
      </w:r>
      <w:r w:rsidR="00731F09" w:rsidRPr="00E1372C">
        <w:rPr>
          <w:lang w:val="fr-FR" w:bidi="en-US"/>
        </w:rPr>
        <w:t>’</w:t>
      </w:r>
      <w:r w:rsidR="007B0541" w:rsidRPr="00E1372C">
        <w:rPr>
          <w:lang w:val="fr-FR" w:bidi="en-US"/>
        </w:rPr>
        <w:t>investissement dans l</w:t>
      </w:r>
      <w:r w:rsidR="00731F09" w:rsidRPr="00E1372C">
        <w:rPr>
          <w:lang w:val="fr-FR" w:bidi="en-US"/>
        </w:rPr>
        <w:t>’</w:t>
      </w:r>
      <w:r w:rsidR="007B0541" w:rsidRPr="00E1372C">
        <w:rPr>
          <w:lang w:val="fr-FR" w:bidi="en-US"/>
        </w:rPr>
        <w:t>industrie manufacturière pour alimenter les marchés tant locaux qu</w:t>
      </w:r>
      <w:r w:rsidR="00731F09" w:rsidRPr="00E1372C">
        <w:rPr>
          <w:lang w:val="fr-FR" w:bidi="en-US"/>
        </w:rPr>
        <w:t>’</w:t>
      </w:r>
      <w:r w:rsidR="007B0541" w:rsidRPr="00E1372C">
        <w:rPr>
          <w:lang w:val="fr-FR" w:bidi="en-US"/>
        </w:rPr>
        <w:t>internationaux. Le Gouvernement constate avec une grande préoccupation que les Namibiens consomment ce qu</w:t>
      </w:r>
      <w:r w:rsidR="00731F09" w:rsidRPr="00E1372C">
        <w:rPr>
          <w:lang w:val="fr-FR" w:bidi="en-US"/>
        </w:rPr>
        <w:t>’</w:t>
      </w:r>
      <w:r w:rsidR="007B0541" w:rsidRPr="00E1372C">
        <w:rPr>
          <w:lang w:val="fr-FR" w:bidi="en-US"/>
        </w:rPr>
        <w:t>ils ne produisent pas et produisent ce qu</w:t>
      </w:r>
      <w:r w:rsidR="00731F09" w:rsidRPr="00E1372C">
        <w:rPr>
          <w:lang w:val="fr-FR" w:bidi="en-US"/>
        </w:rPr>
        <w:t>’</w:t>
      </w:r>
      <w:r w:rsidR="007B0541" w:rsidRPr="00E1372C">
        <w:rPr>
          <w:lang w:val="fr-FR" w:bidi="en-US"/>
        </w:rPr>
        <w:t>ils ne consomment p</w:t>
      </w:r>
      <w:r w:rsidR="00B77699" w:rsidRPr="00E1372C">
        <w:rPr>
          <w:lang w:val="fr-FR" w:bidi="en-US"/>
        </w:rPr>
        <w:t>as. Partant, il est reconnu que</w:t>
      </w:r>
      <w:r w:rsidR="007B0541" w:rsidRPr="00E1372C">
        <w:rPr>
          <w:lang w:val="fr-FR" w:bidi="en-US"/>
        </w:rPr>
        <w:t xml:space="preserve"> la Namibie se doit de tout faire pour récolter les fruits de l</w:t>
      </w:r>
      <w:r w:rsidR="00731F09" w:rsidRPr="00E1372C">
        <w:rPr>
          <w:lang w:val="fr-FR" w:bidi="en-US"/>
        </w:rPr>
        <w:t>’</w:t>
      </w:r>
      <w:r w:rsidR="007B0541" w:rsidRPr="00E1372C">
        <w:rPr>
          <w:lang w:val="fr-FR" w:bidi="en-US"/>
        </w:rPr>
        <w:t>intégration et investir dans les domaines où elle peut le mieux devenir concurrentielle et ajouter de la valeur aux matières premières du pays.</w:t>
      </w:r>
    </w:p>
    <w:p w:rsidR="007B0541" w:rsidRPr="00E1372C" w:rsidRDefault="007A1757" w:rsidP="00B77699">
      <w:pPr>
        <w:pStyle w:val="SingleTxtG"/>
        <w:rPr>
          <w:lang w:val="fr-FR" w:bidi="en-US"/>
        </w:rPr>
      </w:pPr>
      <w:r w:rsidRPr="00E1372C">
        <w:rPr>
          <w:lang w:val="fr-FR" w:bidi="en-US"/>
        </w:rPr>
        <w:t>268.</w:t>
      </w:r>
      <w:r w:rsidRPr="00E1372C">
        <w:rPr>
          <w:lang w:val="fr-FR" w:bidi="en-US"/>
        </w:rPr>
        <w:tab/>
      </w:r>
      <w:r w:rsidR="007B0541" w:rsidRPr="00E1372C">
        <w:rPr>
          <w:lang w:val="fr-FR" w:bidi="en-US"/>
        </w:rPr>
        <w:t>L</w:t>
      </w:r>
      <w:r w:rsidR="00731F09" w:rsidRPr="00E1372C">
        <w:rPr>
          <w:lang w:val="fr-FR" w:bidi="en-US"/>
        </w:rPr>
        <w:t>’</w:t>
      </w:r>
      <w:r w:rsidR="00234C44" w:rsidRPr="00E1372C">
        <w:rPr>
          <w:lang w:val="fr-FR" w:bidi="en-US"/>
        </w:rPr>
        <w:t>e</w:t>
      </w:r>
      <w:r w:rsidR="007B0541" w:rsidRPr="00E1372C">
        <w:rPr>
          <w:lang w:val="fr-FR" w:bidi="en-US"/>
        </w:rPr>
        <w:t xml:space="preserve">nquête sur les revenus et les dépenses des ménages de </w:t>
      </w:r>
      <w:r w:rsidR="00A55A0E" w:rsidRPr="00E1372C">
        <w:rPr>
          <w:lang w:val="fr-FR" w:bidi="en-US"/>
        </w:rPr>
        <w:t>2003</w:t>
      </w:r>
      <w:r w:rsidR="005C1FB6" w:rsidRPr="00E1372C">
        <w:rPr>
          <w:lang w:val="fr-FR" w:bidi="en-US"/>
        </w:rPr>
        <w:t>/</w:t>
      </w:r>
      <w:r w:rsidR="00A55A0E" w:rsidRPr="00E1372C">
        <w:rPr>
          <w:lang w:val="fr-FR" w:bidi="en-US"/>
        </w:rPr>
        <w:t xml:space="preserve">04 </w:t>
      </w:r>
      <w:r w:rsidR="007B0541" w:rsidRPr="00E1372C">
        <w:rPr>
          <w:lang w:val="fr-FR" w:bidi="en-US"/>
        </w:rPr>
        <w:t>a conclu que près de 50</w:t>
      </w:r>
      <w:r w:rsidR="007064FC" w:rsidRPr="00E1372C">
        <w:rPr>
          <w:lang w:val="fr-FR" w:bidi="en-US"/>
        </w:rPr>
        <w:t> %</w:t>
      </w:r>
      <w:r w:rsidR="007B0541" w:rsidRPr="00E1372C">
        <w:rPr>
          <w:lang w:val="fr-FR" w:bidi="en-US"/>
        </w:rPr>
        <w:t xml:space="preserve"> des ménages possèdent un élevage de volaille, 39</w:t>
      </w:r>
      <w:r w:rsidR="007064FC" w:rsidRPr="00E1372C">
        <w:rPr>
          <w:lang w:val="fr-FR" w:bidi="en-US"/>
        </w:rPr>
        <w:t> %</w:t>
      </w:r>
      <w:r w:rsidR="007B0541" w:rsidRPr="00E1372C">
        <w:rPr>
          <w:lang w:val="fr-FR" w:bidi="en-US"/>
        </w:rPr>
        <w:t xml:space="preserve"> des caprins et 31</w:t>
      </w:r>
      <w:r w:rsidR="007064FC" w:rsidRPr="00E1372C">
        <w:rPr>
          <w:lang w:val="fr-FR" w:bidi="en-US"/>
        </w:rPr>
        <w:t> %</w:t>
      </w:r>
      <w:r w:rsidR="007B0541" w:rsidRPr="00E1372C">
        <w:rPr>
          <w:lang w:val="fr-FR" w:bidi="en-US"/>
        </w:rPr>
        <w:t xml:space="preserve"> des bovins. D</w:t>
      </w:r>
      <w:r w:rsidR="00731F09" w:rsidRPr="00E1372C">
        <w:rPr>
          <w:lang w:val="fr-FR" w:bidi="en-US"/>
        </w:rPr>
        <w:t>’</w:t>
      </w:r>
      <w:r w:rsidR="007B0541" w:rsidRPr="00E1372C">
        <w:rPr>
          <w:lang w:val="fr-FR" w:bidi="en-US"/>
        </w:rPr>
        <w:t>autres ménages possèdent, dans une moindre proportion, d</w:t>
      </w:r>
      <w:r w:rsidR="00731F09" w:rsidRPr="00E1372C">
        <w:rPr>
          <w:lang w:val="fr-FR" w:bidi="en-US"/>
        </w:rPr>
        <w:t>’</w:t>
      </w:r>
      <w:r w:rsidR="007B0541" w:rsidRPr="00E1372C">
        <w:rPr>
          <w:lang w:val="fr-FR" w:bidi="en-US"/>
        </w:rPr>
        <w:t xml:space="preserve">autres animaux </w:t>
      </w:r>
      <w:r w:rsidR="00B77699" w:rsidRPr="00E1372C">
        <w:rPr>
          <w:lang w:val="fr-FR" w:bidi="en-US"/>
        </w:rPr>
        <w:br/>
      </w:r>
      <w:r w:rsidR="007B0541" w:rsidRPr="00E1372C">
        <w:rPr>
          <w:lang w:val="fr-FR" w:bidi="en-US"/>
        </w:rPr>
        <w:t>– ânes, mules, porcs, moutons, chevaux et autruches. Les proportions de ménages qui possèdent ou ont à disposition des animaux et des terres seraient plus élevées dans les zones rurales que dans les zones urbaines.</w:t>
      </w:r>
    </w:p>
    <w:p w:rsidR="007B0541" w:rsidRPr="00E1372C" w:rsidRDefault="007A1757" w:rsidP="007A1757">
      <w:pPr>
        <w:pStyle w:val="SingleTxtG"/>
        <w:rPr>
          <w:b/>
          <w:lang w:val="fr-FR" w:bidi="en-US"/>
        </w:rPr>
      </w:pPr>
      <w:r w:rsidRPr="00E1372C">
        <w:rPr>
          <w:lang w:val="fr-FR" w:bidi="en-US"/>
        </w:rPr>
        <w:t>269.</w:t>
      </w:r>
      <w:r w:rsidRPr="00E1372C">
        <w:rPr>
          <w:lang w:val="fr-FR" w:bidi="en-US"/>
        </w:rPr>
        <w:tab/>
      </w:r>
      <w:r w:rsidR="007B0541" w:rsidRPr="00E1372C">
        <w:rPr>
          <w:lang w:val="fr-FR" w:bidi="en-US"/>
        </w:rPr>
        <w:t>En règle générale, les personnes âgées, les hommes, les femmes et les enfants consomment les mêmes aliments à la maison, sous réserve que la famille puisse assumer le coût des produits alimentaires.</w:t>
      </w:r>
    </w:p>
    <w:p w:rsidR="00A55A0E" w:rsidRPr="00E1372C" w:rsidRDefault="009D5779" w:rsidP="009D5779">
      <w:pPr>
        <w:pStyle w:val="H23G"/>
        <w:rPr>
          <w:lang w:val="fr-FR" w:bidi="en-US"/>
        </w:rPr>
      </w:pPr>
      <w:r w:rsidRPr="00E1372C">
        <w:rPr>
          <w:lang w:val="fr-FR" w:bidi="en-US"/>
        </w:rPr>
        <w:tab/>
      </w:r>
      <w:r w:rsidRPr="00E1372C">
        <w:rPr>
          <w:lang w:val="fr-FR" w:bidi="en-US"/>
        </w:rPr>
        <w:tab/>
      </w:r>
      <w:r w:rsidR="002A2C1F" w:rsidRPr="00E1372C">
        <w:rPr>
          <w:lang w:val="fr-FR" w:bidi="en-US"/>
        </w:rPr>
        <w:t>Lutte contre la pauvreté</w:t>
      </w:r>
    </w:p>
    <w:p w:rsidR="002A2C1F" w:rsidRPr="00E1372C" w:rsidRDefault="007A1757" w:rsidP="007A1757">
      <w:pPr>
        <w:pStyle w:val="SingleTxtG"/>
        <w:rPr>
          <w:lang w:val="fr-FR" w:bidi="en-US"/>
        </w:rPr>
      </w:pPr>
      <w:r w:rsidRPr="00E1372C">
        <w:rPr>
          <w:lang w:val="fr-FR" w:bidi="en-US"/>
        </w:rPr>
        <w:t>270.</w:t>
      </w:r>
      <w:r w:rsidRPr="00E1372C">
        <w:rPr>
          <w:lang w:val="fr-FR" w:bidi="en-US"/>
        </w:rPr>
        <w:tab/>
      </w:r>
      <w:r w:rsidR="002A2C1F" w:rsidRPr="00E1372C">
        <w:rPr>
          <w:lang w:val="fr-FR" w:bidi="en-US"/>
        </w:rPr>
        <w:t>L</w:t>
      </w:r>
      <w:r w:rsidR="00731F09" w:rsidRPr="00E1372C">
        <w:rPr>
          <w:lang w:val="fr-FR" w:bidi="en-US"/>
        </w:rPr>
        <w:t>’</w:t>
      </w:r>
      <w:r w:rsidR="002A2C1F" w:rsidRPr="00E1372C">
        <w:rPr>
          <w:lang w:val="fr-FR" w:bidi="en-US"/>
        </w:rPr>
        <w:t>évaluation de la pauvreté, réalisée entre 2003 et 2006</w:t>
      </w:r>
      <w:r w:rsidR="005C1FB6" w:rsidRPr="00E1372C">
        <w:rPr>
          <w:lang w:val="fr-FR" w:bidi="en-US"/>
        </w:rPr>
        <w:t xml:space="preserve"> avec la participation des intéressés</w:t>
      </w:r>
      <w:r w:rsidR="002A2C1F" w:rsidRPr="00E1372C">
        <w:rPr>
          <w:lang w:val="fr-FR" w:bidi="en-US"/>
        </w:rPr>
        <w:t>, a fourni des renseignements quantitatifs sur les aspects non financiers de ce phénomène et ses causes. Ses conclusions font apparaître que le VIH/</w:t>
      </w:r>
      <w:r w:rsidR="00B277C4" w:rsidRPr="00E1372C">
        <w:rPr>
          <w:lang w:val="fr-FR" w:bidi="en-US"/>
        </w:rPr>
        <w:t>sida</w:t>
      </w:r>
      <w:r w:rsidR="002A2C1F" w:rsidRPr="00E1372C">
        <w:rPr>
          <w:lang w:val="fr-FR" w:bidi="en-US"/>
        </w:rPr>
        <w:t xml:space="preserve">, le chômage, le </w:t>
      </w:r>
      <w:r w:rsidR="00122CF1" w:rsidRPr="00E1372C">
        <w:rPr>
          <w:lang w:val="fr-FR" w:bidi="en-US"/>
        </w:rPr>
        <w:t>peu d</w:t>
      </w:r>
      <w:r w:rsidR="00731F09" w:rsidRPr="00E1372C">
        <w:rPr>
          <w:lang w:val="fr-FR" w:bidi="en-US"/>
        </w:rPr>
        <w:t>’</w:t>
      </w:r>
      <w:r w:rsidR="00122CF1" w:rsidRPr="00E1372C">
        <w:rPr>
          <w:lang w:val="fr-FR" w:bidi="en-US"/>
        </w:rPr>
        <w:t>accès aux</w:t>
      </w:r>
      <w:r w:rsidR="002A2C1F" w:rsidRPr="00E1372C">
        <w:rPr>
          <w:lang w:val="fr-FR" w:bidi="en-US"/>
        </w:rPr>
        <w:t xml:space="preserve"> services sociaux et leur médiocrité, le manque ou l</w:t>
      </w:r>
      <w:r w:rsidR="00731F09" w:rsidRPr="00E1372C">
        <w:rPr>
          <w:lang w:val="fr-FR" w:bidi="en-US"/>
        </w:rPr>
        <w:t>’</w:t>
      </w:r>
      <w:r w:rsidR="002A2C1F" w:rsidRPr="00E1372C">
        <w:rPr>
          <w:lang w:val="fr-FR" w:bidi="en-US"/>
        </w:rPr>
        <w:t>insuffisa</w:t>
      </w:r>
      <w:r w:rsidR="00BE40BB" w:rsidRPr="00E1372C">
        <w:rPr>
          <w:lang w:val="fr-FR" w:bidi="en-US"/>
        </w:rPr>
        <w:t>nce d</w:t>
      </w:r>
      <w:r w:rsidR="00731F09" w:rsidRPr="00E1372C">
        <w:rPr>
          <w:lang w:val="fr-FR" w:bidi="en-US"/>
        </w:rPr>
        <w:t>’</w:t>
      </w:r>
      <w:r w:rsidR="00BE40BB" w:rsidRPr="00E1372C">
        <w:rPr>
          <w:lang w:val="fr-FR" w:bidi="en-US"/>
        </w:rPr>
        <w:t xml:space="preserve">actifs – bétail et terres </w:t>
      </w:r>
      <w:r w:rsidR="002A2C1F" w:rsidRPr="00E1372C">
        <w:rPr>
          <w:lang w:val="fr-FR" w:bidi="en-US"/>
        </w:rPr>
        <w:t>(y compris sols pauvres) – et une piètre infrastructure routière constituaient les principaux problèmes dans les régions.</w:t>
      </w:r>
    </w:p>
    <w:p w:rsidR="002A2C1F" w:rsidRPr="00E1372C" w:rsidRDefault="007A1757" w:rsidP="007A1757">
      <w:pPr>
        <w:pStyle w:val="SingleTxtG"/>
        <w:rPr>
          <w:lang w:val="fr-FR" w:bidi="en-US"/>
        </w:rPr>
      </w:pPr>
      <w:r w:rsidRPr="00E1372C">
        <w:rPr>
          <w:lang w:val="fr-FR" w:bidi="en-US"/>
        </w:rPr>
        <w:t>271.</w:t>
      </w:r>
      <w:r w:rsidRPr="00E1372C">
        <w:rPr>
          <w:lang w:val="fr-FR" w:bidi="en-US"/>
        </w:rPr>
        <w:tab/>
      </w:r>
      <w:r w:rsidR="002A2C1F" w:rsidRPr="00E1372C">
        <w:rPr>
          <w:lang w:val="fr-FR" w:bidi="en-US"/>
        </w:rPr>
        <w:t>Le Gouvernement est extrêmement préoccupé par la pauvreté et le taux élevé de chômage dans le pays. Pour régler ce problème, le Conseil des ministres a adopté la Stratégie nationale d</w:t>
      </w:r>
      <w:r w:rsidR="00731F09" w:rsidRPr="00E1372C">
        <w:rPr>
          <w:lang w:val="fr-FR" w:bidi="en-US"/>
        </w:rPr>
        <w:t>’</w:t>
      </w:r>
      <w:r w:rsidR="002A2C1F" w:rsidRPr="00E1372C">
        <w:rPr>
          <w:lang w:val="fr-FR" w:bidi="en-US"/>
        </w:rPr>
        <w:t>atténuation de la pauvreté lors d</w:t>
      </w:r>
      <w:r w:rsidR="00731F09" w:rsidRPr="00E1372C">
        <w:rPr>
          <w:lang w:val="fr-FR" w:bidi="en-US"/>
        </w:rPr>
        <w:t>’</w:t>
      </w:r>
      <w:r w:rsidR="002A2C1F" w:rsidRPr="00E1372C">
        <w:rPr>
          <w:lang w:val="fr-FR" w:bidi="en-US"/>
        </w:rPr>
        <w:t>une réunion ministérielle sur la croissance économique et le développement durable en 2005. En conséquence, le Gouvernement a fait accorder par le Ministère du commerce et de l</w:t>
      </w:r>
      <w:r w:rsidR="00731F09" w:rsidRPr="00E1372C">
        <w:rPr>
          <w:lang w:val="fr-FR" w:bidi="en-US"/>
        </w:rPr>
        <w:t>’</w:t>
      </w:r>
      <w:r w:rsidR="002A2C1F" w:rsidRPr="00E1372C">
        <w:rPr>
          <w:lang w:val="fr-FR" w:bidi="en-US"/>
        </w:rPr>
        <w:t>industrie des facilités aux producteurs et exportateurs, encourageant les entreprises à créer de nouvelles structures dans le pays ou à changer le lieu d</w:t>
      </w:r>
      <w:r w:rsidR="00731F09" w:rsidRPr="00E1372C">
        <w:rPr>
          <w:lang w:val="fr-FR" w:bidi="en-US"/>
        </w:rPr>
        <w:t>’</w:t>
      </w:r>
      <w:r w:rsidR="002A2C1F" w:rsidRPr="00E1372C">
        <w:rPr>
          <w:lang w:val="fr-FR" w:bidi="en-US"/>
        </w:rPr>
        <w:t>implantation en vue d</w:t>
      </w:r>
      <w:r w:rsidR="00731F09" w:rsidRPr="00E1372C">
        <w:rPr>
          <w:lang w:val="fr-FR" w:bidi="en-US"/>
        </w:rPr>
        <w:t>’</w:t>
      </w:r>
      <w:r w:rsidR="002A2C1F" w:rsidRPr="00E1372C">
        <w:rPr>
          <w:lang w:val="fr-FR" w:bidi="en-US"/>
        </w:rPr>
        <w:t>offrir des emplois et de stimuler la croissance économique pour atténuer la pauvreté. Les entreprises qui se livrent à des activités de fabrication, d</w:t>
      </w:r>
      <w:r w:rsidR="00731F09" w:rsidRPr="00E1372C">
        <w:rPr>
          <w:lang w:val="fr-FR" w:bidi="en-US"/>
        </w:rPr>
        <w:t>’</w:t>
      </w:r>
      <w:r w:rsidR="002A2C1F" w:rsidRPr="00E1372C">
        <w:rPr>
          <w:lang w:val="fr-FR" w:bidi="en-US"/>
        </w:rPr>
        <w:t>assemblage, de remballage et de transport en vrac ou semi-vrac et destinent tout ou presque de leur production aux exportations bénéficieront d</w:t>
      </w:r>
      <w:r w:rsidR="00731F09" w:rsidRPr="00E1372C">
        <w:rPr>
          <w:lang w:val="fr-FR" w:bidi="en-US"/>
        </w:rPr>
        <w:t>’</w:t>
      </w:r>
      <w:r w:rsidR="002A2C1F" w:rsidRPr="00E1372C">
        <w:rPr>
          <w:lang w:val="fr-FR" w:bidi="en-US"/>
        </w:rPr>
        <w:t>avantages fiscaux et autres; elles seront également autorisées à détenir un compte en devises dans les banques locales.</w:t>
      </w:r>
    </w:p>
    <w:p w:rsidR="002A2C1F" w:rsidRPr="00E1372C" w:rsidRDefault="007A1757" w:rsidP="007A1757">
      <w:pPr>
        <w:pStyle w:val="SingleTxtG"/>
        <w:rPr>
          <w:lang w:val="fr-FR" w:bidi="en-US"/>
        </w:rPr>
      </w:pPr>
      <w:r w:rsidRPr="00E1372C">
        <w:rPr>
          <w:lang w:val="fr-FR" w:bidi="en-US"/>
        </w:rPr>
        <w:t>272.</w:t>
      </w:r>
      <w:r w:rsidRPr="00E1372C">
        <w:rPr>
          <w:lang w:val="fr-FR" w:bidi="en-US"/>
        </w:rPr>
        <w:tab/>
      </w:r>
      <w:r w:rsidR="002A2C1F" w:rsidRPr="00E1372C">
        <w:rPr>
          <w:lang w:val="fr-FR" w:bidi="en-US"/>
        </w:rPr>
        <w:t>En outre, le Gouvernement a créé, par l</w:t>
      </w:r>
      <w:r w:rsidR="00731F09" w:rsidRPr="00E1372C">
        <w:rPr>
          <w:lang w:val="fr-FR" w:bidi="en-US"/>
        </w:rPr>
        <w:t>’</w:t>
      </w:r>
      <w:r w:rsidR="002A2C1F" w:rsidRPr="00E1372C">
        <w:rPr>
          <w:lang w:val="fr-FR" w:bidi="en-US"/>
        </w:rPr>
        <w:t>intermédiaire du Ministère du commerce et de l</w:t>
      </w:r>
      <w:r w:rsidR="00731F09" w:rsidRPr="00E1372C">
        <w:rPr>
          <w:lang w:val="fr-FR" w:bidi="en-US"/>
        </w:rPr>
        <w:t>’</w:t>
      </w:r>
      <w:r w:rsidR="002A2C1F" w:rsidRPr="00E1372C">
        <w:rPr>
          <w:lang w:val="fr-FR" w:bidi="en-US"/>
        </w:rPr>
        <w:t>industrie, un fonds de garantie en faveur des petites entreprises pour aider les petits entrepreneurs du pays à obtenir des prêts commerciaux auprès d</w:t>
      </w:r>
      <w:r w:rsidR="00731F09" w:rsidRPr="00E1372C">
        <w:rPr>
          <w:lang w:val="fr-FR" w:bidi="en-US"/>
        </w:rPr>
        <w:t>’</w:t>
      </w:r>
      <w:r w:rsidR="002A2C1F" w:rsidRPr="00E1372C">
        <w:rPr>
          <w:lang w:val="fr-FR" w:bidi="en-US"/>
        </w:rPr>
        <w:t xml:space="preserve">institutions financières. Le fonds a signé un mémorandum </w:t>
      </w:r>
      <w:r w:rsidR="0040616B" w:rsidRPr="00E1372C">
        <w:rPr>
          <w:lang w:val="fr-FR" w:bidi="en-US"/>
        </w:rPr>
        <w:t>d</w:t>
      </w:r>
      <w:r w:rsidR="00731F09" w:rsidRPr="00E1372C">
        <w:rPr>
          <w:lang w:val="fr-FR" w:bidi="en-US"/>
        </w:rPr>
        <w:t>’</w:t>
      </w:r>
      <w:r w:rsidR="0040616B" w:rsidRPr="00E1372C">
        <w:rPr>
          <w:lang w:val="fr-FR" w:bidi="en-US"/>
        </w:rPr>
        <w:t>accord avec cinq banques commerciales. Au titre de ces accords, les institutions participantes s</w:t>
      </w:r>
      <w:r w:rsidR="00731F09" w:rsidRPr="00E1372C">
        <w:rPr>
          <w:lang w:val="fr-FR" w:bidi="en-US"/>
        </w:rPr>
        <w:t>’</w:t>
      </w:r>
      <w:r w:rsidR="0040616B" w:rsidRPr="00E1372C">
        <w:rPr>
          <w:lang w:val="fr-FR" w:bidi="en-US"/>
        </w:rPr>
        <w:t>engagent à accorder des prêts aux chefs de petites entreprises et le fonds à garantir jusqu</w:t>
      </w:r>
      <w:r w:rsidR="00731F09" w:rsidRPr="00E1372C">
        <w:rPr>
          <w:lang w:val="fr-FR" w:bidi="en-US"/>
        </w:rPr>
        <w:t>’</w:t>
      </w:r>
      <w:r w:rsidR="0040616B" w:rsidRPr="00E1372C">
        <w:rPr>
          <w:lang w:val="fr-FR" w:bidi="en-US"/>
        </w:rPr>
        <w:t>à 80</w:t>
      </w:r>
      <w:r w:rsidR="007064FC" w:rsidRPr="00E1372C">
        <w:rPr>
          <w:lang w:val="fr-FR" w:bidi="en-US"/>
        </w:rPr>
        <w:t> %</w:t>
      </w:r>
      <w:r w:rsidR="0040616B" w:rsidRPr="00E1372C">
        <w:rPr>
          <w:lang w:val="fr-FR" w:bidi="en-US"/>
        </w:rPr>
        <w:t xml:space="preserve"> du capital. Cette démarche a pour objectif de promouvoir le secteur des petites entreprises en permettant aux entrepreneurs de franchir les obstacles (collatéraux) en matière de sécurité liés à l</w:t>
      </w:r>
      <w:r w:rsidR="00731F09" w:rsidRPr="00E1372C">
        <w:rPr>
          <w:lang w:val="fr-FR" w:bidi="en-US"/>
        </w:rPr>
        <w:t>’</w:t>
      </w:r>
      <w:r w:rsidR="0040616B" w:rsidRPr="00E1372C">
        <w:rPr>
          <w:lang w:val="fr-FR" w:bidi="en-US"/>
        </w:rPr>
        <w:t>octroi de prêts commerciaux, qu</w:t>
      </w:r>
      <w:r w:rsidR="00731F09" w:rsidRPr="00E1372C">
        <w:rPr>
          <w:lang w:val="fr-FR" w:bidi="en-US"/>
        </w:rPr>
        <w:t>’</w:t>
      </w:r>
      <w:r w:rsidR="0040616B" w:rsidRPr="00E1372C">
        <w:rPr>
          <w:lang w:val="fr-FR" w:bidi="en-US"/>
        </w:rPr>
        <w:t>il s</w:t>
      </w:r>
      <w:r w:rsidR="00731F09" w:rsidRPr="00E1372C">
        <w:rPr>
          <w:lang w:val="fr-FR" w:bidi="en-US"/>
        </w:rPr>
        <w:t>’</w:t>
      </w:r>
      <w:r w:rsidR="0040616B" w:rsidRPr="00E1372C">
        <w:rPr>
          <w:lang w:val="fr-FR" w:bidi="en-US"/>
        </w:rPr>
        <w:t>agisse de</w:t>
      </w:r>
      <w:r w:rsidR="00234C44" w:rsidRPr="00E1372C">
        <w:rPr>
          <w:lang w:val="fr-FR" w:bidi="en-US"/>
        </w:rPr>
        <w:t xml:space="preserve"> petits exploitants</w:t>
      </w:r>
      <w:r w:rsidR="0040616B" w:rsidRPr="00E1372C">
        <w:rPr>
          <w:lang w:val="fr-FR" w:bidi="en-US"/>
        </w:rPr>
        <w:t xml:space="preserve"> existants ou </w:t>
      </w:r>
      <w:r w:rsidR="00CB3D67" w:rsidRPr="00E1372C">
        <w:rPr>
          <w:lang w:val="fr-FR" w:bidi="en-US"/>
        </w:rPr>
        <w:t xml:space="preserve">de </w:t>
      </w:r>
      <w:r w:rsidR="00234C44" w:rsidRPr="00E1372C">
        <w:rPr>
          <w:lang w:val="fr-FR" w:bidi="en-US"/>
        </w:rPr>
        <w:t>nouveaux arrivants</w:t>
      </w:r>
      <w:r w:rsidR="0040616B" w:rsidRPr="00E1372C">
        <w:rPr>
          <w:lang w:val="fr-FR" w:bidi="en-US"/>
        </w:rPr>
        <w:t xml:space="preserve"> dans le secteur.</w:t>
      </w:r>
    </w:p>
    <w:p w:rsidR="0040616B" w:rsidRPr="00E1372C" w:rsidRDefault="007A1757" w:rsidP="007A1757">
      <w:pPr>
        <w:pStyle w:val="SingleTxtG"/>
        <w:rPr>
          <w:lang w:val="fr-FR" w:bidi="en-US"/>
        </w:rPr>
      </w:pPr>
      <w:r w:rsidRPr="00E1372C">
        <w:rPr>
          <w:lang w:val="fr-FR" w:bidi="en-US"/>
        </w:rPr>
        <w:t>273.</w:t>
      </w:r>
      <w:r w:rsidRPr="00E1372C">
        <w:rPr>
          <w:lang w:val="fr-FR" w:bidi="en-US"/>
        </w:rPr>
        <w:tab/>
      </w:r>
      <w:r w:rsidR="0040616B" w:rsidRPr="00E1372C">
        <w:rPr>
          <w:lang w:val="fr-FR" w:bidi="en-US"/>
        </w:rPr>
        <w:t>En mars 2008, un fonds de secours a été créé par diverses entreprises du secteur privé, à la suite des inondations qui ont touché en particulier le nord du pays. Ce fonds sera permanent, entièrement soutenu par le Gouvernement, pour subvenir aux besoins communautaires.</w:t>
      </w:r>
    </w:p>
    <w:p w:rsidR="0040616B" w:rsidRPr="00E1372C" w:rsidRDefault="007A1757" w:rsidP="007A1757">
      <w:pPr>
        <w:pStyle w:val="SingleTxtG"/>
        <w:rPr>
          <w:lang w:val="fr-FR" w:bidi="en-US"/>
        </w:rPr>
      </w:pPr>
      <w:r w:rsidRPr="00E1372C">
        <w:rPr>
          <w:lang w:val="fr-FR" w:bidi="en-US"/>
        </w:rPr>
        <w:t>274.</w:t>
      </w:r>
      <w:r w:rsidRPr="00E1372C">
        <w:rPr>
          <w:lang w:val="fr-FR" w:bidi="en-US"/>
        </w:rPr>
        <w:tab/>
      </w:r>
      <w:r w:rsidR="0040616B" w:rsidRPr="00E1372C">
        <w:rPr>
          <w:lang w:val="fr-FR" w:bidi="en-US"/>
        </w:rPr>
        <w:t>Les possibilités écologiques et commerciales constituent ensemble un ressort de la réduction de la pauvreté et de l</w:t>
      </w:r>
      <w:r w:rsidR="00731F09" w:rsidRPr="00E1372C">
        <w:rPr>
          <w:lang w:val="fr-FR" w:bidi="en-US"/>
        </w:rPr>
        <w:t>’</w:t>
      </w:r>
      <w:r w:rsidR="0040616B" w:rsidRPr="00E1372C">
        <w:rPr>
          <w:lang w:val="fr-FR" w:bidi="en-US"/>
        </w:rPr>
        <w:t xml:space="preserve">amélioration de la vie rurale. À cette fin, le Gouvernement a établi en 2004 le </w:t>
      </w:r>
      <w:r w:rsidR="00CB3D67" w:rsidRPr="00E1372C">
        <w:rPr>
          <w:lang w:val="fr-FR" w:bidi="en-US"/>
        </w:rPr>
        <w:t>p</w:t>
      </w:r>
      <w:r w:rsidR="0040616B" w:rsidRPr="00E1372C">
        <w:rPr>
          <w:lang w:val="fr-FR" w:bidi="en-US"/>
        </w:rPr>
        <w:t xml:space="preserve">rogramme de sylviculture communautaire qui vise les zones de forêts, de bois et de savane appartenant aux communautés locales. Le </w:t>
      </w:r>
      <w:r w:rsidR="00CB3D67" w:rsidRPr="00E1372C">
        <w:rPr>
          <w:lang w:val="fr-FR" w:bidi="en-US"/>
        </w:rPr>
        <w:t>p</w:t>
      </w:r>
      <w:r w:rsidR="0040616B" w:rsidRPr="00E1372C">
        <w:rPr>
          <w:lang w:val="fr-FR" w:bidi="en-US"/>
        </w:rPr>
        <w:t>rogramme est fondé sur le principe que les populations locales doivent gérer leurs forêts d</w:t>
      </w:r>
      <w:r w:rsidR="00731F09" w:rsidRPr="00E1372C">
        <w:rPr>
          <w:lang w:val="fr-FR" w:bidi="en-US"/>
        </w:rPr>
        <w:t>’</w:t>
      </w:r>
      <w:r w:rsidR="0040616B" w:rsidRPr="00E1372C">
        <w:rPr>
          <w:lang w:val="fr-FR" w:bidi="en-US"/>
        </w:rPr>
        <w:t>une manière durable et obtenir en retour le droit d</w:t>
      </w:r>
      <w:r w:rsidR="00731F09" w:rsidRPr="00E1372C">
        <w:rPr>
          <w:lang w:val="fr-FR" w:bidi="en-US"/>
        </w:rPr>
        <w:t>’</w:t>
      </w:r>
      <w:r w:rsidR="0040616B" w:rsidRPr="00E1372C">
        <w:rPr>
          <w:lang w:val="fr-FR" w:bidi="en-US"/>
        </w:rPr>
        <w:t>administrer et de commercialiser la production forestière et autres ressources naturelles aux fins de création de revenu. Le projet est soutenu et financé par le Ministère de l</w:t>
      </w:r>
      <w:r w:rsidR="00731F09" w:rsidRPr="00E1372C">
        <w:rPr>
          <w:lang w:val="fr-FR" w:bidi="en-US"/>
        </w:rPr>
        <w:t>’</w:t>
      </w:r>
      <w:r w:rsidR="0040616B" w:rsidRPr="00E1372C">
        <w:rPr>
          <w:lang w:val="fr-FR" w:bidi="en-US"/>
        </w:rPr>
        <w:t xml:space="preserve">environnement et du tourisme, ainsi que par deux organismes de développement allemands, à savoir la Banque allemande de développement et les </w:t>
      </w:r>
      <w:r w:rsidR="00CB3D67" w:rsidRPr="00E1372C">
        <w:rPr>
          <w:lang w:val="fr-FR" w:bidi="en-US"/>
        </w:rPr>
        <w:t>s</w:t>
      </w:r>
      <w:r w:rsidR="000B4267" w:rsidRPr="00E1372C">
        <w:rPr>
          <w:lang w:val="fr-FR" w:bidi="en-US"/>
        </w:rPr>
        <w:t>ervices</w:t>
      </w:r>
      <w:r w:rsidR="0040616B" w:rsidRPr="00E1372C">
        <w:rPr>
          <w:lang w:val="fr-FR" w:bidi="en-US"/>
        </w:rPr>
        <w:t xml:space="preserve"> allemands de développement.</w:t>
      </w:r>
    </w:p>
    <w:p w:rsidR="000B4267" w:rsidRPr="00E1372C" w:rsidRDefault="007A1757" w:rsidP="007A1757">
      <w:pPr>
        <w:pStyle w:val="SingleTxtG"/>
        <w:rPr>
          <w:lang w:val="fr-FR" w:bidi="en-US"/>
        </w:rPr>
      </w:pPr>
      <w:r w:rsidRPr="00E1372C">
        <w:rPr>
          <w:lang w:val="fr-FR" w:bidi="en-US"/>
        </w:rPr>
        <w:t>275.</w:t>
      </w:r>
      <w:r w:rsidRPr="00E1372C">
        <w:rPr>
          <w:lang w:val="fr-FR" w:bidi="en-US"/>
        </w:rPr>
        <w:tab/>
      </w:r>
      <w:r w:rsidR="000B4267" w:rsidRPr="00E1372C">
        <w:rPr>
          <w:lang w:val="fr-FR" w:bidi="en-US"/>
        </w:rPr>
        <w:t>La Namibie est renommée pour ses conceptions novatrices qui lient la préservation de la nature à la lutte contre la pauvreté dans le cadre de son programme de gestion des ressources naturelles et communautaires en encourageant des initiatives portant sur des réserves communautaires et le tourisme favorable aux pauvres. Dans de nombreuses communautés rurales, le tourisme est la seule possibilité économique à grande échelle qui offre un véritable potentiel. Le Gouvernement, dans le cadre d</w:t>
      </w:r>
      <w:r w:rsidR="00731F09" w:rsidRPr="00E1372C">
        <w:rPr>
          <w:lang w:val="fr-FR" w:bidi="en-US"/>
        </w:rPr>
        <w:t>’</w:t>
      </w:r>
      <w:r w:rsidR="000B4267" w:rsidRPr="00E1372C">
        <w:rPr>
          <w:lang w:val="fr-FR" w:bidi="en-US"/>
        </w:rPr>
        <w:t xml:space="preserve">un partenariat dynamique avec les communautés, le secteur privé et des ONG, a promu et soutenu la création de réserves communautaires qui constituent la base du </w:t>
      </w:r>
      <w:r w:rsidR="00461C2B" w:rsidRPr="00E1372C">
        <w:rPr>
          <w:lang w:val="fr-FR" w:bidi="en-US"/>
        </w:rPr>
        <w:t>Programme de gestion des ressources communautaires destiné à améliorer la vie rurale et à mieux lutter contre la pauvreté.</w:t>
      </w:r>
    </w:p>
    <w:p w:rsidR="00461C2B" w:rsidRPr="00E1372C" w:rsidRDefault="007A1757" w:rsidP="007A1757">
      <w:pPr>
        <w:pStyle w:val="SingleTxtG"/>
        <w:rPr>
          <w:lang w:val="fr-FR" w:bidi="en-US"/>
        </w:rPr>
      </w:pPr>
      <w:r w:rsidRPr="00E1372C">
        <w:rPr>
          <w:lang w:val="fr-FR" w:bidi="en-US"/>
        </w:rPr>
        <w:t>276.</w:t>
      </w:r>
      <w:r w:rsidRPr="00E1372C">
        <w:rPr>
          <w:lang w:val="fr-FR" w:bidi="en-US"/>
        </w:rPr>
        <w:tab/>
      </w:r>
      <w:r w:rsidR="00461C2B" w:rsidRPr="00E1372C">
        <w:rPr>
          <w:lang w:val="fr-FR" w:bidi="en-US"/>
        </w:rPr>
        <w:t>E</w:t>
      </w:r>
      <w:r w:rsidR="00A55A0E" w:rsidRPr="00E1372C">
        <w:rPr>
          <w:lang w:val="fr-FR" w:bidi="en-US"/>
        </w:rPr>
        <w:t xml:space="preserve">n 2007, </w:t>
      </w:r>
      <w:r w:rsidR="00461C2B" w:rsidRPr="00E1372C">
        <w:rPr>
          <w:lang w:val="fr-FR" w:bidi="en-US"/>
        </w:rPr>
        <w:t>la politique relative au tourisme et aux concessions applicables à la faune sur les terres domaniales a été adoptée par le Conseil des ministres en vue de créer des possibilités de développement commercial et d</w:t>
      </w:r>
      <w:r w:rsidR="00731F09" w:rsidRPr="00E1372C">
        <w:rPr>
          <w:lang w:val="fr-FR" w:bidi="en-US"/>
        </w:rPr>
        <w:t>’</w:t>
      </w:r>
      <w:r w:rsidR="00461C2B" w:rsidRPr="00E1372C">
        <w:rPr>
          <w:lang w:val="fr-FR" w:bidi="en-US"/>
        </w:rPr>
        <w:t>autonomisation économique des communautés auparavant défavorisées grâce à l</w:t>
      </w:r>
      <w:r w:rsidR="00731F09" w:rsidRPr="00E1372C">
        <w:rPr>
          <w:lang w:val="fr-FR" w:bidi="en-US"/>
        </w:rPr>
        <w:t>’</w:t>
      </w:r>
      <w:r w:rsidR="00461C2B" w:rsidRPr="00E1372C">
        <w:rPr>
          <w:lang w:val="fr-FR" w:bidi="en-US"/>
        </w:rPr>
        <w:t>accès au tourisme, à la chasse et aux entreprises fondées sur les ressources végétales et animales sauvages. Les communautés rurales, qui sont limitrophes des parcs nationaux ou</w:t>
      </w:r>
      <w:r w:rsidR="00432995" w:rsidRPr="00E1372C">
        <w:rPr>
          <w:lang w:val="fr-FR" w:bidi="en-US"/>
        </w:rPr>
        <w:t>,</w:t>
      </w:r>
      <w:r w:rsidR="00461C2B" w:rsidRPr="00E1372C">
        <w:rPr>
          <w:lang w:val="fr-FR" w:bidi="en-US"/>
        </w:rPr>
        <w:t xml:space="preserve"> parfois</w:t>
      </w:r>
      <w:r w:rsidR="00432995" w:rsidRPr="00E1372C">
        <w:rPr>
          <w:lang w:val="fr-FR" w:bidi="en-US"/>
        </w:rPr>
        <w:t>,</w:t>
      </w:r>
      <w:r w:rsidR="00461C2B" w:rsidRPr="00E1372C">
        <w:rPr>
          <w:lang w:val="fr-FR" w:bidi="en-US"/>
        </w:rPr>
        <w:t xml:space="preserve"> résident dans ces parcs</w:t>
      </w:r>
      <w:r w:rsidR="00432995" w:rsidRPr="00E1372C">
        <w:rPr>
          <w:lang w:val="fr-FR" w:bidi="en-US"/>
        </w:rPr>
        <w:t>,</w:t>
      </w:r>
      <w:r w:rsidR="00461C2B" w:rsidRPr="00E1372C">
        <w:rPr>
          <w:lang w:val="fr-FR" w:bidi="en-US"/>
        </w:rPr>
        <w:t xml:space="preserve"> obtiennent en priorité des concessions dans les parcs surveillés et protégés officiellement par le Gouvernement. Les concessions contribueront à favoriser la croissance économique, la création d</w:t>
      </w:r>
      <w:r w:rsidR="00731F09" w:rsidRPr="00E1372C">
        <w:rPr>
          <w:lang w:val="fr-FR" w:bidi="en-US"/>
        </w:rPr>
        <w:t>’</w:t>
      </w:r>
      <w:r w:rsidR="00461C2B" w:rsidRPr="00E1372C">
        <w:rPr>
          <w:lang w:val="fr-FR" w:bidi="en-US"/>
        </w:rPr>
        <w:t>emploi, le développement rural, la lutte contre la pauvreté ainsi qu</w:t>
      </w:r>
      <w:r w:rsidR="00731F09" w:rsidRPr="00E1372C">
        <w:rPr>
          <w:lang w:val="fr-FR" w:bidi="en-US"/>
        </w:rPr>
        <w:t>’</w:t>
      </w:r>
      <w:r w:rsidR="00461C2B" w:rsidRPr="00E1372C">
        <w:rPr>
          <w:lang w:val="fr-FR" w:bidi="en-US"/>
        </w:rPr>
        <w:t>à remédier aux iniquités sociales. Afin de progresser et d</w:t>
      </w:r>
      <w:r w:rsidR="00731F09" w:rsidRPr="00E1372C">
        <w:rPr>
          <w:lang w:val="fr-FR" w:bidi="en-US"/>
        </w:rPr>
        <w:t>’</w:t>
      </w:r>
      <w:r w:rsidR="00461C2B" w:rsidRPr="00E1372C">
        <w:rPr>
          <w:lang w:val="fr-FR" w:bidi="en-US"/>
        </w:rPr>
        <w:t>encourager les communautés à exploiter le tourisme potentiel, le Gouvernement a créé, au Ministère de l</w:t>
      </w:r>
      <w:r w:rsidR="00731F09" w:rsidRPr="00E1372C">
        <w:rPr>
          <w:lang w:val="fr-FR" w:bidi="en-US"/>
        </w:rPr>
        <w:t>’</w:t>
      </w:r>
      <w:r w:rsidR="00461C2B" w:rsidRPr="00E1372C">
        <w:rPr>
          <w:lang w:val="fr-FR" w:bidi="en-US"/>
        </w:rPr>
        <w:t>environnement et du tourisme, un fonds destiné à subvenir financièrement à des projets de tourisme communautaire et ainsi à développer des entreprises de tourisme financièrement viables dans les zones tant rurales qu</w:t>
      </w:r>
      <w:r w:rsidR="00731F09" w:rsidRPr="00E1372C">
        <w:rPr>
          <w:lang w:val="fr-FR" w:bidi="en-US"/>
        </w:rPr>
        <w:t>’</w:t>
      </w:r>
      <w:r w:rsidR="00461C2B" w:rsidRPr="00E1372C">
        <w:rPr>
          <w:lang w:val="fr-FR" w:bidi="en-US"/>
        </w:rPr>
        <w:t>urbaines.</w:t>
      </w:r>
    </w:p>
    <w:p w:rsidR="00461C2B" w:rsidRPr="00E1372C" w:rsidRDefault="007A1757" w:rsidP="007A1757">
      <w:pPr>
        <w:pStyle w:val="SingleTxtG"/>
        <w:rPr>
          <w:lang w:val="fr-FR" w:bidi="en-US"/>
        </w:rPr>
      </w:pPr>
      <w:r w:rsidRPr="00E1372C">
        <w:rPr>
          <w:lang w:val="fr-FR" w:bidi="en-US"/>
        </w:rPr>
        <w:t>277.</w:t>
      </w:r>
      <w:r w:rsidRPr="00E1372C">
        <w:rPr>
          <w:lang w:val="fr-FR" w:bidi="en-US"/>
        </w:rPr>
        <w:tab/>
      </w:r>
      <w:r w:rsidR="00461C2B" w:rsidRPr="00E1372C">
        <w:rPr>
          <w:lang w:val="fr-FR" w:bidi="en-US"/>
        </w:rPr>
        <w:t>Le secteur agricole joue un rôle important dans le développement socioéconomique de la Namibie. Le Gouvernement a créé la Banque agricole de Namibie pour financer le développement agricole et rural afin de soutenir la croissance économique et le programme fructueux de réforme agraire par un régime de prêt. En 2007, le Gouvernement a modifié la loi n</w:t>
      </w:r>
      <w:r w:rsidR="00B277C4" w:rsidRPr="00E1372C">
        <w:rPr>
          <w:vertAlign w:val="superscript"/>
          <w:lang w:val="fr-FR" w:bidi="en-US"/>
        </w:rPr>
        <w:t>o</w:t>
      </w:r>
      <w:r w:rsidR="00461C2B" w:rsidRPr="00E1372C">
        <w:rPr>
          <w:lang w:val="fr-FR" w:bidi="en-US"/>
        </w:rPr>
        <w:t> 5 de 2003 portant création de la Banque agricole de Namibie en vue d</w:t>
      </w:r>
      <w:r w:rsidR="00731F09" w:rsidRPr="00E1372C">
        <w:rPr>
          <w:lang w:val="fr-FR" w:bidi="en-US"/>
        </w:rPr>
        <w:t>’</w:t>
      </w:r>
      <w:r w:rsidR="00461C2B" w:rsidRPr="00E1372C">
        <w:rPr>
          <w:lang w:val="fr-FR" w:bidi="en-US"/>
        </w:rPr>
        <w:t>é</w:t>
      </w:r>
      <w:r w:rsidR="001E2544" w:rsidRPr="00E1372C">
        <w:rPr>
          <w:lang w:val="fr-FR" w:bidi="en-US"/>
        </w:rPr>
        <w:t>tendre</w:t>
      </w:r>
      <w:r w:rsidR="00461C2B" w:rsidRPr="00E1372C">
        <w:rPr>
          <w:lang w:val="fr-FR" w:bidi="en-US"/>
        </w:rPr>
        <w:t xml:space="preserve"> les activités commerciales de la </w:t>
      </w:r>
      <w:r w:rsidR="00CD662D" w:rsidRPr="00E1372C">
        <w:rPr>
          <w:lang w:val="fr-FR" w:bidi="en-US"/>
        </w:rPr>
        <w:t>b</w:t>
      </w:r>
      <w:r w:rsidR="00461C2B" w:rsidRPr="00E1372C">
        <w:rPr>
          <w:lang w:val="fr-FR" w:bidi="en-US"/>
        </w:rPr>
        <w:t>anque à l</w:t>
      </w:r>
      <w:r w:rsidR="00731F09" w:rsidRPr="00E1372C">
        <w:rPr>
          <w:lang w:val="fr-FR" w:bidi="en-US"/>
        </w:rPr>
        <w:t>’</w:t>
      </w:r>
      <w:r w:rsidR="00461C2B" w:rsidRPr="00E1372C">
        <w:rPr>
          <w:lang w:val="fr-FR" w:bidi="en-US"/>
        </w:rPr>
        <w:t>écotourisme, l</w:t>
      </w:r>
      <w:r w:rsidR="00731F09" w:rsidRPr="00E1372C">
        <w:rPr>
          <w:lang w:val="fr-FR" w:bidi="en-US"/>
        </w:rPr>
        <w:t>’</w:t>
      </w:r>
      <w:r w:rsidR="00461C2B" w:rsidRPr="00E1372C">
        <w:rPr>
          <w:lang w:val="fr-FR" w:bidi="en-US"/>
        </w:rPr>
        <w:t>élevage de gibier et la chasse, l</w:t>
      </w:r>
      <w:r w:rsidR="00731F09" w:rsidRPr="00E1372C">
        <w:rPr>
          <w:lang w:val="fr-FR" w:bidi="en-US"/>
        </w:rPr>
        <w:t>’</w:t>
      </w:r>
      <w:r w:rsidR="00461C2B" w:rsidRPr="00E1372C">
        <w:rPr>
          <w:lang w:val="fr-FR" w:bidi="en-US"/>
        </w:rPr>
        <w:t>aquaculture, la première transformation des produits d</w:t>
      </w:r>
      <w:r w:rsidR="00731F09" w:rsidRPr="00E1372C">
        <w:rPr>
          <w:lang w:val="fr-FR" w:bidi="en-US"/>
        </w:rPr>
        <w:t>’</w:t>
      </w:r>
      <w:r w:rsidR="00461C2B" w:rsidRPr="00E1372C">
        <w:rPr>
          <w:lang w:val="fr-FR" w:bidi="en-US"/>
        </w:rPr>
        <w:t xml:space="preserve">origine végétale et animale, la sylviculture, </w:t>
      </w:r>
      <w:r w:rsidR="00D22EFE" w:rsidRPr="00E1372C">
        <w:rPr>
          <w:lang w:val="fr-FR" w:bidi="en-US"/>
        </w:rPr>
        <w:t>l</w:t>
      </w:r>
      <w:r w:rsidR="00731F09" w:rsidRPr="00E1372C">
        <w:rPr>
          <w:lang w:val="fr-FR" w:bidi="en-US"/>
        </w:rPr>
        <w:t>’</w:t>
      </w:r>
      <w:r w:rsidR="00D22EFE" w:rsidRPr="00E1372C">
        <w:rPr>
          <w:lang w:val="fr-FR" w:bidi="en-US"/>
        </w:rPr>
        <w:t>élevage d</w:t>
      </w:r>
      <w:r w:rsidR="00731F09" w:rsidRPr="00E1372C">
        <w:rPr>
          <w:lang w:val="fr-FR" w:bidi="en-US"/>
        </w:rPr>
        <w:t>’</w:t>
      </w:r>
      <w:r w:rsidR="00D22EFE" w:rsidRPr="00E1372C">
        <w:rPr>
          <w:lang w:val="fr-FR" w:bidi="en-US"/>
        </w:rPr>
        <w:t xml:space="preserve">insectes, la lutte et le traitement contre les parasites, </w:t>
      </w:r>
      <w:r w:rsidR="00461C2B" w:rsidRPr="00E1372C">
        <w:rPr>
          <w:lang w:val="fr-FR" w:bidi="en-US"/>
        </w:rPr>
        <w:t>le stockage et le transport à des fins agricoles.</w:t>
      </w:r>
    </w:p>
    <w:p w:rsidR="00461C2B" w:rsidRPr="00E1372C" w:rsidRDefault="007A1757" w:rsidP="007A1757">
      <w:pPr>
        <w:pStyle w:val="SingleTxtG"/>
        <w:rPr>
          <w:lang w:val="fr-FR" w:bidi="en-US"/>
        </w:rPr>
      </w:pPr>
      <w:r w:rsidRPr="00E1372C">
        <w:rPr>
          <w:lang w:val="fr-FR" w:bidi="en-US"/>
        </w:rPr>
        <w:t>278.</w:t>
      </w:r>
      <w:r w:rsidRPr="00E1372C">
        <w:rPr>
          <w:lang w:val="fr-FR" w:bidi="en-US"/>
        </w:rPr>
        <w:tab/>
      </w:r>
      <w:r w:rsidR="00461C2B" w:rsidRPr="00E1372C">
        <w:rPr>
          <w:lang w:val="fr-FR" w:bidi="en-US"/>
        </w:rPr>
        <w:t xml:space="preserve">Le Gouvernement </w:t>
      </w:r>
      <w:r w:rsidR="001E2544" w:rsidRPr="00E1372C">
        <w:rPr>
          <w:lang w:val="fr-FR" w:bidi="en-US"/>
        </w:rPr>
        <w:t>est</w:t>
      </w:r>
      <w:r w:rsidR="00461C2B" w:rsidRPr="00E1372C">
        <w:rPr>
          <w:lang w:val="fr-FR" w:bidi="en-US"/>
        </w:rPr>
        <w:t xml:space="preserve"> pleinement </w:t>
      </w:r>
      <w:r w:rsidR="001E2544" w:rsidRPr="00E1372C">
        <w:rPr>
          <w:lang w:val="fr-FR" w:bidi="en-US"/>
        </w:rPr>
        <w:t xml:space="preserve">conscient du fait </w:t>
      </w:r>
      <w:r w:rsidR="00461C2B" w:rsidRPr="00E1372C">
        <w:rPr>
          <w:lang w:val="fr-FR" w:bidi="en-US"/>
        </w:rPr>
        <w:t>que le programme de réforme agraire en cours ne permet pas de régler le problème de la pauvreté, dès lors que l</w:t>
      </w:r>
      <w:r w:rsidR="00731F09" w:rsidRPr="00E1372C">
        <w:rPr>
          <w:lang w:val="fr-FR" w:bidi="en-US"/>
        </w:rPr>
        <w:t>’</w:t>
      </w:r>
      <w:r w:rsidR="00461C2B" w:rsidRPr="00E1372C">
        <w:rPr>
          <w:lang w:val="fr-FR" w:bidi="en-US"/>
        </w:rPr>
        <w:t>agriculture en Namibie (en particulier à l</w:t>
      </w:r>
      <w:r w:rsidR="00731F09" w:rsidRPr="00E1372C">
        <w:rPr>
          <w:lang w:val="fr-FR" w:bidi="en-US"/>
        </w:rPr>
        <w:t>’</w:t>
      </w:r>
      <w:r w:rsidR="00461C2B" w:rsidRPr="00E1372C">
        <w:rPr>
          <w:lang w:val="fr-FR" w:bidi="en-US"/>
        </w:rPr>
        <w:t>échelon commercial) nécessite des services d</w:t>
      </w:r>
      <w:r w:rsidR="00731F09" w:rsidRPr="00E1372C">
        <w:rPr>
          <w:lang w:val="fr-FR" w:bidi="en-US"/>
        </w:rPr>
        <w:t>’</w:t>
      </w:r>
      <w:r w:rsidR="00461C2B" w:rsidRPr="00E1372C">
        <w:rPr>
          <w:lang w:val="fr-FR" w:bidi="en-US"/>
        </w:rPr>
        <w:t xml:space="preserve">experts qui sont très onéreux. </w:t>
      </w:r>
    </w:p>
    <w:p w:rsidR="00A55A0E" w:rsidRPr="00E1372C" w:rsidRDefault="007A1757" w:rsidP="007A1757">
      <w:pPr>
        <w:pStyle w:val="SingleTxtG"/>
        <w:rPr>
          <w:lang w:val="fr-FR" w:bidi="en-US"/>
        </w:rPr>
      </w:pPr>
      <w:r w:rsidRPr="00E1372C">
        <w:rPr>
          <w:lang w:val="fr-FR" w:bidi="en-US"/>
        </w:rPr>
        <w:t>279.</w:t>
      </w:r>
      <w:r w:rsidRPr="00E1372C">
        <w:rPr>
          <w:lang w:val="fr-FR" w:bidi="en-US"/>
        </w:rPr>
        <w:tab/>
      </w:r>
      <w:r w:rsidR="00461C2B" w:rsidRPr="00E1372C">
        <w:rPr>
          <w:lang w:val="fr-FR" w:bidi="en-US"/>
        </w:rPr>
        <w:t>Le Gouvernement a également implanté</w:t>
      </w:r>
      <w:r w:rsidR="00F11C7D" w:rsidRPr="00E1372C">
        <w:rPr>
          <w:lang w:val="fr-FR" w:bidi="en-US"/>
        </w:rPr>
        <w:t xml:space="preserve"> dans huit régions l</w:t>
      </w:r>
      <w:r w:rsidR="00731F09" w:rsidRPr="00E1372C">
        <w:rPr>
          <w:lang w:val="fr-FR" w:bidi="en-US"/>
        </w:rPr>
        <w:t>’</w:t>
      </w:r>
      <w:r w:rsidR="00F11C7D" w:rsidRPr="00E1372C">
        <w:rPr>
          <w:lang w:val="fr-FR" w:bidi="en-US"/>
        </w:rPr>
        <w:t>aquaculture communautaire en eau douce et encourage les communautés à vivre près des cours d</w:t>
      </w:r>
      <w:r w:rsidR="00731F09" w:rsidRPr="00E1372C">
        <w:rPr>
          <w:lang w:val="fr-FR" w:bidi="en-US"/>
        </w:rPr>
        <w:t>’</w:t>
      </w:r>
      <w:r w:rsidR="00F11C7D" w:rsidRPr="00E1372C">
        <w:rPr>
          <w:lang w:val="fr-FR" w:bidi="en-US"/>
        </w:rPr>
        <w:t>eau pérennes et des barrages pour exécuter d</w:t>
      </w:r>
      <w:r w:rsidR="00731F09" w:rsidRPr="00E1372C">
        <w:rPr>
          <w:lang w:val="fr-FR" w:bidi="en-US"/>
        </w:rPr>
        <w:t>’</w:t>
      </w:r>
      <w:r w:rsidR="00F11C7D" w:rsidRPr="00E1372C">
        <w:rPr>
          <w:lang w:val="fr-FR" w:bidi="en-US"/>
        </w:rPr>
        <w:t>autres projets de ce type</w:t>
      </w:r>
      <w:r w:rsidR="00DC2BB5" w:rsidRPr="00E1372C">
        <w:rPr>
          <w:lang w:val="fr-FR" w:bidi="en-US"/>
        </w:rPr>
        <w:t>;</w:t>
      </w:r>
      <w:r w:rsidR="00F11C7D" w:rsidRPr="00E1372C">
        <w:rPr>
          <w:lang w:val="fr-FR" w:bidi="en-US"/>
        </w:rPr>
        <w:t xml:space="preserve"> </w:t>
      </w:r>
      <w:r w:rsidR="00DC2BB5" w:rsidRPr="00E1372C">
        <w:rPr>
          <w:lang w:val="fr-FR" w:bidi="en-US"/>
        </w:rPr>
        <w:t>il</w:t>
      </w:r>
      <w:r w:rsidR="00F11C7D" w:rsidRPr="00E1372C">
        <w:rPr>
          <w:lang w:val="fr-FR" w:bidi="en-US"/>
        </w:rPr>
        <w:t xml:space="preserve"> a demandé au Ministère de la pêche et des ressources marines une assistance pour réduire la pauvreté, améliorer la sécurité alimentaire et créer des emplois. Le Gouvernement dispose d</w:t>
      </w:r>
      <w:r w:rsidR="00731F09" w:rsidRPr="00E1372C">
        <w:rPr>
          <w:lang w:val="fr-FR" w:bidi="en-US"/>
        </w:rPr>
        <w:t>’</w:t>
      </w:r>
      <w:r w:rsidR="00F11C7D" w:rsidRPr="00E1372C">
        <w:rPr>
          <w:lang w:val="fr-FR" w:bidi="en-US"/>
        </w:rPr>
        <w:t>un centre d</w:t>
      </w:r>
      <w:r w:rsidR="00731F09" w:rsidRPr="00E1372C">
        <w:rPr>
          <w:lang w:val="fr-FR" w:bidi="en-US"/>
        </w:rPr>
        <w:t>’</w:t>
      </w:r>
      <w:r w:rsidR="00F11C7D" w:rsidRPr="00E1372C">
        <w:rPr>
          <w:lang w:val="fr-FR" w:bidi="en-US"/>
        </w:rPr>
        <w:t>aquaculture à l</w:t>
      </w:r>
      <w:r w:rsidR="00731F09" w:rsidRPr="00E1372C">
        <w:rPr>
          <w:lang w:val="fr-FR" w:bidi="en-US"/>
        </w:rPr>
        <w:t>’</w:t>
      </w:r>
      <w:r w:rsidR="00F11C7D" w:rsidRPr="00E1372C">
        <w:rPr>
          <w:lang w:val="fr-FR" w:bidi="en-US"/>
        </w:rPr>
        <w:t>intérieur</w:t>
      </w:r>
      <w:r w:rsidR="00AE017E" w:rsidRPr="00E1372C">
        <w:rPr>
          <w:lang w:val="fr-FR" w:bidi="en-US"/>
        </w:rPr>
        <w:t xml:space="preserve"> </w:t>
      </w:r>
      <w:r w:rsidR="00F11C7D" w:rsidRPr="00E1372C">
        <w:rPr>
          <w:lang w:val="fr-FR" w:bidi="en-US"/>
        </w:rPr>
        <w:t>du pays qui a pour objectifs la formation, l</w:t>
      </w:r>
      <w:r w:rsidR="00731F09" w:rsidRPr="00E1372C">
        <w:rPr>
          <w:lang w:val="fr-FR" w:bidi="en-US"/>
        </w:rPr>
        <w:t>’</w:t>
      </w:r>
      <w:r w:rsidR="00F11C7D" w:rsidRPr="00E1372C">
        <w:rPr>
          <w:lang w:val="fr-FR" w:bidi="en-US"/>
        </w:rPr>
        <w:t>élevage et la production d</w:t>
      </w:r>
      <w:r w:rsidR="00731F09" w:rsidRPr="00E1372C">
        <w:rPr>
          <w:lang w:val="fr-FR" w:bidi="en-US"/>
        </w:rPr>
        <w:t>’</w:t>
      </w:r>
      <w:r w:rsidR="00F11C7D" w:rsidRPr="00E1372C">
        <w:rPr>
          <w:lang w:val="fr-FR" w:bidi="en-US"/>
        </w:rPr>
        <w:t>alevins destinés à l</w:t>
      </w:r>
      <w:r w:rsidR="00731F09" w:rsidRPr="00E1372C">
        <w:rPr>
          <w:lang w:val="fr-FR" w:bidi="en-US"/>
        </w:rPr>
        <w:t>’</w:t>
      </w:r>
      <w:r w:rsidR="00F11C7D" w:rsidRPr="00E1372C">
        <w:rPr>
          <w:lang w:val="fr-FR" w:bidi="en-US"/>
        </w:rPr>
        <w:t>aquaculture communautaire en eau douce. Le tilapia à trois bandes et le poisson-chat africain sont les principales espèces utilisées dans l</w:t>
      </w:r>
      <w:r w:rsidR="00731F09" w:rsidRPr="00E1372C">
        <w:rPr>
          <w:lang w:val="fr-FR" w:bidi="en-US"/>
        </w:rPr>
        <w:t>’</w:t>
      </w:r>
      <w:r w:rsidR="00F11C7D" w:rsidRPr="00E1372C">
        <w:rPr>
          <w:lang w:val="fr-FR" w:bidi="en-US"/>
        </w:rPr>
        <w:t xml:space="preserve">aquaculture en eau douce. Le </w:t>
      </w:r>
      <w:r w:rsidR="009B7FFC" w:rsidRPr="00E1372C">
        <w:rPr>
          <w:lang w:val="fr-FR" w:bidi="en-US"/>
        </w:rPr>
        <w:t>M</w:t>
      </w:r>
      <w:r w:rsidR="00F11C7D" w:rsidRPr="00E1372C">
        <w:rPr>
          <w:lang w:val="fr-FR" w:bidi="en-US"/>
        </w:rPr>
        <w:t>inistère a également instauré l</w:t>
      </w:r>
      <w:r w:rsidR="00731F09" w:rsidRPr="00E1372C">
        <w:rPr>
          <w:lang w:val="fr-FR" w:bidi="en-US"/>
        </w:rPr>
        <w:t>’</w:t>
      </w:r>
      <w:r w:rsidR="00F11C7D" w:rsidRPr="00E1372C">
        <w:rPr>
          <w:lang w:val="fr-FR" w:bidi="en-US"/>
        </w:rPr>
        <w:t xml:space="preserve">Institut de la pêche intérieure de </w:t>
      </w:r>
      <w:r w:rsidR="00A55A0E" w:rsidRPr="00E1372C">
        <w:rPr>
          <w:lang w:val="fr-FR" w:bidi="en-US"/>
        </w:rPr>
        <w:t>Kamutjonga</w:t>
      </w:r>
      <w:r w:rsidR="00F11C7D" w:rsidRPr="00E1372C">
        <w:rPr>
          <w:lang w:val="fr-FR" w:bidi="en-US"/>
        </w:rPr>
        <w:t>, qui sert de centre de formation et de recherche dans le pays.</w:t>
      </w:r>
    </w:p>
    <w:p w:rsidR="00A55A0E" w:rsidRPr="00E1372C" w:rsidRDefault="00BE40BB" w:rsidP="00BE40BB">
      <w:pPr>
        <w:pStyle w:val="H23G"/>
        <w:rPr>
          <w:lang w:val="fr-FR" w:bidi="en-US"/>
        </w:rPr>
      </w:pPr>
      <w:r w:rsidRPr="00E1372C">
        <w:rPr>
          <w:lang w:val="fr-FR" w:bidi="en-US"/>
        </w:rPr>
        <w:tab/>
      </w:r>
      <w:r w:rsidRPr="00E1372C">
        <w:rPr>
          <w:lang w:val="fr-FR" w:bidi="en-US"/>
        </w:rPr>
        <w:tab/>
      </w:r>
      <w:r w:rsidR="00A55A0E" w:rsidRPr="00E1372C">
        <w:rPr>
          <w:lang w:val="fr-FR" w:bidi="en-US"/>
        </w:rPr>
        <w:t>Acc</w:t>
      </w:r>
      <w:r w:rsidR="00F11C7D" w:rsidRPr="00E1372C">
        <w:rPr>
          <w:lang w:val="fr-FR" w:bidi="en-US"/>
        </w:rPr>
        <w:t>ès à l</w:t>
      </w:r>
      <w:r w:rsidR="00731F09" w:rsidRPr="00E1372C">
        <w:rPr>
          <w:lang w:val="fr-FR" w:bidi="en-US"/>
        </w:rPr>
        <w:t>’</w:t>
      </w:r>
      <w:r w:rsidR="00F11C7D" w:rsidRPr="00E1372C">
        <w:rPr>
          <w:lang w:val="fr-FR" w:bidi="en-US"/>
        </w:rPr>
        <w:t>eau potable</w:t>
      </w:r>
    </w:p>
    <w:p w:rsidR="00F11C7D" w:rsidRPr="00E1372C" w:rsidRDefault="007A1757" w:rsidP="007A1757">
      <w:pPr>
        <w:pStyle w:val="SingleTxtG"/>
        <w:rPr>
          <w:lang w:val="fr-FR" w:bidi="en-US"/>
        </w:rPr>
      </w:pPr>
      <w:r w:rsidRPr="00E1372C">
        <w:rPr>
          <w:lang w:val="fr-FR" w:bidi="en-US"/>
        </w:rPr>
        <w:t>280.</w:t>
      </w:r>
      <w:r w:rsidRPr="00E1372C">
        <w:rPr>
          <w:lang w:val="fr-FR" w:bidi="en-US"/>
        </w:rPr>
        <w:tab/>
      </w:r>
      <w:r w:rsidR="00F11C7D" w:rsidRPr="00E1372C">
        <w:rPr>
          <w:lang w:val="fr-FR" w:bidi="en-US"/>
        </w:rPr>
        <w:t xml:space="preserve">La </w:t>
      </w:r>
      <w:r w:rsidR="00A55A0E" w:rsidRPr="00E1372C">
        <w:rPr>
          <w:lang w:val="fr-FR" w:bidi="en-US"/>
        </w:rPr>
        <w:t>Namibi</w:t>
      </w:r>
      <w:r w:rsidR="00F11C7D" w:rsidRPr="00E1372C">
        <w:rPr>
          <w:lang w:val="fr-FR" w:bidi="en-US"/>
        </w:rPr>
        <w:t>e est un pays qui manque d</w:t>
      </w:r>
      <w:r w:rsidR="00731F09" w:rsidRPr="00E1372C">
        <w:rPr>
          <w:lang w:val="fr-FR" w:bidi="en-US"/>
        </w:rPr>
        <w:t>’</w:t>
      </w:r>
      <w:r w:rsidR="00F11C7D" w:rsidRPr="00E1372C">
        <w:rPr>
          <w:lang w:val="fr-FR" w:bidi="en-US"/>
        </w:rPr>
        <w:t xml:space="preserve">eau, excepté dans les parties septentrionales et la vaste nappe souterraine </w:t>
      </w:r>
      <w:r w:rsidR="00A55A0E" w:rsidRPr="00E1372C">
        <w:rPr>
          <w:lang w:val="fr-FR" w:bidi="en-US"/>
        </w:rPr>
        <w:t>Tsumeb-Otavi-Grootfontein</w:t>
      </w:r>
      <w:r w:rsidR="00F11C7D" w:rsidRPr="00E1372C">
        <w:rPr>
          <w:lang w:val="fr-FR" w:bidi="en-US"/>
        </w:rPr>
        <w:t>. Les eaux de surface sont déficitaires et l</w:t>
      </w:r>
      <w:r w:rsidR="00731F09" w:rsidRPr="00E1372C">
        <w:rPr>
          <w:lang w:val="fr-FR" w:bidi="en-US"/>
        </w:rPr>
        <w:t>’</w:t>
      </w:r>
      <w:r w:rsidR="00F11C7D" w:rsidRPr="00E1372C">
        <w:rPr>
          <w:lang w:val="fr-FR" w:bidi="en-US"/>
        </w:rPr>
        <w:t>approvisionnement par les trois principaux cours d</w:t>
      </w:r>
      <w:r w:rsidR="00731F09" w:rsidRPr="00E1372C">
        <w:rPr>
          <w:lang w:val="fr-FR" w:bidi="en-US"/>
        </w:rPr>
        <w:t>’</w:t>
      </w:r>
      <w:r w:rsidR="00F11C7D" w:rsidRPr="00E1372C">
        <w:rPr>
          <w:lang w:val="fr-FR" w:bidi="en-US"/>
        </w:rPr>
        <w:t>eau pérennes dépend d</w:t>
      </w:r>
      <w:r w:rsidR="00731F09" w:rsidRPr="00E1372C">
        <w:rPr>
          <w:lang w:val="fr-FR" w:bidi="en-US"/>
        </w:rPr>
        <w:t>’</w:t>
      </w:r>
      <w:r w:rsidR="00F11C7D" w:rsidRPr="00E1372C">
        <w:rPr>
          <w:lang w:val="fr-FR" w:bidi="en-US"/>
        </w:rPr>
        <w:t>accords avec les pays voisins.</w:t>
      </w:r>
    </w:p>
    <w:p w:rsidR="00F11C7D" w:rsidRPr="00E1372C" w:rsidRDefault="007A1757" w:rsidP="007A1757">
      <w:pPr>
        <w:pStyle w:val="SingleTxtG"/>
        <w:rPr>
          <w:lang w:val="fr-FR" w:bidi="en-US"/>
        </w:rPr>
      </w:pPr>
      <w:r w:rsidRPr="00E1372C">
        <w:rPr>
          <w:lang w:val="fr-FR" w:bidi="en-US"/>
        </w:rPr>
        <w:t>281.</w:t>
      </w:r>
      <w:r w:rsidRPr="00E1372C">
        <w:rPr>
          <w:lang w:val="fr-FR" w:bidi="en-US"/>
        </w:rPr>
        <w:tab/>
      </w:r>
      <w:r w:rsidR="00F11C7D" w:rsidRPr="00E1372C">
        <w:rPr>
          <w:lang w:val="fr-FR"/>
        </w:rPr>
        <w:t>En Namibie, les principales sources d</w:t>
      </w:r>
      <w:r w:rsidR="00731F09" w:rsidRPr="00E1372C">
        <w:rPr>
          <w:lang w:val="fr-FR"/>
        </w:rPr>
        <w:t>’</w:t>
      </w:r>
      <w:r w:rsidR="00F11C7D" w:rsidRPr="00E1372C">
        <w:rPr>
          <w:lang w:val="fr-FR"/>
        </w:rPr>
        <w:t>eau potable sont l</w:t>
      </w:r>
      <w:r w:rsidR="00731F09" w:rsidRPr="00E1372C">
        <w:rPr>
          <w:lang w:val="fr-FR"/>
        </w:rPr>
        <w:t>’</w:t>
      </w:r>
      <w:r w:rsidR="00F11C7D" w:rsidRPr="00E1372C">
        <w:rPr>
          <w:lang w:val="fr-FR"/>
        </w:rPr>
        <w:t>eau courante, les forages, les puits protégés, les eaux stagnantes et les aquifères/rivières. Depuis l</w:t>
      </w:r>
      <w:r w:rsidR="00731F09" w:rsidRPr="00E1372C">
        <w:rPr>
          <w:lang w:val="fr-FR"/>
        </w:rPr>
        <w:t>’</w:t>
      </w:r>
      <w:r w:rsidR="00F11C7D" w:rsidRPr="00E1372C">
        <w:rPr>
          <w:lang w:val="fr-FR"/>
        </w:rPr>
        <w:t>indépendance, le Gouvernement s</w:t>
      </w:r>
      <w:r w:rsidR="00731F09" w:rsidRPr="00E1372C">
        <w:rPr>
          <w:lang w:val="fr-FR"/>
        </w:rPr>
        <w:t>’</w:t>
      </w:r>
      <w:r w:rsidR="00F11C7D" w:rsidRPr="00E1372C">
        <w:rPr>
          <w:lang w:val="fr-FR"/>
        </w:rPr>
        <w:t>est employé</w:t>
      </w:r>
      <w:r w:rsidR="009F643B" w:rsidRPr="00E1372C">
        <w:rPr>
          <w:lang w:val="fr-FR"/>
        </w:rPr>
        <w:t>,</w:t>
      </w:r>
      <w:r w:rsidR="00F11C7D" w:rsidRPr="00E1372C">
        <w:rPr>
          <w:lang w:val="fr-FR"/>
        </w:rPr>
        <w:t xml:space="preserve"> en coopération avec le Ministère de l</w:t>
      </w:r>
      <w:r w:rsidR="00731F09" w:rsidRPr="00E1372C">
        <w:rPr>
          <w:lang w:val="fr-FR"/>
        </w:rPr>
        <w:t>’</w:t>
      </w:r>
      <w:r w:rsidR="00F11C7D" w:rsidRPr="00E1372C">
        <w:rPr>
          <w:lang w:val="fr-FR"/>
        </w:rPr>
        <w:t>agriculture, des eaux et forêts</w:t>
      </w:r>
      <w:r w:rsidR="009F643B" w:rsidRPr="00E1372C">
        <w:rPr>
          <w:lang w:val="fr-FR"/>
        </w:rPr>
        <w:t>,</w:t>
      </w:r>
      <w:r w:rsidR="00F11C7D" w:rsidRPr="00E1372C">
        <w:rPr>
          <w:lang w:val="fr-FR"/>
        </w:rPr>
        <w:t xml:space="preserve"> à développer l</w:t>
      </w:r>
      <w:r w:rsidR="00731F09" w:rsidRPr="00E1372C">
        <w:rPr>
          <w:lang w:val="fr-FR"/>
        </w:rPr>
        <w:t>’</w:t>
      </w:r>
      <w:r w:rsidR="00F11C7D" w:rsidRPr="00E1372C">
        <w:rPr>
          <w:lang w:val="fr-FR"/>
        </w:rPr>
        <w:t>infrastructure pour améliorer l</w:t>
      </w:r>
      <w:r w:rsidR="00731F09" w:rsidRPr="00E1372C">
        <w:rPr>
          <w:lang w:val="fr-FR"/>
        </w:rPr>
        <w:t>’</w:t>
      </w:r>
      <w:r w:rsidR="00F11C7D" w:rsidRPr="00E1372C">
        <w:rPr>
          <w:lang w:val="fr-FR"/>
        </w:rPr>
        <w:t>approvisionnement en eau potable à prix abordable dans les régions rurales. Ainsi, il a suivi une démarche globale et concertée tant pour formuler que pour appliquer les stratégies et orientations liées à l</w:t>
      </w:r>
      <w:r w:rsidR="00731F09" w:rsidRPr="00E1372C">
        <w:rPr>
          <w:lang w:val="fr-FR"/>
        </w:rPr>
        <w:t>’</w:t>
      </w:r>
      <w:r w:rsidR="00F11C7D" w:rsidRPr="00E1372C">
        <w:rPr>
          <w:lang w:val="fr-FR"/>
        </w:rPr>
        <w:t>approvisionnement en eau dans les campagnes. Cette démarche s</w:t>
      </w:r>
      <w:r w:rsidR="00731F09" w:rsidRPr="00E1372C">
        <w:rPr>
          <w:lang w:val="fr-FR"/>
        </w:rPr>
        <w:t>’</w:t>
      </w:r>
      <w:r w:rsidR="00F11C7D" w:rsidRPr="00E1372C">
        <w:rPr>
          <w:lang w:val="fr-FR"/>
        </w:rPr>
        <w:t>est conclue par l</w:t>
      </w:r>
      <w:r w:rsidR="00731F09" w:rsidRPr="00E1372C">
        <w:rPr>
          <w:lang w:val="fr-FR"/>
        </w:rPr>
        <w:t>’</w:t>
      </w:r>
      <w:r w:rsidR="00F11C7D" w:rsidRPr="00E1372C">
        <w:rPr>
          <w:lang w:val="fr-FR"/>
        </w:rPr>
        <w:t>élaboration de deux documents directifs essentiels</w:t>
      </w:r>
      <w:r w:rsidR="00AE017E" w:rsidRPr="00E1372C">
        <w:rPr>
          <w:lang w:val="fr-FR"/>
        </w:rPr>
        <w:t>:</w:t>
      </w:r>
      <w:r w:rsidR="00F11C7D" w:rsidRPr="00E1372C">
        <w:rPr>
          <w:lang w:val="fr-FR"/>
        </w:rPr>
        <w:t xml:space="preserve"> </w:t>
      </w:r>
      <w:r w:rsidR="009F643B" w:rsidRPr="00E1372C">
        <w:rPr>
          <w:lang w:val="fr-FR"/>
        </w:rPr>
        <w:t>p</w:t>
      </w:r>
      <w:r w:rsidR="00F11C7D" w:rsidRPr="00E1372C">
        <w:rPr>
          <w:lang w:val="fr-FR"/>
        </w:rPr>
        <w:t>olitique en matière d</w:t>
      </w:r>
      <w:r w:rsidR="00731F09" w:rsidRPr="00E1372C">
        <w:rPr>
          <w:lang w:val="fr-FR"/>
        </w:rPr>
        <w:t>’</w:t>
      </w:r>
      <w:r w:rsidR="00F11C7D" w:rsidRPr="00E1372C">
        <w:rPr>
          <w:lang w:val="fr-FR"/>
        </w:rPr>
        <w:t>eau et d</w:t>
      </w:r>
      <w:r w:rsidR="00731F09" w:rsidRPr="00E1372C">
        <w:rPr>
          <w:lang w:val="fr-FR"/>
        </w:rPr>
        <w:t>’</w:t>
      </w:r>
      <w:r w:rsidR="00F11C7D" w:rsidRPr="00E1372C">
        <w:rPr>
          <w:lang w:val="fr-FR"/>
        </w:rPr>
        <w:t xml:space="preserve">assainissement et </w:t>
      </w:r>
      <w:r w:rsidR="009F643B" w:rsidRPr="00E1372C">
        <w:rPr>
          <w:lang w:val="fr-FR"/>
        </w:rPr>
        <w:t>s</w:t>
      </w:r>
      <w:r w:rsidR="003A4BB6" w:rsidRPr="00E1372C">
        <w:rPr>
          <w:lang w:val="fr-FR"/>
        </w:rPr>
        <w:t>tratégie de gestion communautaire.</w:t>
      </w:r>
    </w:p>
    <w:p w:rsidR="003A4BB6" w:rsidRPr="00E1372C" w:rsidRDefault="007A1757" w:rsidP="007A1757">
      <w:pPr>
        <w:pStyle w:val="SingleTxtG"/>
        <w:rPr>
          <w:lang w:val="fr-FR" w:bidi="en-US"/>
        </w:rPr>
      </w:pPr>
      <w:r w:rsidRPr="00E1372C">
        <w:rPr>
          <w:lang w:val="fr-FR" w:bidi="en-US"/>
        </w:rPr>
        <w:t>282.</w:t>
      </w:r>
      <w:r w:rsidRPr="00E1372C">
        <w:rPr>
          <w:lang w:val="fr-FR" w:bidi="en-US"/>
        </w:rPr>
        <w:tab/>
      </w:r>
      <w:r w:rsidR="003A4BB6" w:rsidRPr="00E1372C">
        <w:rPr>
          <w:lang w:val="fr-FR" w:bidi="en-US"/>
        </w:rPr>
        <w:t xml:space="preserve">La </w:t>
      </w:r>
      <w:r w:rsidR="00A55A0E" w:rsidRPr="00E1372C">
        <w:rPr>
          <w:lang w:val="fr-FR" w:bidi="en-US"/>
        </w:rPr>
        <w:t>Namibi</w:t>
      </w:r>
      <w:r w:rsidR="003A4BB6" w:rsidRPr="00E1372C">
        <w:rPr>
          <w:lang w:val="fr-FR" w:bidi="en-US"/>
        </w:rPr>
        <w:t>e compte 126 installations d</w:t>
      </w:r>
      <w:r w:rsidR="00731F09" w:rsidRPr="00E1372C">
        <w:rPr>
          <w:lang w:val="fr-FR" w:bidi="en-US"/>
        </w:rPr>
        <w:t>’</w:t>
      </w:r>
      <w:r w:rsidR="003A4BB6" w:rsidRPr="00E1372C">
        <w:rPr>
          <w:lang w:val="fr-FR" w:bidi="en-US"/>
        </w:rPr>
        <w:t>approvisionnement en eau qui subviennent aux besoins domestiques, à l</w:t>
      </w:r>
      <w:r w:rsidR="00731F09" w:rsidRPr="00E1372C">
        <w:rPr>
          <w:lang w:val="fr-FR" w:bidi="en-US"/>
        </w:rPr>
        <w:t>’</w:t>
      </w:r>
      <w:r w:rsidR="003A4BB6" w:rsidRPr="00E1372C">
        <w:rPr>
          <w:lang w:val="fr-FR" w:bidi="en-US"/>
        </w:rPr>
        <w:t>abreuvement du bétail, aux industries extractives, à l</w:t>
      </w:r>
      <w:r w:rsidR="00731F09" w:rsidRPr="00E1372C">
        <w:rPr>
          <w:lang w:val="fr-FR" w:bidi="en-US"/>
        </w:rPr>
        <w:t>’</w:t>
      </w:r>
      <w:r w:rsidR="003A4BB6" w:rsidRPr="00E1372C">
        <w:rPr>
          <w:lang w:val="fr-FR" w:bidi="en-US"/>
        </w:rPr>
        <w:t>irrigation et à l</w:t>
      </w:r>
      <w:r w:rsidR="00731F09" w:rsidRPr="00E1372C">
        <w:rPr>
          <w:lang w:val="fr-FR" w:bidi="en-US"/>
        </w:rPr>
        <w:t>’</w:t>
      </w:r>
      <w:r w:rsidR="003A4BB6" w:rsidRPr="00E1372C">
        <w:rPr>
          <w:lang w:val="fr-FR" w:bidi="en-US"/>
        </w:rPr>
        <w:t>industrie. L</w:t>
      </w:r>
      <w:r w:rsidR="00731F09" w:rsidRPr="00E1372C">
        <w:rPr>
          <w:lang w:val="fr-FR" w:bidi="en-US"/>
        </w:rPr>
        <w:t>’</w:t>
      </w:r>
      <w:r w:rsidR="009F643B" w:rsidRPr="00E1372C">
        <w:rPr>
          <w:lang w:val="fr-FR" w:bidi="en-US"/>
        </w:rPr>
        <w:t>e</w:t>
      </w:r>
      <w:r w:rsidR="003A4BB6" w:rsidRPr="00E1372C">
        <w:rPr>
          <w:lang w:val="fr-FR" w:bidi="en-US"/>
        </w:rPr>
        <w:t xml:space="preserve">nquête sur les revenus et les dépenses des ménages </w:t>
      </w:r>
      <w:r w:rsidR="009F643B" w:rsidRPr="00E1372C">
        <w:rPr>
          <w:lang w:val="fr-FR" w:bidi="en-US"/>
        </w:rPr>
        <w:t xml:space="preserve">namibiens </w:t>
      </w:r>
      <w:r w:rsidR="003A4BB6" w:rsidRPr="00E1372C">
        <w:rPr>
          <w:lang w:val="fr-FR" w:bidi="en-US"/>
        </w:rPr>
        <w:t>de 2009</w:t>
      </w:r>
      <w:r w:rsidR="004738C7" w:rsidRPr="00E1372C">
        <w:rPr>
          <w:lang w:val="fr-FR" w:bidi="en-US"/>
        </w:rPr>
        <w:t>/</w:t>
      </w:r>
      <w:r w:rsidR="003A4BB6" w:rsidRPr="00E1372C">
        <w:rPr>
          <w:lang w:val="fr-FR" w:bidi="en-US"/>
        </w:rPr>
        <w:t>10 a révélé que 75</w:t>
      </w:r>
      <w:r w:rsidR="007064FC" w:rsidRPr="00E1372C">
        <w:rPr>
          <w:lang w:val="fr-FR" w:bidi="en-US"/>
        </w:rPr>
        <w:t> %</w:t>
      </w:r>
      <w:r w:rsidR="003A4BB6" w:rsidRPr="00E1372C">
        <w:rPr>
          <w:lang w:val="fr-FR" w:bidi="en-US"/>
        </w:rPr>
        <w:t xml:space="preserve"> de tous les ménages utilisaient, comme principale source d</w:t>
      </w:r>
      <w:r w:rsidR="00731F09" w:rsidRPr="00E1372C">
        <w:rPr>
          <w:lang w:val="fr-FR" w:bidi="en-US"/>
        </w:rPr>
        <w:t>’</w:t>
      </w:r>
      <w:r w:rsidR="003A4BB6" w:rsidRPr="00E1372C">
        <w:rPr>
          <w:lang w:val="fr-FR" w:bidi="en-US"/>
        </w:rPr>
        <w:t>eau potable, l</w:t>
      </w:r>
      <w:r w:rsidR="00731F09" w:rsidRPr="00E1372C">
        <w:rPr>
          <w:lang w:val="fr-FR" w:bidi="en-US"/>
        </w:rPr>
        <w:t>’</w:t>
      </w:r>
      <w:r w:rsidR="003A4BB6" w:rsidRPr="00E1372C">
        <w:rPr>
          <w:lang w:val="fr-FR" w:bidi="en-US"/>
        </w:rPr>
        <w:t>eau distribuée par canalisation, 12</w:t>
      </w:r>
      <w:r w:rsidR="007064FC" w:rsidRPr="00E1372C">
        <w:rPr>
          <w:lang w:val="fr-FR" w:bidi="en-US"/>
        </w:rPr>
        <w:t> %</w:t>
      </w:r>
      <w:r w:rsidR="003A4BB6" w:rsidRPr="00E1372C">
        <w:rPr>
          <w:lang w:val="fr-FR" w:bidi="en-US"/>
        </w:rPr>
        <w:t xml:space="preserve"> par forage ou puits protégés, 8</w:t>
      </w:r>
      <w:r w:rsidR="007064FC" w:rsidRPr="00E1372C">
        <w:rPr>
          <w:lang w:val="fr-FR" w:bidi="en-US"/>
        </w:rPr>
        <w:t> %</w:t>
      </w:r>
      <w:r w:rsidR="003A4BB6" w:rsidRPr="00E1372C">
        <w:rPr>
          <w:lang w:val="fr-FR" w:bidi="en-US"/>
        </w:rPr>
        <w:t xml:space="preserve"> l</w:t>
      </w:r>
      <w:r w:rsidR="00731F09" w:rsidRPr="00E1372C">
        <w:rPr>
          <w:lang w:val="fr-FR" w:bidi="en-US"/>
        </w:rPr>
        <w:t>’</w:t>
      </w:r>
      <w:r w:rsidR="003A4BB6" w:rsidRPr="00E1372C">
        <w:rPr>
          <w:lang w:val="fr-FR" w:bidi="en-US"/>
        </w:rPr>
        <w:t>eau stagnante et 5</w:t>
      </w:r>
      <w:r w:rsidR="007064FC" w:rsidRPr="00E1372C">
        <w:rPr>
          <w:lang w:val="fr-FR" w:bidi="en-US"/>
        </w:rPr>
        <w:t> %</w:t>
      </w:r>
      <w:r w:rsidR="003A4BB6" w:rsidRPr="00E1372C">
        <w:rPr>
          <w:lang w:val="fr-FR" w:bidi="en-US"/>
        </w:rPr>
        <w:t xml:space="preserve"> l</w:t>
      </w:r>
      <w:r w:rsidR="00731F09" w:rsidRPr="00E1372C">
        <w:rPr>
          <w:lang w:val="fr-FR" w:bidi="en-US"/>
        </w:rPr>
        <w:t>’</w:t>
      </w:r>
      <w:r w:rsidR="003A4BB6" w:rsidRPr="00E1372C">
        <w:rPr>
          <w:lang w:val="fr-FR" w:bidi="en-US"/>
        </w:rPr>
        <w:t>eau courante ou fluviale.</w:t>
      </w:r>
      <w:r w:rsidR="00FE64A0" w:rsidRPr="00E1372C">
        <w:rPr>
          <w:lang w:val="fr-FR" w:bidi="en-US"/>
        </w:rPr>
        <w:t xml:space="preserve"> Une grande proportion de ménages urbains utilise les conduites d</w:t>
      </w:r>
      <w:r w:rsidR="00731F09" w:rsidRPr="00E1372C">
        <w:rPr>
          <w:lang w:val="fr-FR" w:bidi="en-US"/>
        </w:rPr>
        <w:t>’</w:t>
      </w:r>
      <w:r w:rsidR="00FE64A0" w:rsidRPr="00E1372C">
        <w:rPr>
          <w:lang w:val="fr-FR" w:bidi="en-US"/>
        </w:rPr>
        <w:t>eau (99</w:t>
      </w:r>
      <w:r w:rsidR="007064FC" w:rsidRPr="00E1372C">
        <w:rPr>
          <w:lang w:val="fr-FR" w:bidi="en-US"/>
        </w:rPr>
        <w:t> %</w:t>
      </w:r>
      <w:r w:rsidR="00FE64A0" w:rsidRPr="00E1372C">
        <w:rPr>
          <w:lang w:val="fr-FR" w:bidi="en-US"/>
        </w:rPr>
        <w:t>) par rapport à 58</w:t>
      </w:r>
      <w:r w:rsidR="007064FC" w:rsidRPr="00E1372C">
        <w:rPr>
          <w:lang w:val="fr-FR" w:bidi="en-US"/>
        </w:rPr>
        <w:t> %</w:t>
      </w:r>
      <w:r w:rsidR="00FE64A0" w:rsidRPr="00E1372C">
        <w:rPr>
          <w:lang w:val="fr-FR" w:bidi="en-US"/>
        </w:rPr>
        <w:t xml:space="preserve"> des ménages ruraux.</w:t>
      </w:r>
    </w:p>
    <w:p w:rsidR="00A55A0E" w:rsidRPr="00E1372C" w:rsidRDefault="007A1757" w:rsidP="007A1757">
      <w:pPr>
        <w:pStyle w:val="SingleTxtG"/>
        <w:rPr>
          <w:lang w:val="fr-FR" w:bidi="en-US"/>
        </w:rPr>
      </w:pPr>
      <w:r w:rsidRPr="00E1372C">
        <w:rPr>
          <w:lang w:val="fr-FR" w:bidi="en-US"/>
        </w:rPr>
        <w:t>283.</w:t>
      </w:r>
      <w:r w:rsidRPr="00E1372C">
        <w:rPr>
          <w:lang w:val="fr-FR" w:bidi="en-US"/>
        </w:rPr>
        <w:tab/>
      </w:r>
      <w:r w:rsidR="00FE64A0" w:rsidRPr="00E1372C">
        <w:rPr>
          <w:lang w:val="fr-FR"/>
        </w:rPr>
        <w:t>L</w:t>
      </w:r>
      <w:r w:rsidR="00731F09" w:rsidRPr="00E1372C">
        <w:rPr>
          <w:lang w:val="fr-FR"/>
        </w:rPr>
        <w:t>’</w:t>
      </w:r>
      <w:r w:rsidR="00FE64A0" w:rsidRPr="00E1372C">
        <w:rPr>
          <w:lang w:val="fr-FR"/>
        </w:rPr>
        <w:t>enquête sur les revenus et les dépenses des ménages namibiens a montré que 72</w:t>
      </w:r>
      <w:r w:rsidR="007064FC" w:rsidRPr="00E1372C">
        <w:rPr>
          <w:lang w:val="fr-FR"/>
        </w:rPr>
        <w:t> %</w:t>
      </w:r>
      <w:r w:rsidR="00FE64A0" w:rsidRPr="00E1372C">
        <w:rPr>
          <w:lang w:val="fr-FR"/>
        </w:rPr>
        <w:t xml:space="preserve"> des ménages se trouvent à moins de 1 kilomètre d</w:t>
      </w:r>
      <w:r w:rsidR="00731F09" w:rsidRPr="00E1372C">
        <w:rPr>
          <w:lang w:val="fr-FR"/>
        </w:rPr>
        <w:t>’</w:t>
      </w:r>
      <w:r w:rsidR="00FE64A0" w:rsidRPr="00E1372C">
        <w:rPr>
          <w:lang w:val="fr-FR"/>
        </w:rPr>
        <w:t>une source d</w:t>
      </w:r>
      <w:r w:rsidR="00731F09" w:rsidRPr="00E1372C">
        <w:rPr>
          <w:lang w:val="fr-FR"/>
        </w:rPr>
        <w:t>’</w:t>
      </w:r>
      <w:r w:rsidR="00FE64A0" w:rsidRPr="00E1372C">
        <w:rPr>
          <w:lang w:val="fr-FR"/>
        </w:rPr>
        <w:t>eau potable, 20</w:t>
      </w:r>
      <w:r w:rsidR="007064FC" w:rsidRPr="00E1372C">
        <w:rPr>
          <w:lang w:val="fr-FR"/>
        </w:rPr>
        <w:t> %</w:t>
      </w:r>
      <w:r w:rsidR="00FE64A0" w:rsidRPr="00E1372C">
        <w:rPr>
          <w:lang w:val="fr-FR"/>
        </w:rPr>
        <w:t xml:space="preserve"> et 8</w:t>
      </w:r>
      <w:r w:rsidR="007064FC" w:rsidRPr="00E1372C">
        <w:rPr>
          <w:lang w:val="fr-FR"/>
        </w:rPr>
        <w:t> %</w:t>
      </w:r>
      <w:r w:rsidR="00FE64A0" w:rsidRPr="00E1372C">
        <w:rPr>
          <w:lang w:val="fr-FR"/>
        </w:rPr>
        <w:t xml:space="preserve"> respectivement à 2 kilomètres au maximum de la source d</w:t>
      </w:r>
      <w:r w:rsidR="00731F09" w:rsidRPr="00E1372C">
        <w:rPr>
          <w:lang w:val="fr-FR"/>
        </w:rPr>
        <w:t>’</w:t>
      </w:r>
      <w:r w:rsidR="00FE64A0" w:rsidRPr="00E1372C">
        <w:rPr>
          <w:lang w:val="fr-FR"/>
        </w:rPr>
        <w:t>eau potable. Sur l</w:t>
      </w:r>
      <w:r w:rsidR="00731F09" w:rsidRPr="00E1372C">
        <w:rPr>
          <w:lang w:val="fr-FR"/>
        </w:rPr>
        <w:t>’</w:t>
      </w:r>
      <w:r w:rsidR="00FE64A0" w:rsidRPr="00E1372C">
        <w:rPr>
          <w:lang w:val="fr-FR"/>
        </w:rPr>
        <w:t>ensemble des ménages, 7</w:t>
      </w:r>
      <w:r w:rsidR="007064FC" w:rsidRPr="00E1372C">
        <w:rPr>
          <w:lang w:val="fr-FR"/>
        </w:rPr>
        <w:t> %</w:t>
      </w:r>
      <w:r w:rsidR="00FE64A0" w:rsidRPr="00E1372C">
        <w:rPr>
          <w:lang w:val="fr-FR"/>
        </w:rPr>
        <w:t xml:space="preserve"> </w:t>
      </w:r>
      <w:r w:rsidR="006E3671" w:rsidRPr="00E1372C">
        <w:rPr>
          <w:lang w:val="fr-FR"/>
        </w:rPr>
        <w:t xml:space="preserve">se trouvent à une distance de 3 </w:t>
      </w:r>
      <w:r w:rsidR="00FE64A0" w:rsidRPr="00E1372C">
        <w:rPr>
          <w:lang w:val="fr-FR"/>
        </w:rPr>
        <w:t>kilomètres ou plus, tandis que 96</w:t>
      </w:r>
      <w:r w:rsidR="007064FC" w:rsidRPr="00E1372C">
        <w:rPr>
          <w:lang w:val="fr-FR"/>
        </w:rPr>
        <w:t> %</w:t>
      </w:r>
      <w:r w:rsidR="00FE64A0" w:rsidRPr="00E1372C">
        <w:rPr>
          <w:lang w:val="fr-FR"/>
        </w:rPr>
        <w:t xml:space="preserve"> des ména</w:t>
      </w:r>
      <w:r w:rsidR="006E3671" w:rsidRPr="00E1372C">
        <w:rPr>
          <w:lang w:val="fr-FR"/>
        </w:rPr>
        <w:t xml:space="preserve">ges urbains vivent à moins de 1 </w:t>
      </w:r>
      <w:r w:rsidR="00FE64A0" w:rsidRPr="00E1372C">
        <w:rPr>
          <w:lang w:val="fr-FR"/>
        </w:rPr>
        <w:t>kilomètre d</w:t>
      </w:r>
      <w:r w:rsidR="00731F09" w:rsidRPr="00E1372C">
        <w:rPr>
          <w:lang w:val="fr-FR"/>
        </w:rPr>
        <w:t>’</w:t>
      </w:r>
      <w:r w:rsidR="00FE64A0" w:rsidRPr="00E1372C">
        <w:rPr>
          <w:lang w:val="fr-FR"/>
        </w:rPr>
        <w:t>une source d</w:t>
      </w:r>
      <w:r w:rsidR="00731F09" w:rsidRPr="00E1372C">
        <w:rPr>
          <w:lang w:val="fr-FR"/>
        </w:rPr>
        <w:t>’</w:t>
      </w:r>
      <w:r w:rsidR="00FE64A0" w:rsidRPr="00E1372C">
        <w:rPr>
          <w:lang w:val="fr-FR"/>
        </w:rPr>
        <w:t xml:space="preserve">eau potable. Dans les régions de Khomas, </w:t>
      </w:r>
      <w:r w:rsidR="009F643B" w:rsidRPr="00E1372C">
        <w:rPr>
          <w:lang w:val="fr-FR"/>
        </w:rPr>
        <w:t>d</w:t>
      </w:r>
      <w:r w:rsidR="00731F09" w:rsidRPr="00E1372C">
        <w:rPr>
          <w:lang w:val="fr-FR"/>
        </w:rPr>
        <w:t>’</w:t>
      </w:r>
      <w:r w:rsidR="00FE64A0" w:rsidRPr="00E1372C">
        <w:rPr>
          <w:lang w:val="fr-FR"/>
        </w:rPr>
        <w:t xml:space="preserve">Erongo et </w:t>
      </w:r>
      <w:r w:rsidR="009F643B" w:rsidRPr="00E1372C">
        <w:rPr>
          <w:lang w:val="fr-FR"/>
        </w:rPr>
        <w:t>d</w:t>
      </w:r>
      <w:r w:rsidR="00731F09" w:rsidRPr="00E1372C">
        <w:rPr>
          <w:lang w:val="fr-FR"/>
        </w:rPr>
        <w:t>’</w:t>
      </w:r>
      <w:r w:rsidR="00FE64A0" w:rsidRPr="00E1372C">
        <w:rPr>
          <w:lang w:val="fr-FR"/>
        </w:rPr>
        <w:t>Otjozondjupa 97</w:t>
      </w:r>
      <w:r w:rsidR="007064FC" w:rsidRPr="00E1372C">
        <w:rPr>
          <w:lang w:val="fr-FR"/>
        </w:rPr>
        <w:t> %</w:t>
      </w:r>
      <w:r w:rsidR="00FE64A0" w:rsidRPr="00E1372C">
        <w:rPr>
          <w:lang w:val="fr-FR"/>
        </w:rPr>
        <w:t>, 95</w:t>
      </w:r>
      <w:r w:rsidR="007064FC" w:rsidRPr="00E1372C">
        <w:rPr>
          <w:lang w:val="fr-FR"/>
        </w:rPr>
        <w:t> %</w:t>
      </w:r>
      <w:r w:rsidR="00FE64A0" w:rsidRPr="00E1372C">
        <w:rPr>
          <w:lang w:val="fr-FR"/>
        </w:rPr>
        <w:t xml:space="preserve"> et 91</w:t>
      </w:r>
      <w:r w:rsidR="007064FC" w:rsidRPr="00E1372C">
        <w:rPr>
          <w:lang w:val="fr-FR"/>
        </w:rPr>
        <w:t> %</w:t>
      </w:r>
      <w:r w:rsidR="00FE64A0" w:rsidRPr="00E1372C">
        <w:rPr>
          <w:lang w:val="fr-FR"/>
        </w:rPr>
        <w:t xml:space="preserve"> des ménages, respectiv</w:t>
      </w:r>
      <w:r w:rsidR="006E3671" w:rsidRPr="00E1372C">
        <w:rPr>
          <w:lang w:val="fr-FR"/>
        </w:rPr>
        <w:t xml:space="preserve">ement, se trouvent à moins de 1 </w:t>
      </w:r>
      <w:r w:rsidR="00FE64A0" w:rsidRPr="00E1372C">
        <w:rPr>
          <w:lang w:val="fr-FR"/>
        </w:rPr>
        <w:t>kilomètre d</w:t>
      </w:r>
      <w:r w:rsidR="00731F09" w:rsidRPr="00E1372C">
        <w:rPr>
          <w:lang w:val="fr-FR"/>
        </w:rPr>
        <w:t>’</w:t>
      </w:r>
      <w:r w:rsidR="00FE64A0" w:rsidRPr="00E1372C">
        <w:rPr>
          <w:lang w:val="fr-FR"/>
        </w:rPr>
        <w:t>une source d</w:t>
      </w:r>
      <w:r w:rsidR="00731F09" w:rsidRPr="00E1372C">
        <w:rPr>
          <w:lang w:val="fr-FR"/>
        </w:rPr>
        <w:t>’</w:t>
      </w:r>
      <w:r w:rsidR="00FE64A0" w:rsidRPr="00E1372C">
        <w:rPr>
          <w:lang w:val="fr-FR"/>
        </w:rPr>
        <w:t>eau potable.</w:t>
      </w:r>
    </w:p>
    <w:p w:rsidR="00A55A0E" w:rsidRPr="00E1372C" w:rsidRDefault="007A1757" w:rsidP="007A1757">
      <w:pPr>
        <w:pStyle w:val="SingleTxtG"/>
        <w:rPr>
          <w:lang w:val="fr-FR" w:bidi="en-US"/>
        </w:rPr>
      </w:pPr>
      <w:r w:rsidRPr="00E1372C">
        <w:rPr>
          <w:lang w:val="fr-FR" w:bidi="en-US"/>
        </w:rPr>
        <w:t>284.</w:t>
      </w:r>
      <w:r w:rsidRPr="00E1372C">
        <w:rPr>
          <w:lang w:val="fr-FR" w:bidi="en-US"/>
        </w:rPr>
        <w:tab/>
      </w:r>
      <w:r w:rsidR="00FE64A0" w:rsidRPr="00E1372C">
        <w:rPr>
          <w:lang w:val="fr-FR"/>
        </w:rPr>
        <w:t xml:space="preserve">Dans les régions de Kavango, </w:t>
      </w:r>
      <w:r w:rsidR="009F643B" w:rsidRPr="00E1372C">
        <w:rPr>
          <w:lang w:val="fr-FR"/>
        </w:rPr>
        <w:t>d</w:t>
      </w:r>
      <w:r w:rsidR="00731F09" w:rsidRPr="00E1372C">
        <w:rPr>
          <w:lang w:val="fr-FR"/>
        </w:rPr>
        <w:t>’</w:t>
      </w:r>
      <w:r w:rsidR="00FE64A0" w:rsidRPr="00E1372C">
        <w:rPr>
          <w:lang w:val="fr-FR"/>
        </w:rPr>
        <w:t xml:space="preserve">Ohangwena et </w:t>
      </w:r>
      <w:r w:rsidR="009F643B" w:rsidRPr="00E1372C">
        <w:rPr>
          <w:lang w:val="fr-FR"/>
        </w:rPr>
        <w:t>d</w:t>
      </w:r>
      <w:r w:rsidR="00731F09" w:rsidRPr="00E1372C">
        <w:rPr>
          <w:lang w:val="fr-FR"/>
        </w:rPr>
        <w:t>’</w:t>
      </w:r>
      <w:r w:rsidR="00FE64A0" w:rsidRPr="00E1372C">
        <w:rPr>
          <w:lang w:val="fr-FR"/>
        </w:rPr>
        <w:t>Oshikoto,</w:t>
      </w:r>
      <w:r w:rsidR="006E3671" w:rsidRPr="00E1372C">
        <w:rPr>
          <w:lang w:val="fr-FR"/>
        </w:rPr>
        <w:t xml:space="preserve"> une partie des ménages est à 3 </w:t>
      </w:r>
      <w:r w:rsidR="00FE64A0" w:rsidRPr="00E1372C">
        <w:rPr>
          <w:lang w:val="fr-FR"/>
        </w:rPr>
        <w:t>kilomètres ou plus d</w:t>
      </w:r>
      <w:r w:rsidR="00731F09" w:rsidRPr="00E1372C">
        <w:rPr>
          <w:lang w:val="fr-FR"/>
        </w:rPr>
        <w:t>’</w:t>
      </w:r>
      <w:r w:rsidR="00FE64A0" w:rsidRPr="00E1372C">
        <w:rPr>
          <w:lang w:val="fr-FR"/>
        </w:rPr>
        <w:t>une source d</w:t>
      </w:r>
      <w:r w:rsidR="00731F09" w:rsidRPr="00E1372C">
        <w:rPr>
          <w:lang w:val="fr-FR"/>
        </w:rPr>
        <w:t>’</w:t>
      </w:r>
      <w:r w:rsidR="00FE64A0" w:rsidRPr="00E1372C">
        <w:rPr>
          <w:lang w:val="fr-FR"/>
        </w:rPr>
        <w:t>eau potable</w:t>
      </w:r>
      <w:r w:rsidR="00A55A0E" w:rsidRPr="00E1372C">
        <w:rPr>
          <w:lang w:val="fr-FR" w:bidi="en-US"/>
        </w:rPr>
        <w:t>.</w:t>
      </w:r>
    </w:p>
    <w:p w:rsidR="00FE64A0" w:rsidRPr="00E1372C" w:rsidRDefault="007A1757" w:rsidP="007A1757">
      <w:pPr>
        <w:pStyle w:val="SingleTxtG"/>
        <w:rPr>
          <w:lang w:val="fr-FR" w:bidi="en-US"/>
        </w:rPr>
      </w:pPr>
      <w:r w:rsidRPr="00E1372C">
        <w:rPr>
          <w:lang w:val="fr-FR" w:bidi="en-US"/>
        </w:rPr>
        <w:t>285.</w:t>
      </w:r>
      <w:r w:rsidRPr="00E1372C">
        <w:rPr>
          <w:lang w:val="fr-FR" w:bidi="en-US"/>
        </w:rPr>
        <w:tab/>
      </w:r>
      <w:r w:rsidR="00FE64A0" w:rsidRPr="00E1372C">
        <w:rPr>
          <w:lang w:val="fr-FR" w:bidi="en-US"/>
        </w:rPr>
        <w:t>Le lien entre le niveau de revenu du ménage et la distance jusqu</w:t>
      </w:r>
      <w:r w:rsidR="00731F09" w:rsidRPr="00E1372C">
        <w:rPr>
          <w:lang w:val="fr-FR" w:bidi="en-US"/>
        </w:rPr>
        <w:t>’</w:t>
      </w:r>
      <w:r w:rsidR="00FE64A0" w:rsidRPr="00E1372C">
        <w:rPr>
          <w:lang w:val="fr-FR" w:bidi="en-US"/>
        </w:rPr>
        <w:t>à la source d</w:t>
      </w:r>
      <w:r w:rsidR="00731F09" w:rsidRPr="00E1372C">
        <w:rPr>
          <w:lang w:val="fr-FR" w:bidi="en-US"/>
        </w:rPr>
        <w:t>’</w:t>
      </w:r>
      <w:r w:rsidR="00FE64A0" w:rsidRPr="00E1372C">
        <w:rPr>
          <w:lang w:val="fr-FR" w:bidi="en-US"/>
        </w:rPr>
        <w:t>eau potable est très manifeste</w:t>
      </w:r>
      <w:r w:rsidR="00AE017E" w:rsidRPr="00E1372C">
        <w:rPr>
          <w:lang w:val="fr-FR" w:bidi="en-US"/>
        </w:rPr>
        <w:t>:</w:t>
      </w:r>
      <w:r w:rsidR="00FE64A0" w:rsidRPr="00E1372C">
        <w:rPr>
          <w:lang w:val="fr-FR" w:bidi="en-US"/>
        </w:rPr>
        <w:t xml:space="preserve"> plus le revenu est élevé, plus la source est proche du logement.</w:t>
      </w:r>
    </w:p>
    <w:p w:rsidR="00FE64A0" w:rsidRPr="00E1372C" w:rsidRDefault="007A1757" w:rsidP="007A1757">
      <w:pPr>
        <w:pStyle w:val="SingleTxtG"/>
        <w:rPr>
          <w:lang w:val="fr-FR" w:bidi="en-US"/>
        </w:rPr>
      </w:pPr>
      <w:r w:rsidRPr="00E1372C">
        <w:rPr>
          <w:lang w:val="fr-FR" w:bidi="en-US"/>
        </w:rPr>
        <w:t>286.</w:t>
      </w:r>
      <w:r w:rsidRPr="00E1372C">
        <w:rPr>
          <w:lang w:val="fr-FR" w:bidi="en-US"/>
        </w:rPr>
        <w:tab/>
      </w:r>
      <w:r w:rsidR="00FE64A0" w:rsidRPr="00E1372C">
        <w:rPr>
          <w:lang w:val="fr-FR" w:bidi="en-US"/>
        </w:rPr>
        <w:t>L</w:t>
      </w:r>
      <w:r w:rsidR="00731F09" w:rsidRPr="00E1372C">
        <w:rPr>
          <w:lang w:val="fr-FR" w:bidi="en-US"/>
        </w:rPr>
        <w:t>’</w:t>
      </w:r>
      <w:r w:rsidR="00FE64A0" w:rsidRPr="00E1372C">
        <w:rPr>
          <w:lang w:val="fr-FR" w:bidi="en-US"/>
        </w:rPr>
        <w:t>eau sert à des fins domestiques, dans l</w:t>
      </w:r>
      <w:r w:rsidR="00731F09" w:rsidRPr="00E1372C">
        <w:rPr>
          <w:lang w:val="fr-FR" w:bidi="en-US"/>
        </w:rPr>
        <w:t>’</w:t>
      </w:r>
      <w:r w:rsidR="00FE64A0" w:rsidRPr="00E1372C">
        <w:rPr>
          <w:lang w:val="fr-FR" w:bidi="en-US"/>
        </w:rPr>
        <w:t>agriculture (cheptel, abreuvement et irrigation), les industries, l</w:t>
      </w:r>
      <w:r w:rsidR="00731F09" w:rsidRPr="00E1372C">
        <w:rPr>
          <w:lang w:val="fr-FR" w:bidi="en-US"/>
        </w:rPr>
        <w:t>’</w:t>
      </w:r>
      <w:r w:rsidR="00FE64A0" w:rsidRPr="00E1372C">
        <w:rPr>
          <w:lang w:val="fr-FR" w:bidi="en-US"/>
        </w:rPr>
        <w:t>industrie extractive et les industries manufacturières. Le Parlement a adopté la loi n</w:t>
      </w:r>
      <w:r w:rsidR="00B277C4" w:rsidRPr="00E1372C">
        <w:rPr>
          <w:vertAlign w:val="superscript"/>
          <w:lang w:val="fr-FR" w:bidi="en-US"/>
        </w:rPr>
        <w:t>o</w:t>
      </w:r>
      <w:r w:rsidR="00FE64A0" w:rsidRPr="00E1372C">
        <w:rPr>
          <w:lang w:val="fr-FR" w:bidi="en-US"/>
        </w:rPr>
        <w:t xml:space="preserve"> 24 </w:t>
      </w:r>
      <w:r w:rsidR="009F643B" w:rsidRPr="00E1372C">
        <w:rPr>
          <w:lang w:val="fr-FR" w:bidi="en-US"/>
        </w:rPr>
        <w:t xml:space="preserve">de 2004 </w:t>
      </w:r>
      <w:r w:rsidR="00FE64A0" w:rsidRPr="00E1372C">
        <w:rPr>
          <w:lang w:val="fr-FR" w:bidi="en-US"/>
        </w:rPr>
        <w:t>relative à la gestion des ressources hydriques aux fins de préservation de l</w:t>
      </w:r>
      <w:r w:rsidR="00731F09" w:rsidRPr="00E1372C">
        <w:rPr>
          <w:lang w:val="fr-FR" w:bidi="en-US"/>
        </w:rPr>
        <w:t>’</w:t>
      </w:r>
      <w:r w:rsidR="00FE64A0" w:rsidRPr="00E1372C">
        <w:rPr>
          <w:lang w:val="fr-FR" w:bidi="en-US"/>
        </w:rPr>
        <w:t>eau. Le Ministère de l</w:t>
      </w:r>
      <w:r w:rsidR="00731F09" w:rsidRPr="00E1372C">
        <w:rPr>
          <w:lang w:val="fr-FR" w:bidi="en-US"/>
        </w:rPr>
        <w:t>’</w:t>
      </w:r>
      <w:r w:rsidR="00FE64A0" w:rsidRPr="00E1372C">
        <w:rPr>
          <w:lang w:val="fr-FR" w:bidi="en-US"/>
        </w:rPr>
        <w:t>agriculture, des eaux et forêts, chargé de réglementer les ressources hydriques du pays, doit s</w:t>
      </w:r>
      <w:r w:rsidR="00731F09" w:rsidRPr="00E1372C">
        <w:rPr>
          <w:lang w:val="fr-FR" w:bidi="en-US"/>
        </w:rPr>
        <w:t>’</w:t>
      </w:r>
      <w:r w:rsidR="00FE64A0" w:rsidRPr="00E1372C">
        <w:rPr>
          <w:lang w:val="fr-FR" w:bidi="en-US"/>
        </w:rPr>
        <w:t>assurer que l</w:t>
      </w:r>
      <w:r w:rsidR="00731F09" w:rsidRPr="00E1372C">
        <w:rPr>
          <w:lang w:val="fr-FR" w:bidi="en-US"/>
        </w:rPr>
        <w:t>’</w:t>
      </w:r>
      <w:r w:rsidR="00FE64A0" w:rsidRPr="00E1372C">
        <w:rPr>
          <w:lang w:val="fr-FR" w:bidi="en-US"/>
        </w:rPr>
        <w:t xml:space="preserve">eau fournie aux communautés par </w:t>
      </w:r>
      <w:r w:rsidR="00A55A0E" w:rsidRPr="00E1372C">
        <w:rPr>
          <w:i/>
          <w:lang w:val="fr-FR" w:bidi="en-US"/>
        </w:rPr>
        <w:t>Namwater</w:t>
      </w:r>
      <w:r w:rsidR="00A55A0E" w:rsidRPr="00E1372C">
        <w:rPr>
          <w:lang w:val="fr-FR" w:bidi="en-US"/>
        </w:rPr>
        <w:t xml:space="preserve">, </w:t>
      </w:r>
      <w:r w:rsidR="00FE64A0" w:rsidRPr="00E1372C">
        <w:rPr>
          <w:lang w:val="fr-FR" w:bidi="en-US"/>
        </w:rPr>
        <w:t xml:space="preserve">les autorités locales et le </w:t>
      </w:r>
      <w:r w:rsidR="00DC2BB5" w:rsidRPr="00E1372C">
        <w:rPr>
          <w:lang w:val="fr-FR" w:bidi="en-US"/>
        </w:rPr>
        <w:t>s</w:t>
      </w:r>
      <w:r w:rsidR="00FE64A0" w:rsidRPr="00E1372C">
        <w:rPr>
          <w:lang w:val="fr-FR" w:bidi="en-US"/>
        </w:rPr>
        <w:t>ervice rural d</w:t>
      </w:r>
      <w:r w:rsidR="00731F09" w:rsidRPr="00E1372C">
        <w:rPr>
          <w:lang w:val="fr-FR" w:bidi="en-US"/>
        </w:rPr>
        <w:t>’</w:t>
      </w:r>
      <w:r w:rsidR="00FE64A0" w:rsidRPr="00E1372C">
        <w:rPr>
          <w:lang w:val="fr-FR" w:bidi="en-US"/>
        </w:rPr>
        <w:t>adduction d</w:t>
      </w:r>
      <w:r w:rsidR="00731F09" w:rsidRPr="00E1372C">
        <w:rPr>
          <w:lang w:val="fr-FR" w:bidi="en-US"/>
        </w:rPr>
        <w:t>’</w:t>
      </w:r>
      <w:r w:rsidR="00FE64A0" w:rsidRPr="00E1372C">
        <w:rPr>
          <w:lang w:val="fr-FR" w:bidi="en-US"/>
        </w:rPr>
        <w:t>eau est de bonne qualité pour améliorer la santé</w:t>
      </w:r>
      <w:r w:rsidR="00CC29B5" w:rsidRPr="00E1372C">
        <w:rPr>
          <w:lang w:val="fr-FR" w:bidi="en-US"/>
        </w:rPr>
        <w:t>. Le Ministère de la santé et des services sociaux est chargé du suivi des maladies liées à l</w:t>
      </w:r>
      <w:r w:rsidR="00731F09" w:rsidRPr="00E1372C">
        <w:rPr>
          <w:lang w:val="fr-FR" w:bidi="en-US"/>
        </w:rPr>
        <w:t>’</w:t>
      </w:r>
      <w:r w:rsidR="00CC29B5" w:rsidRPr="00E1372C">
        <w:rPr>
          <w:lang w:val="fr-FR" w:bidi="en-US"/>
        </w:rPr>
        <w:t>eau qui peuvent provenir d</w:t>
      </w:r>
      <w:r w:rsidR="00731F09" w:rsidRPr="00E1372C">
        <w:rPr>
          <w:lang w:val="fr-FR" w:bidi="en-US"/>
        </w:rPr>
        <w:t>’</w:t>
      </w:r>
      <w:r w:rsidR="00CC29B5" w:rsidRPr="00E1372C">
        <w:rPr>
          <w:lang w:val="fr-FR" w:bidi="en-US"/>
        </w:rPr>
        <w:t>une évacuation insalubre des déchets dans les ressources hydriques.</w:t>
      </w:r>
    </w:p>
    <w:p w:rsidR="00A55A0E" w:rsidRPr="00E1372C" w:rsidRDefault="00BE40BB" w:rsidP="00BE40BB">
      <w:pPr>
        <w:pStyle w:val="H23G"/>
        <w:rPr>
          <w:lang w:val="fr-FR"/>
        </w:rPr>
      </w:pPr>
      <w:bookmarkStart w:id="6" w:name="_Toc13632547"/>
      <w:r w:rsidRPr="00E1372C">
        <w:rPr>
          <w:lang w:val="fr-FR"/>
        </w:rPr>
        <w:tab/>
      </w:r>
      <w:r w:rsidRPr="00E1372C">
        <w:rPr>
          <w:lang w:val="fr-FR"/>
        </w:rPr>
        <w:tab/>
      </w:r>
      <w:r w:rsidR="00CC29B5" w:rsidRPr="00E1372C">
        <w:rPr>
          <w:lang w:val="fr-FR"/>
        </w:rPr>
        <w:t>Développement humain</w:t>
      </w:r>
      <w:bookmarkEnd w:id="6"/>
    </w:p>
    <w:p w:rsidR="00A55A0E" w:rsidRPr="00E1372C" w:rsidRDefault="00A55A0E" w:rsidP="004C7DE9">
      <w:pPr>
        <w:pStyle w:val="H23G"/>
        <w:rPr>
          <w:lang w:val="fr-FR" w:bidi="en-US"/>
        </w:rPr>
      </w:pPr>
      <w:bookmarkStart w:id="7" w:name="_Toc13632548"/>
      <w:r w:rsidRPr="00E1372C">
        <w:rPr>
          <w:lang w:val="fr-FR" w:bidi="en-US"/>
        </w:rPr>
        <w:tab/>
      </w:r>
      <w:r w:rsidRPr="00E1372C">
        <w:rPr>
          <w:lang w:val="fr-FR" w:bidi="en-US"/>
        </w:rPr>
        <w:tab/>
        <w:t>T</w:t>
      </w:r>
      <w:r w:rsidR="00CC29B5" w:rsidRPr="00E1372C">
        <w:rPr>
          <w:lang w:val="fr-FR" w:bidi="en-US"/>
        </w:rPr>
        <w:t>endances des indicateurs clés</w:t>
      </w:r>
      <w:bookmarkEnd w:id="7"/>
    </w:p>
    <w:tbl>
      <w:tblPr>
        <w:tblW w:w="0" w:type="auto"/>
        <w:tblInd w:w="1134" w:type="dxa"/>
        <w:tblBorders>
          <w:top w:val="single" w:sz="4" w:space="0" w:color="auto"/>
          <w:bottom w:val="single" w:sz="12" w:space="0" w:color="auto"/>
        </w:tblBorders>
        <w:tblLayout w:type="fixed"/>
        <w:tblCellMar>
          <w:left w:w="0" w:type="dxa"/>
          <w:right w:w="0" w:type="dxa"/>
        </w:tblCellMar>
        <w:tblLook w:val="00BF" w:firstRow="1" w:lastRow="0" w:firstColumn="1" w:lastColumn="0" w:noHBand="0" w:noVBand="0"/>
      </w:tblPr>
      <w:tblGrid>
        <w:gridCol w:w="3969"/>
        <w:gridCol w:w="851"/>
        <w:gridCol w:w="851"/>
        <w:gridCol w:w="851"/>
        <w:gridCol w:w="851"/>
      </w:tblGrid>
      <w:tr w:rsidR="00A55A0E" w:rsidRPr="00E1372C">
        <w:tblPrEx>
          <w:tblCellMar>
            <w:top w:w="0" w:type="dxa"/>
            <w:left w:w="0" w:type="dxa"/>
            <w:bottom w:w="0" w:type="dxa"/>
            <w:right w:w="0" w:type="dxa"/>
          </w:tblCellMar>
        </w:tblPrEx>
        <w:trPr>
          <w:trHeight w:val="240"/>
          <w:tblHeader/>
        </w:trPr>
        <w:tc>
          <w:tcPr>
            <w:tcW w:w="3969" w:type="dxa"/>
            <w:tcBorders>
              <w:top w:val="single" w:sz="4" w:space="0" w:color="auto"/>
              <w:bottom w:val="single" w:sz="12" w:space="0" w:color="auto"/>
            </w:tcBorders>
            <w:shd w:val="clear" w:color="auto" w:fill="auto"/>
            <w:vAlign w:val="bottom"/>
          </w:tcPr>
          <w:p w:rsidR="00A55A0E" w:rsidRPr="00E1372C" w:rsidRDefault="00A55A0E" w:rsidP="004C7DE9">
            <w:pPr>
              <w:suppressAutoHyphens w:val="0"/>
              <w:spacing w:before="80" w:after="80" w:line="200" w:lineRule="exact"/>
              <w:rPr>
                <w:i/>
                <w:sz w:val="16"/>
                <w:szCs w:val="24"/>
                <w:lang w:val="fr-FR" w:bidi="en-US"/>
              </w:rPr>
            </w:pPr>
            <w:r w:rsidRPr="00E1372C">
              <w:rPr>
                <w:i/>
                <w:sz w:val="16"/>
                <w:szCs w:val="24"/>
                <w:lang w:val="fr-FR" w:bidi="en-US"/>
              </w:rPr>
              <w:t>Indicat</w:t>
            </w:r>
            <w:r w:rsidR="00CC29B5" w:rsidRPr="00E1372C">
              <w:rPr>
                <w:i/>
                <w:sz w:val="16"/>
                <w:szCs w:val="24"/>
                <w:lang w:val="fr-FR" w:bidi="en-US"/>
              </w:rPr>
              <w:t>eu</w:t>
            </w:r>
            <w:r w:rsidRPr="00E1372C">
              <w:rPr>
                <w:i/>
                <w:sz w:val="16"/>
                <w:szCs w:val="24"/>
                <w:lang w:val="fr-FR" w:bidi="en-US"/>
              </w:rPr>
              <w:t>r</w:t>
            </w:r>
          </w:p>
        </w:tc>
        <w:tc>
          <w:tcPr>
            <w:tcW w:w="851" w:type="dxa"/>
            <w:tcBorders>
              <w:top w:val="single" w:sz="4" w:space="0" w:color="auto"/>
              <w:bottom w:val="single" w:sz="12" w:space="0" w:color="auto"/>
            </w:tcBorders>
            <w:shd w:val="clear" w:color="auto" w:fill="auto"/>
            <w:vAlign w:val="bottom"/>
          </w:tcPr>
          <w:p w:rsidR="00A55A0E" w:rsidRPr="00E1372C" w:rsidRDefault="00A55A0E" w:rsidP="004C7DE9">
            <w:pPr>
              <w:suppressAutoHyphens w:val="0"/>
              <w:spacing w:before="80" w:after="80" w:line="200" w:lineRule="exact"/>
              <w:jc w:val="right"/>
              <w:rPr>
                <w:i/>
                <w:sz w:val="16"/>
                <w:szCs w:val="24"/>
                <w:lang w:val="fr-FR" w:bidi="en-US"/>
              </w:rPr>
            </w:pPr>
            <w:r w:rsidRPr="00E1372C">
              <w:rPr>
                <w:i/>
                <w:sz w:val="16"/>
                <w:szCs w:val="24"/>
                <w:lang w:val="fr-FR" w:bidi="en-US"/>
              </w:rPr>
              <w:t>1995</w:t>
            </w:r>
          </w:p>
        </w:tc>
        <w:tc>
          <w:tcPr>
            <w:tcW w:w="851" w:type="dxa"/>
            <w:tcBorders>
              <w:top w:val="single" w:sz="4" w:space="0" w:color="auto"/>
              <w:bottom w:val="single" w:sz="12" w:space="0" w:color="auto"/>
            </w:tcBorders>
            <w:shd w:val="clear" w:color="auto" w:fill="auto"/>
            <w:vAlign w:val="bottom"/>
          </w:tcPr>
          <w:p w:rsidR="00A55A0E" w:rsidRPr="00E1372C" w:rsidRDefault="00A55A0E" w:rsidP="004C7DE9">
            <w:pPr>
              <w:suppressAutoHyphens w:val="0"/>
              <w:spacing w:before="80" w:after="80" w:line="200" w:lineRule="exact"/>
              <w:jc w:val="right"/>
              <w:rPr>
                <w:i/>
                <w:sz w:val="16"/>
                <w:szCs w:val="24"/>
                <w:lang w:val="fr-FR" w:bidi="en-US"/>
              </w:rPr>
            </w:pPr>
            <w:r w:rsidRPr="00E1372C">
              <w:rPr>
                <w:i/>
                <w:sz w:val="16"/>
                <w:szCs w:val="24"/>
                <w:lang w:val="fr-FR" w:bidi="en-US"/>
              </w:rPr>
              <w:t>1996</w:t>
            </w:r>
          </w:p>
        </w:tc>
        <w:tc>
          <w:tcPr>
            <w:tcW w:w="851" w:type="dxa"/>
            <w:tcBorders>
              <w:top w:val="single" w:sz="4" w:space="0" w:color="auto"/>
              <w:bottom w:val="single" w:sz="12" w:space="0" w:color="auto"/>
            </w:tcBorders>
            <w:shd w:val="clear" w:color="auto" w:fill="auto"/>
            <w:vAlign w:val="bottom"/>
          </w:tcPr>
          <w:p w:rsidR="00A55A0E" w:rsidRPr="00E1372C" w:rsidRDefault="00A55A0E" w:rsidP="004C7DE9">
            <w:pPr>
              <w:suppressAutoHyphens w:val="0"/>
              <w:spacing w:before="80" w:after="80" w:line="200" w:lineRule="exact"/>
              <w:jc w:val="right"/>
              <w:rPr>
                <w:i/>
                <w:sz w:val="16"/>
                <w:szCs w:val="24"/>
                <w:lang w:val="fr-FR" w:bidi="en-US"/>
              </w:rPr>
            </w:pPr>
            <w:r w:rsidRPr="00E1372C">
              <w:rPr>
                <w:i/>
                <w:sz w:val="16"/>
                <w:szCs w:val="24"/>
                <w:lang w:val="fr-FR" w:bidi="en-US"/>
              </w:rPr>
              <w:t>1997</w:t>
            </w:r>
          </w:p>
        </w:tc>
        <w:tc>
          <w:tcPr>
            <w:tcW w:w="851" w:type="dxa"/>
            <w:tcBorders>
              <w:top w:val="single" w:sz="4" w:space="0" w:color="auto"/>
              <w:bottom w:val="single" w:sz="12" w:space="0" w:color="auto"/>
            </w:tcBorders>
            <w:shd w:val="clear" w:color="auto" w:fill="auto"/>
            <w:vAlign w:val="bottom"/>
          </w:tcPr>
          <w:p w:rsidR="00A55A0E" w:rsidRPr="00E1372C" w:rsidRDefault="00A55A0E" w:rsidP="004C7DE9">
            <w:pPr>
              <w:suppressAutoHyphens w:val="0"/>
              <w:spacing w:before="80" w:after="80" w:line="200" w:lineRule="exact"/>
              <w:jc w:val="right"/>
              <w:rPr>
                <w:i/>
                <w:sz w:val="16"/>
                <w:szCs w:val="24"/>
                <w:lang w:val="fr-FR" w:bidi="en-US"/>
              </w:rPr>
            </w:pPr>
            <w:r w:rsidRPr="00E1372C">
              <w:rPr>
                <w:i/>
                <w:sz w:val="16"/>
                <w:szCs w:val="24"/>
                <w:lang w:val="fr-FR" w:bidi="en-US"/>
              </w:rPr>
              <w:t>1998</w:t>
            </w:r>
          </w:p>
        </w:tc>
      </w:tr>
      <w:tr w:rsidR="00A55A0E" w:rsidRPr="00E1372C">
        <w:tblPrEx>
          <w:tblCellMar>
            <w:top w:w="0" w:type="dxa"/>
            <w:left w:w="0" w:type="dxa"/>
            <w:bottom w:w="0" w:type="dxa"/>
            <w:right w:w="0" w:type="dxa"/>
          </w:tblCellMar>
        </w:tblPrEx>
        <w:trPr>
          <w:trHeight w:val="240"/>
        </w:trPr>
        <w:tc>
          <w:tcPr>
            <w:tcW w:w="3969" w:type="dxa"/>
            <w:tcBorders>
              <w:top w:val="single" w:sz="12" w:space="0" w:color="auto"/>
            </w:tcBorders>
            <w:shd w:val="clear" w:color="auto" w:fill="auto"/>
          </w:tcPr>
          <w:p w:rsidR="00A55A0E" w:rsidRPr="00E1372C" w:rsidRDefault="00CC29B5" w:rsidP="004C7DE9">
            <w:pPr>
              <w:suppressAutoHyphens w:val="0"/>
              <w:spacing w:before="40" w:after="40" w:line="220" w:lineRule="exact"/>
              <w:rPr>
                <w:sz w:val="18"/>
                <w:szCs w:val="18"/>
                <w:lang w:val="fr-FR" w:bidi="en-US"/>
              </w:rPr>
            </w:pPr>
            <w:r w:rsidRPr="00E1372C">
              <w:rPr>
                <w:sz w:val="18"/>
                <w:szCs w:val="18"/>
                <w:lang w:val="fr-FR" w:bidi="en-US"/>
              </w:rPr>
              <w:t>Indice de développement humain (IDH) mondial</w:t>
            </w:r>
          </w:p>
        </w:tc>
        <w:tc>
          <w:tcPr>
            <w:tcW w:w="851" w:type="dxa"/>
            <w:tcBorders>
              <w:top w:val="single" w:sz="12" w:space="0" w:color="auto"/>
            </w:tcBorders>
            <w:shd w:val="clear" w:color="auto" w:fill="auto"/>
            <w:vAlign w:val="bottom"/>
          </w:tcPr>
          <w:p w:rsidR="00A55A0E" w:rsidRPr="00E1372C" w:rsidRDefault="0023321D" w:rsidP="0023321D">
            <w:pPr>
              <w:suppressAutoHyphens w:val="0"/>
              <w:spacing w:before="40" w:after="40" w:line="220" w:lineRule="exact"/>
              <w:jc w:val="right"/>
              <w:rPr>
                <w:sz w:val="18"/>
                <w:szCs w:val="18"/>
                <w:lang w:val="fr-FR" w:bidi="en-US"/>
              </w:rPr>
            </w:pPr>
            <w:r>
              <w:rPr>
                <w:sz w:val="18"/>
                <w:szCs w:val="18"/>
                <w:lang w:val="fr-FR" w:bidi="en-US"/>
              </w:rPr>
              <w:t>0,</w:t>
            </w:r>
            <w:r w:rsidR="00A55A0E" w:rsidRPr="00E1372C">
              <w:rPr>
                <w:sz w:val="18"/>
                <w:szCs w:val="18"/>
                <w:lang w:val="fr-FR" w:bidi="en-US"/>
              </w:rPr>
              <w:t>611</w:t>
            </w:r>
          </w:p>
        </w:tc>
        <w:tc>
          <w:tcPr>
            <w:tcW w:w="851" w:type="dxa"/>
            <w:tcBorders>
              <w:top w:val="single" w:sz="12" w:space="0" w:color="auto"/>
            </w:tcBorders>
            <w:shd w:val="clear" w:color="auto" w:fill="auto"/>
            <w:vAlign w:val="bottom"/>
          </w:tcPr>
          <w:p w:rsidR="00A55A0E" w:rsidRPr="00E1372C" w:rsidRDefault="0023321D" w:rsidP="0023321D">
            <w:pPr>
              <w:suppressAutoHyphens w:val="0"/>
              <w:spacing w:before="40" w:after="40" w:line="220" w:lineRule="exact"/>
              <w:jc w:val="right"/>
              <w:rPr>
                <w:sz w:val="18"/>
                <w:szCs w:val="18"/>
                <w:lang w:val="fr-FR" w:bidi="en-US"/>
              </w:rPr>
            </w:pPr>
            <w:r>
              <w:rPr>
                <w:sz w:val="18"/>
                <w:szCs w:val="18"/>
                <w:lang w:val="fr-FR" w:bidi="en-US"/>
              </w:rPr>
              <w:t>0,</w:t>
            </w:r>
            <w:r w:rsidR="00A55A0E" w:rsidRPr="00E1372C">
              <w:rPr>
                <w:sz w:val="18"/>
                <w:szCs w:val="18"/>
                <w:lang w:val="fr-FR" w:bidi="en-US"/>
              </w:rPr>
              <w:t>573</w:t>
            </w:r>
          </w:p>
        </w:tc>
        <w:tc>
          <w:tcPr>
            <w:tcW w:w="851" w:type="dxa"/>
            <w:tcBorders>
              <w:top w:val="single" w:sz="12" w:space="0" w:color="auto"/>
            </w:tcBorders>
            <w:shd w:val="clear" w:color="auto" w:fill="auto"/>
            <w:vAlign w:val="bottom"/>
          </w:tcPr>
          <w:p w:rsidR="00A55A0E" w:rsidRPr="00E1372C" w:rsidRDefault="0023321D" w:rsidP="0023321D">
            <w:pPr>
              <w:suppressAutoHyphens w:val="0"/>
              <w:spacing w:before="40" w:after="40" w:line="220" w:lineRule="exact"/>
              <w:jc w:val="right"/>
              <w:rPr>
                <w:sz w:val="18"/>
                <w:szCs w:val="18"/>
                <w:lang w:val="fr-FR" w:bidi="en-US"/>
              </w:rPr>
            </w:pPr>
            <w:r>
              <w:rPr>
                <w:sz w:val="18"/>
                <w:szCs w:val="18"/>
                <w:lang w:val="fr-FR" w:bidi="en-US"/>
              </w:rPr>
              <w:t>0,</w:t>
            </w:r>
            <w:r w:rsidR="00A55A0E" w:rsidRPr="00E1372C">
              <w:rPr>
                <w:sz w:val="18"/>
                <w:szCs w:val="18"/>
                <w:lang w:val="fr-FR" w:bidi="en-US"/>
              </w:rPr>
              <w:t>570</w:t>
            </w:r>
          </w:p>
        </w:tc>
        <w:tc>
          <w:tcPr>
            <w:tcW w:w="851" w:type="dxa"/>
            <w:tcBorders>
              <w:top w:val="single" w:sz="12" w:space="0" w:color="auto"/>
            </w:tcBorders>
            <w:shd w:val="clear" w:color="auto" w:fill="auto"/>
            <w:vAlign w:val="bottom"/>
          </w:tcPr>
          <w:p w:rsidR="00A55A0E" w:rsidRPr="00E1372C" w:rsidRDefault="0023321D" w:rsidP="0023321D">
            <w:pPr>
              <w:suppressAutoHyphens w:val="0"/>
              <w:spacing w:before="40" w:after="40" w:line="220" w:lineRule="exact"/>
              <w:jc w:val="right"/>
              <w:rPr>
                <w:sz w:val="18"/>
                <w:szCs w:val="18"/>
                <w:lang w:val="fr-FR" w:bidi="en-US"/>
              </w:rPr>
            </w:pPr>
            <w:r>
              <w:rPr>
                <w:sz w:val="18"/>
                <w:szCs w:val="18"/>
                <w:lang w:val="fr-FR" w:bidi="en-US"/>
              </w:rPr>
              <w:t>0,</w:t>
            </w:r>
            <w:r w:rsidR="00A55A0E" w:rsidRPr="00E1372C">
              <w:rPr>
                <w:sz w:val="18"/>
                <w:szCs w:val="18"/>
                <w:lang w:val="fr-FR" w:bidi="en-US"/>
              </w:rPr>
              <w:t xml:space="preserve">644 </w:t>
            </w:r>
          </w:p>
        </w:tc>
      </w:tr>
      <w:tr w:rsidR="00A55A0E" w:rsidRPr="00E1372C">
        <w:tblPrEx>
          <w:tblCellMar>
            <w:top w:w="0" w:type="dxa"/>
            <w:left w:w="0" w:type="dxa"/>
            <w:bottom w:w="0" w:type="dxa"/>
            <w:right w:w="0" w:type="dxa"/>
          </w:tblCellMar>
        </w:tblPrEx>
        <w:trPr>
          <w:trHeight w:val="240"/>
        </w:trPr>
        <w:tc>
          <w:tcPr>
            <w:tcW w:w="3969" w:type="dxa"/>
            <w:shd w:val="clear" w:color="auto" w:fill="auto"/>
          </w:tcPr>
          <w:p w:rsidR="00A55A0E" w:rsidRPr="00E1372C" w:rsidRDefault="00CC29B5" w:rsidP="004C7DE9">
            <w:pPr>
              <w:suppressAutoHyphens w:val="0"/>
              <w:spacing w:before="40" w:after="40" w:line="220" w:lineRule="exact"/>
              <w:rPr>
                <w:sz w:val="18"/>
                <w:szCs w:val="18"/>
                <w:lang w:val="fr-FR" w:bidi="en-US"/>
              </w:rPr>
            </w:pPr>
            <w:r w:rsidRPr="00E1372C">
              <w:rPr>
                <w:sz w:val="18"/>
                <w:szCs w:val="18"/>
                <w:lang w:val="fr-FR" w:bidi="en-US"/>
              </w:rPr>
              <w:t xml:space="preserve">Rang </w:t>
            </w:r>
            <w:r w:rsidR="009F643B" w:rsidRPr="00E1372C">
              <w:rPr>
                <w:sz w:val="18"/>
                <w:szCs w:val="18"/>
                <w:lang w:val="fr-FR" w:bidi="en-US"/>
              </w:rPr>
              <w:t>pa</w:t>
            </w:r>
            <w:r w:rsidRPr="00E1372C">
              <w:rPr>
                <w:sz w:val="18"/>
                <w:szCs w:val="18"/>
                <w:lang w:val="fr-FR" w:bidi="en-US"/>
              </w:rPr>
              <w:t xml:space="preserve">r </w:t>
            </w:r>
            <w:r w:rsidR="009F643B" w:rsidRPr="00E1372C">
              <w:rPr>
                <w:sz w:val="18"/>
                <w:szCs w:val="18"/>
                <w:lang w:val="fr-FR" w:bidi="en-US"/>
              </w:rPr>
              <w:t xml:space="preserve">rapport à </w:t>
            </w:r>
            <w:r w:rsidRPr="00E1372C">
              <w:rPr>
                <w:sz w:val="18"/>
                <w:szCs w:val="18"/>
                <w:lang w:val="fr-FR" w:bidi="en-US"/>
              </w:rPr>
              <w:t>l</w:t>
            </w:r>
            <w:r w:rsidR="00731F09" w:rsidRPr="00E1372C">
              <w:rPr>
                <w:sz w:val="18"/>
                <w:szCs w:val="18"/>
                <w:lang w:val="fr-FR" w:bidi="en-US"/>
              </w:rPr>
              <w:t>’</w:t>
            </w:r>
            <w:r w:rsidRPr="00E1372C">
              <w:rPr>
                <w:sz w:val="18"/>
                <w:szCs w:val="18"/>
                <w:lang w:val="fr-FR" w:bidi="en-US"/>
              </w:rPr>
              <w:t>IDH</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108</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116</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118</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107</w:t>
            </w:r>
          </w:p>
        </w:tc>
      </w:tr>
      <w:tr w:rsidR="00A55A0E" w:rsidRPr="00E1372C">
        <w:tblPrEx>
          <w:tblCellMar>
            <w:top w:w="0" w:type="dxa"/>
            <w:left w:w="0" w:type="dxa"/>
            <w:bottom w:w="0" w:type="dxa"/>
            <w:right w:w="0" w:type="dxa"/>
          </w:tblCellMar>
        </w:tblPrEx>
        <w:trPr>
          <w:trHeight w:val="240"/>
        </w:trPr>
        <w:tc>
          <w:tcPr>
            <w:tcW w:w="3969" w:type="dxa"/>
            <w:shd w:val="clear" w:color="auto" w:fill="auto"/>
          </w:tcPr>
          <w:p w:rsidR="00A55A0E" w:rsidRPr="00E1372C" w:rsidRDefault="00CC29B5" w:rsidP="004C7DE9">
            <w:pPr>
              <w:suppressAutoHyphens w:val="0"/>
              <w:spacing w:before="40" w:after="40" w:line="220" w:lineRule="exact"/>
              <w:rPr>
                <w:sz w:val="18"/>
                <w:szCs w:val="18"/>
                <w:lang w:val="fr-FR" w:bidi="en-US"/>
              </w:rPr>
            </w:pPr>
            <w:r w:rsidRPr="00E1372C">
              <w:rPr>
                <w:sz w:val="18"/>
                <w:szCs w:val="18"/>
                <w:lang w:val="fr-FR" w:bidi="en-US"/>
              </w:rPr>
              <w:t>IDH (Namibie)</w:t>
            </w:r>
          </w:p>
        </w:tc>
        <w:tc>
          <w:tcPr>
            <w:tcW w:w="851" w:type="dxa"/>
            <w:shd w:val="clear" w:color="auto" w:fill="auto"/>
            <w:vAlign w:val="bottom"/>
          </w:tcPr>
          <w:p w:rsidR="00A55A0E" w:rsidRPr="00E1372C" w:rsidRDefault="00FB335B" w:rsidP="004C7DE9">
            <w:pPr>
              <w:suppressAutoHyphens w:val="0"/>
              <w:spacing w:before="40" w:after="40" w:line="220" w:lineRule="exact"/>
              <w:jc w:val="right"/>
              <w:rPr>
                <w:sz w:val="18"/>
                <w:szCs w:val="18"/>
                <w:lang w:val="fr-FR" w:bidi="en-US"/>
              </w:rPr>
            </w:pPr>
            <w:r w:rsidRPr="00E1372C">
              <w:rPr>
                <w:sz w:val="18"/>
                <w:szCs w:val="18"/>
                <w:lang w:val="fr-FR" w:bidi="en-US"/>
              </w:rPr>
              <w:t>n/d</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.734</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.744</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.770</w:t>
            </w:r>
          </w:p>
        </w:tc>
      </w:tr>
      <w:tr w:rsidR="00A55A0E" w:rsidRPr="00E1372C">
        <w:tblPrEx>
          <w:tblCellMar>
            <w:top w:w="0" w:type="dxa"/>
            <w:left w:w="0" w:type="dxa"/>
            <w:bottom w:w="0" w:type="dxa"/>
            <w:right w:w="0" w:type="dxa"/>
          </w:tblCellMar>
        </w:tblPrEx>
        <w:trPr>
          <w:trHeight w:val="240"/>
        </w:trPr>
        <w:tc>
          <w:tcPr>
            <w:tcW w:w="3969" w:type="dxa"/>
            <w:shd w:val="clear" w:color="auto" w:fill="auto"/>
          </w:tcPr>
          <w:p w:rsidR="00A55A0E" w:rsidRPr="00E1372C" w:rsidRDefault="00CC29B5" w:rsidP="004C7DE9">
            <w:pPr>
              <w:suppressAutoHyphens w:val="0"/>
              <w:spacing w:before="40" w:after="40" w:line="220" w:lineRule="exact"/>
              <w:rPr>
                <w:sz w:val="18"/>
                <w:szCs w:val="18"/>
                <w:lang w:val="fr-FR" w:bidi="en-US"/>
              </w:rPr>
            </w:pPr>
            <w:r w:rsidRPr="00E1372C">
              <w:rPr>
                <w:sz w:val="18"/>
                <w:szCs w:val="18"/>
                <w:lang w:val="fr-FR" w:bidi="en-US"/>
              </w:rPr>
              <w:t>Indice de pauvreté humain (IPH) mondial</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n/</w:t>
            </w:r>
            <w:r w:rsidR="00FB335B" w:rsidRPr="00E1372C">
              <w:rPr>
                <w:sz w:val="18"/>
                <w:szCs w:val="18"/>
                <w:lang w:val="fr-FR" w:bidi="en-US"/>
              </w:rPr>
              <w:t>d</w:t>
            </w:r>
          </w:p>
        </w:tc>
        <w:tc>
          <w:tcPr>
            <w:tcW w:w="851" w:type="dxa"/>
            <w:shd w:val="clear" w:color="auto" w:fill="auto"/>
            <w:vAlign w:val="bottom"/>
          </w:tcPr>
          <w:p w:rsidR="00A55A0E" w:rsidRPr="00E1372C" w:rsidRDefault="00FB335B" w:rsidP="004C7DE9">
            <w:pPr>
              <w:suppressAutoHyphens w:val="0"/>
              <w:spacing w:before="40" w:after="40" w:line="220" w:lineRule="exact"/>
              <w:jc w:val="right"/>
              <w:rPr>
                <w:sz w:val="18"/>
                <w:szCs w:val="18"/>
                <w:lang w:val="fr-FR" w:bidi="en-US"/>
              </w:rPr>
            </w:pPr>
            <w:r w:rsidRPr="00E1372C">
              <w:rPr>
                <w:sz w:val="18"/>
                <w:szCs w:val="18"/>
                <w:lang w:val="fr-FR" w:bidi="en-US"/>
              </w:rPr>
              <w:t>n/d</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45</w:t>
            </w:r>
            <w:r w:rsidR="00F85280" w:rsidRPr="00E1372C">
              <w:rPr>
                <w:sz w:val="18"/>
                <w:szCs w:val="18"/>
                <w:lang w:val="fr-FR" w:bidi="en-US"/>
              </w:rPr>
              <w:t>,</w:t>
            </w:r>
            <w:r w:rsidRPr="00E1372C">
              <w:rPr>
                <w:sz w:val="18"/>
                <w:szCs w:val="18"/>
                <w:lang w:val="fr-FR" w:bidi="en-US"/>
              </w:rPr>
              <w:t>1</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30</w:t>
            </w:r>
          </w:p>
        </w:tc>
      </w:tr>
      <w:tr w:rsidR="00A55A0E" w:rsidRPr="00E1372C">
        <w:tblPrEx>
          <w:tblCellMar>
            <w:top w:w="0" w:type="dxa"/>
            <w:left w:w="0" w:type="dxa"/>
            <w:bottom w:w="0" w:type="dxa"/>
            <w:right w:w="0" w:type="dxa"/>
          </w:tblCellMar>
        </w:tblPrEx>
        <w:trPr>
          <w:trHeight w:val="240"/>
        </w:trPr>
        <w:tc>
          <w:tcPr>
            <w:tcW w:w="3969" w:type="dxa"/>
            <w:shd w:val="clear" w:color="auto" w:fill="auto"/>
          </w:tcPr>
          <w:p w:rsidR="00A55A0E" w:rsidRPr="00E1372C" w:rsidRDefault="00A55A0E" w:rsidP="004C7DE9">
            <w:pPr>
              <w:suppressAutoHyphens w:val="0"/>
              <w:spacing w:before="40" w:after="40" w:line="220" w:lineRule="exact"/>
              <w:rPr>
                <w:sz w:val="18"/>
                <w:szCs w:val="18"/>
                <w:lang w:val="fr-FR" w:bidi="en-US"/>
              </w:rPr>
            </w:pPr>
            <w:r w:rsidRPr="00E1372C">
              <w:rPr>
                <w:sz w:val="18"/>
                <w:szCs w:val="18"/>
                <w:lang w:val="fr-FR" w:bidi="en-US"/>
              </w:rPr>
              <w:t>I</w:t>
            </w:r>
            <w:r w:rsidR="00CC29B5" w:rsidRPr="00E1372C">
              <w:rPr>
                <w:sz w:val="18"/>
                <w:szCs w:val="18"/>
                <w:lang w:val="fr-FR" w:bidi="en-US"/>
              </w:rPr>
              <w:t>PH</w:t>
            </w:r>
            <w:r w:rsidRPr="00E1372C">
              <w:rPr>
                <w:sz w:val="18"/>
                <w:szCs w:val="18"/>
                <w:lang w:val="fr-FR" w:bidi="en-US"/>
              </w:rPr>
              <w:t xml:space="preserve"> (Namibi</w:t>
            </w:r>
            <w:r w:rsidR="00CC29B5" w:rsidRPr="00E1372C">
              <w:rPr>
                <w:sz w:val="18"/>
                <w:szCs w:val="18"/>
                <w:lang w:val="fr-FR" w:bidi="en-US"/>
              </w:rPr>
              <w:t>e</w:t>
            </w:r>
            <w:r w:rsidRPr="00E1372C">
              <w:rPr>
                <w:sz w:val="18"/>
                <w:szCs w:val="18"/>
                <w:lang w:val="fr-FR" w:bidi="en-US"/>
              </w:rPr>
              <w:t>)</w:t>
            </w:r>
          </w:p>
        </w:tc>
        <w:tc>
          <w:tcPr>
            <w:tcW w:w="851" w:type="dxa"/>
            <w:shd w:val="clear" w:color="auto" w:fill="auto"/>
            <w:vAlign w:val="bottom"/>
          </w:tcPr>
          <w:p w:rsidR="00A55A0E" w:rsidRPr="00E1372C" w:rsidRDefault="00FB335B" w:rsidP="004C7DE9">
            <w:pPr>
              <w:suppressAutoHyphens w:val="0"/>
              <w:spacing w:before="40" w:after="40" w:line="220" w:lineRule="exact"/>
              <w:jc w:val="right"/>
              <w:rPr>
                <w:sz w:val="18"/>
                <w:szCs w:val="18"/>
                <w:lang w:val="fr-FR" w:bidi="en-US"/>
              </w:rPr>
            </w:pPr>
            <w:r w:rsidRPr="00E1372C">
              <w:rPr>
                <w:sz w:val="18"/>
                <w:szCs w:val="18"/>
                <w:lang w:val="fr-FR" w:bidi="en-US"/>
              </w:rPr>
              <w:t>n/d</w:t>
            </w:r>
          </w:p>
        </w:tc>
        <w:tc>
          <w:tcPr>
            <w:tcW w:w="851" w:type="dxa"/>
            <w:shd w:val="clear" w:color="auto" w:fill="auto"/>
            <w:vAlign w:val="bottom"/>
          </w:tcPr>
          <w:p w:rsidR="00A55A0E" w:rsidRPr="00E1372C" w:rsidRDefault="00FB335B" w:rsidP="004C7DE9">
            <w:pPr>
              <w:suppressAutoHyphens w:val="0"/>
              <w:spacing w:before="40" w:after="40" w:line="220" w:lineRule="exact"/>
              <w:jc w:val="right"/>
              <w:rPr>
                <w:sz w:val="18"/>
                <w:szCs w:val="18"/>
                <w:lang w:val="fr-FR" w:bidi="en-US"/>
              </w:rPr>
            </w:pPr>
            <w:r w:rsidRPr="00E1372C">
              <w:rPr>
                <w:sz w:val="18"/>
                <w:szCs w:val="18"/>
                <w:lang w:val="fr-FR" w:bidi="en-US"/>
              </w:rPr>
              <w:t>n/d</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26</w:t>
            </w:r>
            <w:r w:rsidR="00F85280" w:rsidRPr="00E1372C">
              <w:rPr>
                <w:sz w:val="18"/>
                <w:szCs w:val="18"/>
                <w:lang w:val="fr-FR" w:bidi="en-US"/>
              </w:rPr>
              <w:t>,</w:t>
            </w:r>
            <w:r w:rsidRPr="00E1372C">
              <w:rPr>
                <w:sz w:val="18"/>
                <w:szCs w:val="18"/>
                <w:lang w:val="fr-FR" w:bidi="en-US"/>
              </w:rPr>
              <w:t>9</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20</w:t>
            </w:r>
          </w:p>
        </w:tc>
      </w:tr>
      <w:tr w:rsidR="00A55A0E" w:rsidRPr="00E1372C">
        <w:tblPrEx>
          <w:tblCellMar>
            <w:top w:w="0" w:type="dxa"/>
            <w:left w:w="0" w:type="dxa"/>
            <w:bottom w:w="0" w:type="dxa"/>
            <w:right w:w="0" w:type="dxa"/>
          </w:tblCellMar>
        </w:tblPrEx>
        <w:trPr>
          <w:trHeight w:val="240"/>
        </w:trPr>
        <w:tc>
          <w:tcPr>
            <w:tcW w:w="3969" w:type="dxa"/>
            <w:shd w:val="clear" w:color="auto" w:fill="auto"/>
          </w:tcPr>
          <w:p w:rsidR="00A55A0E" w:rsidRPr="00E1372C" w:rsidRDefault="00CC29B5" w:rsidP="004C7DE9">
            <w:pPr>
              <w:suppressAutoHyphens w:val="0"/>
              <w:spacing w:before="40" w:after="40" w:line="220" w:lineRule="exact"/>
              <w:rPr>
                <w:sz w:val="18"/>
                <w:szCs w:val="18"/>
                <w:lang w:val="fr-FR" w:bidi="en-US"/>
              </w:rPr>
            </w:pPr>
            <w:r w:rsidRPr="00E1372C">
              <w:rPr>
                <w:sz w:val="18"/>
                <w:szCs w:val="18"/>
                <w:lang w:val="fr-FR" w:bidi="en-US"/>
              </w:rPr>
              <w:t>PIB par personne (</w:t>
            </w:r>
            <w:r w:rsidR="00FD3B18" w:rsidRPr="00E1372C">
              <w:rPr>
                <w:sz w:val="18"/>
                <w:szCs w:val="18"/>
                <w:lang w:val="fr-FR" w:bidi="en-US"/>
              </w:rPr>
              <w:t>dollars namibiens</w:t>
            </w:r>
            <w:r w:rsidRPr="00E1372C">
              <w:rPr>
                <w:sz w:val="18"/>
                <w:szCs w:val="18"/>
                <w:lang w:val="fr-FR" w:bidi="en-US"/>
              </w:rPr>
              <w:t>)</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5</w:t>
            </w:r>
            <w:r w:rsidR="00FB335B" w:rsidRPr="00E1372C">
              <w:rPr>
                <w:sz w:val="18"/>
                <w:szCs w:val="18"/>
                <w:lang w:val="fr-FR" w:bidi="en-US"/>
              </w:rPr>
              <w:t> </w:t>
            </w:r>
            <w:r w:rsidRPr="00E1372C">
              <w:rPr>
                <w:sz w:val="18"/>
                <w:szCs w:val="18"/>
                <w:lang w:val="fr-FR" w:bidi="en-US"/>
              </w:rPr>
              <w:t>092</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5</w:t>
            </w:r>
            <w:r w:rsidR="00FB335B" w:rsidRPr="00E1372C">
              <w:rPr>
                <w:sz w:val="18"/>
                <w:szCs w:val="18"/>
                <w:lang w:val="fr-FR" w:bidi="en-US"/>
              </w:rPr>
              <w:t> </w:t>
            </w:r>
            <w:r w:rsidRPr="00E1372C">
              <w:rPr>
                <w:sz w:val="18"/>
                <w:szCs w:val="18"/>
                <w:lang w:val="fr-FR" w:bidi="en-US"/>
              </w:rPr>
              <w:t>120</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5</w:t>
            </w:r>
            <w:r w:rsidR="00FB335B" w:rsidRPr="00E1372C">
              <w:rPr>
                <w:sz w:val="18"/>
                <w:szCs w:val="18"/>
                <w:lang w:val="fr-FR" w:bidi="en-US"/>
              </w:rPr>
              <w:t> </w:t>
            </w:r>
            <w:r w:rsidRPr="00E1372C">
              <w:rPr>
                <w:sz w:val="18"/>
                <w:szCs w:val="18"/>
                <w:lang w:val="fr-FR" w:bidi="en-US"/>
              </w:rPr>
              <w:t>098</w:t>
            </w:r>
          </w:p>
        </w:tc>
        <w:tc>
          <w:tcPr>
            <w:tcW w:w="851" w:type="dxa"/>
            <w:shd w:val="clear" w:color="auto" w:fill="auto"/>
            <w:vAlign w:val="bottom"/>
          </w:tcPr>
          <w:p w:rsidR="00A55A0E" w:rsidRPr="00E1372C" w:rsidRDefault="00FB335B" w:rsidP="004C7DE9">
            <w:pPr>
              <w:suppressAutoHyphens w:val="0"/>
              <w:spacing w:before="40" w:after="40" w:line="220" w:lineRule="exact"/>
              <w:jc w:val="right"/>
              <w:rPr>
                <w:sz w:val="18"/>
                <w:szCs w:val="18"/>
                <w:lang w:val="fr-FR" w:bidi="en-US"/>
              </w:rPr>
            </w:pPr>
            <w:r w:rsidRPr="00E1372C">
              <w:rPr>
                <w:sz w:val="18"/>
                <w:szCs w:val="18"/>
                <w:lang w:val="fr-FR" w:bidi="en-US"/>
              </w:rPr>
              <w:t>n/d</w:t>
            </w:r>
          </w:p>
        </w:tc>
      </w:tr>
      <w:tr w:rsidR="00A55A0E" w:rsidRPr="00E1372C">
        <w:tblPrEx>
          <w:tblCellMar>
            <w:top w:w="0" w:type="dxa"/>
            <w:left w:w="0" w:type="dxa"/>
            <w:bottom w:w="0" w:type="dxa"/>
            <w:right w:w="0" w:type="dxa"/>
          </w:tblCellMar>
        </w:tblPrEx>
        <w:trPr>
          <w:trHeight w:val="240"/>
        </w:trPr>
        <w:tc>
          <w:tcPr>
            <w:tcW w:w="3969" w:type="dxa"/>
            <w:shd w:val="clear" w:color="auto" w:fill="auto"/>
          </w:tcPr>
          <w:p w:rsidR="00A55A0E" w:rsidRPr="00E1372C" w:rsidRDefault="00CC29B5" w:rsidP="004C7DE9">
            <w:pPr>
              <w:suppressAutoHyphens w:val="0"/>
              <w:spacing w:before="40" w:after="40" w:line="220" w:lineRule="exact"/>
              <w:rPr>
                <w:sz w:val="18"/>
                <w:szCs w:val="18"/>
                <w:lang w:val="fr-FR" w:bidi="en-US"/>
              </w:rPr>
            </w:pPr>
            <w:r w:rsidRPr="00E1372C">
              <w:rPr>
                <w:sz w:val="18"/>
                <w:szCs w:val="18"/>
                <w:lang w:val="fr-FR" w:bidi="en-US"/>
              </w:rPr>
              <w:t>PIB par personne (dollars</w:t>
            </w:r>
            <w:r w:rsidR="00557343" w:rsidRPr="00E1372C">
              <w:rPr>
                <w:sz w:val="18"/>
                <w:szCs w:val="18"/>
                <w:lang w:val="fr-FR" w:bidi="en-US"/>
              </w:rPr>
              <w:t xml:space="preserve"> É.-U.</w:t>
            </w:r>
            <w:r w:rsidR="00FB335B" w:rsidRPr="00E1372C">
              <w:rPr>
                <w:sz w:val="18"/>
                <w:szCs w:val="18"/>
                <w:lang w:val="fr-FR" w:bidi="en-US"/>
              </w:rPr>
              <w:t>)</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2</w:t>
            </w:r>
            <w:r w:rsidR="00FB335B" w:rsidRPr="00E1372C">
              <w:rPr>
                <w:sz w:val="18"/>
                <w:szCs w:val="18"/>
                <w:lang w:val="fr-FR" w:bidi="en-US"/>
              </w:rPr>
              <w:t> </w:t>
            </w:r>
            <w:r w:rsidRPr="00E1372C">
              <w:rPr>
                <w:sz w:val="18"/>
                <w:szCs w:val="18"/>
                <w:lang w:val="fr-FR" w:bidi="en-US"/>
              </w:rPr>
              <w:t>107</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1</w:t>
            </w:r>
            <w:r w:rsidR="00FB335B" w:rsidRPr="00E1372C">
              <w:rPr>
                <w:sz w:val="18"/>
                <w:szCs w:val="18"/>
                <w:lang w:val="fr-FR" w:bidi="en-US"/>
              </w:rPr>
              <w:t> </w:t>
            </w:r>
            <w:r w:rsidRPr="00E1372C">
              <w:rPr>
                <w:sz w:val="18"/>
                <w:szCs w:val="18"/>
                <w:lang w:val="fr-FR" w:bidi="en-US"/>
              </w:rPr>
              <w:t>957</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1</w:t>
            </w:r>
            <w:r w:rsidR="00FB335B" w:rsidRPr="00E1372C">
              <w:rPr>
                <w:sz w:val="18"/>
                <w:szCs w:val="18"/>
                <w:lang w:val="fr-FR" w:bidi="en-US"/>
              </w:rPr>
              <w:t> </w:t>
            </w:r>
            <w:r w:rsidRPr="00E1372C">
              <w:rPr>
                <w:sz w:val="18"/>
                <w:szCs w:val="18"/>
                <w:lang w:val="fr-FR" w:bidi="en-US"/>
              </w:rPr>
              <w:t>984</w:t>
            </w:r>
          </w:p>
        </w:tc>
        <w:tc>
          <w:tcPr>
            <w:tcW w:w="851" w:type="dxa"/>
            <w:shd w:val="clear" w:color="auto" w:fill="auto"/>
            <w:vAlign w:val="bottom"/>
          </w:tcPr>
          <w:p w:rsidR="00A55A0E" w:rsidRPr="00E1372C" w:rsidRDefault="00FB335B" w:rsidP="004C7DE9">
            <w:pPr>
              <w:suppressAutoHyphens w:val="0"/>
              <w:spacing w:before="40" w:after="40" w:line="220" w:lineRule="exact"/>
              <w:jc w:val="right"/>
              <w:rPr>
                <w:sz w:val="18"/>
                <w:szCs w:val="18"/>
                <w:lang w:val="fr-FR" w:bidi="en-US"/>
              </w:rPr>
            </w:pPr>
            <w:r w:rsidRPr="00E1372C">
              <w:rPr>
                <w:sz w:val="18"/>
                <w:szCs w:val="18"/>
                <w:lang w:val="fr-FR" w:bidi="en-US"/>
              </w:rPr>
              <w:t>n</w:t>
            </w:r>
            <w:r w:rsidR="00B43857" w:rsidRPr="00E1372C">
              <w:rPr>
                <w:sz w:val="18"/>
                <w:szCs w:val="18"/>
                <w:lang w:val="fr-FR" w:bidi="en-US"/>
              </w:rPr>
              <w:t>/d</w:t>
            </w:r>
          </w:p>
        </w:tc>
      </w:tr>
      <w:tr w:rsidR="00A55A0E" w:rsidRPr="00E1372C">
        <w:tblPrEx>
          <w:tblCellMar>
            <w:top w:w="0" w:type="dxa"/>
            <w:left w:w="0" w:type="dxa"/>
            <w:bottom w:w="0" w:type="dxa"/>
            <w:right w:w="0" w:type="dxa"/>
          </w:tblCellMar>
        </w:tblPrEx>
        <w:trPr>
          <w:trHeight w:val="240"/>
        </w:trPr>
        <w:tc>
          <w:tcPr>
            <w:tcW w:w="3969" w:type="dxa"/>
            <w:shd w:val="clear" w:color="auto" w:fill="auto"/>
          </w:tcPr>
          <w:p w:rsidR="00A55A0E" w:rsidRPr="00E1372C" w:rsidRDefault="00FB335B" w:rsidP="004C7DE9">
            <w:pPr>
              <w:suppressAutoHyphens w:val="0"/>
              <w:spacing w:before="40" w:after="40" w:line="220" w:lineRule="exact"/>
              <w:rPr>
                <w:sz w:val="18"/>
                <w:szCs w:val="18"/>
                <w:lang w:val="fr-FR" w:bidi="en-US"/>
              </w:rPr>
            </w:pPr>
            <w:r w:rsidRPr="00E1372C">
              <w:rPr>
                <w:sz w:val="18"/>
                <w:szCs w:val="18"/>
                <w:lang w:val="fr-FR" w:bidi="en-US"/>
              </w:rPr>
              <w:t>Taux de croissance du PIB</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3</w:t>
            </w:r>
            <w:r w:rsidR="00F85280" w:rsidRPr="00E1372C">
              <w:rPr>
                <w:sz w:val="18"/>
                <w:szCs w:val="18"/>
                <w:lang w:val="fr-FR" w:bidi="en-US"/>
              </w:rPr>
              <w:t>,</w:t>
            </w:r>
            <w:r w:rsidRPr="00E1372C">
              <w:rPr>
                <w:sz w:val="18"/>
                <w:szCs w:val="18"/>
                <w:lang w:val="fr-FR" w:bidi="en-US"/>
              </w:rPr>
              <w:t>3</w:t>
            </w:r>
            <w:r w:rsidR="007064FC" w:rsidRPr="00E1372C">
              <w:rPr>
                <w:sz w:val="18"/>
                <w:szCs w:val="18"/>
                <w:lang w:val="fr-FR" w:bidi="en-US"/>
              </w:rPr>
              <w:t> %</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3</w:t>
            </w:r>
            <w:r w:rsidR="00F85280" w:rsidRPr="00E1372C">
              <w:rPr>
                <w:sz w:val="18"/>
                <w:szCs w:val="18"/>
                <w:lang w:val="fr-FR" w:bidi="en-US"/>
              </w:rPr>
              <w:t>,</w:t>
            </w:r>
            <w:r w:rsidRPr="00E1372C">
              <w:rPr>
                <w:sz w:val="18"/>
                <w:szCs w:val="18"/>
                <w:lang w:val="fr-FR" w:bidi="en-US"/>
              </w:rPr>
              <w:t>0</w:t>
            </w:r>
            <w:r w:rsidR="007064FC" w:rsidRPr="00E1372C">
              <w:rPr>
                <w:sz w:val="18"/>
                <w:szCs w:val="18"/>
                <w:lang w:val="fr-FR" w:bidi="en-US"/>
              </w:rPr>
              <w:t> %</w:t>
            </w:r>
          </w:p>
        </w:tc>
        <w:tc>
          <w:tcPr>
            <w:tcW w:w="851" w:type="dxa"/>
            <w:shd w:val="clear" w:color="auto" w:fill="auto"/>
            <w:vAlign w:val="bottom"/>
          </w:tcPr>
          <w:p w:rsidR="00A55A0E" w:rsidRPr="00E1372C" w:rsidRDefault="00A55A0E" w:rsidP="004C7DE9">
            <w:pPr>
              <w:suppressAutoHyphens w:val="0"/>
              <w:spacing w:before="40" w:after="40" w:line="220" w:lineRule="exact"/>
              <w:jc w:val="right"/>
              <w:rPr>
                <w:sz w:val="18"/>
                <w:szCs w:val="18"/>
                <w:lang w:val="fr-FR" w:bidi="en-US"/>
              </w:rPr>
            </w:pPr>
            <w:r w:rsidRPr="00E1372C">
              <w:rPr>
                <w:sz w:val="18"/>
                <w:szCs w:val="18"/>
                <w:lang w:val="fr-FR" w:bidi="en-US"/>
              </w:rPr>
              <w:t>1</w:t>
            </w:r>
            <w:r w:rsidR="00F85280" w:rsidRPr="00E1372C">
              <w:rPr>
                <w:sz w:val="18"/>
                <w:szCs w:val="18"/>
                <w:lang w:val="fr-FR" w:bidi="en-US"/>
              </w:rPr>
              <w:t>,</w:t>
            </w:r>
            <w:r w:rsidRPr="00E1372C">
              <w:rPr>
                <w:sz w:val="18"/>
                <w:szCs w:val="18"/>
                <w:lang w:val="fr-FR" w:bidi="en-US"/>
              </w:rPr>
              <w:t>8</w:t>
            </w:r>
            <w:r w:rsidR="007064FC" w:rsidRPr="00E1372C">
              <w:rPr>
                <w:sz w:val="18"/>
                <w:szCs w:val="18"/>
                <w:lang w:val="fr-FR" w:bidi="en-US"/>
              </w:rPr>
              <w:t> %</w:t>
            </w:r>
          </w:p>
        </w:tc>
        <w:tc>
          <w:tcPr>
            <w:tcW w:w="851" w:type="dxa"/>
            <w:shd w:val="clear" w:color="auto" w:fill="auto"/>
            <w:vAlign w:val="bottom"/>
          </w:tcPr>
          <w:p w:rsidR="00A55A0E" w:rsidRPr="00E1372C" w:rsidRDefault="00FB335B" w:rsidP="004C7DE9">
            <w:pPr>
              <w:suppressAutoHyphens w:val="0"/>
              <w:spacing w:before="40" w:after="40" w:line="220" w:lineRule="exact"/>
              <w:jc w:val="right"/>
              <w:rPr>
                <w:sz w:val="18"/>
                <w:szCs w:val="18"/>
                <w:lang w:val="fr-FR" w:bidi="en-US"/>
              </w:rPr>
            </w:pPr>
            <w:r w:rsidRPr="00E1372C">
              <w:rPr>
                <w:sz w:val="18"/>
                <w:szCs w:val="18"/>
                <w:lang w:val="fr-FR" w:bidi="en-US"/>
              </w:rPr>
              <w:t>n/d</w:t>
            </w:r>
          </w:p>
        </w:tc>
      </w:tr>
    </w:tbl>
    <w:p w:rsidR="00A55A0E" w:rsidRPr="00E1372C" w:rsidRDefault="00A55A0E" w:rsidP="004C7DE9">
      <w:pPr>
        <w:pStyle w:val="Source"/>
      </w:pPr>
      <w:r w:rsidRPr="00E1372C">
        <w:rPr>
          <w:i/>
          <w:iCs w:val="0"/>
        </w:rPr>
        <w:t>Source</w:t>
      </w:r>
      <w:r w:rsidR="00AE017E" w:rsidRPr="00E1372C">
        <w:rPr>
          <w:i/>
          <w:iCs w:val="0"/>
        </w:rPr>
        <w:t>:</w:t>
      </w:r>
      <w:r w:rsidRPr="00E1372C">
        <w:t xml:space="preserve"> </w:t>
      </w:r>
      <w:r w:rsidR="00FB335B" w:rsidRPr="00E1372C">
        <w:t>PNUD</w:t>
      </w:r>
      <w:r w:rsidR="00B43857" w:rsidRPr="00E1372C">
        <w:t xml:space="preserve">, </w:t>
      </w:r>
      <w:r w:rsidR="00FB335B" w:rsidRPr="00E1372C">
        <w:t xml:space="preserve">rapports sur le développement humain; </w:t>
      </w:r>
      <w:r w:rsidR="006972A3" w:rsidRPr="00E1372C">
        <w:t xml:space="preserve">divers </w:t>
      </w:r>
      <w:r w:rsidR="00FB335B" w:rsidRPr="00E1372C">
        <w:t>rapports sur le développement humain de la Namibie.</w:t>
      </w:r>
    </w:p>
    <w:p w:rsidR="00A55A0E" w:rsidRPr="00E1372C" w:rsidRDefault="007A1757" w:rsidP="004F6E3A">
      <w:pPr>
        <w:pStyle w:val="SingleTxtG"/>
        <w:rPr>
          <w:lang w:val="fr-FR" w:bidi="en-US"/>
        </w:rPr>
      </w:pPr>
      <w:r w:rsidRPr="00E1372C">
        <w:rPr>
          <w:lang w:val="fr-FR" w:bidi="en-US"/>
        </w:rPr>
        <w:t>287.</w:t>
      </w:r>
      <w:r w:rsidRPr="00E1372C">
        <w:rPr>
          <w:lang w:val="fr-FR" w:bidi="en-US"/>
        </w:rPr>
        <w:tab/>
      </w:r>
      <w:r w:rsidR="00F85280" w:rsidRPr="00E1372C">
        <w:rPr>
          <w:lang w:val="fr-FR"/>
        </w:rPr>
        <w:t>Le pays a fait des progrès dans le domaine de la santé, de l</w:t>
      </w:r>
      <w:r w:rsidR="00731F09" w:rsidRPr="00E1372C">
        <w:rPr>
          <w:lang w:val="fr-FR"/>
        </w:rPr>
        <w:t>’</w:t>
      </w:r>
      <w:r w:rsidR="00F85280" w:rsidRPr="00E1372C">
        <w:rPr>
          <w:lang w:val="fr-FR"/>
        </w:rPr>
        <w:t>éducation, de la lutte contre la pauvreté, de la promotion de l</w:t>
      </w:r>
      <w:r w:rsidR="00731F09" w:rsidRPr="00E1372C">
        <w:rPr>
          <w:lang w:val="fr-FR"/>
        </w:rPr>
        <w:t>’</w:t>
      </w:r>
      <w:r w:rsidR="00F85280" w:rsidRPr="00E1372C">
        <w:rPr>
          <w:lang w:val="fr-FR"/>
        </w:rPr>
        <w:t>égalité entre les sexes, de la protection des enfants, de la gouvernance, de la population et de la gestion de l</w:t>
      </w:r>
      <w:r w:rsidR="00731F09" w:rsidRPr="00E1372C">
        <w:rPr>
          <w:lang w:val="fr-FR"/>
        </w:rPr>
        <w:t>’</w:t>
      </w:r>
      <w:r w:rsidR="00F85280" w:rsidRPr="00E1372C">
        <w:rPr>
          <w:lang w:val="fr-FR"/>
        </w:rPr>
        <w:t xml:space="preserve">environnement. </w:t>
      </w:r>
      <w:r w:rsidR="006972A3" w:rsidRPr="00E1372C">
        <w:rPr>
          <w:lang w:val="fr-FR"/>
        </w:rPr>
        <w:t>Toutefois</w:t>
      </w:r>
      <w:r w:rsidR="00F85280" w:rsidRPr="00E1372C">
        <w:rPr>
          <w:lang w:val="fr-FR"/>
        </w:rPr>
        <w:t>, les niveaux de nutrition sont en Namibie bien inférieurs à ceux d</w:t>
      </w:r>
      <w:r w:rsidR="00731F09" w:rsidRPr="00E1372C">
        <w:rPr>
          <w:lang w:val="fr-FR"/>
        </w:rPr>
        <w:t>’</w:t>
      </w:r>
      <w:r w:rsidR="00F85280" w:rsidRPr="00E1372C">
        <w:rPr>
          <w:lang w:val="fr-FR"/>
        </w:rPr>
        <w:t>un pays à revenu moyen; les résultats du système éducatif laissent beaucoup à désirer; les femmes ont fait des progrès en matière d</w:t>
      </w:r>
      <w:r w:rsidR="00731F09" w:rsidRPr="00E1372C">
        <w:rPr>
          <w:lang w:val="fr-FR"/>
        </w:rPr>
        <w:t>’</w:t>
      </w:r>
      <w:r w:rsidR="00F85280" w:rsidRPr="00E1372C">
        <w:rPr>
          <w:lang w:val="fr-FR"/>
        </w:rPr>
        <w:t>éducation mais leur statut n</w:t>
      </w:r>
      <w:r w:rsidR="00731F09" w:rsidRPr="00E1372C">
        <w:rPr>
          <w:lang w:val="fr-FR"/>
        </w:rPr>
        <w:t>’</w:t>
      </w:r>
      <w:r w:rsidR="00F85280" w:rsidRPr="00E1372C">
        <w:rPr>
          <w:lang w:val="fr-FR"/>
        </w:rPr>
        <w:t>a pas beaucoup changé. À l</w:t>
      </w:r>
      <w:r w:rsidR="00731F09" w:rsidRPr="00E1372C">
        <w:rPr>
          <w:lang w:val="fr-FR"/>
        </w:rPr>
        <w:t>’</w:t>
      </w:r>
      <w:r w:rsidR="00F85280" w:rsidRPr="00E1372C">
        <w:rPr>
          <w:lang w:val="fr-FR"/>
        </w:rPr>
        <w:t>heure actuelle, le pays fait face à la menace sans précédent que fait peser sur la population le VIH/</w:t>
      </w:r>
      <w:r w:rsidR="00B277C4" w:rsidRPr="00E1372C">
        <w:rPr>
          <w:lang w:val="fr-FR"/>
        </w:rPr>
        <w:t>sida</w:t>
      </w:r>
      <w:r w:rsidR="00A55A0E" w:rsidRPr="00E1372C">
        <w:rPr>
          <w:lang w:val="fr-FR" w:bidi="en-US"/>
        </w:rPr>
        <w:t>.</w:t>
      </w:r>
      <w:bookmarkStart w:id="8" w:name="_Toc13632549"/>
      <w:r w:rsidR="004F6E3A" w:rsidRPr="00E1372C">
        <w:rPr>
          <w:lang w:val="fr-FR" w:bidi="en-US"/>
        </w:rPr>
        <w:t xml:space="preserve"> </w:t>
      </w:r>
    </w:p>
    <w:p w:rsidR="00A55A0E" w:rsidRPr="00E1372C" w:rsidRDefault="00557343" w:rsidP="00557343">
      <w:pPr>
        <w:pStyle w:val="H23G"/>
        <w:rPr>
          <w:lang w:val="fr-FR"/>
        </w:rPr>
      </w:pPr>
      <w:r w:rsidRPr="00E1372C">
        <w:rPr>
          <w:lang w:val="fr-FR"/>
        </w:rPr>
        <w:tab/>
      </w:r>
      <w:r w:rsidRPr="00E1372C">
        <w:rPr>
          <w:lang w:val="fr-FR"/>
        </w:rPr>
        <w:tab/>
      </w:r>
      <w:r w:rsidR="00F85280" w:rsidRPr="00E1372C">
        <w:rPr>
          <w:lang w:val="fr-FR"/>
        </w:rPr>
        <w:t>Développement humain et pauvreté</w:t>
      </w:r>
      <w:bookmarkEnd w:id="8"/>
      <w:r w:rsidR="00F85280" w:rsidRPr="00E1372C">
        <w:rPr>
          <w:lang w:val="fr-FR"/>
        </w:rPr>
        <w:t xml:space="preserve"> en Namibie</w:t>
      </w:r>
    </w:p>
    <w:p w:rsidR="00A55A0E" w:rsidRPr="00E1372C" w:rsidRDefault="007A1757" w:rsidP="001A799F">
      <w:pPr>
        <w:pStyle w:val="SingleTxtG"/>
        <w:rPr>
          <w:lang w:val="fr-FR" w:bidi="en-US"/>
        </w:rPr>
      </w:pPr>
      <w:r w:rsidRPr="00E1372C">
        <w:rPr>
          <w:lang w:val="fr-FR" w:bidi="en-US"/>
        </w:rPr>
        <w:t>288.</w:t>
      </w:r>
      <w:r w:rsidRPr="00E1372C">
        <w:rPr>
          <w:lang w:val="fr-FR" w:bidi="en-US"/>
        </w:rPr>
        <w:tab/>
      </w:r>
      <w:r w:rsidR="00F85280" w:rsidRPr="00E1372C">
        <w:rPr>
          <w:lang w:val="fr-FR"/>
        </w:rPr>
        <w:t>Le niveau de développement humain a fortement augmenté</w:t>
      </w:r>
      <w:r w:rsidR="006972A3" w:rsidRPr="00E1372C">
        <w:rPr>
          <w:lang w:val="fr-FR"/>
        </w:rPr>
        <w:t xml:space="preserve"> en Namibie</w:t>
      </w:r>
      <w:r w:rsidR="001A799F" w:rsidRPr="00E1372C">
        <w:rPr>
          <w:lang w:val="fr-FR"/>
        </w:rPr>
        <w:t xml:space="preserve">, passant de </w:t>
      </w:r>
      <w:r w:rsidR="00F85280" w:rsidRPr="00E1372C">
        <w:rPr>
          <w:lang w:val="fr-FR"/>
        </w:rPr>
        <w:t>0,570 en 1997 à 0,644 en 1998. Cette progression est mise en évidence par l</w:t>
      </w:r>
      <w:r w:rsidR="00731F09" w:rsidRPr="00E1372C">
        <w:rPr>
          <w:lang w:val="fr-FR"/>
        </w:rPr>
        <w:t>’</w:t>
      </w:r>
      <w:r w:rsidR="00F85280" w:rsidRPr="00E1372C">
        <w:rPr>
          <w:lang w:val="fr-FR"/>
        </w:rPr>
        <w:t xml:space="preserve">amélioration du classement de la Namibie, qui est passée de la </w:t>
      </w:r>
      <w:r w:rsidR="001A799F" w:rsidRPr="00E1372C">
        <w:rPr>
          <w:lang w:val="fr-FR"/>
        </w:rPr>
        <w:t>118</w:t>
      </w:r>
      <w:r w:rsidR="001A799F" w:rsidRPr="00E1372C">
        <w:rPr>
          <w:vertAlign w:val="superscript"/>
          <w:lang w:val="fr-FR"/>
        </w:rPr>
        <w:t>e</w:t>
      </w:r>
      <w:r w:rsidR="00F85280" w:rsidRPr="00E1372C">
        <w:rPr>
          <w:lang w:val="fr-FR"/>
        </w:rPr>
        <w:t xml:space="preserve"> place en 1997 à la </w:t>
      </w:r>
      <w:r w:rsidR="001A799F" w:rsidRPr="00E1372C">
        <w:rPr>
          <w:lang w:val="fr-FR"/>
        </w:rPr>
        <w:t>107</w:t>
      </w:r>
      <w:r w:rsidR="001A799F" w:rsidRPr="00E1372C">
        <w:rPr>
          <w:vertAlign w:val="superscript"/>
          <w:lang w:val="fr-FR"/>
        </w:rPr>
        <w:t>e</w:t>
      </w:r>
      <w:r w:rsidR="001A799F" w:rsidRPr="00E1372C">
        <w:rPr>
          <w:lang w:val="fr-FR"/>
        </w:rPr>
        <w:t> </w:t>
      </w:r>
      <w:r w:rsidR="006F7223" w:rsidRPr="00E1372C">
        <w:rPr>
          <w:lang w:val="fr-FR"/>
        </w:rPr>
        <w:t xml:space="preserve">en 1998. Une </w:t>
      </w:r>
      <w:r w:rsidR="00F85280" w:rsidRPr="00E1372C">
        <w:rPr>
          <w:lang w:val="fr-FR"/>
        </w:rPr>
        <w:t>bonne partie de ce qui a été accompli peut cependant être attribué à un seul facteur: l</w:t>
      </w:r>
      <w:r w:rsidR="00731F09" w:rsidRPr="00E1372C">
        <w:rPr>
          <w:lang w:val="fr-FR"/>
        </w:rPr>
        <w:t>’</w:t>
      </w:r>
      <w:r w:rsidR="00F85280" w:rsidRPr="00E1372C">
        <w:rPr>
          <w:lang w:val="fr-FR"/>
        </w:rPr>
        <w:t>amélioration du taux de scolarisation et d</w:t>
      </w:r>
      <w:r w:rsidR="00731F09" w:rsidRPr="00E1372C">
        <w:rPr>
          <w:lang w:val="fr-FR"/>
        </w:rPr>
        <w:t>’</w:t>
      </w:r>
      <w:r w:rsidR="00F85280" w:rsidRPr="00E1372C">
        <w:rPr>
          <w:lang w:val="fr-FR"/>
        </w:rPr>
        <w:t>alphabétisation. Même si les acquis s</w:t>
      </w:r>
      <w:r w:rsidR="00731F09" w:rsidRPr="00E1372C">
        <w:rPr>
          <w:lang w:val="fr-FR"/>
        </w:rPr>
        <w:t>’</w:t>
      </w:r>
      <w:r w:rsidR="00F85280" w:rsidRPr="00E1372C">
        <w:rPr>
          <w:lang w:val="fr-FR"/>
        </w:rPr>
        <w:t>expliquent aussi dans une certaine mesure par la correction d</w:t>
      </w:r>
      <w:r w:rsidR="00731F09" w:rsidRPr="00E1372C">
        <w:rPr>
          <w:lang w:val="fr-FR"/>
        </w:rPr>
        <w:t>’</w:t>
      </w:r>
      <w:r w:rsidR="00F85280" w:rsidRPr="00E1372C">
        <w:rPr>
          <w:lang w:val="fr-FR"/>
        </w:rPr>
        <w:t>erreurs passées dans les données, ils rendent surtout compte des résultats d</w:t>
      </w:r>
      <w:r w:rsidR="00731F09" w:rsidRPr="00E1372C">
        <w:rPr>
          <w:lang w:val="fr-FR"/>
        </w:rPr>
        <w:t>’</w:t>
      </w:r>
      <w:r w:rsidR="00F85280" w:rsidRPr="00E1372C">
        <w:rPr>
          <w:lang w:val="fr-FR"/>
        </w:rPr>
        <w:t>une politique nationale mettant fortement l</w:t>
      </w:r>
      <w:r w:rsidR="00731F09" w:rsidRPr="00E1372C">
        <w:rPr>
          <w:lang w:val="fr-FR"/>
        </w:rPr>
        <w:t>’</w:t>
      </w:r>
      <w:r w:rsidR="00F85280" w:rsidRPr="00E1372C">
        <w:rPr>
          <w:lang w:val="fr-FR"/>
        </w:rPr>
        <w:t>accent sur l</w:t>
      </w:r>
      <w:r w:rsidR="00731F09" w:rsidRPr="00E1372C">
        <w:rPr>
          <w:lang w:val="fr-FR"/>
        </w:rPr>
        <w:t>’</w:t>
      </w:r>
      <w:r w:rsidR="00F85280" w:rsidRPr="00E1372C">
        <w:rPr>
          <w:lang w:val="fr-FR"/>
        </w:rPr>
        <w:t>enseignement et ont été signalés dans les précédents rapports relatifs au développement humain en Namibie</w:t>
      </w:r>
      <w:r w:rsidR="00A55A0E" w:rsidRPr="00E1372C">
        <w:rPr>
          <w:lang w:val="fr-FR" w:bidi="en-US"/>
        </w:rPr>
        <w:t>.</w:t>
      </w:r>
    </w:p>
    <w:p w:rsidR="00A55A0E" w:rsidRPr="00E1372C" w:rsidRDefault="007A1757" w:rsidP="007A1757">
      <w:pPr>
        <w:pStyle w:val="SingleTxtG"/>
        <w:rPr>
          <w:lang w:val="fr-FR" w:bidi="en-US"/>
        </w:rPr>
      </w:pPr>
      <w:r w:rsidRPr="00E1372C">
        <w:rPr>
          <w:lang w:val="fr-FR" w:bidi="en-US"/>
        </w:rPr>
        <w:t>289.</w:t>
      </w:r>
      <w:r w:rsidRPr="00E1372C">
        <w:rPr>
          <w:lang w:val="fr-FR" w:bidi="en-US"/>
        </w:rPr>
        <w:tab/>
      </w:r>
      <w:r w:rsidR="00240972" w:rsidRPr="00E1372C">
        <w:rPr>
          <w:lang w:val="fr-FR"/>
        </w:rPr>
        <w:t>La situation en matière de croissance économique, de lutte contre la pauvreté et de promotion de l</w:t>
      </w:r>
      <w:r w:rsidR="00731F09" w:rsidRPr="00E1372C">
        <w:rPr>
          <w:lang w:val="fr-FR"/>
        </w:rPr>
        <w:t>’</w:t>
      </w:r>
      <w:r w:rsidR="00240972" w:rsidRPr="00E1372C">
        <w:rPr>
          <w:lang w:val="fr-FR"/>
        </w:rPr>
        <w:t>égalité demeure un sujet de préoccupation. L</w:t>
      </w:r>
      <w:r w:rsidR="00731F09" w:rsidRPr="00E1372C">
        <w:rPr>
          <w:lang w:val="fr-FR"/>
        </w:rPr>
        <w:t>’</w:t>
      </w:r>
      <w:r w:rsidR="00240972" w:rsidRPr="00E1372C">
        <w:rPr>
          <w:lang w:val="fr-FR"/>
        </w:rPr>
        <w:t>économie a crû de 1,8</w:t>
      </w:r>
      <w:r w:rsidR="007064FC" w:rsidRPr="00E1372C">
        <w:rPr>
          <w:lang w:val="fr-FR"/>
        </w:rPr>
        <w:t> %</w:t>
      </w:r>
      <w:r w:rsidR="00240972" w:rsidRPr="00E1372C">
        <w:rPr>
          <w:lang w:val="fr-FR"/>
        </w:rPr>
        <w:t xml:space="preserve"> en 1997. L</w:t>
      </w:r>
      <w:r w:rsidR="00731F09" w:rsidRPr="00E1372C">
        <w:rPr>
          <w:lang w:val="fr-FR"/>
        </w:rPr>
        <w:t>’</w:t>
      </w:r>
      <w:r w:rsidR="00240972" w:rsidRPr="00E1372C">
        <w:rPr>
          <w:lang w:val="fr-FR"/>
        </w:rPr>
        <w:t>inégalité reste endémique. Les 10</w:t>
      </w:r>
      <w:r w:rsidR="007064FC" w:rsidRPr="00E1372C">
        <w:rPr>
          <w:lang w:val="fr-FR"/>
        </w:rPr>
        <w:t> %</w:t>
      </w:r>
      <w:r w:rsidR="00240972" w:rsidRPr="00E1372C">
        <w:rPr>
          <w:lang w:val="fr-FR"/>
        </w:rPr>
        <w:t xml:space="preserve"> les plus riches de la société reçoivent encore 65</w:t>
      </w:r>
      <w:r w:rsidR="007064FC" w:rsidRPr="00E1372C">
        <w:rPr>
          <w:lang w:val="fr-FR"/>
        </w:rPr>
        <w:t> %</w:t>
      </w:r>
      <w:r w:rsidR="00240972" w:rsidRPr="00E1372C">
        <w:rPr>
          <w:lang w:val="fr-FR"/>
        </w:rPr>
        <w:t xml:space="preserve"> du revenu ne laissant que 35</w:t>
      </w:r>
      <w:r w:rsidR="007064FC" w:rsidRPr="00E1372C">
        <w:rPr>
          <w:lang w:val="fr-FR"/>
        </w:rPr>
        <w:t> %</w:t>
      </w:r>
      <w:r w:rsidR="00240972" w:rsidRPr="00E1372C">
        <w:rPr>
          <w:lang w:val="fr-FR"/>
        </w:rPr>
        <w:t xml:space="preserve"> aux 90</w:t>
      </w:r>
      <w:r w:rsidR="007064FC" w:rsidRPr="00E1372C">
        <w:rPr>
          <w:lang w:val="fr-FR"/>
        </w:rPr>
        <w:t> %</w:t>
      </w:r>
      <w:r w:rsidR="00240972" w:rsidRPr="00E1372C">
        <w:rPr>
          <w:lang w:val="fr-FR"/>
        </w:rPr>
        <w:t xml:space="preserve"> restants. </w:t>
      </w:r>
      <w:r w:rsidR="00E62870" w:rsidRPr="00E1372C">
        <w:rPr>
          <w:lang w:val="fr-FR"/>
        </w:rPr>
        <w:t>Ainsi</w:t>
      </w:r>
      <w:r w:rsidR="00240972" w:rsidRPr="00E1372C">
        <w:rPr>
          <w:lang w:val="fr-FR"/>
        </w:rPr>
        <w:t>, la moitié de la population namibienne vit avec à peu près 10</w:t>
      </w:r>
      <w:r w:rsidR="007064FC" w:rsidRPr="00E1372C">
        <w:rPr>
          <w:lang w:val="fr-FR"/>
        </w:rPr>
        <w:t> %</w:t>
      </w:r>
      <w:r w:rsidR="00240972" w:rsidRPr="00E1372C">
        <w:rPr>
          <w:lang w:val="fr-FR"/>
        </w:rPr>
        <w:t xml:space="preserve"> du revenu moyen alors que 5</w:t>
      </w:r>
      <w:r w:rsidR="007064FC" w:rsidRPr="00E1372C">
        <w:rPr>
          <w:lang w:val="fr-FR"/>
        </w:rPr>
        <w:t> %</w:t>
      </w:r>
      <w:r w:rsidR="00240972" w:rsidRPr="00E1372C">
        <w:rPr>
          <w:lang w:val="fr-FR"/>
        </w:rPr>
        <w:t xml:space="preserve"> de cette population ont des revenus cinq fois plus élevés que la moyenne. S</w:t>
      </w:r>
      <w:r w:rsidR="00731F09" w:rsidRPr="00E1372C">
        <w:rPr>
          <w:lang w:val="fr-FR"/>
        </w:rPr>
        <w:t>’</w:t>
      </w:r>
      <w:r w:rsidR="00240972" w:rsidRPr="00E1372C">
        <w:rPr>
          <w:lang w:val="fr-FR"/>
        </w:rPr>
        <w:t>agissant du revenu par habitant, l</w:t>
      </w:r>
      <w:r w:rsidR="00E62870" w:rsidRPr="00E1372C">
        <w:rPr>
          <w:lang w:val="fr-FR"/>
        </w:rPr>
        <w:t>a</w:t>
      </w:r>
      <w:r w:rsidR="00240972" w:rsidRPr="00E1372C">
        <w:rPr>
          <w:lang w:val="fr-FR"/>
        </w:rPr>
        <w:t xml:space="preserve"> </w:t>
      </w:r>
      <w:r w:rsidR="00E62870" w:rsidRPr="00E1372C">
        <w:rPr>
          <w:lang w:val="fr-FR"/>
        </w:rPr>
        <w:t>proportion</w:t>
      </w:r>
      <w:r w:rsidR="00240972" w:rsidRPr="00E1372C">
        <w:rPr>
          <w:lang w:val="fr-FR"/>
        </w:rPr>
        <w:t xml:space="preserve"> entre les 5</w:t>
      </w:r>
      <w:r w:rsidR="007064FC" w:rsidRPr="00E1372C">
        <w:rPr>
          <w:lang w:val="fr-FR"/>
        </w:rPr>
        <w:t> %</w:t>
      </w:r>
      <w:r w:rsidR="00240972" w:rsidRPr="00E1372C">
        <w:rPr>
          <w:lang w:val="fr-FR"/>
        </w:rPr>
        <w:t xml:space="preserve"> les plus riches et les 50</w:t>
      </w:r>
      <w:r w:rsidR="007064FC" w:rsidRPr="00E1372C">
        <w:rPr>
          <w:lang w:val="fr-FR"/>
        </w:rPr>
        <w:t> %</w:t>
      </w:r>
      <w:r w:rsidR="00240972" w:rsidRPr="00E1372C">
        <w:rPr>
          <w:lang w:val="fr-FR"/>
        </w:rPr>
        <w:t xml:space="preserve"> les moins riches est d</w:t>
      </w:r>
      <w:r w:rsidR="00E62870" w:rsidRPr="00E1372C">
        <w:rPr>
          <w:lang w:val="fr-FR"/>
        </w:rPr>
        <w:t>e</w:t>
      </w:r>
      <w:r w:rsidR="006F7223" w:rsidRPr="00E1372C">
        <w:rPr>
          <w:lang w:val="fr-FR"/>
        </w:rPr>
        <w:t xml:space="preserve"> </w:t>
      </w:r>
      <w:r w:rsidR="00E62870" w:rsidRPr="00E1372C">
        <w:rPr>
          <w:lang w:val="fr-FR"/>
        </w:rPr>
        <w:t xml:space="preserve">5 à </w:t>
      </w:r>
      <w:r w:rsidR="00240972" w:rsidRPr="00E1372C">
        <w:rPr>
          <w:lang w:val="fr-FR"/>
        </w:rPr>
        <w:t>1</w:t>
      </w:r>
      <w:r w:rsidR="00E62870" w:rsidRPr="00E1372C">
        <w:rPr>
          <w:lang w:val="fr-FR"/>
        </w:rPr>
        <w:t xml:space="preserve"> environ</w:t>
      </w:r>
      <w:r w:rsidR="00A55A0E" w:rsidRPr="00E1372C">
        <w:rPr>
          <w:lang w:val="fr-FR" w:bidi="en-US"/>
        </w:rPr>
        <w:t xml:space="preserve">. </w:t>
      </w:r>
    </w:p>
    <w:p w:rsidR="00240972" w:rsidRPr="00E1372C" w:rsidRDefault="007A1757" w:rsidP="007A1757">
      <w:pPr>
        <w:pStyle w:val="SingleTxtG"/>
        <w:rPr>
          <w:lang w:val="fr-FR" w:bidi="en-US"/>
        </w:rPr>
      </w:pPr>
      <w:r w:rsidRPr="00E1372C">
        <w:rPr>
          <w:lang w:val="fr-FR" w:bidi="en-US"/>
        </w:rPr>
        <w:t>290.</w:t>
      </w:r>
      <w:r w:rsidRPr="00E1372C">
        <w:rPr>
          <w:lang w:val="fr-FR" w:bidi="en-US"/>
        </w:rPr>
        <w:tab/>
      </w:r>
      <w:r w:rsidR="00240972" w:rsidRPr="00E1372C">
        <w:rPr>
          <w:lang w:val="fr-FR"/>
        </w:rPr>
        <w:t>En Namibie le développement humain est fortement lié au lieu de résidence et à la langue maternelle. Cette situation est mise en évidence par les indicateurs du développement humain régionaux pour Khomas et Caprivi qui sont respectivement de 0,858 et de 0,538. Généralement, à mesure que l</w:t>
      </w:r>
      <w:r w:rsidR="00731F09" w:rsidRPr="00E1372C">
        <w:rPr>
          <w:lang w:val="fr-FR"/>
        </w:rPr>
        <w:t>’</w:t>
      </w:r>
      <w:r w:rsidR="00240972" w:rsidRPr="00E1372C">
        <w:rPr>
          <w:lang w:val="fr-FR"/>
        </w:rPr>
        <w:t>on va du sud au nord, l</w:t>
      </w:r>
      <w:r w:rsidR="00731F09" w:rsidRPr="00E1372C">
        <w:rPr>
          <w:lang w:val="fr-FR"/>
        </w:rPr>
        <w:t>’</w:t>
      </w:r>
      <w:r w:rsidR="00240972" w:rsidRPr="00E1372C">
        <w:rPr>
          <w:lang w:val="fr-FR"/>
        </w:rPr>
        <w:t>indicateur du développement humain régional diminue. Okavango, Ohangwena et Caprivi sont, sur le plan du développement, en queue de liste; en 1998, ces deux dernières régions ont pris chacune la place de l</w:t>
      </w:r>
      <w:r w:rsidR="00731F09" w:rsidRPr="00E1372C">
        <w:rPr>
          <w:lang w:val="fr-FR"/>
        </w:rPr>
        <w:t>’</w:t>
      </w:r>
      <w:r w:rsidR="00240972" w:rsidRPr="00E1372C">
        <w:rPr>
          <w:lang w:val="fr-FR"/>
        </w:rPr>
        <w:t xml:space="preserve">autre. </w:t>
      </w:r>
      <w:r w:rsidR="000C7C5C" w:rsidRPr="00E1372C">
        <w:rPr>
          <w:lang w:val="fr-FR"/>
        </w:rPr>
        <w:t>La Namibie a enregistré une croissance de son</w:t>
      </w:r>
      <w:r w:rsidR="00AE017E" w:rsidRPr="00E1372C">
        <w:rPr>
          <w:lang w:val="fr-FR"/>
        </w:rPr>
        <w:t xml:space="preserve"> </w:t>
      </w:r>
      <w:r w:rsidR="000C7C5C" w:rsidRPr="00E1372C">
        <w:rPr>
          <w:lang w:val="fr-FR"/>
        </w:rPr>
        <w:t>économie comme de son développement humain depuis l</w:t>
      </w:r>
      <w:r w:rsidR="00731F09" w:rsidRPr="00E1372C">
        <w:rPr>
          <w:lang w:val="fr-FR"/>
        </w:rPr>
        <w:t>’</w:t>
      </w:r>
      <w:r w:rsidR="000C7C5C" w:rsidRPr="00E1372C">
        <w:rPr>
          <w:lang w:val="fr-FR"/>
        </w:rPr>
        <w:t>indépendance en 1990. Avec un PIB par habitant de 2 000 </w:t>
      </w:r>
      <w:r w:rsidR="003C4F86" w:rsidRPr="00E1372C">
        <w:rPr>
          <w:lang w:val="fr-FR"/>
        </w:rPr>
        <w:t>dollars É.-U.</w:t>
      </w:r>
      <w:r w:rsidR="000C7C5C" w:rsidRPr="00E1372C">
        <w:rPr>
          <w:lang w:val="fr-FR"/>
        </w:rPr>
        <w:t>, elle est considérée comme pays à revenu moyen. Ce chiffre dissim</w:t>
      </w:r>
      <w:r w:rsidR="001E2544" w:rsidRPr="00E1372C">
        <w:rPr>
          <w:lang w:val="fr-FR"/>
        </w:rPr>
        <w:t>u</w:t>
      </w:r>
      <w:r w:rsidR="000C7C5C" w:rsidRPr="00E1372C">
        <w:rPr>
          <w:lang w:val="fr-FR"/>
        </w:rPr>
        <w:t>le quelques disparités. La Namibie demeure un pays d</w:t>
      </w:r>
      <w:r w:rsidR="00731F09" w:rsidRPr="00E1372C">
        <w:rPr>
          <w:lang w:val="fr-FR"/>
        </w:rPr>
        <w:t>’</w:t>
      </w:r>
      <w:r w:rsidR="000C7C5C" w:rsidRPr="00E1372C">
        <w:rPr>
          <w:lang w:val="fr-FR"/>
        </w:rPr>
        <w:t>iniquités extrêmes</w:t>
      </w:r>
      <w:r w:rsidR="00AE017E" w:rsidRPr="00E1372C">
        <w:rPr>
          <w:lang w:val="fr-FR"/>
        </w:rPr>
        <w:t>:</w:t>
      </w:r>
      <w:r w:rsidR="000C7C5C" w:rsidRPr="00E1372C">
        <w:rPr>
          <w:lang w:val="fr-FR"/>
        </w:rPr>
        <w:t xml:space="preserve"> les 10</w:t>
      </w:r>
      <w:r w:rsidR="007064FC" w:rsidRPr="00E1372C">
        <w:rPr>
          <w:lang w:val="fr-FR"/>
        </w:rPr>
        <w:t> %</w:t>
      </w:r>
      <w:r w:rsidR="000C7C5C" w:rsidRPr="00E1372C">
        <w:rPr>
          <w:lang w:val="fr-FR"/>
        </w:rPr>
        <w:t xml:space="preserve"> les plus riches de la société perçoivent 65</w:t>
      </w:r>
      <w:r w:rsidR="007064FC" w:rsidRPr="00E1372C">
        <w:rPr>
          <w:lang w:val="fr-FR"/>
        </w:rPr>
        <w:t> %</w:t>
      </w:r>
      <w:r w:rsidR="000C7C5C" w:rsidRPr="00E1372C">
        <w:rPr>
          <w:lang w:val="fr-FR"/>
        </w:rPr>
        <w:t xml:space="preserve"> du revenu national et, partant, 90</w:t>
      </w:r>
      <w:r w:rsidR="007064FC" w:rsidRPr="00E1372C">
        <w:rPr>
          <w:lang w:val="fr-FR"/>
        </w:rPr>
        <w:t> %</w:t>
      </w:r>
      <w:r w:rsidR="000C7C5C" w:rsidRPr="00E1372C">
        <w:rPr>
          <w:lang w:val="fr-FR"/>
        </w:rPr>
        <w:t xml:space="preserve"> de la population se partagent 36</w:t>
      </w:r>
      <w:r w:rsidR="007064FC" w:rsidRPr="00E1372C">
        <w:rPr>
          <w:lang w:val="fr-FR"/>
        </w:rPr>
        <w:t> %</w:t>
      </w:r>
      <w:r w:rsidR="000C7C5C" w:rsidRPr="00E1372C">
        <w:rPr>
          <w:lang w:val="fr-FR"/>
        </w:rPr>
        <w:t xml:space="preserve"> de ce revenu.</w:t>
      </w:r>
    </w:p>
    <w:p w:rsidR="000C7C5C" w:rsidRPr="00E1372C" w:rsidRDefault="007A1757" w:rsidP="007A1757">
      <w:pPr>
        <w:pStyle w:val="SingleTxtG"/>
        <w:rPr>
          <w:lang w:val="fr-FR" w:bidi="en-US"/>
        </w:rPr>
      </w:pPr>
      <w:r w:rsidRPr="00E1372C">
        <w:rPr>
          <w:lang w:val="fr-FR" w:bidi="en-US"/>
        </w:rPr>
        <w:t>291.</w:t>
      </w:r>
      <w:r w:rsidRPr="00E1372C">
        <w:rPr>
          <w:lang w:val="fr-FR" w:bidi="en-US"/>
        </w:rPr>
        <w:tab/>
      </w:r>
      <w:r w:rsidR="000C7C5C" w:rsidRPr="00E1372C">
        <w:rPr>
          <w:lang w:val="fr-FR" w:bidi="en-US"/>
        </w:rPr>
        <w:t>Afin de réduire ou d</w:t>
      </w:r>
      <w:r w:rsidR="00731F09" w:rsidRPr="00E1372C">
        <w:rPr>
          <w:lang w:val="fr-FR" w:bidi="en-US"/>
        </w:rPr>
        <w:t>’</w:t>
      </w:r>
      <w:r w:rsidR="000C7C5C" w:rsidRPr="00E1372C">
        <w:rPr>
          <w:lang w:val="fr-FR" w:bidi="en-US"/>
        </w:rPr>
        <w:t>éliminer les inégalités, le Gouvernement cherche par sa politique à investir dans le capital humain. Ainsi, il a donné la priorité à l</w:t>
      </w:r>
      <w:r w:rsidR="00731F09" w:rsidRPr="00E1372C">
        <w:rPr>
          <w:lang w:val="fr-FR" w:bidi="en-US"/>
        </w:rPr>
        <w:t>’</w:t>
      </w:r>
      <w:r w:rsidR="000C7C5C" w:rsidRPr="00E1372C">
        <w:rPr>
          <w:lang w:val="fr-FR" w:bidi="en-US"/>
        </w:rPr>
        <w:t>éducation, la formation, la santé, l</w:t>
      </w:r>
      <w:r w:rsidR="00731F09" w:rsidRPr="00E1372C">
        <w:rPr>
          <w:lang w:val="fr-FR" w:bidi="en-US"/>
        </w:rPr>
        <w:t>’</w:t>
      </w:r>
      <w:r w:rsidR="000C7C5C" w:rsidRPr="00E1372C">
        <w:rPr>
          <w:lang w:val="fr-FR" w:bidi="en-US"/>
        </w:rPr>
        <w:t xml:space="preserve">agriculture et </w:t>
      </w:r>
      <w:r w:rsidR="00DC2BB5" w:rsidRPr="00E1372C">
        <w:rPr>
          <w:lang w:val="fr-FR" w:bidi="en-US"/>
        </w:rPr>
        <w:t>au</w:t>
      </w:r>
      <w:r w:rsidR="000C7C5C" w:rsidRPr="00E1372C">
        <w:rPr>
          <w:lang w:val="fr-FR" w:bidi="en-US"/>
        </w:rPr>
        <w:t xml:space="preserve"> développement rural. En conséquence, les inscriptions à l</w:t>
      </w:r>
      <w:r w:rsidR="00731F09" w:rsidRPr="00E1372C">
        <w:rPr>
          <w:lang w:val="fr-FR" w:bidi="en-US"/>
        </w:rPr>
        <w:t>’</w:t>
      </w:r>
      <w:r w:rsidR="000C7C5C" w:rsidRPr="00E1372C">
        <w:rPr>
          <w:lang w:val="fr-FR" w:bidi="en-US"/>
        </w:rPr>
        <w:t>école primaire sont passées de 60</w:t>
      </w:r>
      <w:r w:rsidR="007064FC" w:rsidRPr="00E1372C">
        <w:rPr>
          <w:lang w:val="fr-FR" w:bidi="en-US"/>
        </w:rPr>
        <w:t> %</w:t>
      </w:r>
      <w:r w:rsidR="000C7C5C" w:rsidRPr="00E1372C">
        <w:rPr>
          <w:lang w:val="fr-FR" w:bidi="en-US"/>
        </w:rPr>
        <w:t xml:space="preserve"> en 1990 à 95</w:t>
      </w:r>
      <w:r w:rsidR="007064FC" w:rsidRPr="00E1372C">
        <w:rPr>
          <w:lang w:val="fr-FR" w:bidi="en-US"/>
        </w:rPr>
        <w:t> %</w:t>
      </w:r>
      <w:r w:rsidR="000C7C5C" w:rsidRPr="00E1372C">
        <w:rPr>
          <w:lang w:val="fr-FR" w:bidi="en-US"/>
        </w:rPr>
        <w:t xml:space="preserve"> en 1999. Dans le domaine de la santé, la stratégie de soins de santé primaire</w:t>
      </w:r>
      <w:r w:rsidR="00D75FF0" w:rsidRPr="00E1372C">
        <w:rPr>
          <w:lang w:val="fr-FR" w:bidi="en-US"/>
        </w:rPr>
        <w:t>s</w:t>
      </w:r>
      <w:r w:rsidR="000C7C5C" w:rsidRPr="00E1372C">
        <w:rPr>
          <w:lang w:val="fr-FR" w:bidi="en-US"/>
        </w:rPr>
        <w:t xml:space="preserve"> a été mise en place, les dépenses de ce secteur représentant 6</w:t>
      </w:r>
      <w:r w:rsidR="007064FC" w:rsidRPr="00E1372C">
        <w:rPr>
          <w:lang w:val="fr-FR" w:bidi="en-US"/>
        </w:rPr>
        <w:t> %</w:t>
      </w:r>
      <w:r w:rsidR="000C7C5C" w:rsidRPr="00E1372C">
        <w:rPr>
          <w:lang w:val="fr-FR" w:bidi="en-US"/>
        </w:rPr>
        <w:t xml:space="preserve"> du PIB en 1993.</w:t>
      </w:r>
    </w:p>
    <w:p w:rsidR="00A55A0E" w:rsidRPr="00E1372C" w:rsidRDefault="001A799F" w:rsidP="001A799F">
      <w:pPr>
        <w:pStyle w:val="H23G"/>
        <w:rPr>
          <w:lang w:val="fr-FR" w:bidi="en-US"/>
        </w:rPr>
      </w:pPr>
      <w:r w:rsidRPr="00E1372C">
        <w:rPr>
          <w:lang w:val="fr-FR" w:bidi="en-US"/>
        </w:rPr>
        <w:tab/>
      </w:r>
      <w:r w:rsidRPr="00E1372C">
        <w:rPr>
          <w:lang w:val="fr-FR" w:bidi="en-US"/>
        </w:rPr>
        <w:tab/>
      </w:r>
      <w:r w:rsidR="000D6306" w:rsidRPr="00E1372C">
        <w:rPr>
          <w:lang w:val="fr-FR" w:bidi="en-US"/>
        </w:rPr>
        <w:t>Indice du développement humain (IDH)</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77"/>
        <w:gridCol w:w="822"/>
        <w:gridCol w:w="823"/>
        <w:gridCol w:w="822"/>
        <w:gridCol w:w="823"/>
        <w:gridCol w:w="823"/>
      </w:tblGrid>
      <w:tr w:rsidR="00A55A0E" w:rsidRPr="00E1372C" w:rsidTr="006F7223">
        <w:trPr>
          <w:trHeight w:val="240"/>
          <w:tblHeader/>
        </w:trPr>
        <w:tc>
          <w:tcPr>
            <w:tcW w:w="2977" w:type="dxa"/>
            <w:tcBorders>
              <w:top w:val="single" w:sz="4" w:space="0" w:color="auto"/>
              <w:bottom w:val="single" w:sz="12" w:space="0" w:color="auto"/>
            </w:tcBorders>
            <w:shd w:val="clear" w:color="auto" w:fill="auto"/>
            <w:vAlign w:val="bottom"/>
          </w:tcPr>
          <w:p w:rsidR="00A55A0E" w:rsidRPr="00E1372C" w:rsidRDefault="00A55A0E" w:rsidP="001A23F2">
            <w:pPr>
              <w:keepNext/>
              <w:suppressAutoHyphens w:val="0"/>
              <w:spacing w:before="80" w:after="80" w:line="200" w:lineRule="exact"/>
              <w:rPr>
                <w:i/>
                <w:sz w:val="16"/>
                <w:szCs w:val="24"/>
                <w:lang w:val="fr-FR" w:bidi="en-US"/>
              </w:rPr>
            </w:pPr>
          </w:p>
        </w:tc>
        <w:tc>
          <w:tcPr>
            <w:tcW w:w="822" w:type="dxa"/>
            <w:tcBorders>
              <w:top w:val="single" w:sz="4" w:space="0" w:color="auto"/>
              <w:bottom w:val="single" w:sz="12" w:space="0" w:color="auto"/>
            </w:tcBorders>
          </w:tcPr>
          <w:p w:rsidR="00A55A0E" w:rsidRPr="00E1372C" w:rsidRDefault="00A55A0E" w:rsidP="001A23F2">
            <w:pPr>
              <w:keepNext/>
              <w:suppressAutoHyphens w:val="0"/>
              <w:spacing w:before="80" w:after="80" w:line="200" w:lineRule="exact"/>
              <w:jc w:val="right"/>
              <w:rPr>
                <w:i/>
                <w:sz w:val="16"/>
                <w:szCs w:val="24"/>
                <w:lang w:val="fr-FR" w:bidi="en-US"/>
              </w:rPr>
            </w:pPr>
            <w:r w:rsidRPr="00E1372C">
              <w:rPr>
                <w:i/>
                <w:sz w:val="16"/>
                <w:szCs w:val="24"/>
                <w:lang w:val="fr-FR" w:bidi="en-US"/>
              </w:rPr>
              <w:t>1995</w:t>
            </w:r>
          </w:p>
        </w:tc>
        <w:tc>
          <w:tcPr>
            <w:tcW w:w="823" w:type="dxa"/>
            <w:tcBorders>
              <w:top w:val="single" w:sz="4" w:space="0" w:color="auto"/>
              <w:bottom w:val="single" w:sz="12" w:space="0" w:color="auto"/>
            </w:tcBorders>
          </w:tcPr>
          <w:p w:rsidR="00A55A0E" w:rsidRPr="00E1372C" w:rsidRDefault="00A55A0E" w:rsidP="001A23F2">
            <w:pPr>
              <w:keepNext/>
              <w:suppressAutoHyphens w:val="0"/>
              <w:spacing w:before="80" w:after="80" w:line="200" w:lineRule="exact"/>
              <w:jc w:val="right"/>
              <w:rPr>
                <w:i/>
                <w:sz w:val="16"/>
                <w:szCs w:val="24"/>
                <w:lang w:val="fr-FR" w:bidi="en-US"/>
              </w:rPr>
            </w:pPr>
            <w:r w:rsidRPr="00E1372C">
              <w:rPr>
                <w:i/>
                <w:sz w:val="16"/>
                <w:szCs w:val="24"/>
                <w:lang w:val="fr-FR" w:bidi="en-US"/>
              </w:rPr>
              <w:t>1996</w:t>
            </w:r>
          </w:p>
        </w:tc>
        <w:tc>
          <w:tcPr>
            <w:tcW w:w="822" w:type="dxa"/>
            <w:tcBorders>
              <w:top w:val="single" w:sz="4" w:space="0" w:color="auto"/>
              <w:bottom w:val="single" w:sz="12" w:space="0" w:color="auto"/>
            </w:tcBorders>
          </w:tcPr>
          <w:p w:rsidR="00A55A0E" w:rsidRPr="00E1372C" w:rsidRDefault="00A55A0E" w:rsidP="001A23F2">
            <w:pPr>
              <w:keepNext/>
              <w:suppressAutoHyphens w:val="0"/>
              <w:spacing w:before="80" w:after="80" w:line="200" w:lineRule="exact"/>
              <w:jc w:val="right"/>
              <w:rPr>
                <w:i/>
                <w:sz w:val="16"/>
                <w:szCs w:val="24"/>
                <w:lang w:val="fr-FR" w:bidi="en-US"/>
              </w:rPr>
            </w:pPr>
            <w:r w:rsidRPr="00E1372C">
              <w:rPr>
                <w:i/>
                <w:sz w:val="16"/>
                <w:szCs w:val="24"/>
                <w:lang w:val="fr-FR" w:bidi="en-US"/>
              </w:rPr>
              <w:t>1997</w:t>
            </w:r>
          </w:p>
        </w:tc>
        <w:tc>
          <w:tcPr>
            <w:tcW w:w="823" w:type="dxa"/>
            <w:tcBorders>
              <w:top w:val="single" w:sz="4" w:space="0" w:color="auto"/>
              <w:bottom w:val="single" w:sz="12" w:space="0" w:color="auto"/>
            </w:tcBorders>
          </w:tcPr>
          <w:p w:rsidR="00A55A0E" w:rsidRPr="00E1372C" w:rsidRDefault="00A55A0E" w:rsidP="001A23F2">
            <w:pPr>
              <w:keepNext/>
              <w:suppressAutoHyphens w:val="0"/>
              <w:spacing w:before="80" w:after="80" w:line="200" w:lineRule="exact"/>
              <w:jc w:val="right"/>
              <w:rPr>
                <w:i/>
                <w:sz w:val="16"/>
                <w:szCs w:val="24"/>
                <w:lang w:val="fr-FR" w:bidi="en-US"/>
              </w:rPr>
            </w:pPr>
            <w:r w:rsidRPr="00E1372C">
              <w:rPr>
                <w:i/>
                <w:sz w:val="16"/>
                <w:szCs w:val="24"/>
                <w:lang w:val="fr-FR" w:bidi="en-US"/>
              </w:rPr>
              <w:t xml:space="preserve">1998 </w:t>
            </w:r>
          </w:p>
        </w:tc>
        <w:tc>
          <w:tcPr>
            <w:tcW w:w="823" w:type="dxa"/>
            <w:tcBorders>
              <w:top w:val="single" w:sz="4" w:space="0" w:color="auto"/>
              <w:bottom w:val="single" w:sz="12" w:space="0" w:color="auto"/>
            </w:tcBorders>
            <w:shd w:val="clear" w:color="auto" w:fill="auto"/>
            <w:vAlign w:val="bottom"/>
          </w:tcPr>
          <w:p w:rsidR="00A55A0E" w:rsidRPr="00E1372C" w:rsidRDefault="00A55A0E" w:rsidP="001A23F2">
            <w:pPr>
              <w:keepNext/>
              <w:suppressAutoHyphens w:val="0"/>
              <w:spacing w:before="80" w:after="80" w:line="200" w:lineRule="exact"/>
              <w:jc w:val="right"/>
              <w:rPr>
                <w:i/>
                <w:sz w:val="16"/>
                <w:szCs w:val="24"/>
                <w:lang w:val="fr-FR" w:bidi="en-US"/>
              </w:rPr>
            </w:pPr>
            <w:r w:rsidRPr="00E1372C">
              <w:rPr>
                <w:i/>
                <w:sz w:val="16"/>
                <w:szCs w:val="24"/>
                <w:lang w:val="fr-FR" w:bidi="en-US"/>
              </w:rPr>
              <w:t>1999</w:t>
            </w:r>
          </w:p>
        </w:tc>
      </w:tr>
      <w:tr w:rsidR="00A55A0E" w:rsidRPr="00E1372C" w:rsidTr="006F7223">
        <w:trPr>
          <w:trHeight w:val="240"/>
        </w:trPr>
        <w:tc>
          <w:tcPr>
            <w:tcW w:w="2977" w:type="dxa"/>
            <w:tcBorders>
              <w:top w:val="single" w:sz="12" w:space="0" w:color="auto"/>
              <w:bottom w:val="nil"/>
            </w:tcBorders>
            <w:shd w:val="clear" w:color="auto" w:fill="auto"/>
          </w:tcPr>
          <w:p w:rsidR="00A55A0E" w:rsidRPr="00E1372C" w:rsidRDefault="000D6306" w:rsidP="001A23F2">
            <w:pPr>
              <w:keepNext/>
              <w:suppressAutoHyphens w:val="0"/>
              <w:spacing w:before="40" w:after="40" w:line="220" w:lineRule="exact"/>
              <w:rPr>
                <w:sz w:val="18"/>
                <w:szCs w:val="24"/>
                <w:lang w:val="fr-FR" w:bidi="en-US"/>
              </w:rPr>
            </w:pPr>
            <w:r w:rsidRPr="00E1372C">
              <w:rPr>
                <w:sz w:val="18"/>
                <w:szCs w:val="24"/>
                <w:lang w:val="fr-FR" w:bidi="en-US"/>
              </w:rPr>
              <w:t>IDH mondial pour la Namibie</w:t>
            </w:r>
            <w:r w:rsidR="00A55A0E" w:rsidRPr="00E1372C">
              <w:rPr>
                <w:sz w:val="18"/>
                <w:szCs w:val="24"/>
                <w:lang w:val="fr-FR" w:bidi="en-US"/>
              </w:rPr>
              <w:t xml:space="preserve"> </w:t>
            </w:r>
          </w:p>
        </w:tc>
        <w:tc>
          <w:tcPr>
            <w:tcW w:w="822" w:type="dxa"/>
            <w:tcBorders>
              <w:top w:val="single" w:sz="12" w:space="0" w:color="auto"/>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 xml:space="preserve">611 </w:t>
            </w:r>
          </w:p>
        </w:tc>
        <w:tc>
          <w:tcPr>
            <w:tcW w:w="823" w:type="dxa"/>
            <w:tcBorders>
              <w:top w:val="single" w:sz="12" w:space="0" w:color="auto"/>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573</w:t>
            </w:r>
          </w:p>
        </w:tc>
        <w:tc>
          <w:tcPr>
            <w:tcW w:w="822" w:type="dxa"/>
            <w:tcBorders>
              <w:top w:val="single" w:sz="12" w:space="0" w:color="auto"/>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 xml:space="preserve">570 </w:t>
            </w:r>
          </w:p>
        </w:tc>
        <w:tc>
          <w:tcPr>
            <w:tcW w:w="823" w:type="dxa"/>
            <w:tcBorders>
              <w:top w:val="single" w:sz="12" w:space="0" w:color="auto"/>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644</w:t>
            </w:r>
          </w:p>
        </w:tc>
        <w:tc>
          <w:tcPr>
            <w:tcW w:w="823" w:type="dxa"/>
            <w:tcBorders>
              <w:top w:val="single" w:sz="12" w:space="0" w:color="auto"/>
              <w:bottom w:val="nil"/>
            </w:tcBorders>
            <w:shd w:val="clear" w:color="auto" w:fill="auto"/>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638</w:t>
            </w:r>
          </w:p>
        </w:tc>
      </w:tr>
      <w:tr w:rsidR="00A55A0E" w:rsidRPr="00E1372C" w:rsidTr="006F7223">
        <w:trPr>
          <w:trHeight w:val="240"/>
        </w:trPr>
        <w:tc>
          <w:tcPr>
            <w:tcW w:w="2977" w:type="dxa"/>
            <w:tcBorders>
              <w:top w:val="nil"/>
              <w:bottom w:val="nil"/>
            </w:tcBorders>
            <w:shd w:val="clear" w:color="auto" w:fill="auto"/>
          </w:tcPr>
          <w:p w:rsidR="00A55A0E" w:rsidRPr="00E1372C" w:rsidRDefault="001A5CFB" w:rsidP="001A23F2">
            <w:pPr>
              <w:keepNext/>
              <w:suppressAutoHyphens w:val="0"/>
              <w:spacing w:before="40" w:after="40" w:line="220" w:lineRule="exact"/>
              <w:rPr>
                <w:sz w:val="18"/>
                <w:szCs w:val="24"/>
                <w:lang w:val="fr-FR" w:bidi="en-US"/>
              </w:rPr>
            </w:pPr>
            <w:r w:rsidRPr="00E1372C">
              <w:rPr>
                <w:sz w:val="18"/>
                <w:szCs w:val="24"/>
                <w:lang w:val="fr-FR" w:bidi="en-US"/>
              </w:rPr>
              <w:t>Classement PIB par habitant</w:t>
            </w:r>
          </w:p>
        </w:tc>
        <w:tc>
          <w:tcPr>
            <w:tcW w:w="822"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77</w:t>
            </w:r>
          </w:p>
        </w:tc>
        <w:tc>
          <w:tcPr>
            <w:tcW w:w="823"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79</w:t>
            </w:r>
          </w:p>
        </w:tc>
        <w:tc>
          <w:tcPr>
            <w:tcW w:w="822"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83</w:t>
            </w:r>
          </w:p>
        </w:tc>
        <w:tc>
          <w:tcPr>
            <w:tcW w:w="823"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85</w:t>
            </w:r>
          </w:p>
        </w:tc>
        <w:tc>
          <w:tcPr>
            <w:tcW w:w="823" w:type="dxa"/>
            <w:tcBorders>
              <w:top w:val="nil"/>
              <w:bottom w:val="nil"/>
            </w:tcBorders>
            <w:shd w:val="clear" w:color="auto" w:fill="auto"/>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71</w:t>
            </w:r>
          </w:p>
        </w:tc>
      </w:tr>
      <w:tr w:rsidR="00A55A0E" w:rsidRPr="00E1372C" w:rsidTr="006F7223">
        <w:trPr>
          <w:trHeight w:val="240"/>
        </w:trPr>
        <w:tc>
          <w:tcPr>
            <w:tcW w:w="2977" w:type="dxa"/>
            <w:tcBorders>
              <w:top w:val="nil"/>
              <w:bottom w:val="nil"/>
            </w:tcBorders>
            <w:shd w:val="clear" w:color="auto" w:fill="auto"/>
          </w:tcPr>
          <w:p w:rsidR="00A55A0E" w:rsidRPr="00E1372C" w:rsidRDefault="000D6306" w:rsidP="001E501F">
            <w:pPr>
              <w:keepNext/>
              <w:suppressAutoHyphens w:val="0"/>
              <w:spacing w:before="40" w:after="40" w:line="220" w:lineRule="exact"/>
              <w:rPr>
                <w:sz w:val="18"/>
                <w:szCs w:val="24"/>
                <w:lang w:val="fr-FR" w:bidi="en-US"/>
              </w:rPr>
            </w:pPr>
            <w:r w:rsidRPr="00E1372C">
              <w:rPr>
                <w:sz w:val="18"/>
                <w:szCs w:val="24"/>
                <w:lang w:val="fr-FR" w:bidi="en-US"/>
              </w:rPr>
              <w:t>Classe</w:t>
            </w:r>
            <w:r w:rsidR="0074704B" w:rsidRPr="00E1372C">
              <w:rPr>
                <w:sz w:val="18"/>
                <w:szCs w:val="24"/>
                <w:lang w:val="fr-FR" w:bidi="en-US"/>
              </w:rPr>
              <w:t>ment</w:t>
            </w:r>
            <w:r w:rsidR="001E501F" w:rsidRPr="00E1372C">
              <w:rPr>
                <w:sz w:val="18"/>
                <w:szCs w:val="24"/>
                <w:lang w:val="fr-FR" w:bidi="en-US"/>
              </w:rPr>
              <w:t xml:space="preserve"> </w:t>
            </w:r>
            <w:r w:rsidR="00A55A0E" w:rsidRPr="00E1372C">
              <w:rPr>
                <w:sz w:val="18"/>
                <w:szCs w:val="24"/>
                <w:lang w:val="fr-FR" w:bidi="en-US"/>
              </w:rPr>
              <w:t>I</w:t>
            </w:r>
            <w:r w:rsidR="001E501F" w:rsidRPr="00E1372C">
              <w:rPr>
                <w:sz w:val="18"/>
                <w:szCs w:val="24"/>
                <w:lang w:val="fr-FR" w:bidi="en-US"/>
              </w:rPr>
              <w:t>DH</w:t>
            </w:r>
            <w:r w:rsidR="00A55A0E" w:rsidRPr="00E1372C">
              <w:rPr>
                <w:sz w:val="18"/>
                <w:szCs w:val="24"/>
                <w:lang w:val="fr-FR" w:bidi="en-US"/>
              </w:rPr>
              <w:t xml:space="preserve"> </w:t>
            </w:r>
          </w:p>
        </w:tc>
        <w:tc>
          <w:tcPr>
            <w:tcW w:w="822"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108</w:t>
            </w:r>
          </w:p>
        </w:tc>
        <w:tc>
          <w:tcPr>
            <w:tcW w:w="823"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116</w:t>
            </w:r>
          </w:p>
        </w:tc>
        <w:tc>
          <w:tcPr>
            <w:tcW w:w="822"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118</w:t>
            </w:r>
          </w:p>
        </w:tc>
        <w:tc>
          <w:tcPr>
            <w:tcW w:w="823" w:type="dxa"/>
            <w:tcBorders>
              <w:top w:val="nil"/>
              <w:bottom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107</w:t>
            </w:r>
          </w:p>
        </w:tc>
        <w:tc>
          <w:tcPr>
            <w:tcW w:w="823" w:type="dxa"/>
            <w:tcBorders>
              <w:top w:val="nil"/>
              <w:bottom w:val="nil"/>
            </w:tcBorders>
            <w:shd w:val="clear" w:color="auto" w:fill="auto"/>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115</w:t>
            </w:r>
          </w:p>
        </w:tc>
      </w:tr>
      <w:tr w:rsidR="00A55A0E" w:rsidRPr="00E1372C" w:rsidTr="006F7223">
        <w:trPr>
          <w:trHeight w:val="240"/>
        </w:trPr>
        <w:tc>
          <w:tcPr>
            <w:tcW w:w="2977" w:type="dxa"/>
            <w:tcBorders>
              <w:top w:val="nil"/>
            </w:tcBorders>
            <w:shd w:val="clear" w:color="auto" w:fill="auto"/>
          </w:tcPr>
          <w:p w:rsidR="00A55A0E" w:rsidRPr="00E1372C" w:rsidRDefault="001A5CFB" w:rsidP="001A23F2">
            <w:pPr>
              <w:keepNext/>
              <w:suppressAutoHyphens w:val="0"/>
              <w:spacing w:before="40" w:after="40" w:line="220" w:lineRule="exact"/>
              <w:rPr>
                <w:sz w:val="18"/>
                <w:szCs w:val="24"/>
                <w:lang w:val="fr-FR" w:bidi="en-US"/>
              </w:rPr>
            </w:pPr>
            <w:r w:rsidRPr="00E1372C">
              <w:rPr>
                <w:sz w:val="18"/>
                <w:szCs w:val="24"/>
                <w:lang w:val="fr-FR" w:bidi="en-US"/>
              </w:rPr>
              <w:t>Classement PIB moins classement IDH</w:t>
            </w:r>
          </w:p>
        </w:tc>
        <w:tc>
          <w:tcPr>
            <w:tcW w:w="822"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-31</w:t>
            </w:r>
          </w:p>
        </w:tc>
        <w:tc>
          <w:tcPr>
            <w:tcW w:w="823"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-37</w:t>
            </w:r>
          </w:p>
        </w:tc>
        <w:tc>
          <w:tcPr>
            <w:tcW w:w="822"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-35</w:t>
            </w:r>
          </w:p>
        </w:tc>
        <w:tc>
          <w:tcPr>
            <w:tcW w:w="823"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-22</w:t>
            </w:r>
          </w:p>
        </w:tc>
        <w:tc>
          <w:tcPr>
            <w:tcW w:w="823" w:type="dxa"/>
            <w:tcBorders>
              <w:top w:val="nil"/>
            </w:tcBorders>
            <w:shd w:val="clear" w:color="auto" w:fill="auto"/>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-44</w:t>
            </w:r>
          </w:p>
        </w:tc>
      </w:tr>
      <w:tr w:rsidR="00A55A0E" w:rsidRPr="00E1372C" w:rsidTr="006F7223">
        <w:trPr>
          <w:trHeight w:val="240"/>
        </w:trPr>
        <w:tc>
          <w:tcPr>
            <w:tcW w:w="2977" w:type="dxa"/>
            <w:tcBorders>
              <w:top w:val="nil"/>
            </w:tcBorders>
            <w:shd w:val="clear" w:color="auto" w:fill="auto"/>
          </w:tcPr>
          <w:p w:rsidR="00A55A0E" w:rsidRPr="00E1372C" w:rsidRDefault="001A5CFB" w:rsidP="001A23F2">
            <w:pPr>
              <w:keepNext/>
              <w:suppressAutoHyphens w:val="0"/>
              <w:spacing w:before="40" w:after="40" w:line="220" w:lineRule="exact"/>
              <w:rPr>
                <w:sz w:val="18"/>
                <w:szCs w:val="24"/>
                <w:lang w:val="fr-FR" w:bidi="en-US"/>
              </w:rPr>
            </w:pPr>
            <w:r w:rsidRPr="00E1372C">
              <w:rPr>
                <w:sz w:val="18"/>
                <w:szCs w:val="24"/>
                <w:lang w:val="fr-FR" w:bidi="en-US"/>
              </w:rPr>
              <w:t>IDH namibien (rapport du développement humain de Namibie)</w:t>
            </w:r>
          </w:p>
        </w:tc>
        <w:tc>
          <w:tcPr>
            <w:tcW w:w="822"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734</w:t>
            </w:r>
          </w:p>
        </w:tc>
        <w:tc>
          <w:tcPr>
            <w:tcW w:w="823"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744</w:t>
            </w:r>
          </w:p>
        </w:tc>
        <w:tc>
          <w:tcPr>
            <w:tcW w:w="822"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770</w:t>
            </w:r>
          </w:p>
        </w:tc>
        <w:tc>
          <w:tcPr>
            <w:tcW w:w="823" w:type="dxa"/>
            <w:tcBorders>
              <w:top w:val="nil"/>
            </w:tcBorders>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 xml:space="preserve">651 </w:t>
            </w:r>
          </w:p>
        </w:tc>
        <w:tc>
          <w:tcPr>
            <w:tcW w:w="823" w:type="dxa"/>
            <w:tcBorders>
              <w:top w:val="nil"/>
            </w:tcBorders>
            <w:shd w:val="clear" w:color="auto" w:fill="auto"/>
            <w:vAlign w:val="bottom"/>
          </w:tcPr>
          <w:p w:rsidR="00A55A0E" w:rsidRPr="00E1372C" w:rsidRDefault="00A55A0E" w:rsidP="001A799F">
            <w:pPr>
              <w:keepNext/>
              <w:suppressAutoHyphens w:val="0"/>
              <w:spacing w:before="40" w:after="40" w:line="220" w:lineRule="exact"/>
              <w:jc w:val="right"/>
              <w:rPr>
                <w:sz w:val="18"/>
                <w:szCs w:val="24"/>
                <w:lang w:val="fr-FR" w:bidi="en-US"/>
              </w:rPr>
            </w:pPr>
            <w:r w:rsidRPr="00E1372C">
              <w:rPr>
                <w:sz w:val="18"/>
                <w:szCs w:val="24"/>
                <w:lang w:val="fr-FR" w:bidi="en-US"/>
              </w:rPr>
              <w:t>0</w:t>
            </w:r>
            <w:r w:rsidR="001A5CFB" w:rsidRPr="00E1372C">
              <w:rPr>
                <w:sz w:val="18"/>
                <w:szCs w:val="24"/>
                <w:lang w:val="fr-FR" w:bidi="en-US"/>
              </w:rPr>
              <w:t>,</w:t>
            </w:r>
            <w:r w:rsidRPr="00E1372C">
              <w:rPr>
                <w:sz w:val="18"/>
                <w:szCs w:val="24"/>
                <w:lang w:val="fr-FR" w:bidi="en-US"/>
              </w:rPr>
              <w:t>603</w:t>
            </w:r>
          </w:p>
        </w:tc>
      </w:tr>
    </w:tbl>
    <w:p w:rsidR="00A55A0E" w:rsidRPr="00E1372C" w:rsidRDefault="00A55A0E" w:rsidP="001A799F">
      <w:pPr>
        <w:pStyle w:val="Source"/>
        <w:rPr>
          <w:lang w:bidi="en-US"/>
        </w:rPr>
      </w:pPr>
      <w:r w:rsidRPr="00E1372C">
        <w:rPr>
          <w:i/>
          <w:lang w:bidi="en-US"/>
        </w:rPr>
        <w:t>Source</w:t>
      </w:r>
      <w:r w:rsidRPr="00E1372C">
        <w:rPr>
          <w:i/>
          <w:iCs w:val="0"/>
          <w:lang w:bidi="en-US"/>
        </w:rPr>
        <w:t>:</w:t>
      </w:r>
      <w:r w:rsidRPr="00E1372C">
        <w:rPr>
          <w:lang w:bidi="en-US"/>
        </w:rPr>
        <w:t xml:space="preserve"> </w:t>
      </w:r>
      <w:r w:rsidR="001A23F2" w:rsidRPr="00E1372C">
        <w:t>PNUD, rapports sur le développement humain, 1995-1999; rapports sur le développement humain de la Namibie,</w:t>
      </w:r>
      <w:r w:rsidRPr="00E1372C">
        <w:rPr>
          <w:lang w:bidi="en-US"/>
        </w:rPr>
        <w:t xml:space="preserve"> 1996-1998.</w:t>
      </w:r>
    </w:p>
    <w:p w:rsidR="00A55A0E" w:rsidRPr="00E1372C" w:rsidRDefault="007A1757" w:rsidP="007A1757">
      <w:pPr>
        <w:pStyle w:val="SingleTxtG"/>
        <w:rPr>
          <w:lang w:val="fr-FR" w:bidi="en-US"/>
        </w:rPr>
      </w:pPr>
      <w:r w:rsidRPr="00E1372C">
        <w:rPr>
          <w:lang w:val="fr-FR" w:bidi="en-US"/>
        </w:rPr>
        <w:t>292.</w:t>
      </w:r>
      <w:r w:rsidRPr="00E1372C">
        <w:rPr>
          <w:lang w:val="fr-FR" w:bidi="en-US"/>
        </w:rPr>
        <w:tab/>
      </w:r>
      <w:r w:rsidR="001E501F" w:rsidRPr="00E1372C">
        <w:rPr>
          <w:lang w:val="fr-FR" w:bidi="en-US"/>
        </w:rPr>
        <w:t>L</w:t>
      </w:r>
      <w:r w:rsidR="00731F09" w:rsidRPr="00E1372C">
        <w:rPr>
          <w:lang w:val="fr-FR" w:bidi="en-US"/>
        </w:rPr>
        <w:t>’</w:t>
      </w:r>
      <w:r w:rsidR="001E501F" w:rsidRPr="00E1372C">
        <w:rPr>
          <w:lang w:val="fr-FR" w:bidi="en-US"/>
        </w:rPr>
        <w:t>écart de classement entre revenu et développement humain tient en partie au régime d</w:t>
      </w:r>
      <w:r w:rsidR="00731F09" w:rsidRPr="00E1372C">
        <w:rPr>
          <w:lang w:val="fr-FR" w:bidi="en-US"/>
        </w:rPr>
        <w:t>’</w:t>
      </w:r>
      <w:r w:rsidR="001E501F" w:rsidRPr="00E1372C">
        <w:rPr>
          <w:lang w:val="fr-FR" w:bidi="en-US"/>
        </w:rPr>
        <w:t>apartheid du pays, alors que les systèmes éducatif et sanitaire n</w:t>
      </w:r>
      <w:r w:rsidR="00731F09" w:rsidRPr="00E1372C">
        <w:rPr>
          <w:lang w:val="fr-FR" w:bidi="en-US"/>
        </w:rPr>
        <w:t>’</w:t>
      </w:r>
      <w:r w:rsidR="001E501F" w:rsidRPr="00E1372C">
        <w:rPr>
          <w:lang w:val="fr-FR" w:bidi="en-US"/>
        </w:rPr>
        <w:t>atteignaient pas le niveau de ceux d</w:t>
      </w:r>
      <w:r w:rsidR="00731F09" w:rsidRPr="00E1372C">
        <w:rPr>
          <w:lang w:val="fr-FR" w:bidi="en-US"/>
        </w:rPr>
        <w:t>’</w:t>
      </w:r>
      <w:r w:rsidR="001E501F" w:rsidRPr="00E1372C">
        <w:rPr>
          <w:lang w:val="fr-FR" w:bidi="en-US"/>
        </w:rPr>
        <w:t xml:space="preserve">un pays à </w:t>
      </w:r>
      <w:r w:rsidR="00AE017E" w:rsidRPr="00E1372C">
        <w:rPr>
          <w:lang w:val="fr-FR" w:bidi="en-US"/>
        </w:rPr>
        <w:t>«</w:t>
      </w:r>
      <w:r w:rsidR="001E501F" w:rsidRPr="00E1372C">
        <w:rPr>
          <w:lang w:val="fr-FR" w:bidi="en-US"/>
        </w:rPr>
        <w:t>revenu moyen</w:t>
      </w:r>
      <w:r w:rsidR="00AE017E" w:rsidRPr="00E1372C">
        <w:rPr>
          <w:lang w:val="fr-FR" w:bidi="en-US"/>
        </w:rPr>
        <w:t>»</w:t>
      </w:r>
      <w:r w:rsidR="001E501F" w:rsidRPr="00E1372C">
        <w:rPr>
          <w:lang w:val="fr-FR" w:bidi="en-US"/>
        </w:rPr>
        <w:t>. L</w:t>
      </w:r>
      <w:r w:rsidR="00731F09" w:rsidRPr="00E1372C">
        <w:rPr>
          <w:lang w:val="fr-FR" w:bidi="en-US"/>
        </w:rPr>
        <w:t>’</w:t>
      </w:r>
      <w:r w:rsidR="001E501F" w:rsidRPr="00E1372C">
        <w:rPr>
          <w:lang w:val="fr-FR" w:bidi="en-US"/>
        </w:rPr>
        <w:t>apartheid a créé une société d</w:t>
      </w:r>
      <w:r w:rsidR="00731F09" w:rsidRPr="00E1372C">
        <w:rPr>
          <w:lang w:val="fr-FR" w:bidi="en-US"/>
        </w:rPr>
        <w:t>’</w:t>
      </w:r>
      <w:r w:rsidR="001E501F" w:rsidRPr="00E1372C">
        <w:rPr>
          <w:lang w:val="fr-FR" w:bidi="en-US"/>
        </w:rPr>
        <w:t>extrêmes inégalités. La majorité des Namibiens ont une existence qui</w:t>
      </w:r>
      <w:r w:rsidR="0074704B" w:rsidRPr="00E1372C">
        <w:rPr>
          <w:lang w:val="fr-FR" w:bidi="en-US"/>
        </w:rPr>
        <w:t>,</w:t>
      </w:r>
      <w:r w:rsidR="001E501F" w:rsidRPr="00E1372C">
        <w:rPr>
          <w:lang w:val="fr-FR" w:bidi="en-US"/>
        </w:rPr>
        <w:t xml:space="preserve"> </w:t>
      </w:r>
      <w:r w:rsidR="0074704B" w:rsidRPr="00E1372C">
        <w:rPr>
          <w:lang w:val="fr-FR" w:bidi="en-US"/>
        </w:rPr>
        <w:t>à</w:t>
      </w:r>
      <w:r w:rsidR="001E501F" w:rsidRPr="00E1372C">
        <w:rPr>
          <w:lang w:val="fr-FR" w:bidi="en-US"/>
        </w:rPr>
        <w:t xml:space="preserve"> bien des égards</w:t>
      </w:r>
      <w:r w:rsidR="0074704B" w:rsidRPr="00E1372C">
        <w:rPr>
          <w:lang w:val="fr-FR" w:bidi="en-US"/>
        </w:rPr>
        <w:t>,</w:t>
      </w:r>
      <w:r w:rsidR="001E501F" w:rsidRPr="00E1372C">
        <w:rPr>
          <w:lang w:val="fr-FR" w:bidi="en-US"/>
        </w:rPr>
        <w:t xml:space="preserve"> ressemble à celle de tout pays d</w:t>
      </w:r>
      <w:r w:rsidR="00731F09" w:rsidRPr="00E1372C">
        <w:rPr>
          <w:lang w:val="fr-FR" w:bidi="en-US"/>
        </w:rPr>
        <w:t>’</w:t>
      </w:r>
      <w:r w:rsidR="001E501F" w:rsidRPr="00E1372C">
        <w:rPr>
          <w:lang w:val="fr-FR" w:bidi="en-US"/>
        </w:rPr>
        <w:t>Afrique subsaharienne. Selon les données de 1993, la Namibie est l</w:t>
      </w:r>
      <w:r w:rsidR="00731F09" w:rsidRPr="00E1372C">
        <w:rPr>
          <w:lang w:val="fr-FR" w:bidi="en-US"/>
        </w:rPr>
        <w:t>’</w:t>
      </w:r>
      <w:r w:rsidR="001E501F" w:rsidRPr="00E1372C">
        <w:rPr>
          <w:lang w:val="fr-FR" w:bidi="en-US"/>
        </w:rPr>
        <w:t>une des sociétés les plus inégal</w:t>
      </w:r>
      <w:r w:rsidR="0074704B" w:rsidRPr="00E1372C">
        <w:rPr>
          <w:lang w:val="fr-FR" w:bidi="en-US"/>
        </w:rPr>
        <w:t>itair</w:t>
      </w:r>
      <w:r w:rsidR="001E501F" w:rsidRPr="00E1372C">
        <w:rPr>
          <w:lang w:val="fr-FR" w:bidi="en-US"/>
        </w:rPr>
        <w:t xml:space="preserve">es au monde, comme en atteste le coefficient de </w:t>
      </w:r>
      <w:r w:rsidR="00A55A0E" w:rsidRPr="00E1372C">
        <w:rPr>
          <w:lang w:val="fr-FR" w:bidi="en-US"/>
        </w:rPr>
        <w:t xml:space="preserve">Gini </w:t>
      </w:r>
      <w:r w:rsidR="001E501F" w:rsidRPr="00E1372C">
        <w:rPr>
          <w:lang w:val="fr-FR" w:bidi="en-US"/>
        </w:rPr>
        <w:t>(0,70</w:t>
      </w:r>
      <w:r w:rsidR="007064FC" w:rsidRPr="00E1372C">
        <w:rPr>
          <w:lang w:val="fr-FR" w:bidi="en-US"/>
        </w:rPr>
        <w:t> %</w:t>
      </w:r>
      <w:r w:rsidR="001E501F" w:rsidRPr="00E1372C">
        <w:rPr>
          <w:lang w:val="fr-FR" w:bidi="en-US"/>
        </w:rPr>
        <w:t>). Elle l</w:t>
      </w:r>
      <w:r w:rsidR="00731F09" w:rsidRPr="00E1372C">
        <w:rPr>
          <w:lang w:val="fr-FR" w:bidi="en-US"/>
        </w:rPr>
        <w:t>’</w:t>
      </w:r>
      <w:r w:rsidR="001E501F" w:rsidRPr="00E1372C">
        <w:rPr>
          <w:lang w:val="fr-FR" w:bidi="en-US"/>
        </w:rPr>
        <w:t>est davantage que des pays comme le Guatemala ou le Brésil.</w:t>
      </w:r>
    </w:p>
    <w:p w:rsidR="001E501F" w:rsidRPr="00E1372C" w:rsidRDefault="007A1757" w:rsidP="007A1757">
      <w:pPr>
        <w:pStyle w:val="SingleTxtG"/>
        <w:rPr>
          <w:lang w:val="fr-FR" w:bidi="en-US"/>
        </w:rPr>
      </w:pPr>
      <w:r w:rsidRPr="00E1372C">
        <w:rPr>
          <w:lang w:val="fr-FR" w:bidi="en-US"/>
        </w:rPr>
        <w:t>293.</w:t>
      </w:r>
      <w:r w:rsidRPr="00E1372C">
        <w:rPr>
          <w:lang w:val="fr-FR" w:bidi="en-US"/>
        </w:rPr>
        <w:tab/>
      </w:r>
      <w:r w:rsidR="001E501F" w:rsidRPr="00E1372C">
        <w:rPr>
          <w:lang w:val="fr-FR" w:bidi="en-US"/>
        </w:rPr>
        <w:t>Des progrès ont été constatés dans certains domaines, en particulier l</w:t>
      </w:r>
      <w:r w:rsidR="00731F09" w:rsidRPr="00E1372C">
        <w:rPr>
          <w:lang w:val="fr-FR" w:bidi="en-US"/>
        </w:rPr>
        <w:t>’</w:t>
      </w:r>
      <w:r w:rsidR="001E501F" w:rsidRPr="00E1372C">
        <w:rPr>
          <w:lang w:val="fr-FR" w:bidi="en-US"/>
        </w:rPr>
        <w:t>éducation; des disparités persistent toutefois dans les régions administratives, accusant des écarts dans d</w:t>
      </w:r>
      <w:r w:rsidR="00731F09" w:rsidRPr="00E1372C">
        <w:rPr>
          <w:lang w:val="fr-FR" w:bidi="en-US"/>
        </w:rPr>
        <w:t>’</w:t>
      </w:r>
      <w:r w:rsidR="001E501F" w:rsidRPr="00E1372C">
        <w:rPr>
          <w:lang w:val="fr-FR" w:bidi="en-US"/>
        </w:rPr>
        <w:t>autres paramètres tels que l</w:t>
      </w:r>
      <w:r w:rsidR="00731F09" w:rsidRPr="00E1372C">
        <w:rPr>
          <w:lang w:val="fr-FR" w:bidi="en-US"/>
        </w:rPr>
        <w:t>’</w:t>
      </w:r>
      <w:r w:rsidR="001E501F" w:rsidRPr="00E1372C">
        <w:rPr>
          <w:lang w:val="fr-FR" w:bidi="en-US"/>
        </w:rPr>
        <w:t>espérance de vie et le passage à l</w:t>
      </w:r>
      <w:r w:rsidR="00731F09" w:rsidRPr="00E1372C">
        <w:rPr>
          <w:lang w:val="fr-FR" w:bidi="en-US"/>
        </w:rPr>
        <w:t>’</w:t>
      </w:r>
      <w:r w:rsidR="001E501F" w:rsidRPr="00E1372C">
        <w:rPr>
          <w:lang w:val="fr-FR" w:bidi="en-US"/>
        </w:rPr>
        <w:t>enseignement secondaire. L</w:t>
      </w:r>
      <w:r w:rsidR="00731F09" w:rsidRPr="00E1372C">
        <w:rPr>
          <w:lang w:val="fr-FR" w:bidi="en-US"/>
        </w:rPr>
        <w:t>’</w:t>
      </w:r>
      <w:r w:rsidR="001E501F" w:rsidRPr="00E1372C">
        <w:rPr>
          <w:lang w:val="fr-FR" w:bidi="en-US"/>
        </w:rPr>
        <w:t>indice de développement humain de la Namibie pour 1999 a chuté par rapport à celui de 1998. La plupart des pauvres (70</w:t>
      </w:r>
      <w:r w:rsidR="007064FC" w:rsidRPr="00E1372C">
        <w:rPr>
          <w:lang w:val="fr-FR" w:bidi="en-US"/>
        </w:rPr>
        <w:t> %</w:t>
      </w:r>
      <w:r w:rsidR="001E501F" w:rsidRPr="00E1372C">
        <w:rPr>
          <w:lang w:val="fr-FR" w:bidi="en-US"/>
        </w:rPr>
        <w:t>) vivent dans les zones communautaires rurales, femmes et enfants constitu</w:t>
      </w:r>
      <w:r w:rsidR="0074704B" w:rsidRPr="00E1372C">
        <w:rPr>
          <w:lang w:val="fr-FR" w:bidi="en-US"/>
        </w:rPr>
        <w:t>a</w:t>
      </w:r>
      <w:r w:rsidR="001E501F" w:rsidRPr="00E1372C">
        <w:rPr>
          <w:lang w:val="fr-FR" w:bidi="en-US"/>
        </w:rPr>
        <w:t>nt la plus forte proportion. Les ho</w:t>
      </w:r>
      <w:r w:rsidR="0074704B" w:rsidRPr="00E1372C">
        <w:rPr>
          <w:lang w:val="fr-FR" w:bidi="en-US"/>
        </w:rPr>
        <w:t>m</w:t>
      </w:r>
      <w:r w:rsidR="001E501F" w:rsidRPr="00E1372C">
        <w:rPr>
          <w:lang w:val="fr-FR" w:bidi="en-US"/>
        </w:rPr>
        <w:t>mes quittent ces zones à la recherche d</w:t>
      </w:r>
      <w:r w:rsidR="00731F09" w:rsidRPr="00E1372C">
        <w:rPr>
          <w:lang w:val="fr-FR" w:bidi="en-US"/>
        </w:rPr>
        <w:t>’</w:t>
      </w:r>
      <w:r w:rsidR="001E501F" w:rsidRPr="00E1372C">
        <w:rPr>
          <w:lang w:val="fr-FR" w:bidi="en-US"/>
        </w:rPr>
        <w:t>un emploi.</w:t>
      </w:r>
    </w:p>
    <w:p w:rsidR="001E501F" w:rsidRPr="00E1372C" w:rsidRDefault="007A1757" w:rsidP="007A1757">
      <w:pPr>
        <w:pStyle w:val="SingleTxtG"/>
        <w:rPr>
          <w:lang w:val="fr-FR" w:bidi="en-US"/>
        </w:rPr>
      </w:pPr>
      <w:r w:rsidRPr="00E1372C">
        <w:rPr>
          <w:lang w:val="fr-FR" w:bidi="en-US"/>
        </w:rPr>
        <w:t>294.</w:t>
      </w:r>
      <w:r w:rsidRPr="00E1372C">
        <w:rPr>
          <w:lang w:val="fr-FR" w:bidi="en-US"/>
        </w:rPr>
        <w:tab/>
      </w:r>
      <w:r w:rsidR="001E501F" w:rsidRPr="00E1372C">
        <w:rPr>
          <w:lang w:val="fr-FR" w:bidi="en-US"/>
        </w:rPr>
        <w:t xml:space="preserve">Dans les régions du centre-nord et </w:t>
      </w:r>
      <w:r w:rsidR="0074704B" w:rsidRPr="00E1372C">
        <w:rPr>
          <w:lang w:val="fr-FR" w:bidi="en-US"/>
        </w:rPr>
        <w:t xml:space="preserve">du </w:t>
      </w:r>
      <w:r w:rsidR="001E501F" w:rsidRPr="00E1372C">
        <w:rPr>
          <w:lang w:val="fr-FR" w:bidi="en-US"/>
        </w:rPr>
        <w:t>nord-est du pays, les agriculteurs de subsistance cultivent des plantes vivrières destinées à leur propre consommation; la faible pluviométrie et ses variations dans les zones de cultures communautaires</w:t>
      </w:r>
      <w:r w:rsidR="00765D1E" w:rsidRPr="00E1372C">
        <w:rPr>
          <w:lang w:val="fr-FR" w:bidi="en-US"/>
        </w:rPr>
        <w:t xml:space="preserve"> constituent toutefois des contraintes majeures.</w:t>
      </w:r>
    </w:p>
    <w:p w:rsidR="00765D1E" w:rsidRPr="00E1372C" w:rsidRDefault="007A1757" w:rsidP="007A1757">
      <w:pPr>
        <w:pStyle w:val="SingleTxtG"/>
        <w:rPr>
          <w:lang w:val="fr-FR" w:bidi="en-US"/>
        </w:rPr>
      </w:pPr>
      <w:r w:rsidRPr="00E1372C">
        <w:rPr>
          <w:lang w:val="fr-FR" w:bidi="en-US"/>
        </w:rPr>
        <w:t>295.</w:t>
      </w:r>
      <w:r w:rsidRPr="00E1372C">
        <w:rPr>
          <w:lang w:val="fr-FR" w:bidi="en-US"/>
        </w:rPr>
        <w:tab/>
      </w:r>
      <w:r w:rsidR="00765D1E" w:rsidRPr="00E1372C">
        <w:rPr>
          <w:lang w:val="fr-FR" w:bidi="en-US"/>
        </w:rPr>
        <w:t xml:space="preserve">La communauté </w:t>
      </w:r>
      <w:r w:rsidR="00E53EC5" w:rsidRPr="00E1372C">
        <w:rPr>
          <w:lang w:val="fr-FR" w:bidi="en-US"/>
        </w:rPr>
        <w:t>S</w:t>
      </w:r>
      <w:r w:rsidR="00765D1E" w:rsidRPr="00E1372C">
        <w:rPr>
          <w:lang w:val="fr-FR" w:bidi="en-US"/>
        </w:rPr>
        <w:t>an, qui se livre à la chasse et la cueillette, est l</w:t>
      </w:r>
      <w:r w:rsidR="00731F09" w:rsidRPr="00E1372C">
        <w:rPr>
          <w:lang w:val="fr-FR" w:bidi="en-US"/>
        </w:rPr>
        <w:t>’</w:t>
      </w:r>
      <w:r w:rsidR="00765D1E" w:rsidRPr="00E1372C">
        <w:rPr>
          <w:lang w:val="fr-FR" w:bidi="en-US"/>
        </w:rPr>
        <w:t>un des groupes les plus vulnérables qui, connaissant l</w:t>
      </w:r>
      <w:r w:rsidR="00731F09" w:rsidRPr="00E1372C">
        <w:rPr>
          <w:lang w:val="fr-FR" w:bidi="en-US"/>
        </w:rPr>
        <w:t>’</w:t>
      </w:r>
      <w:r w:rsidR="00765D1E" w:rsidRPr="00E1372C">
        <w:rPr>
          <w:lang w:val="fr-FR" w:bidi="en-US"/>
        </w:rPr>
        <w:t xml:space="preserve">insécurité alimentaire, subit systématiquement la faim et la dénutrition. Elle ne cultive pas de plantes vivrières et dépend entièrement du </w:t>
      </w:r>
      <w:r w:rsidR="0074704B" w:rsidRPr="00E1372C">
        <w:rPr>
          <w:lang w:val="fr-FR" w:bidi="en-US"/>
        </w:rPr>
        <w:t>p</w:t>
      </w:r>
      <w:r w:rsidR="00765D1E" w:rsidRPr="00E1372C">
        <w:rPr>
          <w:lang w:val="fr-FR" w:bidi="en-US"/>
        </w:rPr>
        <w:t>rogramme de secours du Gouvernement, également durant la saison des pluies.</w:t>
      </w:r>
    </w:p>
    <w:p w:rsidR="00765D1E" w:rsidRPr="00E1372C" w:rsidRDefault="007A1757" w:rsidP="007A1757">
      <w:pPr>
        <w:pStyle w:val="SingleTxtG"/>
        <w:rPr>
          <w:lang w:val="fr-FR" w:bidi="en-US"/>
        </w:rPr>
      </w:pPr>
      <w:r w:rsidRPr="00E1372C">
        <w:rPr>
          <w:lang w:val="fr-FR" w:bidi="en-US"/>
        </w:rPr>
        <w:t>296.</w:t>
      </w:r>
      <w:r w:rsidRPr="00E1372C">
        <w:rPr>
          <w:lang w:val="fr-FR" w:bidi="en-US"/>
        </w:rPr>
        <w:tab/>
      </w:r>
      <w:r w:rsidR="00765D1E" w:rsidRPr="00E1372C">
        <w:rPr>
          <w:lang w:val="fr-FR" w:bidi="en-US"/>
        </w:rPr>
        <w:t>Cette situation tient au fait que les San son</w:t>
      </w:r>
      <w:r w:rsidR="0074704B" w:rsidRPr="00E1372C">
        <w:rPr>
          <w:lang w:val="fr-FR" w:bidi="en-US"/>
        </w:rPr>
        <w:t>t</w:t>
      </w:r>
      <w:r w:rsidR="00765D1E" w:rsidRPr="00E1372C">
        <w:rPr>
          <w:lang w:val="fr-FR" w:bidi="en-US"/>
        </w:rPr>
        <w:t xml:space="preserve"> nomades et comptent traditionnellement, pour leurs besoins alimentaires, sur les animaux sauvages. Toutefois, la nouvelle politique en matière d</w:t>
      </w:r>
      <w:r w:rsidR="00731F09" w:rsidRPr="00E1372C">
        <w:rPr>
          <w:lang w:val="fr-FR" w:bidi="en-US"/>
        </w:rPr>
        <w:t>’</w:t>
      </w:r>
      <w:r w:rsidR="00765D1E" w:rsidRPr="00E1372C">
        <w:rPr>
          <w:lang w:val="fr-FR" w:bidi="en-US"/>
        </w:rPr>
        <w:t>environnement</w:t>
      </w:r>
      <w:r w:rsidR="0074704B" w:rsidRPr="00E1372C">
        <w:rPr>
          <w:lang w:val="fr-FR" w:bidi="en-US"/>
        </w:rPr>
        <w:t>,</w:t>
      </w:r>
      <w:r w:rsidR="00765D1E" w:rsidRPr="00E1372C">
        <w:rPr>
          <w:lang w:val="fr-FR" w:bidi="en-US"/>
        </w:rPr>
        <w:t xml:space="preserve"> qui interdit l</w:t>
      </w:r>
      <w:r w:rsidR="00731F09" w:rsidRPr="00E1372C">
        <w:rPr>
          <w:lang w:val="fr-FR" w:bidi="en-US"/>
        </w:rPr>
        <w:t>’</w:t>
      </w:r>
      <w:r w:rsidR="00765D1E" w:rsidRPr="00E1372C">
        <w:rPr>
          <w:lang w:val="fr-FR" w:bidi="en-US"/>
        </w:rPr>
        <w:t>abattage et la capture d</w:t>
      </w:r>
      <w:r w:rsidR="00731F09" w:rsidRPr="00E1372C">
        <w:rPr>
          <w:lang w:val="fr-FR" w:bidi="en-US"/>
        </w:rPr>
        <w:t>’</w:t>
      </w:r>
      <w:r w:rsidR="00765D1E" w:rsidRPr="00E1372C">
        <w:rPr>
          <w:lang w:val="fr-FR" w:bidi="en-US"/>
        </w:rPr>
        <w:t>animaux sauvages</w:t>
      </w:r>
      <w:r w:rsidR="0074704B" w:rsidRPr="00E1372C">
        <w:rPr>
          <w:lang w:val="fr-FR" w:bidi="en-US"/>
        </w:rPr>
        <w:t>,</w:t>
      </w:r>
      <w:r w:rsidR="00765D1E" w:rsidRPr="00E1372C">
        <w:rPr>
          <w:lang w:val="fr-FR" w:bidi="en-US"/>
        </w:rPr>
        <w:t xml:space="preserve"> a changé le contexte. </w:t>
      </w:r>
    </w:p>
    <w:p w:rsidR="00765D1E" w:rsidRPr="00E1372C" w:rsidRDefault="007A1757" w:rsidP="007A1757">
      <w:pPr>
        <w:pStyle w:val="SingleTxtG"/>
        <w:rPr>
          <w:lang w:val="fr-FR" w:bidi="en-US"/>
        </w:rPr>
      </w:pPr>
      <w:r w:rsidRPr="00E1372C">
        <w:rPr>
          <w:lang w:val="fr-FR" w:bidi="en-US"/>
        </w:rPr>
        <w:t>297.</w:t>
      </w:r>
      <w:r w:rsidRPr="00E1372C">
        <w:rPr>
          <w:lang w:val="fr-FR" w:bidi="en-US"/>
        </w:rPr>
        <w:tab/>
      </w:r>
      <w:r w:rsidR="00765D1E" w:rsidRPr="00E1372C">
        <w:rPr>
          <w:lang w:val="fr-FR" w:bidi="en-US"/>
        </w:rPr>
        <w:t xml:space="preserve">Par le passé, la plupart des activités économiques se déroulaient dans quelques centres du pays, comme </w:t>
      </w:r>
      <w:r w:rsidR="00A55A0E" w:rsidRPr="00E1372C">
        <w:rPr>
          <w:lang w:val="fr-FR" w:bidi="en-US"/>
        </w:rPr>
        <w:t>Windhoek</w:t>
      </w:r>
      <w:r w:rsidR="00765D1E" w:rsidRPr="00E1372C">
        <w:rPr>
          <w:lang w:val="fr-FR" w:bidi="en-US"/>
        </w:rPr>
        <w:t xml:space="preserve"> la capitale, le port de </w:t>
      </w:r>
      <w:r w:rsidR="00A55A0E" w:rsidRPr="00E1372C">
        <w:rPr>
          <w:lang w:val="fr-FR" w:bidi="en-US"/>
        </w:rPr>
        <w:t xml:space="preserve">Walvis Bay </w:t>
      </w:r>
      <w:r w:rsidR="00765D1E" w:rsidRPr="00E1372C">
        <w:rPr>
          <w:lang w:val="fr-FR" w:bidi="en-US"/>
        </w:rPr>
        <w:t>et les sites d</w:t>
      </w:r>
      <w:r w:rsidR="00731F09" w:rsidRPr="00E1372C">
        <w:rPr>
          <w:lang w:val="fr-FR" w:bidi="en-US"/>
        </w:rPr>
        <w:t>’</w:t>
      </w:r>
      <w:r w:rsidR="00765D1E" w:rsidRPr="00E1372C">
        <w:rPr>
          <w:lang w:val="fr-FR" w:bidi="en-US"/>
        </w:rPr>
        <w:t xml:space="preserve">extraction; la forte migration </w:t>
      </w:r>
      <w:r w:rsidR="0074704B" w:rsidRPr="00E1372C">
        <w:rPr>
          <w:lang w:val="fr-FR" w:bidi="en-US"/>
        </w:rPr>
        <w:t>qui s</w:t>
      </w:r>
      <w:r w:rsidR="00731F09" w:rsidRPr="00E1372C">
        <w:rPr>
          <w:lang w:val="fr-FR" w:bidi="en-US"/>
        </w:rPr>
        <w:t>’</w:t>
      </w:r>
      <w:r w:rsidR="0074704B" w:rsidRPr="00E1372C">
        <w:rPr>
          <w:lang w:val="fr-FR" w:bidi="en-US"/>
        </w:rPr>
        <w:t xml:space="preserve">ensuivait </w:t>
      </w:r>
      <w:r w:rsidR="00765D1E" w:rsidRPr="00E1372C">
        <w:rPr>
          <w:lang w:val="fr-FR" w:bidi="en-US"/>
        </w:rPr>
        <w:t>vers ces zones a soulevé certains problèmes</w:t>
      </w:r>
      <w:r w:rsidR="00AE017E" w:rsidRPr="00E1372C">
        <w:rPr>
          <w:lang w:val="fr-FR" w:bidi="en-US"/>
        </w:rPr>
        <w:t>:</w:t>
      </w:r>
      <w:r w:rsidR="00765D1E" w:rsidRPr="00E1372C">
        <w:rPr>
          <w:lang w:val="fr-FR" w:bidi="en-US"/>
        </w:rPr>
        <w:t xml:space="preserve"> concentration excessive dans les centres urbains, chômage élevé, pénurie de logements et taux élevé de criminalité. </w:t>
      </w:r>
    </w:p>
    <w:p w:rsidR="00765D1E" w:rsidRPr="00E1372C" w:rsidRDefault="007A1757" w:rsidP="007A1757">
      <w:pPr>
        <w:pStyle w:val="SingleTxtG"/>
        <w:rPr>
          <w:lang w:val="fr-FR" w:bidi="en-US"/>
        </w:rPr>
      </w:pPr>
      <w:r w:rsidRPr="00E1372C">
        <w:rPr>
          <w:lang w:val="fr-FR" w:bidi="en-US"/>
        </w:rPr>
        <w:t>298.</w:t>
      </w:r>
      <w:r w:rsidRPr="00E1372C">
        <w:rPr>
          <w:lang w:val="fr-FR" w:bidi="en-US"/>
        </w:rPr>
        <w:tab/>
      </w:r>
      <w:r w:rsidR="00765D1E" w:rsidRPr="00E1372C">
        <w:rPr>
          <w:lang w:val="fr-FR" w:bidi="en-US"/>
        </w:rPr>
        <w:t>Au moment de l</w:t>
      </w:r>
      <w:r w:rsidR="00731F09" w:rsidRPr="00E1372C">
        <w:rPr>
          <w:lang w:val="fr-FR" w:bidi="en-US"/>
        </w:rPr>
        <w:t>’</w:t>
      </w:r>
      <w:r w:rsidR="00765D1E" w:rsidRPr="00E1372C">
        <w:rPr>
          <w:lang w:val="fr-FR" w:bidi="en-US"/>
        </w:rPr>
        <w:t>indépendance en 1990, le Gouvernement a fait de la réduction de la pauvreté l</w:t>
      </w:r>
      <w:r w:rsidR="00731F09" w:rsidRPr="00E1372C">
        <w:rPr>
          <w:lang w:val="fr-FR" w:bidi="en-US"/>
        </w:rPr>
        <w:t>’</w:t>
      </w:r>
      <w:r w:rsidR="00765D1E" w:rsidRPr="00E1372C">
        <w:rPr>
          <w:lang w:val="fr-FR" w:bidi="en-US"/>
        </w:rPr>
        <w:t xml:space="preserve">un de ses thèmes et objectifs centraux dans le premier </w:t>
      </w:r>
      <w:r w:rsidR="00DC2BB5" w:rsidRPr="00E1372C">
        <w:rPr>
          <w:lang w:val="fr-FR" w:bidi="en-US"/>
        </w:rPr>
        <w:t>p</w:t>
      </w:r>
      <w:r w:rsidR="00765D1E" w:rsidRPr="00E1372C">
        <w:rPr>
          <w:lang w:val="fr-FR" w:bidi="en-US"/>
        </w:rPr>
        <w:t>lan national de développement. Durant la période examinée, des progrès ont été réalisés en matière de réduction des taux de pauvreté rurale, de répartition plus équitable de la richesse nationale et d</w:t>
      </w:r>
      <w:r w:rsidR="00731F09" w:rsidRPr="00E1372C">
        <w:rPr>
          <w:lang w:val="fr-FR" w:bidi="en-US"/>
        </w:rPr>
        <w:t>’</w:t>
      </w:r>
      <w:r w:rsidR="00765D1E" w:rsidRPr="00E1372C">
        <w:rPr>
          <w:lang w:val="fr-FR" w:bidi="en-US"/>
        </w:rPr>
        <w:t>accès équitable aux ressources productives.</w:t>
      </w:r>
    </w:p>
    <w:p w:rsidR="00765D1E" w:rsidRPr="00E1372C" w:rsidRDefault="007A1757" w:rsidP="007A1757">
      <w:pPr>
        <w:pStyle w:val="SingleTxtG"/>
        <w:rPr>
          <w:lang w:val="fr-FR" w:bidi="en-US"/>
        </w:rPr>
      </w:pPr>
      <w:r w:rsidRPr="00E1372C">
        <w:rPr>
          <w:lang w:val="fr-FR" w:bidi="en-US"/>
        </w:rPr>
        <w:t>299.</w:t>
      </w:r>
      <w:r w:rsidRPr="00E1372C">
        <w:rPr>
          <w:lang w:val="fr-FR" w:bidi="en-US"/>
        </w:rPr>
        <w:tab/>
      </w:r>
      <w:r w:rsidR="00765D1E" w:rsidRPr="00E1372C">
        <w:rPr>
          <w:lang w:val="fr-FR" w:bidi="en-US"/>
        </w:rPr>
        <w:t>E</w:t>
      </w:r>
      <w:r w:rsidR="00A55A0E" w:rsidRPr="00E1372C">
        <w:rPr>
          <w:lang w:val="fr-FR" w:bidi="en-US"/>
        </w:rPr>
        <w:t>n 1994</w:t>
      </w:r>
      <w:r w:rsidR="00F85280" w:rsidRPr="00E1372C">
        <w:rPr>
          <w:lang w:val="fr-FR" w:bidi="en-US"/>
        </w:rPr>
        <w:t>,</w:t>
      </w:r>
      <w:r w:rsidR="00A55A0E" w:rsidRPr="00E1372C">
        <w:rPr>
          <w:lang w:val="fr-FR" w:bidi="en-US"/>
        </w:rPr>
        <w:t xml:space="preserve"> 47</w:t>
      </w:r>
      <w:r w:rsidR="007064FC" w:rsidRPr="00E1372C">
        <w:rPr>
          <w:lang w:val="fr-FR" w:bidi="en-US"/>
        </w:rPr>
        <w:t> %</w:t>
      </w:r>
      <w:r w:rsidR="00765D1E" w:rsidRPr="00E1372C">
        <w:rPr>
          <w:lang w:val="fr-FR" w:bidi="en-US"/>
        </w:rPr>
        <w:t xml:space="preserve"> des ménages étaient considérés comme pauvres et 13</w:t>
      </w:r>
      <w:r w:rsidR="007064FC" w:rsidRPr="00E1372C">
        <w:rPr>
          <w:lang w:val="fr-FR" w:bidi="en-US"/>
        </w:rPr>
        <w:t> %</w:t>
      </w:r>
      <w:r w:rsidR="00765D1E" w:rsidRPr="00E1372C">
        <w:rPr>
          <w:lang w:val="fr-FR" w:bidi="en-US"/>
        </w:rPr>
        <w:t xml:space="preserve"> comme très pauvres. Le Gouvernement entendait réduire la proportion des ménages pauvres à 40</w:t>
      </w:r>
      <w:r w:rsidR="007064FC" w:rsidRPr="00E1372C">
        <w:rPr>
          <w:lang w:val="fr-FR" w:bidi="en-US"/>
        </w:rPr>
        <w:t> %</w:t>
      </w:r>
      <w:r w:rsidR="00765D1E" w:rsidRPr="00E1372C">
        <w:rPr>
          <w:lang w:val="fr-FR" w:bidi="en-US"/>
        </w:rPr>
        <w:t xml:space="preserve"> et celle des ménages très pauvres à 7</w:t>
      </w:r>
      <w:r w:rsidR="007064FC" w:rsidRPr="00E1372C">
        <w:rPr>
          <w:lang w:val="fr-FR" w:bidi="en-US"/>
        </w:rPr>
        <w:t> %</w:t>
      </w:r>
      <w:r w:rsidR="00765D1E" w:rsidRPr="00E1372C">
        <w:rPr>
          <w:lang w:val="fr-FR" w:bidi="en-US"/>
        </w:rPr>
        <w:t xml:space="preserve"> d</w:t>
      </w:r>
      <w:r w:rsidR="00731F09" w:rsidRPr="00E1372C">
        <w:rPr>
          <w:lang w:val="fr-FR" w:bidi="en-US"/>
        </w:rPr>
        <w:t>’</w:t>
      </w:r>
      <w:r w:rsidR="00765D1E" w:rsidRPr="00E1372C">
        <w:rPr>
          <w:lang w:val="fr-FR" w:bidi="en-US"/>
        </w:rPr>
        <w:t>ici l</w:t>
      </w:r>
      <w:r w:rsidR="00731F09" w:rsidRPr="00E1372C">
        <w:rPr>
          <w:lang w:val="fr-FR" w:bidi="en-US"/>
        </w:rPr>
        <w:t>’</w:t>
      </w:r>
      <w:r w:rsidR="00765D1E" w:rsidRPr="00E1372C">
        <w:rPr>
          <w:lang w:val="fr-FR" w:bidi="en-US"/>
        </w:rPr>
        <w:t>an 2000. Depuis l</w:t>
      </w:r>
      <w:r w:rsidR="00731F09" w:rsidRPr="00E1372C">
        <w:rPr>
          <w:lang w:val="fr-FR" w:bidi="en-US"/>
        </w:rPr>
        <w:t>’</w:t>
      </w:r>
      <w:r w:rsidR="00765D1E" w:rsidRPr="00E1372C">
        <w:rPr>
          <w:lang w:val="fr-FR" w:bidi="en-US"/>
        </w:rPr>
        <w:t>indépendance, la réduction de la pauvreté générale a suscité un surcroît d</w:t>
      </w:r>
      <w:r w:rsidR="00731F09" w:rsidRPr="00E1372C">
        <w:rPr>
          <w:lang w:val="fr-FR" w:bidi="en-US"/>
        </w:rPr>
        <w:t>’</w:t>
      </w:r>
      <w:r w:rsidR="00765D1E" w:rsidRPr="00E1372C">
        <w:rPr>
          <w:lang w:val="fr-FR" w:bidi="en-US"/>
        </w:rPr>
        <w:t>attention, mais il reste beaucoup à faire.</w:t>
      </w:r>
    </w:p>
    <w:p w:rsidR="00765D1E" w:rsidRPr="00E1372C" w:rsidRDefault="007A1757" w:rsidP="007A1757">
      <w:pPr>
        <w:pStyle w:val="SingleTxtG"/>
        <w:rPr>
          <w:lang w:val="fr-FR" w:bidi="en-US"/>
        </w:rPr>
      </w:pPr>
      <w:r w:rsidRPr="00E1372C">
        <w:rPr>
          <w:lang w:val="fr-FR" w:bidi="en-US"/>
        </w:rPr>
        <w:t>300.</w:t>
      </w:r>
      <w:r w:rsidRPr="00E1372C">
        <w:rPr>
          <w:lang w:val="fr-FR" w:bidi="en-US"/>
        </w:rPr>
        <w:tab/>
      </w:r>
      <w:r w:rsidR="00765D1E" w:rsidRPr="00E1372C">
        <w:rPr>
          <w:lang w:val="fr-FR" w:bidi="en-US"/>
        </w:rPr>
        <w:t>La politique agricole nationale, mise en place en octobre 1995, aborde les difficultés du développement rural dues à des années d</w:t>
      </w:r>
      <w:r w:rsidR="00731F09" w:rsidRPr="00E1372C">
        <w:rPr>
          <w:lang w:val="fr-FR" w:bidi="en-US"/>
        </w:rPr>
        <w:t>’</w:t>
      </w:r>
      <w:r w:rsidR="00765D1E" w:rsidRPr="00E1372C">
        <w:rPr>
          <w:lang w:val="fr-FR" w:bidi="en-US"/>
        </w:rPr>
        <w:t>inaction sous le régime colonial. Elle fournit des conditions propices à une augmentation de la production vivrière par de petits agriculteurs, ainsi que des améliorations dans les possibilités d</w:t>
      </w:r>
      <w:r w:rsidR="00731F09" w:rsidRPr="00E1372C">
        <w:rPr>
          <w:lang w:val="fr-FR" w:bidi="en-US"/>
        </w:rPr>
        <w:t>’</w:t>
      </w:r>
      <w:r w:rsidR="00765D1E" w:rsidRPr="00E1372C">
        <w:rPr>
          <w:lang w:val="fr-FR" w:bidi="en-US"/>
        </w:rPr>
        <w:t>emploi, la création de revenu et la sécurité alimentaire des ménages, mais surtout l</w:t>
      </w:r>
      <w:r w:rsidR="00731F09" w:rsidRPr="00E1372C">
        <w:rPr>
          <w:lang w:val="fr-FR" w:bidi="en-US"/>
        </w:rPr>
        <w:t>’</w:t>
      </w:r>
      <w:r w:rsidR="00765D1E" w:rsidRPr="00E1372C">
        <w:rPr>
          <w:lang w:val="fr-FR" w:bidi="en-US"/>
        </w:rPr>
        <w:t>état nutritionnel de tous les Namibiens.</w:t>
      </w:r>
    </w:p>
    <w:p w:rsidR="00765D1E" w:rsidRPr="00E1372C" w:rsidRDefault="007A1757" w:rsidP="007A1757">
      <w:pPr>
        <w:pStyle w:val="SingleTxtG"/>
        <w:rPr>
          <w:lang w:val="fr-FR" w:bidi="en-US"/>
        </w:rPr>
      </w:pPr>
      <w:r w:rsidRPr="00E1372C">
        <w:rPr>
          <w:lang w:val="fr-FR" w:bidi="en-US"/>
        </w:rPr>
        <w:t>301.</w:t>
      </w:r>
      <w:r w:rsidRPr="00E1372C">
        <w:rPr>
          <w:lang w:val="fr-FR" w:bidi="en-US"/>
        </w:rPr>
        <w:tab/>
      </w:r>
      <w:r w:rsidR="00765D1E" w:rsidRPr="00E1372C">
        <w:rPr>
          <w:lang w:val="fr-FR" w:bidi="en-US"/>
        </w:rPr>
        <w:t>L</w:t>
      </w:r>
      <w:r w:rsidR="00731F09" w:rsidRPr="00E1372C">
        <w:rPr>
          <w:lang w:val="fr-FR" w:bidi="en-US"/>
        </w:rPr>
        <w:t>’</w:t>
      </w:r>
      <w:r w:rsidR="00EB6338" w:rsidRPr="00E1372C">
        <w:rPr>
          <w:lang w:val="fr-FR" w:bidi="en-US"/>
        </w:rPr>
        <w:t>in</w:t>
      </w:r>
      <w:r w:rsidR="00765D1E" w:rsidRPr="00E1372C">
        <w:rPr>
          <w:lang w:val="fr-FR" w:bidi="en-US"/>
        </w:rPr>
        <w:t>sécurité alimentaire en Namibie se traduit par la déficience nutritionnelle d</w:t>
      </w:r>
      <w:r w:rsidR="00731F09" w:rsidRPr="00E1372C">
        <w:rPr>
          <w:lang w:val="fr-FR" w:bidi="en-US"/>
        </w:rPr>
        <w:t>’</w:t>
      </w:r>
      <w:r w:rsidR="00765D1E" w:rsidRPr="00E1372C">
        <w:rPr>
          <w:lang w:val="fr-FR" w:bidi="en-US"/>
        </w:rPr>
        <w:t>un vaste pourcentage de la population. La dénutrition qui se généralise chez les enfants de moins de 5 ans est un problème très courant.</w:t>
      </w:r>
    </w:p>
    <w:p w:rsidR="00A55A0E" w:rsidRPr="00E1372C" w:rsidRDefault="001A799F" w:rsidP="001A799F">
      <w:pPr>
        <w:pStyle w:val="H1G"/>
        <w:rPr>
          <w:lang w:val="fr-FR" w:bidi="en-US"/>
        </w:rPr>
      </w:pPr>
      <w:r w:rsidRPr="00E1372C">
        <w:rPr>
          <w:lang w:val="fr-FR" w:bidi="en-US"/>
        </w:rPr>
        <w:tab/>
      </w:r>
      <w:r w:rsidRPr="00E1372C">
        <w:rPr>
          <w:lang w:val="fr-FR" w:bidi="en-US"/>
        </w:rPr>
        <w:tab/>
      </w:r>
      <w:r w:rsidR="00A55A0E" w:rsidRPr="00E1372C">
        <w:rPr>
          <w:lang w:val="fr-FR" w:bidi="en-US"/>
        </w:rPr>
        <w:t>Article</w:t>
      </w:r>
      <w:r w:rsidR="00765D1E" w:rsidRPr="00E1372C">
        <w:rPr>
          <w:lang w:val="fr-FR" w:bidi="en-US"/>
        </w:rPr>
        <w:t xml:space="preserve"> </w:t>
      </w:r>
      <w:r w:rsidRPr="00E1372C">
        <w:rPr>
          <w:lang w:val="fr-FR" w:bidi="en-US"/>
        </w:rPr>
        <w:t>12</w:t>
      </w:r>
      <w:r w:rsidRPr="00E1372C">
        <w:rPr>
          <w:lang w:val="fr-FR" w:bidi="en-US"/>
        </w:rPr>
        <w:br/>
        <w:t xml:space="preserve">Droit </w:t>
      </w:r>
      <w:r w:rsidR="00765D1E" w:rsidRPr="00E1372C">
        <w:rPr>
          <w:lang w:val="fr-FR" w:bidi="en-US"/>
        </w:rPr>
        <w:t>à la santé</w:t>
      </w:r>
    </w:p>
    <w:p w:rsidR="00295595" w:rsidRPr="00E1372C" w:rsidRDefault="007A1757" w:rsidP="007A1757">
      <w:pPr>
        <w:pStyle w:val="SingleTxtG"/>
        <w:rPr>
          <w:lang w:val="fr-FR" w:bidi="en-US"/>
        </w:rPr>
      </w:pPr>
      <w:r w:rsidRPr="00E1372C">
        <w:rPr>
          <w:lang w:val="fr-FR" w:bidi="en-US"/>
        </w:rPr>
        <w:t>302.</w:t>
      </w:r>
      <w:r w:rsidRPr="00E1372C">
        <w:rPr>
          <w:lang w:val="fr-FR" w:bidi="en-US"/>
        </w:rPr>
        <w:tab/>
      </w:r>
      <w:r w:rsidR="00295595" w:rsidRPr="00E1372C">
        <w:rPr>
          <w:lang w:val="fr-FR" w:bidi="en-US"/>
        </w:rPr>
        <w:t xml:space="preserve">Le Ministère de la santé et des services sociaux est responsable des services de santé de Namibie. </w:t>
      </w:r>
      <w:r w:rsidR="00295595" w:rsidRPr="00E1372C">
        <w:rPr>
          <w:lang w:val="fr-FR"/>
        </w:rPr>
        <w:t>À l</w:t>
      </w:r>
      <w:r w:rsidR="00731F09" w:rsidRPr="00E1372C">
        <w:rPr>
          <w:lang w:val="fr-FR"/>
        </w:rPr>
        <w:t>’</w:t>
      </w:r>
      <w:r w:rsidR="00295595" w:rsidRPr="00E1372C">
        <w:rPr>
          <w:lang w:val="fr-FR"/>
        </w:rPr>
        <w:t>indépendance, le pays a hérité d</w:t>
      </w:r>
      <w:r w:rsidR="00731F09" w:rsidRPr="00E1372C">
        <w:rPr>
          <w:lang w:val="fr-FR"/>
        </w:rPr>
        <w:t>’</w:t>
      </w:r>
      <w:r w:rsidR="00295595" w:rsidRPr="00E1372C">
        <w:rPr>
          <w:lang w:val="fr-FR"/>
        </w:rPr>
        <w:t>un système de santé fragmenté fondé sur la ségrégation raciale et marqué par une concentration des infrastructures et des services dans les zones urbaines. Le Parlement a adopté la loi n</w:t>
      </w:r>
      <w:r w:rsidR="00B277C4" w:rsidRPr="00E1372C">
        <w:rPr>
          <w:vertAlign w:val="superscript"/>
          <w:lang w:val="fr-FR"/>
        </w:rPr>
        <w:t>o</w:t>
      </w:r>
      <w:r w:rsidR="00295595" w:rsidRPr="00E1372C">
        <w:rPr>
          <w:lang w:val="fr-FR"/>
        </w:rPr>
        <w:t> 36 de 1994 relative aux hôpitaux et établissements de santé en vue d</w:t>
      </w:r>
      <w:r w:rsidR="00731F09" w:rsidRPr="00E1372C">
        <w:rPr>
          <w:lang w:val="fr-FR"/>
        </w:rPr>
        <w:t>’</w:t>
      </w:r>
      <w:r w:rsidR="00295595" w:rsidRPr="00E1372C">
        <w:rPr>
          <w:lang w:val="fr-FR"/>
        </w:rPr>
        <w:t>unifier ou d</w:t>
      </w:r>
      <w:r w:rsidR="00731F09" w:rsidRPr="00E1372C">
        <w:rPr>
          <w:lang w:val="fr-FR"/>
        </w:rPr>
        <w:t>’</w:t>
      </w:r>
      <w:r w:rsidR="00295595" w:rsidRPr="00E1372C">
        <w:rPr>
          <w:lang w:val="fr-FR"/>
        </w:rPr>
        <w:t>abroger les lois relatives aux établissements de santé publics et privés qui comprennent, au sens large, dispensaires, pharmacies et laboratoires. Le Ministère de la santé et des services sociaux a reçu une part relativement élevée du budget national depuis l</w:t>
      </w:r>
      <w:r w:rsidR="00731F09" w:rsidRPr="00E1372C">
        <w:rPr>
          <w:lang w:val="fr-FR"/>
        </w:rPr>
        <w:t>’</w:t>
      </w:r>
      <w:r w:rsidR="00295595" w:rsidRPr="00E1372C">
        <w:rPr>
          <w:lang w:val="fr-FR"/>
        </w:rPr>
        <w:t>indépendance. Ces ressources financières ont permis de procéder à plusieurs réformes du secteur de la santé, notamment dans le domaine des soins de santé primaires, qui ont augmenté le nombre d</w:t>
      </w:r>
      <w:r w:rsidR="00731F09" w:rsidRPr="00E1372C">
        <w:rPr>
          <w:lang w:val="fr-FR"/>
        </w:rPr>
        <w:t>’</w:t>
      </w:r>
      <w:r w:rsidR="00295595" w:rsidRPr="00E1372C">
        <w:rPr>
          <w:lang w:val="fr-FR"/>
        </w:rPr>
        <w:t>établissements de santé dans les zones rurales. L</w:t>
      </w:r>
      <w:r w:rsidR="00731F09" w:rsidRPr="00E1372C">
        <w:rPr>
          <w:lang w:val="fr-FR"/>
        </w:rPr>
        <w:t>’</w:t>
      </w:r>
      <w:r w:rsidR="00C1487A" w:rsidRPr="00E1372C">
        <w:rPr>
          <w:lang w:val="fr-FR"/>
        </w:rPr>
        <w:t>étendue</w:t>
      </w:r>
      <w:r w:rsidR="00295595" w:rsidRPr="00E1372C">
        <w:rPr>
          <w:lang w:val="fr-FR"/>
        </w:rPr>
        <w:t xml:space="preserve"> des différents services a été sensiblement élargie et les services de soins de santé ont connu une amélioration générale.</w:t>
      </w:r>
    </w:p>
    <w:p w:rsidR="00A55A0E" w:rsidRPr="00E1372C" w:rsidRDefault="007A1757" w:rsidP="007A1757">
      <w:pPr>
        <w:pStyle w:val="SingleTxtG"/>
        <w:rPr>
          <w:lang w:val="fr-FR" w:bidi="en-US"/>
        </w:rPr>
      </w:pPr>
      <w:r w:rsidRPr="00E1372C">
        <w:rPr>
          <w:lang w:val="fr-FR" w:bidi="en-US"/>
        </w:rPr>
        <w:t>303.</w:t>
      </w:r>
      <w:r w:rsidRPr="00E1372C">
        <w:rPr>
          <w:lang w:val="fr-FR" w:bidi="en-US"/>
        </w:rPr>
        <w:tab/>
      </w:r>
      <w:r w:rsidR="00295595" w:rsidRPr="00E1372C">
        <w:rPr>
          <w:lang w:val="fr-FR"/>
        </w:rPr>
        <w:t>En ce qui concerne le droit à la santé physique et mentale des citoyens, le Gouvernement namibien a adopté une politique nationale de santé. L</w:t>
      </w:r>
      <w:r w:rsidR="00731F09" w:rsidRPr="00E1372C">
        <w:rPr>
          <w:lang w:val="fr-FR"/>
        </w:rPr>
        <w:t>’</w:t>
      </w:r>
      <w:r w:rsidR="00295595" w:rsidRPr="00E1372C">
        <w:rPr>
          <w:lang w:val="fr-FR"/>
        </w:rPr>
        <w:t>approche des soins de santé primaires prônée par l</w:t>
      </w:r>
      <w:r w:rsidR="00731F09" w:rsidRPr="00E1372C">
        <w:rPr>
          <w:lang w:val="fr-FR"/>
        </w:rPr>
        <w:t>’</w:t>
      </w:r>
      <w:r w:rsidR="00295595" w:rsidRPr="00E1372C">
        <w:rPr>
          <w:lang w:val="fr-FR"/>
        </w:rPr>
        <w:t>Organisation mondiale de la santé (OMS) a été adoptée dans le cadre de la politique de santé de la Namibie.</w:t>
      </w:r>
      <w:r w:rsidR="00C1487A" w:rsidRPr="00E1372C">
        <w:rPr>
          <w:lang w:val="fr-FR"/>
        </w:rPr>
        <w:t xml:space="preserve"> Le système existant lors de l</w:t>
      </w:r>
      <w:r w:rsidR="00731F09" w:rsidRPr="00E1372C">
        <w:rPr>
          <w:lang w:val="fr-FR"/>
        </w:rPr>
        <w:t>’</w:t>
      </w:r>
      <w:r w:rsidR="00C1487A" w:rsidRPr="00E1372C">
        <w:rPr>
          <w:lang w:val="fr-FR"/>
        </w:rPr>
        <w:t>indépendance a été réorienté et les districts de santé ont été renforcés.</w:t>
      </w:r>
      <w:r w:rsidR="00295595" w:rsidRPr="00E1372C">
        <w:rPr>
          <w:lang w:val="fr-FR"/>
        </w:rPr>
        <w:t xml:space="preserve"> Un programme global de soins de santé primaires a été mis en œuvre depuis l</w:t>
      </w:r>
      <w:r w:rsidR="00731F09" w:rsidRPr="00E1372C">
        <w:rPr>
          <w:lang w:val="fr-FR"/>
        </w:rPr>
        <w:t>’</w:t>
      </w:r>
      <w:r w:rsidR="00295595" w:rsidRPr="00E1372C">
        <w:rPr>
          <w:lang w:val="fr-FR"/>
        </w:rPr>
        <w:t>indépendance dans tous les districts de santé du pays.</w:t>
      </w:r>
      <w:r w:rsidR="00A55A0E" w:rsidRPr="00E1372C">
        <w:rPr>
          <w:lang w:val="fr-FR" w:bidi="en-US"/>
        </w:rPr>
        <w:t xml:space="preserve"> </w:t>
      </w:r>
    </w:p>
    <w:p w:rsidR="00295595" w:rsidRPr="00E1372C" w:rsidRDefault="007A1757" w:rsidP="007A1757">
      <w:pPr>
        <w:pStyle w:val="SingleTxtG"/>
        <w:rPr>
          <w:lang w:val="fr-FR" w:bidi="en-US"/>
        </w:rPr>
      </w:pPr>
      <w:r w:rsidRPr="00E1372C">
        <w:rPr>
          <w:lang w:val="fr-FR" w:bidi="en-US"/>
        </w:rPr>
        <w:t>304.</w:t>
      </w:r>
      <w:r w:rsidRPr="00E1372C">
        <w:rPr>
          <w:lang w:val="fr-FR" w:bidi="en-US"/>
        </w:rPr>
        <w:tab/>
      </w:r>
      <w:r w:rsidR="00295595" w:rsidRPr="00E1372C">
        <w:rPr>
          <w:lang w:val="fr-FR" w:bidi="en-US"/>
        </w:rPr>
        <w:t>L</w:t>
      </w:r>
      <w:r w:rsidR="006F7223" w:rsidRPr="00E1372C">
        <w:rPr>
          <w:lang w:val="fr-FR" w:bidi="en-US"/>
        </w:rPr>
        <w:t xml:space="preserve">e paragraphe </w:t>
      </w:r>
      <w:r w:rsidR="00295595" w:rsidRPr="00E1372C">
        <w:rPr>
          <w:lang w:val="fr-FR" w:bidi="en-US"/>
        </w:rPr>
        <w:t>2 de l</w:t>
      </w:r>
      <w:r w:rsidR="00731F09" w:rsidRPr="00E1372C">
        <w:rPr>
          <w:lang w:val="fr-FR" w:bidi="en-US"/>
        </w:rPr>
        <w:t>’</w:t>
      </w:r>
      <w:r w:rsidR="006F7223" w:rsidRPr="00E1372C">
        <w:rPr>
          <w:lang w:val="fr-FR" w:bidi="en-US"/>
        </w:rPr>
        <w:t xml:space="preserve">article </w:t>
      </w:r>
      <w:r w:rsidR="00295595" w:rsidRPr="00E1372C">
        <w:rPr>
          <w:lang w:val="fr-FR" w:bidi="en-US"/>
        </w:rPr>
        <w:t xml:space="preserve">15 de la Constitution </w:t>
      </w:r>
      <w:r w:rsidR="00C1487A" w:rsidRPr="00E1372C">
        <w:rPr>
          <w:lang w:val="fr-FR" w:bidi="en-US"/>
        </w:rPr>
        <w:t>protège les enfants de</w:t>
      </w:r>
      <w:r w:rsidR="00295595" w:rsidRPr="00E1372C">
        <w:rPr>
          <w:lang w:val="fr-FR" w:bidi="en-US"/>
        </w:rPr>
        <w:t xml:space="preserve"> l</w:t>
      </w:r>
      <w:r w:rsidR="00731F09" w:rsidRPr="00E1372C">
        <w:rPr>
          <w:lang w:val="fr-FR" w:bidi="en-US"/>
        </w:rPr>
        <w:t>’</w:t>
      </w:r>
      <w:r w:rsidR="00295595" w:rsidRPr="00E1372C">
        <w:rPr>
          <w:lang w:val="fr-FR" w:bidi="en-US"/>
        </w:rPr>
        <w:t>exploitation économique qui peut nuire à leur santé ou leur développement physique.</w:t>
      </w:r>
    </w:p>
    <w:p w:rsidR="00A55A0E" w:rsidRPr="00E1372C" w:rsidRDefault="007A1757" w:rsidP="007A1757">
      <w:pPr>
        <w:pStyle w:val="SingleTxtG"/>
        <w:rPr>
          <w:lang w:val="fr-FR" w:bidi="en-US"/>
        </w:rPr>
      </w:pPr>
      <w:r w:rsidRPr="00E1372C">
        <w:rPr>
          <w:lang w:val="fr-FR" w:bidi="en-US"/>
        </w:rPr>
        <w:t>305.</w:t>
      </w:r>
      <w:r w:rsidRPr="00E1372C">
        <w:rPr>
          <w:lang w:val="fr-FR" w:bidi="en-US"/>
        </w:rPr>
        <w:tab/>
      </w:r>
      <w:r w:rsidR="00295595" w:rsidRPr="00E1372C">
        <w:rPr>
          <w:lang w:val="fr-FR"/>
        </w:rPr>
        <w:t>Le principal objectif du Gouvernement en matière de soins de santé est d</w:t>
      </w:r>
      <w:r w:rsidR="00731F09" w:rsidRPr="00E1372C">
        <w:rPr>
          <w:lang w:val="fr-FR"/>
        </w:rPr>
        <w:t>’</w:t>
      </w:r>
      <w:r w:rsidR="00295595" w:rsidRPr="00E1372C">
        <w:rPr>
          <w:lang w:val="fr-FR"/>
        </w:rPr>
        <w:t>améliorer la santé de la population namibienne en proposant à tous les Namibiens ses services abordables et accessibles, en matière de prévention, de traitement et de rééducation.</w:t>
      </w:r>
    </w:p>
    <w:p w:rsidR="00A55A0E" w:rsidRPr="00E1372C" w:rsidRDefault="007A1757" w:rsidP="007A1757">
      <w:pPr>
        <w:pStyle w:val="SingleTxtG"/>
        <w:rPr>
          <w:lang w:val="fr-FR" w:bidi="en-US"/>
        </w:rPr>
      </w:pPr>
      <w:r w:rsidRPr="00E1372C">
        <w:rPr>
          <w:lang w:val="fr-FR" w:bidi="en-US"/>
        </w:rPr>
        <w:t>306.</w:t>
      </w:r>
      <w:r w:rsidRPr="00E1372C">
        <w:rPr>
          <w:lang w:val="fr-FR" w:bidi="en-US"/>
        </w:rPr>
        <w:tab/>
      </w:r>
      <w:r w:rsidR="00295595" w:rsidRPr="00E1372C">
        <w:rPr>
          <w:lang w:val="fr-FR" w:bidi="en-US"/>
        </w:rPr>
        <w:t xml:space="preserve">Les grandes villes du pays comptent presque toutes des hôpitaux publics. Dans les bourgs, villages et établissements ruraux, des dispensaires et centres de soins suffisamment dotés en matériel et en personnel sont administrés par le Ministère de la santé et des services sociaux. </w:t>
      </w:r>
      <w:r w:rsidR="00A55A0E" w:rsidRPr="00E1372C">
        <w:rPr>
          <w:lang w:val="fr-FR" w:bidi="en-US"/>
        </w:rPr>
        <w:t>Windhoek</w:t>
      </w:r>
      <w:r w:rsidR="0091041B" w:rsidRPr="00E1372C">
        <w:rPr>
          <w:lang w:val="fr-FR" w:bidi="en-US"/>
        </w:rPr>
        <w:t xml:space="preserve"> dispose de trois hôpitaux privés et six autres</w:t>
      </w:r>
      <w:r w:rsidR="00C1487A" w:rsidRPr="00E1372C">
        <w:rPr>
          <w:lang w:val="fr-FR" w:bidi="en-US"/>
        </w:rPr>
        <w:t xml:space="preserve"> établissements privés</w:t>
      </w:r>
      <w:r w:rsidR="0091041B" w:rsidRPr="00E1372C">
        <w:rPr>
          <w:lang w:val="fr-FR" w:bidi="en-US"/>
        </w:rPr>
        <w:t xml:space="preserve"> se trouvent dans </w:t>
      </w:r>
      <w:r w:rsidR="00C1487A" w:rsidRPr="00E1372C">
        <w:rPr>
          <w:lang w:val="fr-FR" w:bidi="en-US"/>
        </w:rPr>
        <w:t>les</w:t>
      </w:r>
      <w:r w:rsidR="0091041B" w:rsidRPr="00E1372C">
        <w:rPr>
          <w:lang w:val="fr-FR" w:bidi="en-US"/>
        </w:rPr>
        <w:t xml:space="preserve"> grandes villes – </w:t>
      </w:r>
      <w:r w:rsidR="00A55A0E" w:rsidRPr="00E1372C">
        <w:rPr>
          <w:lang w:val="fr-FR" w:bidi="en-US"/>
        </w:rPr>
        <w:t>Otjiwarongo</w:t>
      </w:r>
      <w:r w:rsidR="00F85280" w:rsidRPr="00E1372C">
        <w:rPr>
          <w:lang w:val="fr-FR" w:bidi="en-US"/>
        </w:rPr>
        <w:t>,</w:t>
      </w:r>
      <w:r w:rsidR="00A55A0E" w:rsidRPr="00E1372C">
        <w:rPr>
          <w:lang w:val="fr-FR" w:bidi="en-US"/>
        </w:rPr>
        <w:t xml:space="preserve"> Tsumeb</w:t>
      </w:r>
      <w:r w:rsidR="00F85280" w:rsidRPr="00E1372C">
        <w:rPr>
          <w:lang w:val="fr-FR" w:bidi="en-US"/>
        </w:rPr>
        <w:t>,</w:t>
      </w:r>
      <w:r w:rsidR="00A55A0E" w:rsidRPr="00E1372C">
        <w:rPr>
          <w:lang w:val="fr-FR" w:bidi="en-US"/>
        </w:rPr>
        <w:t xml:space="preserve"> Walvis Bay</w:t>
      </w:r>
      <w:r w:rsidR="00F85280" w:rsidRPr="00E1372C">
        <w:rPr>
          <w:lang w:val="fr-FR" w:bidi="en-US"/>
        </w:rPr>
        <w:t>,</w:t>
      </w:r>
      <w:r w:rsidR="00A55A0E" w:rsidRPr="00E1372C">
        <w:rPr>
          <w:lang w:val="fr-FR" w:bidi="en-US"/>
        </w:rPr>
        <w:t xml:space="preserve"> Swakopmund </w:t>
      </w:r>
      <w:r w:rsidR="0091041B" w:rsidRPr="00E1372C">
        <w:rPr>
          <w:lang w:val="fr-FR" w:bidi="en-US"/>
        </w:rPr>
        <w:t>et</w:t>
      </w:r>
      <w:r w:rsidR="00A55A0E" w:rsidRPr="00E1372C">
        <w:rPr>
          <w:lang w:val="fr-FR" w:bidi="en-US"/>
        </w:rPr>
        <w:t xml:space="preserve"> Ongwediva. </w:t>
      </w:r>
    </w:p>
    <w:p w:rsidR="00A55A0E" w:rsidRPr="00E1372C" w:rsidRDefault="007A1757" w:rsidP="001A799F">
      <w:pPr>
        <w:pStyle w:val="SingleTxtG"/>
        <w:rPr>
          <w:lang w:val="fr-FR" w:bidi="en-US"/>
        </w:rPr>
      </w:pPr>
      <w:r w:rsidRPr="00E1372C">
        <w:rPr>
          <w:lang w:val="fr-FR" w:bidi="en-US"/>
        </w:rPr>
        <w:t>307.</w:t>
      </w:r>
      <w:r w:rsidRPr="00E1372C">
        <w:rPr>
          <w:lang w:val="fr-FR" w:bidi="en-US"/>
        </w:rPr>
        <w:tab/>
      </w:r>
      <w:r w:rsidR="0091041B" w:rsidRPr="00E1372C">
        <w:rPr>
          <w:lang w:val="fr-FR"/>
        </w:rPr>
        <w:t>L</w:t>
      </w:r>
      <w:r w:rsidR="00731F09" w:rsidRPr="00E1372C">
        <w:rPr>
          <w:lang w:val="fr-FR"/>
        </w:rPr>
        <w:t>’</w:t>
      </w:r>
      <w:r w:rsidR="0091041B" w:rsidRPr="00E1372C">
        <w:rPr>
          <w:lang w:val="fr-FR"/>
        </w:rPr>
        <w:t>enquête démographique et sanitaire de 2006 a montré que 30</w:t>
      </w:r>
      <w:r w:rsidR="007064FC" w:rsidRPr="00E1372C">
        <w:rPr>
          <w:lang w:val="fr-FR"/>
        </w:rPr>
        <w:t> %</w:t>
      </w:r>
      <w:r w:rsidR="0091041B" w:rsidRPr="00E1372C">
        <w:rPr>
          <w:lang w:val="fr-FR"/>
        </w:rPr>
        <w:t xml:space="preserve"> des ménages se trouvent à moins d</w:t>
      </w:r>
      <w:r w:rsidR="001A799F" w:rsidRPr="00E1372C">
        <w:rPr>
          <w:lang w:val="fr-FR"/>
        </w:rPr>
        <w:t>e 1</w:t>
      </w:r>
      <w:r w:rsidR="0091041B" w:rsidRPr="00E1372C">
        <w:rPr>
          <w:lang w:val="fr-FR"/>
        </w:rPr>
        <w:t xml:space="preserve"> kilomètre d</w:t>
      </w:r>
      <w:r w:rsidR="00D22EFE" w:rsidRPr="00E1372C">
        <w:rPr>
          <w:lang w:val="fr-FR"/>
        </w:rPr>
        <w:t>u dispensaire</w:t>
      </w:r>
      <w:r w:rsidR="0091041B" w:rsidRPr="00E1372C">
        <w:rPr>
          <w:lang w:val="fr-FR"/>
        </w:rPr>
        <w:t xml:space="preserve"> ou de l</w:t>
      </w:r>
      <w:r w:rsidR="00731F09" w:rsidRPr="00E1372C">
        <w:rPr>
          <w:lang w:val="fr-FR"/>
        </w:rPr>
        <w:t>’</w:t>
      </w:r>
      <w:r w:rsidR="0091041B" w:rsidRPr="00E1372C">
        <w:rPr>
          <w:lang w:val="fr-FR"/>
        </w:rPr>
        <w:t>hôpital le plus proche et 34</w:t>
      </w:r>
      <w:r w:rsidR="007064FC" w:rsidRPr="00E1372C">
        <w:rPr>
          <w:lang w:val="fr-FR"/>
        </w:rPr>
        <w:t> %</w:t>
      </w:r>
      <w:r w:rsidR="001A799F" w:rsidRPr="00E1372C">
        <w:rPr>
          <w:lang w:val="fr-FR"/>
        </w:rPr>
        <w:t xml:space="preserve"> entre 2 et 5 </w:t>
      </w:r>
      <w:r w:rsidR="0091041B" w:rsidRPr="00E1372C">
        <w:rPr>
          <w:lang w:val="fr-FR"/>
        </w:rPr>
        <w:t>kilomètres. Cependant, 7</w:t>
      </w:r>
      <w:r w:rsidR="007064FC" w:rsidRPr="00E1372C">
        <w:rPr>
          <w:lang w:val="fr-FR"/>
        </w:rPr>
        <w:t> %</w:t>
      </w:r>
      <w:r w:rsidR="0091041B" w:rsidRPr="00E1372C">
        <w:rPr>
          <w:lang w:val="fr-FR"/>
        </w:rPr>
        <w:t xml:space="preserve"> de la population doivent encore parcourir plus de 40 kilomètres pour s</w:t>
      </w:r>
      <w:r w:rsidR="00731F09" w:rsidRPr="00E1372C">
        <w:rPr>
          <w:lang w:val="fr-FR"/>
        </w:rPr>
        <w:t>’</w:t>
      </w:r>
      <w:r w:rsidR="00F8042D" w:rsidRPr="00E1372C">
        <w:rPr>
          <w:lang w:val="fr-FR"/>
        </w:rPr>
        <w:t>y</w:t>
      </w:r>
      <w:r w:rsidR="0091041B" w:rsidRPr="00E1372C">
        <w:rPr>
          <w:lang w:val="fr-FR"/>
        </w:rPr>
        <w:t xml:space="preserve"> rendre. Dans les zones urbaines, les distances sont plus courtes que dans les zones rurales. Les habitants des régions de Khomas, d</w:t>
      </w:r>
      <w:r w:rsidR="00731F09" w:rsidRPr="00E1372C">
        <w:rPr>
          <w:lang w:val="fr-FR"/>
        </w:rPr>
        <w:t>’</w:t>
      </w:r>
      <w:r w:rsidR="0091041B" w:rsidRPr="00E1372C">
        <w:rPr>
          <w:lang w:val="fr-FR"/>
        </w:rPr>
        <w:t>Erong</w:t>
      </w:r>
      <w:r w:rsidR="004F26E5" w:rsidRPr="00E1372C">
        <w:rPr>
          <w:lang w:val="fr-FR"/>
        </w:rPr>
        <w:t>o et d</w:t>
      </w:r>
      <w:r w:rsidR="00731F09" w:rsidRPr="00E1372C">
        <w:rPr>
          <w:lang w:val="fr-FR"/>
        </w:rPr>
        <w:t>’</w:t>
      </w:r>
      <w:r w:rsidR="004F26E5" w:rsidRPr="00E1372C">
        <w:rPr>
          <w:lang w:val="fr-FR"/>
        </w:rPr>
        <w:t xml:space="preserve">Oshana sont à moins de 5 </w:t>
      </w:r>
      <w:r w:rsidR="0091041B" w:rsidRPr="00E1372C">
        <w:rPr>
          <w:lang w:val="fr-FR"/>
        </w:rPr>
        <w:t>kilomètres d</w:t>
      </w:r>
      <w:r w:rsidR="00731F09" w:rsidRPr="00E1372C">
        <w:rPr>
          <w:lang w:val="fr-FR"/>
        </w:rPr>
        <w:t>’</w:t>
      </w:r>
      <w:r w:rsidR="0091041B" w:rsidRPr="00E1372C">
        <w:rPr>
          <w:lang w:val="fr-FR"/>
        </w:rPr>
        <w:t>un</w:t>
      </w:r>
      <w:r w:rsidR="00D22EFE" w:rsidRPr="00E1372C">
        <w:rPr>
          <w:lang w:val="fr-FR"/>
        </w:rPr>
        <w:t xml:space="preserve"> dispensaire</w:t>
      </w:r>
      <w:r w:rsidR="0091041B" w:rsidRPr="00E1372C">
        <w:rPr>
          <w:lang w:val="fr-FR"/>
        </w:rPr>
        <w:t xml:space="preserve"> ou </w:t>
      </w:r>
      <w:r w:rsidR="00EB6338" w:rsidRPr="00E1372C">
        <w:rPr>
          <w:lang w:val="fr-FR"/>
        </w:rPr>
        <w:t>d</w:t>
      </w:r>
      <w:r w:rsidR="00731F09" w:rsidRPr="00E1372C">
        <w:rPr>
          <w:lang w:val="fr-FR"/>
        </w:rPr>
        <w:t>’</w:t>
      </w:r>
      <w:r w:rsidR="0091041B" w:rsidRPr="00E1372C">
        <w:rPr>
          <w:lang w:val="fr-FR"/>
        </w:rPr>
        <w:t>un hôpital, alors que dans certains endroits des régions d</w:t>
      </w:r>
      <w:r w:rsidR="00731F09" w:rsidRPr="00E1372C">
        <w:rPr>
          <w:lang w:val="fr-FR"/>
        </w:rPr>
        <w:t>’</w:t>
      </w:r>
      <w:r w:rsidR="0091041B" w:rsidRPr="00E1372C">
        <w:rPr>
          <w:lang w:val="fr-FR"/>
        </w:rPr>
        <w:t>Ohangwena, d</w:t>
      </w:r>
      <w:r w:rsidR="00731F09" w:rsidRPr="00E1372C">
        <w:rPr>
          <w:lang w:val="fr-FR"/>
        </w:rPr>
        <w:t>’</w:t>
      </w:r>
      <w:r w:rsidR="0091041B" w:rsidRPr="00E1372C">
        <w:rPr>
          <w:lang w:val="fr-FR"/>
        </w:rPr>
        <w:t>Omaheke et d</w:t>
      </w:r>
      <w:r w:rsidR="00731F09" w:rsidRPr="00E1372C">
        <w:rPr>
          <w:lang w:val="fr-FR"/>
        </w:rPr>
        <w:t>’</w:t>
      </w:r>
      <w:r w:rsidR="0091041B" w:rsidRPr="00E1372C">
        <w:rPr>
          <w:lang w:val="fr-FR"/>
        </w:rPr>
        <w:t>Oshikoto, ils doivent parcourir plus de 6 kilomètres pour se rendre dans un établissement de santé.</w:t>
      </w:r>
    </w:p>
    <w:p w:rsidR="00A55A0E" w:rsidRPr="00E1372C" w:rsidRDefault="007A1757" w:rsidP="007A1757">
      <w:pPr>
        <w:pStyle w:val="SingleTxtG"/>
        <w:rPr>
          <w:lang w:val="fr-FR" w:bidi="en-US"/>
        </w:rPr>
      </w:pPr>
      <w:r w:rsidRPr="00E1372C">
        <w:rPr>
          <w:lang w:val="fr-FR" w:bidi="en-US"/>
        </w:rPr>
        <w:t>308.</w:t>
      </w:r>
      <w:r w:rsidRPr="00E1372C">
        <w:rPr>
          <w:lang w:val="fr-FR" w:bidi="en-US"/>
        </w:rPr>
        <w:tab/>
      </w:r>
      <w:r w:rsidR="0091041B" w:rsidRPr="00E1372C">
        <w:rPr>
          <w:lang w:val="fr-FR"/>
        </w:rPr>
        <w:t>Les services les plus aisément disponibles sont la vaccination, l</w:t>
      </w:r>
      <w:r w:rsidR="00731F09" w:rsidRPr="00E1372C">
        <w:rPr>
          <w:lang w:val="fr-FR"/>
        </w:rPr>
        <w:t>’</w:t>
      </w:r>
      <w:r w:rsidR="0091041B" w:rsidRPr="00E1372C">
        <w:rPr>
          <w:lang w:val="fr-FR"/>
        </w:rPr>
        <w:t>information sur le VIH/</w:t>
      </w:r>
      <w:r w:rsidR="00B277C4" w:rsidRPr="00E1372C">
        <w:rPr>
          <w:lang w:val="fr-FR"/>
        </w:rPr>
        <w:t>sida</w:t>
      </w:r>
      <w:r w:rsidR="0091041B" w:rsidRPr="00E1372C">
        <w:rPr>
          <w:lang w:val="fr-FR"/>
        </w:rPr>
        <w:t>, y compris l</w:t>
      </w:r>
      <w:r w:rsidR="00731F09" w:rsidRPr="00E1372C">
        <w:rPr>
          <w:lang w:val="fr-FR"/>
        </w:rPr>
        <w:t>’</w:t>
      </w:r>
      <w:r w:rsidR="0091041B" w:rsidRPr="00E1372C">
        <w:rPr>
          <w:lang w:val="fr-FR"/>
        </w:rPr>
        <w:t>utilisation de préservatifs, et la santé génésique</w:t>
      </w:r>
      <w:r w:rsidR="00A55A0E" w:rsidRPr="00E1372C">
        <w:rPr>
          <w:lang w:val="fr-FR" w:bidi="en-US"/>
        </w:rPr>
        <w:t xml:space="preserve">. </w:t>
      </w:r>
    </w:p>
    <w:p w:rsidR="00A55A0E" w:rsidRPr="00E1372C" w:rsidRDefault="007A1757" w:rsidP="007A1757">
      <w:pPr>
        <w:pStyle w:val="SingleTxtG"/>
        <w:rPr>
          <w:b/>
          <w:lang w:val="fr-FR" w:bidi="en-US"/>
        </w:rPr>
      </w:pPr>
      <w:r w:rsidRPr="00E1372C">
        <w:rPr>
          <w:lang w:val="fr-FR" w:bidi="en-US"/>
        </w:rPr>
        <w:t>309.</w:t>
      </w:r>
      <w:r w:rsidRPr="00E1372C">
        <w:rPr>
          <w:lang w:val="fr-FR" w:bidi="en-US"/>
        </w:rPr>
        <w:tab/>
      </w:r>
      <w:r w:rsidR="0091041B" w:rsidRPr="00E1372C">
        <w:rPr>
          <w:lang w:val="fr-FR"/>
        </w:rPr>
        <w:t>Dans tout le pays, la plupart des femmes accouchent dans des établissements de santé.</w:t>
      </w:r>
      <w:r w:rsidR="0091041B" w:rsidRPr="00E1372C">
        <w:rPr>
          <w:lang w:val="fr-FR" w:bidi="en-US"/>
        </w:rPr>
        <w:t xml:space="preserve"> </w:t>
      </w:r>
      <w:r w:rsidR="00F8042D" w:rsidRPr="00E1372C">
        <w:rPr>
          <w:lang w:val="fr-FR" w:bidi="en-US"/>
        </w:rPr>
        <w:t>Ce</w:t>
      </w:r>
      <w:r w:rsidR="0091041B" w:rsidRPr="00E1372C">
        <w:rPr>
          <w:lang w:val="fr-FR" w:bidi="en-US"/>
        </w:rPr>
        <w:t xml:space="preserve"> service </w:t>
      </w:r>
      <w:r w:rsidR="00F8042D" w:rsidRPr="00E1372C">
        <w:rPr>
          <w:lang w:val="fr-FR" w:bidi="en-US"/>
        </w:rPr>
        <w:t>est également assur</w:t>
      </w:r>
      <w:r w:rsidR="00EB6338" w:rsidRPr="00E1372C">
        <w:rPr>
          <w:lang w:val="fr-FR" w:bidi="en-US"/>
        </w:rPr>
        <w:t>é</w:t>
      </w:r>
      <w:r w:rsidR="00F8042D" w:rsidRPr="00E1372C">
        <w:rPr>
          <w:lang w:val="fr-FR" w:bidi="en-US"/>
        </w:rPr>
        <w:t xml:space="preserve"> dans tous les</w:t>
      </w:r>
      <w:r w:rsidR="0091041B" w:rsidRPr="00E1372C">
        <w:rPr>
          <w:lang w:val="fr-FR" w:bidi="en-US"/>
        </w:rPr>
        <w:t xml:space="preserve"> h</w:t>
      </w:r>
      <w:r w:rsidR="00F8042D" w:rsidRPr="00E1372C">
        <w:rPr>
          <w:lang w:val="fr-FR" w:bidi="en-US"/>
        </w:rPr>
        <w:t xml:space="preserve">ôpitaux et </w:t>
      </w:r>
      <w:r w:rsidR="0091041B" w:rsidRPr="00E1372C">
        <w:rPr>
          <w:lang w:val="fr-FR" w:bidi="en-US"/>
        </w:rPr>
        <w:t>centres</w:t>
      </w:r>
      <w:r w:rsidR="00F8042D" w:rsidRPr="00E1372C">
        <w:rPr>
          <w:lang w:val="fr-FR" w:bidi="en-US"/>
        </w:rPr>
        <w:t xml:space="preserve"> médicaux</w:t>
      </w:r>
      <w:r w:rsidR="0091041B" w:rsidRPr="00E1372C">
        <w:rPr>
          <w:lang w:val="fr-FR" w:bidi="en-US"/>
        </w:rPr>
        <w:t xml:space="preserve">. </w:t>
      </w:r>
      <w:r w:rsidR="0091041B" w:rsidRPr="00E1372C">
        <w:rPr>
          <w:lang w:val="fr-FR"/>
        </w:rPr>
        <w:t>Bien que la politique de santé prévoie qu</w:t>
      </w:r>
      <w:r w:rsidR="00731F09" w:rsidRPr="00E1372C">
        <w:rPr>
          <w:lang w:val="fr-FR"/>
        </w:rPr>
        <w:t>’</w:t>
      </w:r>
      <w:r w:rsidR="0091041B" w:rsidRPr="00E1372C">
        <w:rPr>
          <w:lang w:val="fr-FR"/>
        </w:rPr>
        <w:t xml:space="preserve">il doit être assuré également par les </w:t>
      </w:r>
      <w:r w:rsidR="00D22EFE" w:rsidRPr="00E1372C">
        <w:rPr>
          <w:lang w:val="fr-FR"/>
        </w:rPr>
        <w:t>dispensair</w:t>
      </w:r>
      <w:r w:rsidR="0091041B" w:rsidRPr="00E1372C">
        <w:rPr>
          <w:lang w:val="fr-FR"/>
        </w:rPr>
        <w:t>es, ce</w:t>
      </w:r>
      <w:r w:rsidR="00D22EFE" w:rsidRPr="00E1372C">
        <w:rPr>
          <w:lang w:val="fr-FR"/>
        </w:rPr>
        <w:t>ux</w:t>
      </w:r>
      <w:r w:rsidR="0091041B" w:rsidRPr="00E1372C">
        <w:rPr>
          <w:lang w:val="fr-FR"/>
        </w:rPr>
        <w:t>-ci ne pratiquent pour le moment que les accouchements en urgence faute de personnel, d</w:t>
      </w:r>
      <w:r w:rsidR="00731F09" w:rsidRPr="00E1372C">
        <w:rPr>
          <w:lang w:val="fr-FR"/>
        </w:rPr>
        <w:t>’</w:t>
      </w:r>
      <w:r w:rsidR="0091041B" w:rsidRPr="00E1372C">
        <w:rPr>
          <w:lang w:val="fr-FR"/>
        </w:rPr>
        <w:t>infrastructures et de matériel suffisants.</w:t>
      </w:r>
      <w:r w:rsidR="00A55A0E" w:rsidRPr="00E1372C">
        <w:rPr>
          <w:lang w:val="fr-FR" w:bidi="en-US"/>
        </w:rPr>
        <w:t xml:space="preserve"> </w:t>
      </w:r>
    </w:p>
    <w:p w:rsidR="00A55A0E" w:rsidRPr="00E1372C" w:rsidRDefault="00A55A0E" w:rsidP="00A55A0E">
      <w:pPr>
        <w:pStyle w:val="H23G"/>
        <w:rPr>
          <w:lang w:val="fr-FR" w:bidi="en-US"/>
        </w:rPr>
      </w:pPr>
      <w:r w:rsidRPr="00E1372C">
        <w:rPr>
          <w:lang w:val="fr-FR" w:bidi="en-US"/>
        </w:rPr>
        <w:tab/>
      </w:r>
      <w:r w:rsidRPr="00E1372C">
        <w:rPr>
          <w:lang w:val="fr-FR" w:bidi="en-US"/>
        </w:rPr>
        <w:tab/>
        <w:t>V</w:t>
      </w:r>
      <w:r w:rsidR="0091041B" w:rsidRPr="00E1372C">
        <w:rPr>
          <w:lang w:val="fr-FR" w:bidi="en-US"/>
        </w:rPr>
        <w:t>IH</w:t>
      </w:r>
      <w:r w:rsidRPr="00E1372C">
        <w:rPr>
          <w:lang w:val="fr-FR" w:bidi="en-US"/>
        </w:rPr>
        <w:t>/</w:t>
      </w:r>
      <w:r w:rsidR="00B277C4" w:rsidRPr="00E1372C">
        <w:rPr>
          <w:lang w:val="fr-FR" w:bidi="en-US"/>
        </w:rPr>
        <w:t>sida</w:t>
      </w:r>
      <w:r w:rsidRPr="00E1372C">
        <w:rPr>
          <w:lang w:val="fr-FR" w:bidi="en-US"/>
        </w:rPr>
        <w:t xml:space="preserve">: </w:t>
      </w:r>
      <w:r w:rsidR="0091041B" w:rsidRPr="00E1372C">
        <w:rPr>
          <w:lang w:val="fr-FR" w:bidi="en-US"/>
        </w:rPr>
        <w:t>véritable menace pour la protection sociale et l</w:t>
      </w:r>
      <w:r w:rsidR="00731F09" w:rsidRPr="00E1372C">
        <w:rPr>
          <w:lang w:val="fr-FR" w:bidi="en-US"/>
        </w:rPr>
        <w:t>’</w:t>
      </w:r>
      <w:r w:rsidR="0091041B" w:rsidRPr="00E1372C">
        <w:rPr>
          <w:lang w:val="fr-FR" w:bidi="en-US"/>
        </w:rPr>
        <w:t>économie namibienne</w:t>
      </w:r>
    </w:p>
    <w:p w:rsidR="0091041B" w:rsidRPr="00E1372C" w:rsidRDefault="007A1757" w:rsidP="007A1757">
      <w:pPr>
        <w:pStyle w:val="SingleTxtG"/>
        <w:rPr>
          <w:lang w:val="fr-FR" w:bidi="en-US"/>
        </w:rPr>
      </w:pPr>
      <w:r w:rsidRPr="00E1372C">
        <w:rPr>
          <w:lang w:val="fr-FR" w:bidi="en-US"/>
        </w:rPr>
        <w:t>310.</w:t>
      </w:r>
      <w:r w:rsidRPr="00E1372C">
        <w:rPr>
          <w:lang w:val="fr-FR" w:bidi="en-US"/>
        </w:rPr>
        <w:tab/>
      </w:r>
      <w:r w:rsidR="0091041B" w:rsidRPr="00E1372C">
        <w:rPr>
          <w:lang w:val="fr-FR" w:bidi="en-US"/>
        </w:rPr>
        <w:t xml:space="preserve">Le présent rapport donne un aperçu de la situation du VIH et du </w:t>
      </w:r>
      <w:r w:rsidR="00B277C4" w:rsidRPr="00E1372C">
        <w:rPr>
          <w:lang w:val="fr-FR" w:bidi="en-US"/>
        </w:rPr>
        <w:t>sida</w:t>
      </w:r>
      <w:r w:rsidR="0091041B" w:rsidRPr="00E1372C">
        <w:rPr>
          <w:lang w:val="fr-FR" w:bidi="en-US"/>
        </w:rPr>
        <w:t xml:space="preserve"> en Namibie à la fin de 2000. Les chiffres qui y figurent s</w:t>
      </w:r>
      <w:r w:rsidR="00F8042D" w:rsidRPr="00E1372C">
        <w:rPr>
          <w:lang w:val="fr-FR" w:bidi="en-US"/>
        </w:rPr>
        <w:t>ont</w:t>
      </w:r>
      <w:r w:rsidR="0091041B" w:rsidRPr="00E1372C">
        <w:rPr>
          <w:lang w:val="fr-FR" w:bidi="en-US"/>
        </w:rPr>
        <w:t xml:space="preserve"> fond</w:t>
      </w:r>
      <w:r w:rsidR="00F8042D" w:rsidRPr="00E1372C">
        <w:rPr>
          <w:lang w:val="fr-FR" w:bidi="en-US"/>
        </w:rPr>
        <w:t>és</w:t>
      </w:r>
      <w:r w:rsidR="0091041B" w:rsidRPr="00E1372C">
        <w:rPr>
          <w:lang w:val="fr-FR" w:bidi="en-US"/>
        </w:rPr>
        <w:t xml:space="preserve"> sur les rapports des établissements de santé publics réunis par le Ministère de la santé et des services sociaux, ainsi que sur les données des services nationaux de transfusion sanguine.</w:t>
      </w:r>
      <w:r w:rsidR="000C14E9" w:rsidRPr="00E1372C">
        <w:rPr>
          <w:lang w:val="fr-FR" w:bidi="en-US"/>
        </w:rPr>
        <w:t xml:space="preserve"> En 2000, les chiffres communiqués sur les infections imputables au VIH étaient légèrement inférieurs à ceux de 1999, alors que le nombre d</w:t>
      </w:r>
      <w:r w:rsidR="00731F09" w:rsidRPr="00E1372C">
        <w:rPr>
          <w:lang w:val="fr-FR" w:bidi="en-US"/>
        </w:rPr>
        <w:t>’</w:t>
      </w:r>
      <w:r w:rsidR="000C14E9" w:rsidRPr="00E1372C">
        <w:rPr>
          <w:lang w:val="fr-FR" w:bidi="en-US"/>
        </w:rPr>
        <w:t>hospitalisations et de décès dus au VIH/</w:t>
      </w:r>
      <w:r w:rsidR="00B277C4" w:rsidRPr="00E1372C">
        <w:rPr>
          <w:lang w:val="fr-FR" w:bidi="en-US"/>
        </w:rPr>
        <w:t>sida</w:t>
      </w:r>
      <w:r w:rsidR="000C14E9" w:rsidRPr="00E1372C">
        <w:rPr>
          <w:lang w:val="fr-FR" w:bidi="en-US"/>
        </w:rPr>
        <w:t xml:space="preserve"> a continué de croître. </w:t>
      </w:r>
    </w:p>
    <w:p w:rsidR="00A55A0E" w:rsidRPr="00E1372C" w:rsidRDefault="007A1757" w:rsidP="007A1757">
      <w:pPr>
        <w:pStyle w:val="SingleTxtG"/>
        <w:rPr>
          <w:lang w:val="fr-FR" w:bidi="en-US"/>
        </w:rPr>
      </w:pPr>
      <w:r w:rsidRPr="00E1372C">
        <w:rPr>
          <w:lang w:val="fr-FR" w:bidi="en-US"/>
        </w:rPr>
        <w:t>311.</w:t>
      </w:r>
      <w:r w:rsidRPr="00E1372C">
        <w:rPr>
          <w:lang w:val="fr-FR" w:bidi="en-US"/>
        </w:rPr>
        <w:tab/>
      </w:r>
      <w:r w:rsidR="000C14E9" w:rsidRPr="00E1372C">
        <w:rPr>
          <w:lang w:val="fr-FR" w:bidi="en-US"/>
        </w:rPr>
        <w:t>L</w:t>
      </w:r>
      <w:r w:rsidR="00731F09" w:rsidRPr="00E1372C">
        <w:rPr>
          <w:lang w:val="fr-FR" w:bidi="en-US"/>
        </w:rPr>
        <w:t>’</w:t>
      </w:r>
      <w:r w:rsidR="000C14E9" w:rsidRPr="00E1372C">
        <w:rPr>
          <w:lang w:val="fr-FR" w:bidi="en-US"/>
        </w:rPr>
        <w:t>incidence du VIH/</w:t>
      </w:r>
      <w:r w:rsidR="00B277C4" w:rsidRPr="00E1372C">
        <w:rPr>
          <w:lang w:val="fr-FR" w:bidi="en-US"/>
        </w:rPr>
        <w:t>sida</w:t>
      </w:r>
      <w:r w:rsidR="000C14E9" w:rsidRPr="00E1372C">
        <w:rPr>
          <w:lang w:val="fr-FR" w:bidi="en-US"/>
        </w:rPr>
        <w:t xml:space="preserve"> nuit au développement en Namibie, </w:t>
      </w:r>
      <w:r w:rsidR="00EB6338" w:rsidRPr="00E1372C">
        <w:rPr>
          <w:lang w:val="fr-FR" w:bidi="en-US"/>
        </w:rPr>
        <w:t xml:space="preserve">laquelle avec </w:t>
      </w:r>
      <w:r w:rsidR="000C14E9" w:rsidRPr="00E1372C">
        <w:rPr>
          <w:lang w:val="fr-FR" w:bidi="en-US"/>
        </w:rPr>
        <w:t>le Zimbabwe</w:t>
      </w:r>
      <w:r w:rsidR="00EB6338" w:rsidRPr="00E1372C">
        <w:rPr>
          <w:lang w:val="fr-FR" w:bidi="en-US"/>
        </w:rPr>
        <w:t xml:space="preserve"> et</w:t>
      </w:r>
      <w:r w:rsidR="000C14E9" w:rsidRPr="00E1372C">
        <w:rPr>
          <w:lang w:val="fr-FR" w:bidi="en-US"/>
        </w:rPr>
        <w:t xml:space="preserve"> le Botswana enregistr</w:t>
      </w:r>
      <w:r w:rsidR="00EB6338" w:rsidRPr="00E1372C">
        <w:rPr>
          <w:lang w:val="fr-FR" w:bidi="en-US"/>
        </w:rPr>
        <w:t>e</w:t>
      </w:r>
      <w:r w:rsidR="000C14E9" w:rsidRPr="00E1372C">
        <w:rPr>
          <w:lang w:val="fr-FR" w:bidi="en-US"/>
        </w:rPr>
        <w:t>nt les taux de prévalence les plus élevés parmi les personnes de 15 à 49 ans en Afrique australe et dans le monde. Selon les statistiques d</w:t>
      </w:r>
      <w:r w:rsidR="00731F09" w:rsidRPr="00E1372C">
        <w:rPr>
          <w:lang w:val="fr-FR" w:bidi="en-US"/>
        </w:rPr>
        <w:t>’</w:t>
      </w:r>
      <w:r w:rsidR="000C14E9" w:rsidRPr="00E1372C">
        <w:rPr>
          <w:lang w:val="fr-FR" w:bidi="en-US"/>
        </w:rPr>
        <w:t>ONUSIDA de 1998, 23</w:t>
      </w:r>
      <w:r w:rsidR="007064FC" w:rsidRPr="00E1372C">
        <w:rPr>
          <w:lang w:val="fr-FR" w:bidi="en-US"/>
        </w:rPr>
        <w:t> %</w:t>
      </w:r>
      <w:r w:rsidR="000C14E9" w:rsidRPr="00E1372C">
        <w:rPr>
          <w:lang w:val="fr-FR" w:bidi="en-US"/>
        </w:rPr>
        <w:t xml:space="preserve"> environ de la population totale namibienne vivent avec le </w:t>
      </w:r>
      <w:r w:rsidR="00B277C4" w:rsidRPr="00E1372C">
        <w:rPr>
          <w:lang w:val="fr-FR" w:bidi="en-US"/>
        </w:rPr>
        <w:t>sida</w:t>
      </w:r>
      <w:r w:rsidR="000C14E9" w:rsidRPr="00E1372C">
        <w:rPr>
          <w:lang w:val="fr-FR" w:bidi="en-US"/>
        </w:rPr>
        <w:t>. Les effets sociaux et économiques de cette réalité mineront les progrès réalisés depuis l</w:t>
      </w:r>
      <w:r w:rsidR="00731F09" w:rsidRPr="00E1372C">
        <w:rPr>
          <w:lang w:val="fr-FR" w:bidi="en-US"/>
        </w:rPr>
        <w:t>’</w:t>
      </w:r>
      <w:r w:rsidR="000C14E9" w:rsidRPr="00E1372C">
        <w:rPr>
          <w:lang w:val="fr-FR" w:bidi="en-US"/>
        </w:rPr>
        <w:t xml:space="preserve">indépendance. En 1996, la Namibie a enregistré un total de </w:t>
      </w:r>
      <w:r w:rsidR="00A55A0E" w:rsidRPr="00E1372C">
        <w:rPr>
          <w:lang w:val="fr-FR" w:bidi="en-US"/>
        </w:rPr>
        <w:t>165</w:t>
      </w:r>
      <w:r w:rsidR="00F85280" w:rsidRPr="00E1372C">
        <w:rPr>
          <w:lang w:val="fr-FR" w:bidi="en-US"/>
        </w:rPr>
        <w:t>,</w:t>
      </w:r>
      <w:r w:rsidR="00A55A0E" w:rsidRPr="00E1372C">
        <w:rPr>
          <w:lang w:val="fr-FR" w:bidi="en-US"/>
        </w:rPr>
        <w:t>5</w:t>
      </w:r>
      <w:r w:rsidR="000C14E9" w:rsidRPr="00E1372C">
        <w:rPr>
          <w:lang w:val="fr-FR" w:bidi="en-US"/>
        </w:rPr>
        <w:t xml:space="preserve"> cas de </w:t>
      </w:r>
      <w:r w:rsidR="00B277C4" w:rsidRPr="00E1372C">
        <w:rPr>
          <w:lang w:val="fr-FR" w:bidi="en-US"/>
        </w:rPr>
        <w:t>sida</w:t>
      </w:r>
      <w:r w:rsidR="000C14E9" w:rsidRPr="00E1372C">
        <w:rPr>
          <w:lang w:val="fr-FR" w:bidi="en-US"/>
        </w:rPr>
        <w:t xml:space="preserve"> pour 100 000</w:t>
      </w:r>
      <w:r w:rsidR="00A55A0E" w:rsidRPr="00E1372C">
        <w:rPr>
          <w:lang w:val="fr-FR" w:bidi="en-US"/>
        </w:rPr>
        <w:t xml:space="preserve"> – </w:t>
      </w:r>
      <w:r w:rsidR="000C14E9" w:rsidRPr="00E1372C">
        <w:rPr>
          <w:lang w:val="fr-FR" w:bidi="en-US"/>
        </w:rPr>
        <w:t>le plus élevé de la communauté de développement de l</w:t>
      </w:r>
      <w:r w:rsidR="00731F09" w:rsidRPr="00E1372C">
        <w:rPr>
          <w:lang w:val="fr-FR" w:bidi="en-US"/>
        </w:rPr>
        <w:t>’</w:t>
      </w:r>
      <w:r w:rsidR="000C14E9" w:rsidRPr="00E1372C">
        <w:rPr>
          <w:lang w:val="fr-FR" w:bidi="en-US"/>
        </w:rPr>
        <w:t>Afrique australe.</w:t>
      </w:r>
    </w:p>
    <w:p w:rsidR="00A55A0E" w:rsidRPr="00E1372C" w:rsidRDefault="004F26E5" w:rsidP="004F26E5">
      <w:pPr>
        <w:pStyle w:val="H23G"/>
        <w:rPr>
          <w:lang w:val="fr-FR"/>
        </w:rPr>
      </w:pPr>
      <w:r w:rsidRPr="00E1372C">
        <w:rPr>
          <w:lang w:val="fr-FR"/>
        </w:rPr>
        <w:tab/>
      </w:r>
      <w:r w:rsidRPr="00E1372C">
        <w:rPr>
          <w:lang w:val="fr-FR"/>
        </w:rPr>
        <w:tab/>
      </w:r>
      <w:r w:rsidR="000C14E9" w:rsidRPr="00E1372C">
        <w:rPr>
          <w:lang w:val="fr-FR"/>
        </w:rPr>
        <w:t>S</w:t>
      </w:r>
      <w:r w:rsidR="00A55A0E" w:rsidRPr="00E1372C">
        <w:rPr>
          <w:lang w:val="fr-FR"/>
        </w:rPr>
        <w:t>tatisti</w:t>
      </w:r>
      <w:r w:rsidR="000C14E9" w:rsidRPr="00E1372C">
        <w:rPr>
          <w:lang w:val="fr-FR"/>
        </w:rPr>
        <w:t>ques relatives au VIH</w:t>
      </w:r>
    </w:p>
    <w:p w:rsidR="00A55A0E" w:rsidRPr="00E1372C" w:rsidRDefault="007A1757" w:rsidP="007A1757">
      <w:pPr>
        <w:pStyle w:val="SingleTxtG"/>
        <w:rPr>
          <w:lang w:val="fr-FR" w:bidi="en-US"/>
        </w:rPr>
      </w:pPr>
      <w:r w:rsidRPr="00E1372C">
        <w:rPr>
          <w:lang w:val="fr-FR" w:bidi="en-US"/>
        </w:rPr>
        <w:t>312.</w:t>
      </w:r>
      <w:r w:rsidRPr="00E1372C">
        <w:rPr>
          <w:lang w:val="fr-FR" w:bidi="en-US"/>
        </w:rPr>
        <w:tab/>
      </w:r>
      <w:r w:rsidR="000C14E9" w:rsidRPr="00E1372C">
        <w:rPr>
          <w:lang w:val="fr-FR" w:bidi="en-US"/>
        </w:rPr>
        <w:t>E</w:t>
      </w:r>
      <w:r w:rsidR="00A55A0E" w:rsidRPr="00E1372C">
        <w:rPr>
          <w:lang w:val="fr-FR" w:bidi="en-US"/>
        </w:rPr>
        <w:t>n 2009</w:t>
      </w:r>
      <w:r w:rsidR="00F85280" w:rsidRPr="00E1372C">
        <w:rPr>
          <w:lang w:val="fr-FR" w:bidi="en-US"/>
        </w:rPr>
        <w:t>,</w:t>
      </w:r>
      <w:r w:rsidR="00A55A0E" w:rsidRPr="00E1372C">
        <w:rPr>
          <w:lang w:val="fr-FR" w:bidi="en-US"/>
        </w:rPr>
        <w:t xml:space="preserve"> </w:t>
      </w:r>
      <w:r w:rsidR="000C14E9" w:rsidRPr="00E1372C">
        <w:rPr>
          <w:lang w:val="fr-FR" w:bidi="en-US"/>
        </w:rPr>
        <w:t>l</w:t>
      </w:r>
      <w:r w:rsidR="00731F09" w:rsidRPr="00E1372C">
        <w:rPr>
          <w:lang w:val="fr-FR" w:bidi="en-US"/>
        </w:rPr>
        <w:t>’</w:t>
      </w:r>
      <w:r w:rsidR="000C14E9" w:rsidRPr="00E1372C">
        <w:rPr>
          <w:lang w:val="fr-FR" w:bidi="en-US"/>
        </w:rPr>
        <w:t xml:space="preserve">Institut namibien de pathologie, rattaché au Ministère de la santé et des services sociaux, a enregistré un total de </w:t>
      </w:r>
      <w:r w:rsidR="00A55A0E" w:rsidRPr="00E1372C">
        <w:rPr>
          <w:lang w:val="fr-FR" w:bidi="en-US"/>
        </w:rPr>
        <w:t>17</w:t>
      </w:r>
      <w:r w:rsidR="000C14E9" w:rsidRPr="00E1372C">
        <w:rPr>
          <w:lang w:val="fr-FR" w:bidi="en-US"/>
        </w:rPr>
        <w:t> </w:t>
      </w:r>
      <w:r w:rsidR="00A55A0E" w:rsidRPr="00E1372C">
        <w:rPr>
          <w:lang w:val="fr-FR" w:bidi="en-US"/>
        </w:rPr>
        <w:t>276</w:t>
      </w:r>
      <w:r w:rsidR="000C14E9" w:rsidRPr="00E1372C">
        <w:rPr>
          <w:lang w:val="fr-FR" w:bidi="en-US"/>
        </w:rPr>
        <w:t> nouveaux cas, par rapport à</w:t>
      </w:r>
      <w:r w:rsidR="00A55A0E" w:rsidRPr="00E1372C">
        <w:rPr>
          <w:lang w:val="fr-FR" w:bidi="en-US"/>
        </w:rPr>
        <w:t xml:space="preserve"> 14</w:t>
      </w:r>
      <w:r w:rsidR="000C14E9" w:rsidRPr="00E1372C">
        <w:rPr>
          <w:lang w:val="fr-FR" w:bidi="en-US"/>
        </w:rPr>
        <w:t> </w:t>
      </w:r>
      <w:r w:rsidR="00A55A0E" w:rsidRPr="00E1372C">
        <w:rPr>
          <w:lang w:val="fr-FR" w:bidi="en-US"/>
        </w:rPr>
        <w:t xml:space="preserve">691 </w:t>
      </w:r>
      <w:r w:rsidR="000C14E9" w:rsidRPr="00E1372C">
        <w:rPr>
          <w:lang w:val="fr-FR" w:bidi="en-US"/>
        </w:rPr>
        <w:t>e</w:t>
      </w:r>
      <w:r w:rsidR="00A55A0E" w:rsidRPr="00E1372C">
        <w:rPr>
          <w:lang w:val="fr-FR" w:bidi="en-US"/>
        </w:rPr>
        <w:t xml:space="preserve">n 2000 </w:t>
      </w:r>
      <w:r w:rsidR="000C14E9" w:rsidRPr="00E1372C">
        <w:rPr>
          <w:lang w:val="fr-FR" w:bidi="en-US"/>
        </w:rPr>
        <w:t>et</w:t>
      </w:r>
      <w:r w:rsidR="00A55A0E" w:rsidRPr="00E1372C">
        <w:rPr>
          <w:lang w:val="fr-FR" w:bidi="en-US"/>
        </w:rPr>
        <w:t xml:space="preserve"> 14</w:t>
      </w:r>
      <w:r w:rsidR="000C14E9" w:rsidRPr="00E1372C">
        <w:rPr>
          <w:lang w:val="fr-FR" w:bidi="en-US"/>
        </w:rPr>
        <w:t> </w:t>
      </w:r>
      <w:r w:rsidR="00A55A0E" w:rsidRPr="00E1372C">
        <w:rPr>
          <w:lang w:val="fr-FR" w:bidi="en-US"/>
        </w:rPr>
        <w:t xml:space="preserve">866 </w:t>
      </w:r>
      <w:r w:rsidR="000C14E9" w:rsidRPr="00E1372C">
        <w:rPr>
          <w:lang w:val="fr-FR" w:bidi="en-US"/>
        </w:rPr>
        <w:t>e</w:t>
      </w:r>
      <w:r w:rsidR="00A55A0E" w:rsidRPr="00E1372C">
        <w:rPr>
          <w:lang w:val="fr-FR" w:bidi="en-US"/>
        </w:rPr>
        <w:t xml:space="preserve">n 1999. </w:t>
      </w:r>
      <w:r w:rsidR="000C14E9" w:rsidRPr="00E1372C">
        <w:rPr>
          <w:lang w:val="fr-FR" w:bidi="en-US"/>
        </w:rPr>
        <w:t>Le nombre total de diagnostics de séropositivité s</w:t>
      </w:r>
      <w:r w:rsidR="00731F09" w:rsidRPr="00E1372C">
        <w:rPr>
          <w:lang w:val="fr-FR" w:bidi="en-US"/>
        </w:rPr>
        <w:t>’</w:t>
      </w:r>
      <w:r w:rsidR="000C14E9" w:rsidRPr="00E1372C">
        <w:rPr>
          <w:lang w:val="fr-FR" w:bidi="en-US"/>
        </w:rPr>
        <w:t xml:space="preserve">élevait à </w:t>
      </w:r>
      <w:r w:rsidR="00A55A0E" w:rsidRPr="00E1372C">
        <w:rPr>
          <w:lang w:val="fr-FR" w:bidi="en-US"/>
        </w:rPr>
        <w:t>82</w:t>
      </w:r>
      <w:r w:rsidR="000C14E9" w:rsidRPr="00E1372C">
        <w:rPr>
          <w:lang w:val="fr-FR" w:bidi="en-US"/>
        </w:rPr>
        <w:t> </w:t>
      </w:r>
      <w:r w:rsidR="00A55A0E" w:rsidRPr="00E1372C">
        <w:rPr>
          <w:lang w:val="fr-FR" w:bidi="en-US"/>
        </w:rPr>
        <w:t>887</w:t>
      </w:r>
      <w:r w:rsidR="000C14E9" w:rsidRPr="00E1372C">
        <w:rPr>
          <w:lang w:val="fr-FR" w:bidi="en-US"/>
        </w:rPr>
        <w:t xml:space="preserve"> à la fin de </w:t>
      </w:r>
      <w:r w:rsidR="00A55A0E" w:rsidRPr="00E1372C">
        <w:rPr>
          <w:lang w:val="fr-FR" w:bidi="en-US"/>
        </w:rPr>
        <w:t xml:space="preserve">2000. </w:t>
      </w:r>
      <w:r w:rsidR="000C14E9" w:rsidRPr="00E1372C">
        <w:rPr>
          <w:lang w:val="fr-FR" w:bidi="en-US"/>
        </w:rPr>
        <w:t xml:space="preserve">De janvier à juin 2001, </w:t>
      </w:r>
      <w:r w:rsidR="00A55A0E" w:rsidRPr="00E1372C">
        <w:rPr>
          <w:lang w:val="fr-FR" w:bidi="en-US"/>
        </w:rPr>
        <w:t>7</w:t>
      </w:r>
      <w:r w:rsidR="000C14E9" w:rsidRPr="00E1372C">
        <w:rPr>
          <w:lang w:val="fr-FR" w:bidi="en-US"/>
        </w:rPr>
        <w:t> </w:t>
      </w:r>
      <w:r w:rsidR="00A55A0E" w:rsidRPr="00E1372C">
        <w:rPr>
          <w:lang w:val="fr-FR" w:bidi="en-US"/>
        </w:rPr>
        <w:t>522</w:t>
      </w:r>
      <w:r w:rsidR="000C14E9" w:rsidRPr="00E1372C">
        <w:rPr>
          <w:lang w:val="fr-FR" w:bidi="en-US"/>
        </w:rPr>
        <w:t xml:space="preserve"> nouveaux cas ont été enregistrés portant </w:t>
      </w:r>
      <w:r w:rsidR="00F8042D" w:rsidRPr="00E1372C">
        <w:rPr>
          <w:lang w:val="fr-FR" w:bidi="en-US"/>
        </w:rPr>
        <w:t xml:space="preserve">à 90 409 </w:t>
      </w:r>
      <w:r w:rsidR="000C14E9" w:rsidRPr="00E1372C">
        <w:rPr>
          <w:lang w:val="fr-FR" w:bidi="en-US"/>
        </w:rPr>
        <w:t>le total des infections par le VIH, à la fin juin 2010</w:t>
      </w:r>
      <w:r w:rsidR="00A55A0E" w:rsidRPr="00E1372C">
        <w:rPr>
          <w:lang w:val="fr-FR" w:bidi="en-US"/>
        </w:rPr>
        <w:t>.</w:t>
      </w:r>
    </w:p>
    <w:p w:rsidR="00A55A0E" w:rsidRPr="00E1372C" w:rsidRDefault="00FA48A5" w:rsidP="00FA48A5">
      <w:pPr>
        <w:pStyle w:val="H23G"/>
        <w:rPr>
          <w:lang w:val="fr-FR"/>
        </w:rPr>
      </w:pPr>
      <w:r w:rsidRPr="00E1372C">
        <w:rPr>
          <w:lang w:val="fr-FR"/>
        </w:rPr>
        <w:tab/>
      </w:r>
      <w:r w:rsidRPr="00E1372C">
        <w:rPr>
          <w:lang w:val="fr-FR"/>
        </w:rPr>
        <w:tab/>
      </w:r>
      <w:r w:rsidR="00A55A0E" w:rsidRPr="00E1372C">
        <w:rPr>
          <w:lang w:val="fr-FR"/>
        </w:rPr>
        <w:t>Hospitali</w:t>
      </w:r>
      <w:r w:rsidR="000C14E9" w:rsidRPr="00E1372C">
        <w:rPr>
          <w:lang w:val="fr-FR"/>
        </w:rPr>
        <w:t>s</w:t>
      </w:r>
      <w:r w:rsidR="00A55A0E" w:rsidRPr="00E1372C">
        <w:rPr>
          <w:lang w:val="fr-FR"/>
        </w:rPr>
        <w:t>ations</w:t>
      </w:r>
      <w:r w:rsidR="000C14E9" w:rsidRPr="00E1372C">
        <w:rPr>
          <w:lang w:val="fr-FR"/>
        </w:rPr>
        <w:t xml:space="preserve"> pour infection</w:t>
      </w:r>
      <w:r w:rsidR="00F8042D" w:rsidRPr="00E1372C">
        <w:rPr>
          <w:lang w:val="fr-FR"/>
        </w:rPr>
        <w:t>s</w:t>
      </w:r>
      <w:r w:rsidR="000C14E9" w:rsidRPr="00E1372C">
        <w:rPr>
          <w:lang w:val="fr-FR"/>
        </w:rPr>
        <w:t xml:space="preserve"> par le VIH</w:t>
      </w:r>
    </w:p>
    <w:p w:rsidR="00A55A0E" w:rsidRPr="00E1372C" w:rsidRDefault="007A1757" w:rsidP="007A1757">
      <w:pPr>
        <w:pStyle w:val="SingleTxtG"/>
        <w:rPr>
          <w:lang w:val="fr-FR" w:bidi="en-US"/>
        </w:rPr>
      </w:pPr>
      <w:r w:rsidRPr="00E1372C">
        <w:rPr>
          <w:lang w:val="fr-FR" w:bidi="en-US"/>
        </w:rPr>
        <w:t>313.</w:t>
      </w:r>
      <w:r w:rsidRPr="00E1372C">
        <w:rPr>
          <w:lang w:val="fr-FR" w:bidi="en-US"/>
        </w:rPr>
        <w:tab/>
      </w:r>
      <w:r w:rsidR="000C14E9" w:rsidRPr="00E1372C">
        <w:rPr>
          <w:lang w:val="fr-FR" w:bidi="en-US"/>
        </w:rPr>
        <w:t>Ces données représentent un important indicateur de la charge, dans les hôpit</w:t>
      </w:r>
      <w:r w:rsidR="00F8042D" w:rsidRPr="00E1372C">
        <w:rPr>
          <w:lang w:val="fr-FR" w:bidi="en-US"/>
        </w:rPr>
        <w:t>aux et les services de santé, due</w:t>
      </w:r>
      <w:r w:rsidR="000C14E9" w:rsidRPr="00E1372C">
        <w:rPr>
          <w:lang w:val="fr-FR" w:bidi="en-US"/>
        </w:rPr>
        <w:t xml:space="preserve"> aux infections liées au VIH/</w:t>
      </w:r>
      <w:r w:rsidR="00B277C4" w:rsidRPr="00E1372C">
        <w:rPr>
          <w:lang w:val="fr-FR" w:bidi="en-US"/>
        </w:rPr>
        <w:t>sida</w:t>
      </w:r>
      <w:r w:rsidR="000C14E9" w:rsidRPr="00E1372C">
        <w:rPr>
          <w:lang w:val="fr-FR" w:bidi="en-US"/>
        </w:rPr>
        <w:t xml:space="preserve">. En 2000, un total de </w:t>
      </w:r>
      <w:r w:rsidR="00A55A0E" w:rsidRPr="00E1372C">
        <w:rPr>
          <w:lang w:val="fr-FR" w:bidi="en-US"/>
        </w:rPr>
        <w:t>7</w:t>
      </w:r>
      <w:r w:rsidR="000C14E9" w:rsidRPr="00E1372C">
        <w:rPr>
          <w:lang w:val="fr-FR" w:bidi="en-US"/>
        </w:rPr>
        <w:t> </w:t>
      </w:r>
      <w:r w:rsidR="00A55A0E" w:rsidRPr="00E1372C">
        <w:rPr>
          <w:lang w:val="fr-FR" w:bidi="en-US"/>
        </w:rPr>
        <w:t>368</w:t>
      </w:r>
      <w:r w:rsidR="000C14E9" w:rsidRPr="00E1372C">
        <w:rPr>
          <w:lang w:val="fr-FR" w:bidi="en-US"/>
        </w:rPr>
        <w:t> personnes ont été hospitalisées en raison du VIH/</w:t>
      </w:r>
      <w:r w:rsidR="00B277C4" w:rsidRPr="00E1372C">
        <w:rPr>
          <w:lang w:val="fr-FR" w:bidi="en-US"/>
        </w:rPr>
        <w:t>sida</w:t>
      </w:r>
      <w:r w:rsidR="000C14E9" w:rsidRPr="00E1372C">
        <w:rPr>
          <w:lang w:val="fr-FR" w:bidi="en-US"/>
        </w:rPr>
        <w:t>. L</w:t>
      </w:r>
      <w:r w:rsidR="00731F09" w:rsidRPr="00E1372C">
        <w:rPr>
          <w:lang w:val="fr-FR" w:bidi="en-US"/>
        </w:rPr>
        <w:t>’</w:t>
      </w:r>
      <w:r w:rsidR="000C14E9" w:rsidRPr="00E1372C">
        <w:rPr>
          <w:lang w:val="fr-FR" w:bidi="en-US"/>
        </w:rPr>
        <w:t>augmentation est constante par rapport</w:t>
      </w:r>
      <w:r w:rsidR="008A69C2" w:rsidRPr="00E1372C">
        <w:rPr>
          <w:lang w:val="fr-FR" w:bidi="en-US"/>
        </w:rPr>
        <w:t xml:space="preserve"> aux 6 878 hospitalisations en 1999.</w:t>
      </w:r>
    </w:p>
    <w:p w:rsidR="00A55A0E" w:rsidRPr="00E1372C" w:rsidRDefault="00FA48A5" w:rsidP="00FA48A5">
      <w:pPr>
        <w:pStyle w:val="H23G"/>
        <w:rPr>
          <w:lang w:val="fr-FR"/>
        </w:rPr>
      </w:pPr>
      <w:r w:rsidRPr="00E1372C">
        <w:rPr>
          <w:lang w:val="fr-FR"/>
        </w:rPr>
        <w:tab/>
      </w:r>
      <w:r w:rsidRPr="00E1372C">
        <w:rPr>
          <w:lang w:val="fr-FR"/>
        </w:rPr>
        <w:tab/>
      </w:r>
      <w:r w:rsidR="00A55A0E" w:rsidRPr="00E1372C">
        <w:rPr>
          <w:lang w:val="fr-FR"/>
        </w:rPr>
        <w:t>D</w:t>
      </w:r>
      <w:r w:rsidR="008A69C2" w:rsidRPr="00E1372C">
        <w:rPr>
          <w:lang w:val="fr-FR"/>
        </w:rPr>
        <w:t>écès attribués au VIH/</w:t>
      </w:r>
      <w:r w:rsidR="00B277C4" w:rsidRPr="00E1372C">
        <w:rPr>
          <w:lang w:val="fr-FR"/>
        </w:rPr>
        <w:t>sida</w:t>
      </w:r>
    </w:p>
    <w:p w:rsidR="008A69C2" w:rsidRPr="00E1372C" w:rsidRDefault="007A1757" w:rsidP="007A1757">
      <w:pPr>
        <w:pStyle w:val="SingleTxtG"/>
        <w:rPr>
          <w:lang w:val="fr-FR" w:bidi="en-US"/>
        </w:rPr>
      </w:pPr>
      <w:r w:rsidRPr="00E1372C">
        <w:rPr>
          <w:lang w:val="fr-FR" w:bidi="en-US"/>
        </w:rPr>
        <w:t>314.</w:t>
      </w:r>
      <w:r w:rsidRPr="00E1372C">
        <w:rPr>
          <w:lang w:val="fr-FR" w:bidi="en-US"/>
        </w:rPr>
        <w:tab/>
      </w:r>
      <w:r w:rsidR="008A69C2" w:rsidRPr="00E1372C">
        <w:rPr>
          <w:lang w:val="fr-FR" w:bidi="en-US"/>
        </w:rPr>
        <w:t>Le nombre de décès parmi les personnes de 15 à 49 ans continue d</w:t>
      </w:r>
      <w:r w:rsidR="00731F09" w:rsidRPr="00E1372C">
        <w:rPr>
          <w:lang w:val="fr-FR" w:bidi="en-US"/>
        </w:rPr>
        <w:t>’</w:t>
      </w:r>
      <w:r w:rsidR="008A69C2" w:rsidRPr="00E1372C">
        <w:rPr>
          <w:lang w:val="fr-FR" w:bidi="en-US"/>
        </w:rPr>
        <w:t>augmenter et représente la majorité (51</w:t>
      </w:r>
      <w:r w:rsidR="007064FC" w:rsidRPr="00E1372C">
        <w:rPr>
          <w:lang w:val="fr-FR" w:bidi="en-US"/>
        </w:rPr>
        <w:t> %</w:t>
      </w:r>
      <w:r w:rsidR="008A69C2" w:rsidRPr="00E1372C">
        <w:rPr>
          <w:lang w:val="fr-FR" w:bidi="en-US"/>
        </w:rPr>
        <w:t>) de tous les décès signalés. Dans ce groupe d</w:t>
      </w:r>
      <w:r w:rsidR="00731F09" w:rsidRPr="00E1372C">
        <w:rPr>
          <w:lang w:val="fr-FR" w:bidi="en-US"/>
        </w:rPr>
        <w:t>’</w:t>
      </w:r>
      <w:r w:rsidR="008A69C2" w:rsidRPr="00E1372C">
        <w:rPr>
          <w:lang w:val="fr-FR" w:bidi="en-US"/>
        </w:rPr>
        <w:t xml:space="preserve">âge, de nombreux décès sont directement imputables au </w:t>
      </w:r>
      <w:r w:rsidR="00B277C4" w:rsidRPr="00E1372C">
        <w:rPr>
          <w:lang w:val="fr-FR" w:bidi="en-US"/>
        </w:rPr>
        <w:t>sida</w:t>
      </w:r>
      <w:r w:rsidR="008A69C2" w:rsidRPr="00E1372C">
        <w:rPr>
          <w:lang w:val="fr-FR" w:bidi="en-US"/>
        </w:rPr>
        <w:t>. Le nombre croissant de décès dus à la tuberculose, la pneumonie et la diarrhée, dans ce même groupe d</w:t>
      </w:r>
      <w:r w:rsidR="00731F09" w:rsidRPr="00E1372C">
        <w:rPr>
          <w:lang w:val="fr-FR" w:bidi="en-US"/>
        </w:rPr>
        <w:t>’</w:t>
      </w:r>
      <w:r w:rsidR="008A69C2" w:rsidRPr="00E1372C">
        <w:rPr>
          <w:lang w:val="fr-FR" w:bidi="en-US"/>
        </w:rPr>
        <w:t xml:space="preserve">âge, est signe que le VIH en est la cause profonde en </w:t>
      </w:r>
      <w:r w:rsidR="00F8042D" w:rsidRPr="00E1372C">
        <w:rPr>
          <w:lang w:val="fr-FR" w:bidi="en-US"/>
        </w:rPr>
        <w:t>de nombreux</w:t>
      </w:r>
      <w:r w:rsidR="008A69C2" w:rsidRPr="00E1372C">
        <w:rPr>
          <w:lang w:val="fr-FR" w:bidi="en-US"/>
        </w:rPr>
        <w:t xml:space="preserve"> cas.</w:t>
      </w:r>
    </w:p>
    <w:p w:rsidR="00A55A0E" w:rsidRPr="00E1372C" w:rsidRDefault="007A1757" w:rsidP="007A1757">
      <w:pPr>
        <w:pStyle w:val="SingleTxtG"/>
        <w:rPr>
          <w:lang w:val="fr-FR" w:bidi="en-US"/>
        </w:rPr>
      </w:pPr>
      <w:r w:rsidRPr="00E1372C">
        <w:rPr>
          <w:lang w:val="fr-FR" w:bidi="en-US"/>
        </w:rPr>
        <w:t>315.</w:t>
      </w:r>
      <w:r w:rsidRPr="00E1372C">
        <w:rPr>
          <w:lang w:val="fr-FR" w:bidi="en-US"/>
        </w:rPr>
        <w:tab/>
      </w:r>
      <w:r w:rsidR="008A69C2" w:rsidRPr="00E1372C">
        <w:rPr>
          <w:lang w:val="fr-FR" w:bidi="en-US"/>
        </w:rPr>
        <w:t xml:space="preserve">Le nombre total de décès </w:t>
      </w:r>
      <w:r w:rsidR="001B01F1" w:rsidRPr="00E1372C">
        <w:rPr>
          <w:lang w:val="fr-FR" w:bidi="en-US"/>
        </w:rPr>
        <w:t xml:space="preserve">dus au </w:t>
      </w:r>
      <w:r w:rsidR="00B277C4" w:rsidRPr="00E1372C">
        <w:rPr>
          <w:lang w:val="fr-FR" w:bidi="en-US"/>
        </w:rPr>
        <w:t>sida</w:t>
      </w:r>
      <w:r w:rsidR="001B01F1" w:rsidRPr="00E1372C">
        <w:rPr>
          <w:lang w:val="fr-FR" w:bidi="en-US"/>
        </w:rPr>
        <w:t xml:space="preserve"> </w:t>
      </w:r>
      <w:r w:rsidR="008A69C2" w:rsidRPr="00E1372C">
        <w:rPr>
          <w:lang w:val="fr-FR" w:bidi="en-US"/>
        </w:rPr>
        <w:t>dans des hôpitaux s</w:t>
      </w:r>
      <w:r w:rsidR="00731F09" w:rsidRPr="00E1372C">
        <w:rPr>
          <w:lang w:val="fr-FR" w:bidi="en-US"/>
        </w:rPr>
        <w:t>’</w:t>
      </w:r>
      <w:r w:rsidR="008A69C2" w:rsidRPr="00E1372C">
        <w:rPr>
          <w:lang w:val="fr-FR" w:bidi="en-US"/>
        </w:rPr>
        <w:t xml:space="preserve">élevait, en 2000, à </w:t>
      </w:r>
      <w:r w:rsidR="00A55A0E" w:rsidRPr="00E1372C">
        <w:rPr>
          <w:lang w:val="fr-FR" w:bidi="en-US"/>
        </w:rPr>
        <w:t>3</w:t>
      </w:r>
      <w:r w:rsidR="008A69C2" w:rsidRPr="00E1372C">
        <w:rPr>
          <w:lang w:val="fr-FR" w:bidi="en-US"/>
        </w:rPr>
        <w:t> </w:t>
      </w:r>
      <w:r w:rsidR="00A55A0E" w:rsidRPr="00E1372C">
        <w:rPr>
          <w:lang w:val="fr-FR" w:bidi="en-US"/>
        </w:rPr>
        <w:t xml:space="preserve">388. </w:t>
      </w:r>
      <w:r w:rsidR="008A69C2" w:rsidRPr="00E1372C">
        <w:rPr>
          <w:lang w:val="fr-FR" w:bidi="en-US"/>
        </w:rPr>
        <w:t xml:space="preserve">Ce chiffre porte le nombre total de décès signalés en raison du </w:t>
      </w:r>
      <w:r w:rsidR="00B277C4" w:rsidRPr="00E1372C">
        <w:rPr>
          <w:lang w:val="fr-FR" w:bidi="en-US"/>
        </w:rPr>
        <w:t>sida</w:t>
      </w:r>
      <w:r w:rsidR="008A69C2" w:rsidRPr="00E1372C">
        <w:rPr>
          <w:lang w:val="fr-FR" w:bidi="en-US"/>
        </w:rPr>
        <w:t xml:space="preserve"> à </w:t>
      </w:r>
      <w:r w:rsidR="00A55A0E" w:rsidRPr="00E1372C">
        <w:rPr>
          <w:lang w:val="fr-FR" w:bidi="en-US"/>
        </w:rPr>
        <w:t>12</w:t>
      </w:r>
      <w:r w:rsidR="008A69C2" w:rsidRPr="00E1372C">
        <w:rPr>
          <w:lang w:val="fr-FR" w:bidi="en-US"/>
        </w:rPr>
        <w:t> </w:t>
      </w:r>
      <w:r w:rsidR="00A55A0E" w:rsidRPr="00E1372C">
        <w:rPr>
          <w:lang w:val="fr-FR" w:bidi="en-US"/>
        </w:rPr>
        <w:t xml:space="preserve">067 </w:t>
      </w:r>
      <w:r w:rsidR="008A69C2" w:rsidRPr="00E1372C">
        <w:rPr>
          <w:lang w:val="fr-FR" w:bidi="en-US"/>
        </w:rPr>
        <w:t xml:space="preserve">depuis le début de la pandémie. En mars 2010, </w:t>
      </w:r>
      <w:r w:rsidR="00A55A0E" w:rsidRPr="00E1372C">
        <w:rPr>
          <w:lang w:val="fr-FR" w:bidi="en-US"/>
        </w:rPr>
        <w:t>75</w:t>
      </w:r>
      <w:r w:rsidR="008A69C2" w:rsidRPr="00E1372C">
        <w:rPr>
          <w:lang w:val="fr-FR" w:bidi="en-US"/>
        </w:rPr>
        <w:t> </w:t>
      </w:r>
      <w:r w:rsidR="00A55A0E" w:rsidRPr="00E1372C">
        <w:rPr>
          <w:lang w:val="fr-FR" w:bidi="en-US"/>
        </w:rPr>
        <w:t>681</w:t>
      </w:r>
      <w:r w:rsidR="008A69C2" w:rsidRPr="00E1372C">
        <w:rPr>
          <w:lang w:val="fr-FR" w:bidi="en-US"/>
        </w:rPr>
        <w:t> personnes étaient sous traitement antirétroviral.</w:t>
      </w:r>
      <w:r w:rsidR="00A55A0E" w:rsidRPr="00E1372C">
        <w:rPr>
          <w:lang w:val="fr-FR" w:bidi="en-US"/>
        </w:rPr>
        <w:t xml:space="preserve"> </w:t>
      </w:r>
    </w:p>
    <w:p w:rsidR="00A55A0E" w:rsidRPr="00E1372C" w:rsidRDefault="00FA48A5" w:rsidP="00FA48A5">
      <w:pPr>
        <w:pStyle w:val="H23G"/>
        <w:rPr>
          <w:lang w:val="fr-FR" w:bidi="en-US"/>
        </w:rPr>
      </w:pPr>
      <w:r w:rsidRPr="00E1372C">
        <w:rPr>
          <w:lang w:val="fr-FR" w:bidi="en-US"/>
        </w:rPr>
        <w:tab/>
      </w:r>
      <w:r w:rsidRPr="00E1372C">
        <w:rPr>
          <w:lang w:val="fr-FR" w:bidi="en-US"/>
        </w:rPr>
        <w:tab/>
      </w:r>
      <w:r w:rsidR="008A69C2" w:rsidRPr="00E1372C">
        <w:rPr>
          <w:lang w:val="fr-FR" w:bidi="en-US"/>
        </w:rPr>
        <w:t>Espérance de vie (</w:t>
      </w:r>
      <w:r w:rsidR="00A55A0E" w:rsidRPr="00E1372C">
        <w:rPr>
          <w:lang w:val="fr-FR" w:bidi="en-US"/>
        </w:rPr>
        <w:t>source: O</w:t>
      </w:r>
      <w:r w:rsidR="008A69C2" w:rsidRPr="00E1372C">
        <w:rPr>
          <w:lang w:val="fr-FR" w:bidi="en-US"/>
        </w:rPr>
        <w:t>MS</w:t>
      </w:r>
      <w:r w:rsidR="00F85280" w:rsidRPr="00E1372C">
        <w:rPr>
          <w:lang w:val="fr-FR" w:bidi="en-US"/>
        </w:rPr>
        <w:t>,</w:t>
      </w:r>
      <w:r w:rsidR="00A55A0E" w:rsidRPr="00E1372C">
        <w:rPr>
          <w:lang w:val="fr-FR" w:bidi="en-US"/>
        </w:rPr>
        <w:t xml:space="preserve"> 2009)</w:t>
      </w:r>
    </w:p>
    <w:p w:rsidR="00A55A0E" w:rsidRPr="00E1372C" w:rsidRDefault="007A1757" w:rsidP="007A1757">
      <w:pPr>
        <w:pStyle w:val="SingleTxtG"/>
        <w:rPr>
          <w:lang w:val="fr-FR" w:bidi="en-US"/>
        </w:rPr>
      </w:pPr>
      <w:r w:rsidRPr="00E1372C">
        <w:rPr>
          <w:lang w:val="fr-FR" w:bidi="en-US"/>
        </w:rPr>
        <w:t>316.</w:t>
      </w:r>
      <w:r w:rsidRPr="00E1372C">
        <w:rPr>
          <w:lang w:val="fr-FR" w:bidi="en-US"/>
        </w:rPr>
        <w:tab/>
      </w:r>
      <w:r w:rsidR="008A69C2" w:rsidRPr="00E1372C">
        <w:rPr>
          <w:lang w:val="fr-FR" w:bidi="en-US"/>
        </w:rPr>
        <w:t>Espérance de vie à la naissance</w:t>
      </w:r>
      <w:r w:rsidR="00AE017E" w:rsidRPr="00E1372C">
        <w:rPr>
          <w:lang w:val="fr-FR" w:bidi="en-US"/>
        </w:rPr>
        <w:t>:</w:t>
      </w:r>
    </w:p>
    <w:p w:rsidR="00A55A0E" w:rsidRPr="00E1372C" w:rsidRDefault="008A69C2" w:rsidP="00CE2771">
      <w:pPr>
        <w:pStyle w:val="Bullet1G"/>
      </w:pPr>
      <w:r w:rsidRPr="00E1372C">
        <w:t>Hommes</w:t>
      </w:r>
      <w:r w:rsidR="00AE017E" w:rsidRPr="00E1372C">
        <w:t>:</w:t>
      </w:r>
      <w:r w:rsidR="00A55A0E" w:rsidRPr="00E1372C">
        <w:t xml:space="preserve"> 64</w:t>
      </w:r>
      <w:r w:rsidRPr="00E1372C">
        <w:t> ans</w:t>
      </w:r>
      <w:r w:rsidR="00AE017E" w:rsidRPr="00E1372C">
        <w:t>;</w:t>
      </w:r>
    </w:p>
    <w:p w:rsidR="00A55A0E" w:rsidRPr="00E1372C" w:rsidRDefault="00A55A0E" w:rsidP="00CE2771">
      <w:pPr>
        <w:pStyle w:val="Bullet1G"/>
      </w:pPr>
      <w:r w:rsidRPr="00E1372C">
        <w:t>Fem</w:t>
      </w:r>
      <w:r w:rsidR="008A69C2" w:rsidRPr="00E1372C">
        <w:t>m</w:t>
      </w:r>
      <w:r w:rsidRPr="00E1372C">
        <w:t>es: 66</w:t>
      </w:r>
      <w:r w:rsidR="008A69C2" w:rsidRPr="00E1372C">
        <w:t> ans</w:t>
      </w:r>
      <w:r w:rsidRPr="00E1372C">
        <w:t>;</w:t>
      </w:r>
    </w:p>
    <w:p w:rsidR="00A55A0E" w:rsidRPr="00E1372C" w:rsidRDefault="008A69C2" w:rsidP="00CE2771">
      <w:pPr>
        <w:pStyle w:val="Bullet1G"/>
      </w:pPr>
      <w:r w:rsidRPr="00E1372C">
        <w:t>Global</w:t>
      </w:r>
      <w:r w:rsidR="00D17748" w:rsidRPr="00E1372C">
        <w:t>e</w:t>
      </w:r>
      <w:r w:rsidR="00AE017E" w:rsidRPr="00E1372C">
        <w:t>:</w:t>
      </w:r>
      <w:r w:rsidR="00A55A0E" w:rsidRPr="00E1372C">
        <w:t xml:space="preserve"> 60</w:t>
      </w:r>
      <w:r w:rsidRPr="00E1372C">
        <w:t>,</w:t>
      </w:r>
      <w:r w:rsidR="00A55A0E" w:rsidRPr="00E1372C">
        <w:t>9</w:t>
      </w:r>
      <w:r w:rsidRPr="00E1372C">
        <w:t> ans</w:t>
      </w:r>
      <w:r w:rsidR="00A55A0E" w:rsidRPr="00E1372C">
        <w:t>.</w:t>
      </w:r>
    </w:p>
    <w:p w:rsidR="00A55A0E" w:rsidRPr="00E1372C" w:rsidRDefault="00A55A0E" w:rsidP="00FA48A5">
      <w:pPr>
        <w:pStyle w:val="H23G"/>
        <w:rPr>
          <w:lang w:val="fr-FR" w:bidi="en-US"/>
        </w:rPr>
      </w:pPr>
      <w:r w:rsidRPr="00E1372C">
        <w:rPr>
          <w:lang w:val="fr-FR" w:bidi="en-US"/>
        </w:rPr>
        <w:tab/>
      </w:r>
      <w:r w:rsidRPr="00E1372C">
        <w:rPr>
          <w:lang w:val="fr-FR" w:bidi="en-US"/>
        </w:rPr>
        <w:tab/>
        <w:t>N</w:t>
      </w:r>
      <w:r w:rsidR="008A69C2" w:rsidRPr="00E1372C">
        <w:rPr>
          <w:lang w:val="fr-FR" w:bidi="en-US"/>
        </w:rPr>
        <w:t>ombre de spécialistes de la santé par nombre d</w:t>
      </w:r>
      <w:r w:rsidR="00731F09" w:rsidRPr="00E1372C">
        <w:rPr>
          <w:lang w:val="fr-FR" w:bidi="en-US"/>
        </w:rPr>
        <w:t>’</w:t>
      </w:r>
      <w:r w:rsidR="008A69C2" w:rsidRPr="00E1372C">
        <w:rPr>
          <w:lang w:val="fr-FR" w:bidi="en-US"/>
        </w:rPr>
        <w:t>habitants</w:t>
      </w:r>
    </w:p>
    <w:p w:rsidR="00A55A0E" w:rsidRPr="00E1372C" w:rsidRDefault="007A1757" w:rsidP="007A1757">
      <w:pPr>
        <w:pStyle w:val="SingleTxtG"/>
        <w:rPr>
          <w:b/>
          <w:lang w:val="fr-FR" w:bidi="en-US"/>
        </w:rPr>
      </w:pPr>
      <w:r w:rsidRPr="00E1372C">
        <w:rPr>
          <w:lang w:val="fr-FR" w:bidi="en-US"/>
        </w:rPr>
        <w:t>317.</w:t>
      </w:r>
      <w:r w:rsidRPr="00E1372C">
        <w:rPr>
          <w:lang w:val="fr-FR" w:bidi="en-US"/>
        </w:rPr>
        <w:tab/>
      </w:r>
      <w:r w:rsidR="008A69C2" w:rsidRPr="00E1372C">
        <w:rPr>
          <w:lang w:val="fr-FR" w:bidi="en-US"/>
        </w:rPr>
        <w:t>Selon le rapport de 2001 sur le développement des ressources humaines du Ministère de la santé et des services sociaux, le nombre de spécialistes de la santé par nombre d</w:t>
      </w:r>
      <w:r w:rsidR="00731F09" w:rsidRPr="00E1372C">
        <w:rPr>
          <w:lang w:val="fr-FR" w:bidi="en-US"/>
        </w:rPr>
        <w:t>’</w:t>
      </w:r>
      <w:r w:rsidR="008A69C2" w:rsidRPr="00E1372C">
        <w:rPr>
          <w:lang w:val="fr-FR" w:bidi="en-US"/>
        </w:rPr>
        <w:t>habitants se répartissait comme suit</w:t>
      </w:r>
      <w:r w:rsidR="00AE017E" w:rsidRPr="00E1372C">
        <w:rPr>
          <w:lang w:val="fr-FR" w:bidi="en-US"/>
        </w:rPr>
        <w:t>:</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835"/>
        <w:gridCol w:w="2268"/>
        <w:gridCol w:w="2268"/>
      </w:tblGrid>
      <w:tr w:rsidR="00A55A0E" w:rsidRPr="00E1372C">
        <w:tblPrEx>
          <w:tblCellMar>
            <w:top w:w="0" w:type="dxa"/>
            <w:left w:w="0" w:type="dxa"/>
            <w:bottom w:w="0" w:type="dxa"/>
            <w:right w:w="0" w:type="dxa"/>
          </w:tblCellMar>
        </w:tblPrEx>
        <w:trPr>
          <w:trHeight w:val="240"/>
          <w:tblHeader/>
        </w:trPr>
        <w:tc>
          <w:tcPr>
            <w:tcW w:w="2835" w:type="dxa"/>
            <w:tcBorders>
              <w:top w:val="single" w:sz="4" w:space="0" w:color="auto"/>
              <w:bottom w:val="single" w:sz="12" w:space="0" w:color="auto"/>
            </w:tcBorders>
            <w:shd w:val="clear" w:color="auto" w:fill="auto"/>
            <w:vAlign w:val="bottom"/>
          </w:tcPr>
          <w:p w:rsidR="00A55A0E" w:rsidRPr="00E1372C" w:rsidRDefault="00A55A0E" w:rsidP="00FA48A5">
            <w:pPr>
              <w:keepNext/>
              <w:keepLines/>
              <w:suppressAutoHyphens w:val="0"/>
              <w:spacing w:before="80" w:after="80" w:line="200" w:lineRule="exact"/>
              <w:rPr>
                <w:i/>
                <w:sz w:val="16"/>
                <w:szCs w:val="24"/>
                <w:lang w:val="fr-FR" w:bidi="en-US"/>
              </w:rPr>
            </w:pPr>
          </w:p>
        </w:tc>
        <w:tc>
          <w:tcPr>
            <w:tcW w:w="2268" w:type="dxa"/>
            <w:tcBorders>
              <w:top w:val="single" w:sz="4" w:space="0" w:color="auto"/>
              <w:bottom w:val="single" w:sz="12" w:space="0" w:color="auto"/>
            </w:tcBorders>
            <w:shd w:val="clear" w:color="auto" w:fill="auto"/>
            <w:vAlign w:val="bottom"/>
          </w:tcPr>
          <w:p w:rsidR="00A55A0E" w:rsidRPr="00E1372C" w:rsidRDefault="00A55A0E" w:rsidP="00FA48A5">
            <w:pPr>
              <w:keepNext/>
              <w:keepLines/>
              <w:suppressAutoHyphens w:val="0"/>
              <w:spacing w:before="80" w:after="80" w:line="200" w:lineRule="exact"/>
              <w:jc w:val="right"/>
              <w:rPr>
                <w:i/>
                <w:sz w:val="16"/>
                <w:szCs w:val="24"/>
                <w:lang w:val="fr-FR" w:bidi="en-US"/>
              </w:rPr>
            </w:pPr>
            <w:r w:rsidRPr="00E1372C">
              <w:rPr>
                <w:i/>
                <w:sz w:val="16"/>
                <w:szCs w:val="24"/>
                <w:lang w:val="fr-FR" w:bidi="en-US"/>
              </w:rPr>
              <w:t>P</w:t>
            </w:r>
            <w:r w:rsidR="008A69C2" w:rsidRPr="00E1372C">
              <w:rPr>
                <w:i/>
                <w:sz w:val="16"/>
                <w:szCs w:val="24"/>
                <w:lang w:val="fr-FR" w:bidi="en-US"/>
              </w:rPr>
              <w:t>opulation totale</w:t>
            </w:r>
          </w:p>
        </w:tc>
        <w:tc>
          <w:tcPr>
            <w:tcW w:w="2268" w:type="dxa"/>
            <w:tcBorders>
              <w:top w:val="single" w:sz="4" w:space="0" w:color="auto"/>
              <w:bottom w:val="single" w:sz="12" w:space="0" w:color="auto"/>
            </w:tcBorders>
            <w:shd w:val="clear" w:color="auto" w:fill="auto"/>
            <w:vAlign w:val="bottom"/>
          </w:tcPr>
          <w:p w:rsidR="00A55A0E" w:rsidRPr="00E1372C" w:rsidRDefault="00A55A0E" w:rsidP="00FA48A5">
            <w:pPr>
              <w:keepNext/>
              <w:keepLines/>
              <w:suppressAutoHyphens w:val="0"/>
              <w:spacing w:before="80" w:after="80" w:line="200" w:lineRule="exact"/>
              <w:jc w:val="right"/>
              <w:rPr>
                <w:i/>
                <w:sz w:val="16"/>
                <w:szCs w:val="24"/>
                <w:lang w:val="fr-FR" w:bidi="en-US"/>
              </w:rPr>
            </w:pPr>
            <w:r w:rsidRPr="00E1372C">
              <w:rPr>
                <w:i/>
                <w:sz w:val="16"/>
                <w:szCs w:val="24"/>
                <w:lang w:val="fr-FR" w:bidi="en-US"/>
              </w:rPr>
              <w:t>P</w:t>
            </w:r>
            <w:r w:rsidR="008A69C2" w:rsidRPr="00E1372C">
              <w:rPr>
                <w:i/>
                <w:sz w:val="16"/>
                <w:szCs w:val="24"/>
                <w:lang w:val="fr-FR" w:bidi="en-US"/>
              </w:rPr>
              <w:t>ou</w:t>
            </w:r>
            <w:r w:rsidRPr="00E1372C">
              <w:rPr>
                <w:i/>
                <w:sz w:val="16"/>
                <w:szCs w:val="24"/>
                <w:lang w:val="fr-FR" w:bidi="en-US"/>
              </w:rPr>
              <w:t>r 10</w:t>
            </w:r>
            <w:r w:rsidR="008A69C2" w:rsidRPr="00E1372C">
              <w:rPr>
                <w:i/>
                <w:sz w:val="16"/>
                <w:szCs w:val="24"/>
                <w:lang w:val="fr-FR" w:bidi="en-US"/>
              </w:rPr>
              <w:t> </w:t>
            </w:r>
            <w:r w:rsidRPr="00E1372C">
              <w:rPr>
                <w:i/>
                <w:sz w:val="16"/>
                <w:szCs w:val="24"/>
                <w:lang w:val="fr-FR" w:bidi="en-US"/>
              </w:rPr>
              <w:t>000</w:t>
            </w:r>
            <w:r w:rsidR="008A69C2" w:rsidRPr="00E1372C">
              <w:rPr>
                <w:i/>
                <w:sz w:val="16"/>
                <w:szCs w:val="24"/>
                <w:lang w:val="fr-FR" w:bidi="en-US"/>
              </w:rPr>
              <w:t xml:space="preserve"> habitants</w:t>
            </w:r>
          </w:p>
        </w:tc>
      </w:tr>
      <w:tr w:rsidR="00A55A0E" w:rsidRPr="00E1372C">
        <w:tblPrEx>
          <w:tblCellMar>
            <w:top w:w="0" w:type="dxa"/>
            <w:left w:w="0" w:type="dxa"/>
            <w:bottom w:w="0" w:type="dxa"/>
            <w:right w:w="0" w:type="dxa"/>
          </w:tblCellMar>
        </w:tblPrEx>
        <w:trPr>
          <w:trHeight w:val="240"/>
        </w:trPr>
        <w:tc>
          <w:tcPr>
            <w:tcW w:w="2835" w:type="dxa"/>
            <w:tcBorders>
              <w:top w:val="single" w:sz="12" w:space="0" w:color="auto"/>
            </w:tcBorders>
            <w:shd w:val="clear" w:color="auto" w:fill="auto"/>
          </w:tcPr>
          <w:p w:rsidR="00A55A0E" w:rsidRPr="00E1372C" w:rsidRDefault="008A69C2" w:rsidP="00FA48A5">
            <w:pPr>
              <w:keepNext/>
              <w:keepLines/>
              <w:suppressAutoHyphens w:val="0"/>
              <w:spacing w:before="40" w:after="40" w:line="220" w:lineRule="exact"/>
              <w:rPr>
                <w:sz w:val="18"/>
                <w:szCs w:val="24"/>
                <w:lang w:val="fr-FR" w:bidi="en-US"/>
              </w:rPr>
            </w:pPr>
            <w:r w:rsidRPr="00E1372C">
              <w:rPr>
                <w:sz w:val="18"/>
                <w:szCs w:val="24"/>
                <w:lang w:val="fr-FR" w:bidi="en-US"/>
              </w:rPr>
              <w:t>Médecins</w:t>
            </w:r>
          </w:p>
        </w:tc>
        <w:tc>
          <w:tcPr>
            <w:tcW w:w="2268" w:type="dxa"/>
            <w:tcBorders>
              <w:top w:val="single" w:sz="12" w:space="0" w:color="auto"/>
            </w:tcBorders>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3</w:t>
            </w:r>
            <w:r w:rsidR="008A69C2" w:rsidRPr="00E1372C">
              <w:rPr>
                <w:sz w:val="18"/>
                <w:szCs w:val="24"/>
                <w:lang w:val="fr-FR" w:bidi="en-US"/>
              </w:rPr>
              <w:t> </w:t>
            </w:r>
            <w:r w:rsidRPr="00E1372C">
              <w:rPr>
                <w:sz w:val="18"/>
                <w:szCs w:val="24"/>
                <w:lang w:val="fr-FR" w:bidi="en-US"/>
              </w:rPr>
              <w:t>557</w:t>
            </w:r>
          </w:p>
        </w:tc>
        <w:tc>
          <w:tcPr>
            <w:tcW w:w="2268" w:type="dxa"/>
            <w:tcBorders>
              <w:top w:val="single" w:sz="12" w:space="0" w:color="auto"/>
            </w:tcBorders>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2</w:t>
            </w:r>
            <w:r w:rsidR="008A69C2" w:rsidRPr="00E1372C">
              <w:rPr>
                <w:sz w:val="18"/>
                <w:szCs w:val="24"/>
                <w:lang w:val="fr-FR" w:bidi="en-US"/>
              </w:rPr>
              <w:t>,</w:t>
            </w:r>
            <w:r w:rsidRPr="00E1372C">
              <w:rPr>
                <w:sz w:val="18"/>
                <w:szCs w:val="24"/>
                <w:lang w:val="fr-FR" w:bidi="en-US"/>
              </w:rPr>
              <w:t>7</w:t>
            </w:r>
          </w:p>
        </w:tc>
      </w:tr>
      <w:tr w:rsidR="00A55A0E" w:rsidRPr="00E1372C">
        <w:tblPrEx>
          <w:tblCellMar>
            <w:top w:w="0" w:type="dxa"/>
            <w:left w:w="0" w:type="dxa"/>
            <w:bottom w:w="0" w:type="dxa"/>
            <w:right w:w="0" w:type="dxa"/>
          </w:tblCellMar>
        </w:tblPrEx>
        <w:trPr>
          <w:trHeight w:val="240"/>
        </w:trPr>
        <w:tc>
          <w:tcPr>
            <w:tcW w:w="2835" w:type="dxa"/>
            <w:shd w:val="clear" w:color="auto" w:fill="auto"/>
          </w:tcPr>
          <w:p w:rsidR="00A55A0E" w:rsidRPr="00E1372C" w:rsidRDefault="00A55A0E" w:rsidP="00FA48A5">
            <w:pPr>
              <w:keepNext/>
              <w:keepLines/>
              <w:suppressAutoHyphens w:val="0"/>
              <w:spacing w:before="40" w:after="40" w:line="220" w:lineRule="exact"/>
              <w:rPr>
                <w:sz w:val="18"/>
                <w:szCs w:val="24"/>
                <w:lang w:val="fr-FR" w:bidi="en-US"/>
              </w:rPr>
            </w:pPr>
            <w:r w:rsidRPr="00E1372C">
              <w:rPr>
                <w:sz w:val="18"/>
                <w:szCs w:val="24"/>
                <w:lang w:val="fr-FR" w:bidi="en-US"/>
              </w:rPr>
              <w:t>Pharmaci</w:t>
            </w:r>
            <w:r w:rsidR="008A69C2" w:rsidRPr="00E1372C">
              <w:rPr>
                <w:sz w:val="18"/>
                <w:szCs w:val="24"/>
                <w:lang w:val="fr-FR" w:bidi="en-US"/>
              </w:rPr>
              <w:t>en</w:t>
            </w:r>
            <w:r w:rsidRPr="00E1372C">
              <w:rPr>
                <w:sz w:val="18"/>
                <w:szCs w:val="24"/>
                <w:lang w:val="fr-FR" w:bidi="en-US"/>
              </w:rPr>
              <w:t>s</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11</w:t>
            </w:r>
            <w:r w:rsidR="008A69C2" w:rsidRPr="00E1372C">
              <w:rPr>
                <w:sz w:val="18"/>
                <w:szCs w:val="24"/>
                <w:lang w:val="fr-FR" w:bidi="en-US"/>
              </w:rPr>
              <w:t> </w:t>
            </w:r>
            <w:r w:rsidRPr="00E1372C">
              <w:rPr>
                <w:sz w:val="18"/>
                <w:szCs w:val="24"/>
                <w:lang w:val="fr-FR" w:bidi="en-US"/>
              </w:rPr>
              <w:t>538</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0</w:t>
            </w:r>
            <w:r w:rsidR="008A69C2" w:rsidRPr="00E1372C">
              <w:rPr>
                <w:sz w:val="18"/>
                <w:szCs w:val="24"/>
                <w:lang w:val="fr-FR" w:bidi="en-US"/>
              </w:rPr>
              <w:t>,</w:t>
            </w:r>
            <w:r w:rsidRPr="00E1372C">
              <w:rPr>
                <w:sz w:val="18"/>
                <w:szCs w:val="24"/>
                <w:lang w:val="fr-FR" w:bidi="en-US"/>
              </w:rPr>
              <w:t>86</w:t>
            </w:r>
          </w:p>
        </w:tc>
      </w:tr>
      <w:tr w:rsidR="00A55A0E" w:rsidRPr="00E1372C">
        <w:tblPrEx>
          <w:tblCellMar>
            <w:top w:w="0" w:type="dxa"/>
            <w:left w:w="0" w:type="dxa"/>
            <w:bottom w:w="0" w:type="dxa"/>
            <w:right w:w="0" w:type="dxa"/>
          </w:tblCellMar>
        </w:tblPrEx>
        <w:trPr>
          <w:trHeight w:val="240"/>
        </w:trPr>
        <w:tc>
          <w:tcPr>
            <w:tcW w:w="2835" w:type="dxa"/>
            <w:shd w:val="clear" w:color="auto" w:fill="auto"/>
          </w:tcPr>
          <w:p w:rsidR="00A55A0E" w:rsidRPr="00E1372C" w:rsidRDefault="00A55A0E" w:rsidP="00FA48A5">
            <w:pPr>
              <w:keepNext/>
              <w:keepLines/>
              <w:suppressAutoHyphens w:val="0"/>
              <w:spacing w:before="40" w:after="40" w:line="220" w:lineRule="exact"/>
              <w:rPr>
                <w:sz w:val="18"/>
                <w:szCs w:val="24"/>
                <w:lang w:val="fr-FR" w:bidi="en-US"/>
              </w:rPr>
            </w:pPr>
            <w:r w:rsidRPr="00E1372C">
              <w:rPr>
                <w:sz w:val="18"/>
                <w:szCs w:val="24"/>
                <w:lang w:val="fr-FR" w:bidi="en-US"/>
              </w:rPr>
              <w:t>Dentist</w:t>
            </w:r>
            <w:r w:rsidR="008A69C2" w:rsidRPr="00E1372C">
              <w:rPr>
                <w:sz w:val="18"/>
                <w:szCs w:val="24"/>
                <w:lang w:val="fr-FR" w:bidi="en-US"/>
              </w:rPr>
              <w:t>e</w:t>
            </w:r>
            <w:r w:rsidRPr="00E1372C">
              <w:rPr>
                <w:sz w:val="18"/>
                <w:szCs w:val="24"/>
                <w:lang w:val="fr-FR" w:bidi="en-US"/>
              </w:rPr>
              <w:t>s</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34</w:t>
            </w:r>
            <w:r w:rsidR="008A69C2" w:rsidRPr="00E1372C">
              <w:rPr>
                <w:sz w:val="18"/>
                <w:szCs w:val="24"/>
                <w:lang w:val="fr-FR" w:bidi="en-US"/>
              </w:rPr>
              <w:t> </w:t>
            </w:r>
            <w:r w:rsidRPr="00E1372C">
              <w:rPr>
                <w:sz w:val="18"/>
                <w:szCs w:val="24"/>
                <w:lang w:val="fr-FR" w:bidi="en-US"/>
              </w:rPr>
              <w:t>615</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0</w:t>
            </w:r>
            <w:r w:rsidR="008A69C2" w:rsidRPr="00E1372C">
              <w:rPr>
                <w:sz w:val="18"/>
                <w:szCs w:val="24"/>
                <w:lang w:val="fr-FR" w:bidi="en-US"/>
              </w:rPr>
              <w:t>,</w:t>
            </w:r>
            <w:r w:rsidRPr="00E1372C">
              <w:rPr>
                <w:sz w:val="18"/>
                <w:szCs w:val="24"/>
                <w:lang w:val="fr-FR" w:bidi="en-US"/>
              </w:rPr>
              <w:t>28</w:t>
            </w:r>
          </w:p>
        </w:tc>
      </w:tr>
      <w:tr w:rsidR="00A55A0E" w:rsidRPr="00E1372C">
        <w:tblPrEx>
          <w:tblCellMar>
            <w:top w:w="0" w:type="dxa"/>
            <w:left w:w="0" w:type="dxa"/>
            <w:bottom w:w="0" w:type="dxa"/>
            <w:right w:w="0" w:type="dxa"/>
          </w:tblCellMar>
        </w:tblPrEx>
        <w:trPr>
          <w:trHeight w:val="240"/>
        </w:trPr>
        <w:tc>
          <w:tcPr>
            <w:tcW w:w="2835" w:type="dxa"/>
            <w:shd w:val="clear" w:color="auto" w:fill="auto"/>
          </w:tcPr>
          <w:p w:rsidR="00A55A0E" w:rsidRPr="00E1372C" w:rsidRDefault="008A69C2" w:rsidP="00FA48A5">
            <w:pPr>
              <w:keepNext/>
              <w:keepLines/>
              <w:suppressAutoHyphens w:val="0"/>
              <w:spacing w:before="40" w:after="40" w:line="220" w:lineRule="exact"/>
              <w:rPr>
                <w:sz w:val="18"/>
                <w:szCs w:val="24"/>
                <w:lang w:val="fr-FR" w:bidi="en-US"/>
              </w:rPr>
            </w:pPr>
            <w:r w:rsidRPr="00E1372C">
              <w:rPr>
                <w:sz w:val="18"/>
                <w:szCs w:val="24"/>
                <w:lang w:val="fr-FR" w:bidi="en-US"/>
              </w:rPr>
              <w:t>Infirmières diplômées</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703</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14</w:t>
            </w:r>
            <w:r w:rsidR="008A69C2" w:rsidRPr="00E1372C">
              <w:rPr>
                <w:sz w:val="18"/>
                <w:szCs w:val="24"/>
                <w:lang w:val="fr-FR" w:bidi="en-US"/>
              </w:rPr>
              <w:t>,</w:t>
            </w:r>
            <w:r w:rsidRPr="00E1372C">
              <w:rPr>
                <w:sz w:val="18"/>
                <w:szCs w:val="24"/>
                <w:lang w:val="fr-FR" w:bidi="en-US"/>
              </w:rPr>
              <w:t>2</w:t>
            </w:r>
          </w:p>
        </w:tc>
      </w:tr>
      <w:tr w:rsidR="00A55A0E" w:rsidRPr="00E1372C">
        <w:tblPrEx>
          <w:tblCellMar>
            <w:top w:w="0" w:type="dxa"/>
            <w:left w:w="0" w:type="dxa"/>
            <w:bottom w:w="0" w:type="dxa"/>
            <w:right w:w="0" w:type="dxa"/>
          </w:tblCellMar>
        </w:tblPrEx>
        <w:trPr>
          <w:trHeight w:val="240"/>
        </w:trPr>
        <w:tc>
          <w:tcPr>
            <w:tcW w:w="2835" w:type="dxa"/>
            <w:shd w:val="clear" w:color="auto" w:fill="auto"/>
          </w:tcPr>
          <w:p w:rsidR="00A55A0E" w:rsidRPr="00E1372C" w:rsidRDefault="008A69C2" w:rsidP="00FA48A5">
            <w:pPr>
              <w:keepNext/>
              <w:keepLines/>
              <w:suppressAutoHyphens w:val="0"/>
              <w:spacing w:before="40" w:after="40" w:line="220" w:lineRule="exact"/>
              <w:rPr>
                <w:sz w:val="18"/>
                <w:szCs w:val="24"/>
                <w:lang w:val="fr-FR" w:bidi="en-US"/>
              </w:rPr>
            </w:pPr>
            <w:r w:rsidRPr="00E1372C">
              <w:rPr>
                <w:sz w:val="18"/>
                <w:szCs w:val="24"/>
                <w:lang w:val="fr-FR" w:bidi="en-US"/>
              </w:rPr>
              <w:t>Personnel infirmier</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646</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15</w:t>
            </w:r>
            <w:r w:rsidR="008A69C2" w:rsidRPr="00E1372C">
              <w:rPr>
                <w:sz w:val="18"/>
                <w:szCs w:val="24"/>
                <w:lang w:val="fr-FR" w:bidi="en-US"/>
              </w:rPr>
              <w:t>,</w:t>
            </w:r>
            <w:r w:rsidRPr="00E1372C">
              <w:rPr>
                <w:sz w:val="18"/>
                <w:szCs w:val="24"/>
                <w:lang w:val="fr-FR" w:bidi="en-US"/>
              </w:rPr>
              <w:t>4</w:t>
            </w:r>
          </w:p>
        </w:tc>
      </w:tr>
      <w:tr w:rsidR="00A55A0E" w:rsidRPr="00E1372C">
        <w:tblPrEx>
          <w:tblCellMar>
            <w:top w:w="0" w:type="dxa"/>
            <w:left w:w="0" w:type="dxa"/>
            <w:bottom w:w="0" w:type="dxa"/>
            <w:right w:w="0" w:type="dxa"/>
          </w:tblCellMar>
        </w:tblPrEx>
        <w:trPr>
          <w:trHeight w:val="240"/>
        </w:trPr>
        <w:tc>
          <w:tcPr>
            <w:tcW w:w="2835" w:type="dxa"/>
            <w:shd w:val="clear" w:color="auto" w:fill="auto"/>
          </w:tcPr>
          <w:p w:rsidR="00A55A0E" w:rsidRPr="00E1372C" w:rsidRDefault="008A69C2" w:rsidP="00FA48A5">
            <w:pPr>
              <w:keepNext/>
              <w:keepLines/>
              <w:suppressAutoHyphens w:val="0"/>
              <w:spacing w:before="40" w:after="40" w:line="220" w:lineRule="exact"/>
              <w:rPr>
                <w:sz w:val="18"/>
                <w:szCs w:val="24"/>
                <w:lang w:val="fr-FR" w:bidi="en-US"/>
              </w:rPr>
            </w:pPr>
            <w:r w:rsidRPr="00E1372C">
              <w:rPr>
                <w:sz w:val="18"/>
                <w:szCs w:val="24"/>
                <w:lang w:val="fr-FR" w:bidi="en-US"/>
              </w:rPr>
              <w:t>Techniciens médicaux</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22</w:t>
            </w:r>
            <w:r w:rsidR="008A69C2" w:rsidRPr="00E1372C">
              <w:rPr>
                <w:sz w:val="18"/>
                <w:szCs w:val="24"/>
                <w:lang w:val="fr-FR" w:bidi="en-US"/>
              </w:rPr>
              <w:t> </w:t>
            </w:r>
            <w:r w:rsidRPr="00E1372C">
              <w:rPr>
                <w:sz w:val="18"/>
                <w:szCs w:val="24"/>
                <w:lang w:val="fr-FR" w:bidi="en-US"/>
              </w:rPr>
              <w:t>785</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0</w:t>
            </w:r>
            <w:r w:rsidR="008A69C2" w:rsidRPr="00E1372C">
              <w:rPr>
                <w:sz w:val="18"/>
                <w:szCs w:val="24"/>
                <w:lang w:val="fr-FR" w:bidi="en-US"/>
              </w:rPr>
              <w:t>,</w:t>
            </w:r>
            <w:r w:rsidRPr="00E1372C">
              <w:rPr>
                <w:sz w:val="18"/>
                <w:szCs w:val="24"/>
                <w:lang w:val="fr-FR" w:bidi="en-US"/>
              </w:rPr>
              <w:t>43</w:t>
            </w:r>
          </w:p>
        </w:tc>
      </w:tr>
      <w:tr w:rsidR="00A55A0E" w:rsidRPr="00E1372C">
        <w:tblPrEx>
          <w:tblCellMar>
            <w:top w:w="0" w:type="dxa"/>
            <w:left w:w="0" w:type="dxa"/>
            <w:bottom w:w="0" w:type="dxa"/>
            <w:right w:w="0" w:type="dxa"/>
          </w:tblCellMar>
        </w:tblPrEx>
        <w:trPr>
          <w:trHeight w:val="240"/>
        </w:trPr>
        <w:tc>
          <w:tcPr>
            <w:tcW w:w="2835" w:type="dxa"/>
            <w:shd w:val="clear" w:color="auto" w:fill="auto"/>
          </w:tcPr>
          <w:p w:rsidR="00A55A0E" w:rsidRPr="00E1372C" w:rsidRDefault="008A69C2" w:rsidP="00FA48A5">
            <w:pPr>
              <w:keepNext/>
              <w:keepLines/>
              <w:suppressAutoHyphens w:val="0"/>
              <w:spacing w:before="40" w:after="40" w:line="220" w:lineRule="exact"/>
              <w:rPr>
                <w:sz w:val="18"/>
                <w:szCs w:val="24"/>
                <w:lang w:val="fr-FR" w:bidi="en-US"/>
              </w:rPr>
            </w:pPr>
            <w:r w:rsidRPr="00E1372C">
              <w:rPr>
                <w:sz w:val="18"/>
                <w:szCs w:val="24"/>
                <w:lang w:val="fr-FR" w:bidi="en-US"/>
              </w:rPr>
              <w:t>Inspecteurs de la santé</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37</w:t>
            </w:r>
            <w:r w:rsidR="008A69C2" w:rsidRPr="00E1372C">
              <w:rPr>
                <w:sz w:val="18"/>
                <w:szCs w:val="24"/>
                <w:lang w:val="fr-FR" w:bidi="en-US"/>
              </w:rPr>
              <w:t> </w:t>
            </w:r>
            <w:r w:rsidRPr="00E1372C">
              <w:rPr>
                <w:sz w:val="18"/>
                <w:szCs w:val="24"/>
                <w:lang w:val="fr-FR" w:bidi="en-US"/>
              </w:rPr>
              <w:t>500</w:t>
            </w:r>
          </w:p>
        </w:tc>
        <w:tc>
          <w:tcPr>
            <w:tcW w:w="2268" w:type="dxa"/>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0</w:t>
            </w:r>
            <w:r w:rsidR="008A69C2" w:rsidRPr="00E1372C">
              <w:rPr>
                <w:sz w:val="18"/>
                <w:szCs w:val="24"/>
                <w:lang w:val="fr-FR" w:bidi="en-US"/>
              </w:rPr>
              <w:t>,</w:t>
            </w:r>
            <w:r w:rsidRPr="00E1372C">
              <w:rPr>
                <w:sz w:val="18"/>
                <w:szCs w:val="24"/>
                <w:lang w:val="fr-FR" w:bidi="en-US"/>
              </w:rPr>
              <w:t>26</w:t>
            </w:r>
          </w:p>
        </w:tc>
      </w:tr>
      <w:tr w:rsidR="00A55A0E" w:rsidRPr="00E1372C">
        <w:tblPrEx>
          <w:tblCellMar>
            <w:top w:w="0" w:type="dxa"/>
            <w:left w:w="0" w:type="dxa"/>
            <w:bottom w:w="0" w:type="dxa"/>
            <w:right w:w="0" w:type="dxa"/>
          </w:tblCellMar>
        </w:tblPrEx>
        <w:trPr>
          <w:trHeight w:val="240"/>
        </w:trPr>
        <w:tc>
          <w:tcPr>
            <w:tcW w:w="2835" w:type="dxa"/>
            <w:tcBorders>
              <w:bottom w:val="single" w:sz="12" w:space="0" w:color="auto"/>
            </w:tcBorders>
            <w:shd w:val="clear" w:color="auto" w:fill="auto"/>
          </w:tcPr>
          <w:p w:rsidR="00A55A0E" w:rsidRPr="00E1372C" w:rsidRDefault="008A69C2" w:rsidP="00FA48A5">
            <w:pPr>
              <w:keepNext/>
              <w:keepLines/>
              <w:suppressAutoHyphens w:val="0"/>
              <w:spacing w:before="40" w:after="40" w:line="220" w:lineRule="exact"/>
              <w:rPr>
                <w:sz w:val="18"/>
                <w:szCs w:val="24"/>
                <w:lang w:val="fr-FR" w:bidi="en-US"/>
              </w:rPr>
            </w:pPr>
            <w:r w:rsidRPr="00E1372C">
              <w:rPr>
                <w:sz w:val="18"/>
                <w:szCs w:val="24"/>
                <w:lang w:val="fr-FR" w:bidi="en-US"/>
              </w:rPr>
              <w:t>Travailleurs sociaux</w:t>
            </w:r>
          </w:p>
        </w:tc>
        <w:tc>
          <w:tcPr>
            <w:tcW w:w="2268" w:type="dxa"/>
            <w:tcBorders>
              <w:bottom w:val="single" w:sz="12" w:space="0" w:color="auto"/>
            </w:tcBorders>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9</w:t>
            </w:r>
            <w:r w:rsidR="008A69C2" w:rsidRPr="00E1372C">
              <w:rPr>
                <w:sz w:val="18"/>
                <w:szCs w:val="24"/>
                <w:lang w:val="fr-FR" w:bidi="en-US"/>
              </w:rPr>
              <w:t> </w:t>
            </w:r>
            <w:r w:rsidRPr="00E1372C">
              <w:rPr>
                <w:sz w:val="18"/>
                <w:szCs w:val="24"/>
                <w:lang w:val="fr-FR" w:bidi="en-US"/>
              </w:rPr>
              <w:t>730</w:t>
            </w:r>
          </w:p>
        </w:tc>
        <w:tc>
          <w:tcPr>
            <w:tcW w:w="2268" w:type="dxa"/>
            <w:tcBorders>
              <w:bottom w:val="single" w:sz="12" w:space="0" w:color="auto"/>
            </w:tcBorders>
            <w:shd w:val="clear" w:color="auto" w:fill="auto"/>
            <w:vAlign w:val="bottom"/>
          </w:tcPr>
          <w:p w:rsidR="00A55A0E" w:rsidRPr="00E1372C" w:rsidRDefault="00A55A0E" w:rsidP="00FA48A5">
            <w:pPr>
              <w:keepNext/>
              <w:keepLines/>
              <w:suppressAutoHyphens w:val="0"/>
              <w:spacing w:before="40" w:after="40" w:line="220" w:lineRule="exact"/>
              <w:jc w:val="right"/>
              <w:rPr>
                <w:sz w:val="18"/>
                <w:szCs w:val="24"/>
                <w:lang w:val="fr-FR" w:bidi="en-US"/>
              </w:rPr>
            </w:pPr>
            <w:r w:rsidRPr="00E1372C">
              <w:rPr>
                <w:sz w:val="18"/>
                <w:szCs w:val="24"/>
                <w:lang w:val="fr-FR" w:bidi="en-US"/>
              </w:rPr>
              <w:t>1</w:t>
            </w:r>
            <w:r w:rsidR="008A69C2" w:rsidRPr="00E1372C">
              <w:rPr>
                <w:sz w:val="18"/>
                <w:szCs w:val="24"/>
                <w:lang w:val="fr-FR" w:bidi="en-US"/>
              </w:rPr>
              <w:t>,</w:t>
            </w:r>
            <w:r w:rsidRPr="00E1372C">
              <w:rPr>
                <w:sz w:val="18"/>
                <w:szCs w:val="24"/>
                <w:lang w:val="fr-FR" w:bidi="en-US"/>
              </w:rPr>
              <w:t>0</w:t>
            </w:r>
          </w:p>
        </w:tc>
      </w:tr>
    </w:tbl>
    <w:p w:rsidR="00A55A0E" w:rsidRPr="00E1372C" w:rsidRDefault="00A55A0E" w:rsidP="00FA48A5">
      <w:pPr>
        <w:pStyle w:val="Source"/>
        <w:rPr>
          <w:lang w:bidi="en-US"/>
        </w:rPr>
      </w:pPr>
      <w:r w:rsidRPr="00E1372C">
        <w:rPr>
          <w:i/>
          <w:lang w:bidi="en-US"/>
        </w:rPr>
        <w:t>Source</w:t>
      </w:r>
      <w:r w:rsidRPr="00E1372C">
        <w:rPr>
          <w:i/>
          <w:iCs w:val="0"/>
          <w:lang w:bidi="en-US"/>
        </w:rPr>
        <w:t>:</w:t>
      </w:r>
      <w:r w:rsidRPr="00E1372C">
        <w:rPr>
          <w:lang w:bidi="en-US"/>
        </w:rPr>
        <w:t xml:space="preserve"> M</w:t>
      </w:r>
      <w:r w:rsidR="001F7CE7" w:rsidRPr="00E1372C">
        <w:rPr>
          <w:lang w:bidi="en-US"/>
        </w:rPr>
        <w:t>inistère de la santé et des services sociaux, rapport sur le développement des ressources humaines, 2001.</w:t>
      </w:r>
    </w:p>
    <w:p w:rsidR="00A55A0E" w:rsidRPr="00E1372C" w:rsidRDefault="00A55A0E" w:rsidP="00FA48A5">
      <w:pPr>
        <w:pStyle w:val="H23G"/>
        <w:rPr>
          <w:lang w:val="fr-FR" w:bidi="en-US"/>
        </w:rPr>
      </w:pPr>
      <w:r w:rsidRPr="00E1372C">
        <w:rPr>
          <w:lang w:val="fr-FR" w:bidi="en-US"/>
        </w:rPr>
        <w:tab/>
      </w:r>
      <w:r w:rsidRPr="00E1372C">
        <w:rPr>
          <w:lang w:val="fr-FR" w:bidi="en-US"/>
        </w:rPr>
        <w:tab/>
      </w:r>
      <w:r w:rsidR="001F7CE7" w:rsidRPr="00E1372C">
        <w:rPr>
          <w:lang w:val="fr-FR" w:bidi="en-US"/>
        </w:rPr>
        <w:t>Proportion de spécialistes de la santé par nombre d</w:t>
      </w:r>
      <w:r w:rsidR="00731F09" w:rsidRPr="00E1372C">
        <w:rPr>
          <w:lang w:val="fr-FR" w:bidi="en-US"/>
        </w:rPr>
        <w:t>’</w:t>
      </w:r>
      <w:r w:rsidR="001F7CE7" w:rsidRPr="00E1372C">
        <w:rPr>
          <w:lang w:val="fr-FR" w:bidi="en-US"/>
        </w:rPr>
        <w:t xml:space="preserve">habitants dans le secteur public </w:t>
      </w:r>
      <w:r w:rsidRPr="00E1372C">
        <w:rPr>
          <w:lang w:val="fr-FR" w:bidi="en-US"/>
        </w:rPr>
        <w:t>2007</w:t>
      </w:r>
      <w:r w:rsidR="00EB6338" w:rsidRPr="00E1372C">
        <w:rPr>
          <w:lang w:val="fr-FR" w:bidi="en-US"/>
        </w:rPr>
        <w:t>-</w:t>
      </w:r>
      <w:r w:rsidR="00D17748" w:rsidRPr="00E1372C">
        <w:rPr>
          <w:lang w:val="fr-FR" w:bidi="en-US"/>
        </w:rPr>
        <w:t>20</w:t>
      </w:r>
      <w:r w:rsidRPr="00E1372C">
        <w:rPr>
          <w:lang w:val="fr-FR" w:bidi="en-US"/>
        </w:rPr>
        <w:t>08</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985"/>
        <w:gridCol w:w="3118"/>
      </w:tblGrid>
      <w:tr w:rsidR="00A55A0E" w:rsidRPr="00E1372C" w:rsidTr="00FA48A5">
        <w:trPr>
          <w:trHeight w:val="240"/>
          <w:tblHeader/>
        </w:trPr>
        <w:tc>
          <w:tcPr>
            <w:tcW w:w="2268" w:type="dxa"/>
            <w:tcBorders>
              <w:top w:val="single" w:sz="4" w:space="0" w:color="auto"/>
              <w:bottom w:val="single" w:sz="12" w:space="0" w:color="auto"/>
            </w:tcBorders>
            <w:shd w:val="clear" w:color="auto" w:fill="auto"/>
            <w:vAlign w:val="bottom"/>
          </w:tcPr>
          <w:p w:rsidR="00A55A0E" w:rsidRPr="00E1372C" w:rsidRDefault="001F7CE7" w:rsidP="001F7CE7">
            <w:pPr>
              <w:suppressAutoHyphens w:val="0"/>
              <w:spacing w:before="80" w:after="80" w:line="200" w:lineRule="exact"/>
              <w:rPr>
                <w:i/>
                <w:sz w:val="16"/>
                <w:szCs w:val="24"/>
                <w:lang w:val="fr-FR" w:bidi="en-US"/>
              </w:rPr>
            </w:pPr>
            <w:r w:rsidRPr="00E1372C">
              <w:rPr>
                <w:i/>
                <w:sz w:val="16"/>
                <w:szCs w:val="24"/>
                <w:lang w:val="fr-FR" w:bidi="en-US"/>
              </w:rPr>
              <w:t>Catégorie professionnelle</w:t>
            </w:r>
          </w:p>
        </w:tc>
        <w:tc>
          <w:tcPr>
            <w:tcW w:w="1985" w:type="dxa"/>
            <w:tcBorders>
              <w:top w:val="single" w:sz="4" w:space="0" w:color="auto"/>
              <w:bottom w:val="single" w:sz="12" w:space="0" w:color="auto"/>
            </w:tcBorders>
            <w:shd w:val="clear" w:color="auto" w:fill="auto"/>
            <w:vAlign w:val="bottom"/>
          </w:tcPr>
          <w:p w:rsidR="00A55A0E" w:rsidRPr="00E1372C" w:rsidRDefault="00A55A0E" w:rsidP="001F7CE7">
            <w:pPr>
              <w:suppressAutoHyphens w:val="0"/>
              <w:spacing w:before="80" w:after="80" w:line="200" w:lineRule="exact"/>
              <w:jc w:val="right"/>
              <w:rPr>
                <w:i/>
                <w:sz w:val="16"/>
                <w:szCs w:val="24"/>
                <w:lang w:val="fr-FR" w:bidi="en-US"/>
              </w:rPr>
            </w:pPr>
            <w:r w:rsidRPr="00E1372C">
              <w:rPr>
                <w:i/>
                <w:sz w:val="16"/>
                <w:szCs w:val="24"/>
                <w:lang w:val="fr-FR" w:bidi="en-US"/>
              </w:rPr>
              <w:t>N</w:t>
            </w:r>
            <w:r w:rsidR="001F7CE7" w:rsidRPr="00E1372C">
              <w:rPr>
                <w:i/>
                <w:sz w:val="16"/>
                <w:szCs w:val="24"/>
                <w:lang w:val="fr-FR" w:bidi="en-US"/>
              </w:rPr>
              <w:t>ombre</w:t>
            </w:r>
          </w:p>
        </w:tc>
        <w:tc>
          <w:tcPr>
            <w:tcW w:w="3118" w:type="dxa"/>
            <w:tcBorders>
              <w:top w:val="single" w:sz="4" w:space="0" w:color="auto"/>
              <w:bottom w:val="single" w:sz="12" w:space="0" w:color="auto"/>
            </w:tcBorders>
            <w:shd w:val="clear" w:color="auto" w:fill="auto"/>
            <w:vAlign w:val="bottom"/>
          </w:tcPr>
          <w:p w:rsidR="00A55A0E" w:rsidRPr="00E1372C" w:rsidRDefault="001F7CE7" w:rsidP="001F7CE7">
            <w:pPr>
              <w:suppressAutoHyphens w:val="0"/>
              <w:spacing w:before="80" w:after="80" w:line="200" w:lineRule="exact"/>
              <w:jc w:val="right"/>
              <w:rPr>
                <w:i/>
                <w:sz w:val="16"/>
                <w:szCs w:val="24"/>
                <w:lang w:val="fr-FR" w:bidi="en-US"/>
              </w:rPr>
            </w:pPr>
            <w:r w:rsidRPr="00E1372C">
              <w:rPr>
                <w:i/>
                <w:sz w:val="16"/>
                <w:szCs w:val="24"/>
                <w:lang w:val="fr-FR" w:bidi="en-US"/>
              </w:rPr>
              <w:t>Proportion par nombre d</w:t>
            </w:r>
            <w:r w:rsidR="00731F09" w:rsidRPr="00E1372C">
              <w:rPr>
                <w:i/>
                <w:sz w:val="16"/>
                <w:szCs w:val="24"/>
                <w:lang w:val="fr-FR" w:bidi="en-US"/>
              </w:rPr>
              <w:t>’</w:t>
            </w:r>
            <w:r w:rsidRPr="00E1372C">
              <w:rPr>
                <w:i/>
                <w:sz w:val="16"/>
                <w:szCs w:val="24"/>
                <w:lang w:val="fr-FR" w:bidi="en-US"/>
              </w:rPr>
              <w:t>habitants</w:t>
            </w:r>
          </w:p>
        </w:tc>
      </w:tr>
      <w:tr w:rsidR="00A55A0E" w:rsidRPr="00E1372C" w:rsidTr="00FA48A5">
        <w:trPr>
          <w:trHeight w:val="240"/>
        </w:trPr>
        <w:tc>
          <w:tcPr>
            <w:tcW w:w="2268" w:type="dxa"/>
            <w:tcBorders>
              <w:top w:val="single" w:sz="12" w:space="0" w:color="auto"/>
            </w:tcBorders>
            <w:shd w:val="clear" w:color="auto" w:fill="auto"/>
          </w:tcPr>
          <w:p w:rsidR="00A55A0E" w:rsidRPr="00E1372C" w:rsidRDefault="001F7CE7" w:rsidP="001F7CE7">
            <w:pPr>
              <w:suppressAutoHyphens w:val="0"/>
              <w:spacing w:before="40" w:after="40" w:line="220" w:lineRule="exact"/>
              <w:rPr>
                <w:sz w:val="18"/>
                <w:szCs w:val="24"/>
                <w:lang w:val="fr-FR" w:bidi="en-US"/>
              </w:rPr>
            </w:pPr>
            <w:r w:rsidRPr="00E1372C">
              <w:rPr>
                <w:sz w:val="18"/>
                <w:szCs w:val="24"/>
                <w:lang w:val="fr-FR" w:bidi="en-US"/>
              </w:rPr>
              <w:t>Médecins</w:t>
            </w:r>
          </w:p>
        </w:tc>
        <w:tc>
          <w:tcPr>
            <w:tcW w:w="1985"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190</w:t>
            </w:r>
          </w:p>
        </w:tc>
        <w:tc>
          <w:tcPr>
            <w:tcW w:w="3118"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1:9</w:t>
            </w:r>
            <w:r w:rsidR="001F7CE7" w:rsidRPr="00E1372C">
              <w:rPr>
                <w:sz w:val="18"/>
                <w:szCs w:val="24"/>
                <w:lang w:val="fr-FR" w:bidi="en-US"/>
              </w:rPr>
              <w:t> </w:t>
            </w:r>
            <w:r w:rsidRPr="00E1372C">
              <w:rPr>
                <w:sz w:val="18"/>
                <w:szCs w:val="24"/>
                <w:lang w:val="fr-FR" w:bidi="en-US"/>
              </w:rPr>
              <w:t>473</w:t>
            </w:r>
          </w:p>
        </w:tc>
      </w:tr>
      <w:tr w:rsidR="00A55A0E" w:rsidRPr="00E1372C" w:rsidTr="00FA48A5">
        <w:trPr>
          <w:trHeight w:val="240"/>
        </w:trPr>
        <w:tc>
          <w:tcPr>
            <w:tcW w:w="2268" w:type="dxa"/>
            <w:shd w:val="clear" w:color="auto" w:fill="auto"/>
          </w:tcPr>
          <w:p w:rsidR="00A55A0E" w:rsidRPr="00E1372C" w:rsidRDefault="001F7CE7" w:rsidP="001F7CE7">
            <w:pPr>
              <w:suppressAutoHyphens w:val="0"/>
              <w:spacing w:before="40" w:after="40" w:line="220" w:lineRule="exact"/>
              <w:rPr>
                <w:sz w:val="18"/>
                <w:szCs w:val="24"/>
                <w:lang w:val="fr-FR" w:bidi="en-US"/>
              </w:rPr>
            </w:pPr>
            <w:r w:rsidRPr="00E1372C">
              <w:rPr>
                <w:sz w:val="18"/>
                <w:szCs w:val="24"/>
                <w:lang w:val="fr-FR" w:bidi="en-US"/>
              </w:rPr>
              <w:t>Infirmières diplômées</w:t>
            </w:r>
          </w:p>
        </w:tc>
        <w:tc>
          <w:tcPr>
            <w:tcW w:w="1985" w:type="dxa"/>
            <w:shd w:val="clear" w:color="auto" w:fill="auto"/>
            <w:vAlign w:val="bottom"/>
          </w:tcPr>
          <w:p w:rsidR="00A55A0E" w:rsidRPr="00E1372C" w:rsidRDefault="00A55A0E" w:rsidP="001F7CE7">
            <w:pPr>
              <w:suppressAutoHyphens w:val="0"/>
              <w:spacing w:before="40" w:after="40" w:line="220" w:lineRule="exact"/>
              <w:jc w:val="right"/>
              <w:rPr>
                <w:sz w:val="18"/>
                <w:szCs w:val="24"/>
                <w:lang w:val="fr-FR" w:bidi="en-US"/>
              </w:rPr>
            </w:pPr>
            <w:r w:rsidRPr="00E1372C">
              <w:rPr>
                <w:sz w:val="18"/>
                <w:szCs w:val="24"/>
                <w:lang w:val="fr-FR" w:bidi="en-US"/>
              </w:rPr>
              <w:t>1</w:t>
            </w:r>
            <w:r w:rsidR="001F7CE7" w:rsidRPr="00E1372C">
              <w:rPr>
                <w:sz w:val="18"/>
                <w:szCs w:val="24"/>
                <w:lang w:val="fr-FR" w:bidi="en-US"/>
              </w:rPr>
              <w:t> </w:t>
            </w:r>
            <w:r w:rsidRPr="00E1372C">
              <w:rPr>
                <w:sz w:val="18"/>
                <w:szCs w:val="24"/>
                <w:lang w:val="fr-FR" w:bidi="en-US"/>
              </w:rPr>
              <w:t>658</w:t>
            </w:r>
          </w:p>
        </w:tc>
        <w:tc>
          <w:tcPr>
            <w:tcW w:w="31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1:1</w:t>
            </w:r>
            <w:r w:rsidR="001F7CE7" w:rsidRPr="00E1372C">
              <w:rPr>
                <w:sz w:val="18"/>
                <w:szCs w:val="24"/>
                <w:lang w:val="fr-FR" w:bidi="en-US"/>
              </w:rPr>
              <w:t> </w:t>
            </w:r>
            <w:r w:rsidRPr="00E1372C">
              <w:rPr>
                <w:sz w:val="18"/>
                <w:szCs w:val="24"/>
                <w:lang w:val="fr-FR" w:bidi="en-US"/>
              </w:rPr>
              <w:t>974</w:t>
            </w:r>
          </w:p>
        </w:tc>
      </w:tr>
      <w:tr w:rsidR="00A55A0E" w:rsidRPr="00E1372C" w:rsidTr="00FA48A5">
        <w:trPr>
          <w:trHeight w:val="240"/>
        </w:trPr>
        <w:tc>
          <w:tcPr>
            <w:tcW w:w="2268" w:type="dxa"/>
            <w:shd w:val="clear" w:color="auto" w:fill="auto"/>
          </w:tcPr>
          <w:p w:rsidR="00A55A0E" w:rsidRPr="00E1372C" w:rsidRDefault="00A55A0E" w:rsidP="001F7CE7">
            <w:pPr>
              <w:suppressAutoHyphens w:val="0"/>
              <w:spacing w:before="40" w:after="40" w:line="220" w:lineRule="exact"/>
              <w:rPr>
                <w:sz w:val="18"/>
                <w:szCs w:val="24"/>
                <w:lang w:val="fr-FR" w:bidi="en-US"/>
              </w:rPr>
            </w:pPr>
            <w:r w:rsidRPr="00E1372C">
              <w:rPr>
                <w:sz w:val="18"/>
                <w:szCs w:val="24"/>
                <w:lang w:val="fr-FR" w:bidi="en-US"/>
              </w:rPr>
              <w:t>Pharmaci</w:t>
            </w:r>
            <w:r w:rsidR="001F7CE7" w:rsidRPr="00E1372C">
              <w:rPr>
                <w:sz w:val="18"/>
                <w:szCs w:val="24"/>
                <w:lang w:val="fr-FR" w:bidi="en-US"/>
              </w:rPr>
              <w:t>en</w:t>
            </w:r>
            <w:r w:rsidRPr="00E1372C">
              <w:rPr>
                <w:sz w:val="18"/>
                <w:szCs w:val="24"/>
                <w:lang w:val="fr-FR" w:bidi="en-US"/>
              </w:rPr>
              <w:t>s</w:t>
            </w:r>
          </w:p>
        </w:tc>
        <w:tc>
          <w:tcPr>
            <w:tcW w:w="198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44</w:t>
            </w:r>
          </w:p>
        </w:tc>
        <w:tc>
          <w:tcPr>
            <w:tcW w:w="31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1:84</w:t>
            </w:r>
            <w:r w:rsidR="001F7CE7" w:rsidRPr="00E1372C">
              <w:rPr>
                <w:sz w:val="18"/>
                <w:szCs w:val="24"/>
                <w:lang w:val="fr-FR" w:bidi="en-US"/>
              </w:rPr>
              <w:t> </w:t>
            </w:r>
            <w:r w:rsidRPr="00E1372C">
              <w:rPr>
                <w:sz w:val="18"/>
                <w:szCs w:val="24"/>
                <w:lang w:val="fr-FR" w:bidi="en-US"/>
              </w:rPr>
              <w:t>294</w:t>
            </w:r>
          </w:p>
        </w:tc>
      </w:tr>
      <w:tr w:rsidR="00A55A0E" w:rsidRPr="00E1372C" w:rsidTr="00FA48A5">
        <w:trPr>
          <w:trHeight w:val="240"/>
        </w:trPr>
        <w:tc>
          <w:tcPr>
            <w:tcW w:w="2268" w:type="dxa"/>
            <w:shd w:val="clear" w:color="auto" w:fill="auto"/>
          </w:tcPr>
          <w:p w:rsidR="00A55A0E" w:rsidRPr="00E1372C" w:rsidRDefault="001F7CE7" w:rsidP="00A55A0E">
            <w:pPr>
              <w:suppressAutoHyphens w:val="0"/>
              <w:spacing w:before="40" w:after="40" w:line="220" w:lineRule="exact"/>
              <w:rPr>
                <w:sz w:val="18"/>
                <w:szCs w:val="24"/>
                <w:lang w:val="fr-FR" w:bidi="en-US"/>
              </w:rPr>
            </w:pPr>
            <w:r w:rsidRPr="00E1372C">
              <w:rPr>
                <w:sz w:val="18"/>
                <w:szCs w:val="24"/>
                <w:lang w:val="fr-FR" w:bidi="en-US"/>
              </w:rPr>
              <w:t>Dentistes</w:t>
            </w:r>
          </w:p>
        </w:tc>
        <w:tc>
          <w:tcPr>
            <w:tcW w:w="198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13</w:t>
            </w:r>
          </w:p>
        </w:tc>
        <w:tc>
          <w:tcPr>
            <w:tcW w:w="31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1:107</w:t>
            </w:r>
            <w:r w:rsidR="001F7CE7" w:rsidRPr="00E1372C">
              <w:rPr>
                <w:sz w:val="18"/>
                <w:szCs w:val="24"/>
                <w:lang w:val="fr-FR" w:bidi="en-US"/>
              </w:rPr>
              <w:t> </w:t>
            </w:r>
            <w:r w:rsidRPr="00E1372C">
              <w:rPr>
                <w:sz w:val="18"/>
                <w:szCs w:val="24"/>
                <w:lang w:val="fr-FR" w:bidi="en-US"/>
              </w:rPr>
              <w:t>383</w:t>
            </w:r>
          </w:p>
        </w:tc>
      </w:tr>
      <w:tr w:rsidR="00A55A0E" w:rsidRPr="00E1372C" w:rsidTr="00FA48A5">
        <w:trPr>
          <w:trHeight w:val="240"/>
        </w:trPr>
        <w:tc>
          <w:tcPr>
            <w:tcW w:w="2268" w:type="dxa"/>
            <w:tcBorders>
              <w:bottom w:val="single" w:sz="12" w:space="0" w:color="auto"/>
            </w:tcBorders>
            <w:shd w:val="clear" w:color="auto" w:fill="auto"/>
          </w:tcPr>
          <w:p w:rsidR="00A55A0E" w:rsidRPr="00E1372C" w:rsidRDefault="001F7CE7" w:rsidP="001F7CE7">
            <w:pPr>
              <w:suppressAutoHyphens w:val="0"/>
              <w:spacing w:before="40" w:after="40" w:line="220" w:lineRule="exact"/>
              <w:rPr>
                <w:sz w:val="18"/>
                <w:szCs w:val="24"/>
                <w:lang w:val="fr-FR" w:bidi="en-US"/>
              </w:rPr>
            </w:pPr>
            <w:r w:rsidRPr="00E1372C">
              <w:rPr>
                <w:sz w:val="18"/>
                <w:szCs w:val="24"/>
                <w:lang w:val="fr-FR" w:bidi="en-US"/>
              </w:rPr>
              <w:t>Travailleurs sociaux</w:t>
            </w:r>
          </w:p>
        </w:tc>
        <w:tc>
          <w:tcPr>
            <w:tcW w:w="1985" w:type="dxa"/>
            <w:tcBorders>
              <w:bottom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76</w:t>
            </w:r>
          </w:p>
        </w:tc>
        <w:tc>
          <w:tcPr>
            <w:tcW w:w="3118" w:type="dxa"/>
            <w:tcBorders>
              <w:bottom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1:41</w:t>
            </w:r>
            <w:r w:rsidR="001F7CE7" w:rsidRPr="00E1372C">
              <w:rPr>
                <w:sz w:val="18"/>
                <w:szCs w:val="24"/>
                <w:lang w:val="fr-FR" w:bidi="en-US"/>
              </w:rPr>
              <w:t> </w:t>
            </w:r>
            <w:r w:rsidRPr="00E1372C">
              <w:rPr>
                <w:sz w:val="18"/>
                <w:szCs w:val="24"/>
                <w:lang w:val="fr-FR" w:bidi="en-US"/>
              </w:rPr>
              <w:t>847</w:t>
            </w:r>
          </w:p>
        </w:tc>
      </w:tr>
    </w:tbl>
    <w:p w:rsidR="00A55A0E" w:rsidRPr="00E1372C" w:rsidRDefault="00A55A0E" w:rsidP="00FA48A5">
      <w:pPr>
        <w:pStyle w:val="Source"/>
        <w:rPr>
          <w:lang w:bidi="en-US"/>
        </w:rPr>
      </w:pPr>
      <w:r w:rsidRPr="00E1372C">
        <w:rPr>
          <w:i/>
          <w:lang w:bidi="en-US"/>
        </w:rPr>
        <w:t>Source</w:t>
      </w:r>
      <w:r w:rsidRPr="00E1372C">
        <w:rPr>
          <w:i/>
          <w:iCs w:val="0"/>
          <w:lang w:bidi="en-US"/>
        </w:rPr>
        <w:t>:</w:t>
      </w:r>
      <w:r w:rsidR="001F7CE7" w:rsidRPr="00E1372C">
        <w:rPr>
          <w:lang w:bidi="en-US"/>
        </w:rPr>
        <w:t xml:space="preserve"> Ministère de la santé et des services sociaux, rapport sur le développement des ressources humaines,</w:t>
      </w:r>
      <w:r w:rsidRPr="00E1372C">
        <w:rPr>
          <w:lang w:bidi="en-US"/>
        </w:rPr>
        <w:t xml:space="preserve"> 2007</w:t>
      </w:r>
      <w:r w:rsidR="00EB6338" w:rsidRPr="00E1372C">
        <w:rPr>
          <w:lang w:bidi="en-US"/>
        </w:rPr>
        <w:t>-</w:t>
      </w:r>
      <w:r w:rsidR="00D17748" w:rsidRPr="00E1372C">
        <w:rPr>
          <w:lang w:bidi="en-US"/>
        </w:rPr>
        <w:t>20</w:t>
      </w:r>
      <w:r w:rsidRPr="00E1372C">
        <w:rPr>
          <w:lang w:bidi="en-US"/>
        </w:rPr>
        <w:t>08.</w:t>
      </w:r>
    </w:p>
    <w:p w:rsidR="00A55A0E" w:rsidRPr="00E1372C" w:rsidRDefault="00A55A0E" w:rsidP="00860F92">
      <w:pPr>
        <w:pStyle w:val="H23G"/>
        <w:rPr>
          <w:lang w:val="fr-FR" w:bidi="en-US"/>
        </w:rPr>
      </w:pPr>
      <w:r w:rsidRPr="00E1372C">
        <w:rPr>
          <w:lang w:val="fr-FR" w:bidi="en-US"/>
        </w:rPr>
        <w:tab/>
      </w:r>
      <w:r w:rsidRPr="00E1372C">
        <w:rPr>
          <w:lang w:val="fr-FR" w:bidi="en-US"/>
        </w:rPr>
        <w:tab/>
      </w:r>
      <w:r w:rsidR="001F7CE7" w:rsidRPr="00E1372C">
        <w:rPr>
          <w:lang w:val="fr-FR" w:bidi="en-US"/>
        </w:rPr>
        <w:t xml:space="preserve">Répartition des spécialistes de la santé, par secteur public et </w:t>
      </w:r>
      <w:r w:rsidR="00D33B20" w:rsidRPr="00E1372C">
        <w:rPr>
          <w:lang w:val="fr-FR" w:bidi="en-US"/>
        </w:rPr>
        <w:t xml:space="preserve">secteur </w:t>
      </w:r>
      <w:r w:rsidR="001F7CE7" w:rsidRPr="00E1372C">
        <w:rPr>
          <w:lang w:val="fr-FR" w:bidi="en-US"/>
        </w:rPr>
        <w:t>privé,</w:t>
      </w:r>
      <w:r w:rsidRPr="00E1372C">
        <w:rPr>
          <w:lang w:val="fr-FR" w:bidi="en-US"/>
        </w:rPr>
        <w:t xml:space="preserve"> 2007</w:t>
      </w:r>
      <w:r w:rsidR="001F7CE7" w:rsidRPr="00E1372C">
        <w:rPr>
          <w:lang w:val="fr-FR" w:bidi="en-US"/>
        </w:rPr>
        <w:t>-20</w:t>
      </w:r>
      <w:r w:rsidRPr="00E1372C">
        <w:rPr>
          <w:lang w:val="fr-FR" w:bidi="en-US"/>
        </w:rPr>
        <w:t>08</w:t>
      </w:r>
    </w:p>
    <w:p w:rsidR="00A55A0E" w:rsidRPr="00E1372C" w:rsidRDefault="002D3DD5" w:rsidP="00A55A0E">
      <w:pPr>
        <w:pStyle w:val="SingleTxtG"/>
        <w:rPr>
          <w:noProof/>
          <w:lang w:val="fr-FR" w:bidi="en-US"/>
        </w:rPr>
      </w:pPr>
      <w:r w:rsidRPr="00E1372C">
        <w:rPr>
          <w:noProof/>
          <w:lang w:val="fr-FR" w:eastAsia="zh-CN"/>
        </w:rPr>
        <w:pict>
          <v:group id="_x0000_s1042" style="position:absolute;left:0;text-align:left;margin-left:93.75pt;margin-top:147.45pt;width:260.55pt;height:79.8pt;z-index:1" coordorigin="3009,11970" coordsize="5211,1596">
            <v:shapetype id="_x0000_t202" coordsize="21600,21600" o:spt="202" path="m,l,21600r21600,l21600,xe">
              <v:stroke joinstyle="miter"/>
              <v:path gradientshapeok="t" o:connecttype="rect"/>
            </v:shapetype>
            <v:shape id="_x0000_s1027" type="#_x0000_t202" style="position:absolute;left:3009;top:12156;width:5211;height:1356" stroked="f">
              <v:textbox style="mso-next-textbox:#_x0000_s1027" inset="0,0,0,0">
                <w:txbxContent>
                  <w:p w:rsidR="00B63107" w:rsidRPr="00076D0F" w:rsidRDefault="00B63107" w:rsidP="00633019">
                    <w:pPr>
                      <w:spacing w:line="200" w:lineRule="atLeast"/>
                      <w:rPr>
                        <w:sz w:val="14"/>
                        <w:szCs w:val="14"/>
                      </w:rPr>
                    </w:pPr>
                  </w:p>
                </w:txbxContent>
              </v:textbox>
            </v:shape>
            <v:shape id="_x0000_s1030" type="#_x0000_t75" style="position:absolute;left:2983;top:12299;width:828;height:252;rotation:300">
              <v:imagedata r:id="rId8" o:title=""/>
            </v:shape>
            <v:shape id="_x0000_s1032" type="#_x0000_t75" style="position:absolute;left:3757;top:12378;width:1080;height:264;rotation:300">
              <v:imagedata r:id="rId9" o:title=""/>
            </v:shape>
            <v:shape id="_x0000_s1033" type="#_x0000_t75" style="position:absolute;left:4831;top:12311;width:792;height:264;rotation:300">
              <v:imagedata r:id="rId10" o:title=""/>
            </v:shape>
            <v:shape id="_x0000_s1034" type="#_x0000_t75" style="position:absolute;left:5515;top:12383;width:1008;height:264;rotation:300">
              <v:imagedata r:id="rId11" o:title=""/>
            </v:shape>
            <v:shape id="_x0000_s1038" type="#_x0000_t75" style="position:absolute;left:5925;top:12636;width:1596;height:264;rotation:300">
              <v:imagedata r:id="rId12" o:title=""/>
            </v:shape>
            <v:shape id="_x0000_s1039" type="#_x0000_t75" style="position:absolute;left:6895;top:12582;width:1500;height:276;rotation:300">
              <v:imagedata r:id="rId13" o:title=""/>
            </v:shape>
          </v:group>
        </w:pict>
      </w:r>
      <w:r w:rsidR="00194256" w:rsidRPr="00E1372C">
        <w:rPr>
          <w:i/>
          <w:noProof/>
          <w:lang w:val="fr-FR" w:eastAsia="zh-CN"/>
        </w:rPr>
        <w:pict>
          <v:shape id="_x0000_s1041" type="#_x0000_t202" style="position:absolute;left:0;text-align:left;margin-left:386.1pt;margin-top:119.55pt;width:35.4pt;height:10.5pt;z-index:3" stroked="f">
            <v:textbox inset="0,0,0,0">
              <w:txbxContent>
                <w:p w:rsidR="00B63107" w:rsidRPr="00194256" w:rsidRDefault="00B63107" w:rsidP="00194256">
                  <w:pPr>
                    <w:spacing w:line="200" w:lineRule="exact"/>
                    <w:rPr>
                      <w:lang w:val="fr-FR"/>
                    </w:rPr>
                  </w:pPr>
                  <w:r>
                    <w:rPr>
                      <w:lang w:val="fr-FR"/>
                    </w:rPr>
                    <w:t>Privé</w:t>
                  </w:r>
                </w:p>
              </w:txbxContent>
            </v:textbox>
          </v:shape>
        </w:pict>
      </w:r>
      <w:r w:rsidR="00194256" w:rsidRPr="00E1372C">
        <w:rPr>
          <w:i/>
          <w:noProof/>
          <w:lang w:val="fr-FR" w:eastAsia="zh-CN"/>
        </w:rPr>
        <w:pict>
          <v:shape id="_x0000_s1040" type="#_x0000_t202" style="position:absolute;left:0;text-align:left;margin-left:386.1pt;margin-top:101.55pt;width:35.4pt;height:10.5pt;z-index:2" stroked="f">
            <v:textbox inset="0,0,0,0">
              <w:txbxContent>
                <w:p w:rsidR="00B63107" w:rsidRPr="00194256" w:rsidRDefault="00B63107" w:rsidP="00194256">
                  <w:pPr>
                    <w:spacing w:line="200" w:lineRule="exact"/>
                    <w:rPr>
                      <w:lang w:val="fr-FR"/>
                    </w:rPr>
                  </w:pPr>
                  <w:r w:rsidRPr="00194256">
                    <w:rPr>
                      <w:lang w:val="fr-FR"/>
                    </w:rPr>
                    <w:t>Public</w:t>
                  </w:r>
                </w:p>
              </w:txbxContent>
            </v:textbox>
          </v:shape>
        </w:pict>
      </w:r>
      <w:r w:rsidR="00860F92" w:rsidRPr="00E1372C">
        <w:rPr>
          <w:noProof/>
          <w:lang w:val="fr-FR" w:bidi="en-US"/>
        </w:rPr>
        <w:pict>
          <v:shape id="Chart 1" o:spid="_x0000_i1026" type="#_x0000_t75" style="width:369pt;height:228.75pt;visibility:visible"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">
            <v:imagedata r:id="rId14" o:title=""/>
            <o:lock v:ext="edit" aspectratio="f"/>
            <w10:bordertop type="single" width="4"/>
            <w10:borderleft type="single" width="4"/>
            <w10:borderbottom type="single" width="4"/>
            <w10:borderright type="single" width="4"/>
          </v:shape>
        </w:pict>
      </w:r>
    </w:p>
    <w:p w:rsidR="00D540DD" w:rsidRPr="00E1372C" w:rsidRDefault="007A1757" w:rsidP="007A1757">
      <w:pPr>
        <w:pStyle w:val="SingleTxtG"/>
        <w:spacing w:before="240"/>
        <w:rPr>
          <w:snapToGrid w:val="0"/>
          <w:lang w:val="fr-FR" w:bidi="en-US"/>
        </w:rPr>
      </w:pPr>
      <w:r w:rsidRPr="00E1372C">
        <w:rPr>
          <w:snapToGrid w:val="0"/>
          <w:lang w:val="fr-FR" w:bidi="en-US"/>
        </w:rPr>
        <w:t>318.</w:t>
      </w:r>
      <w:r w:rsidRPr="00E1372C">
        <w:rPr>
          <w:snapToGrid w:val="0"/>
          <w:lang w:val="fr-FR" w:bidi="en-US"/>
        </w:rPr>
        <w:tab/>
      </w:r>
      <w:r w:rsidR="00D540DD" w:rsidRPr="00E1372C">
        <w:rPr>
          <w:snapToGrid w:val="0"/>
          <w:lang w:val="fr-FR" w:bidi="en-US"/>
        </w:rPr>
        <w:t>Le groupe des travailleurs qualifiés est inégalement réparti, médecins, pharmaciens et dentistes se concentrant surtout dans le secteur privé, même si le secteur public est le plus grand prestataire qui dessert quelque 80</w:t>
      </w:r>
      <w:r w:rsidR="007064FC" w:rsidRPr="00E1372C">
        <w:rPr>
          <w:snapToGrid w:val="0"/>
          <w:lang w:val="fr-FR" w:bidi="en-US"/>
        </w:rPr>
        <w:t> %</w:t>
      </w:r>
      <w:r w:rsidR="00D540DD" w:rsidRPr="00E1372C">
        <w:rPr>
          <w:snapToGrid w:val="0"/>
          <w:lang w:val="fr-FR" w:bidi="en-US"/>
        </w:rPr>
        <w:t xml:space="preserve"> de la population. Le seul contingent professionnel où le service public l</w:t>
      </w:r>
      <w:r w:rsidR="00731F09" w:rsidRPr="00E1372C">
        <w:rPr>
          <w:snapToGrid w:val="0"/>
          <w:lang w:val="fr-FR" w:bidi="en-US"/>
        </w:rPr>
        <w:t>’</w:t>
      </w:r>
      <w:r w:rsidR="00D540DD" w:rsidRPr="00E1372C">
        <w:rPr>
          <w:snapToGrid w:val="0"/>
          <w:lang w:val="fr-FR" w:bidi="en-US"/>
        </w:rPr>
        <w:t>emporte est celui des infirmières diplômées.</w:t>
      </w:r>
    </w:p>
    <w:p w:rsidR="00D540DD" w:rsidRPr="00E1372C" w:rsidRDefault="007A1757" w:rsidP="007A1757">
      <w:pPr>
        <w:pStyle w:val="SingleTxtG"/>
        <w:rPr>
          <w:lang w:val="fr-FR" w:bidi="en-US"/>
        </w:rPr>
      </w:pPr>
      <w:r w:rsidRPr="00E1372C">
        <w:rPr>
          <w:lang w:val="fr-FR" w:bidi="en-US"/>
        </w:rPr>
        <w:t>319.</w:t>
      </w:r>
      <w:r w:rsidRPr="00E1372C">
        <w:rPr>
          <w:lang w:val="fr-FR" w:bidi="en-US"/>
        </w:rPr>
        <w:tab/>
      </w:r>
      <w:r w:rsidR="00D540DD" w:rsidRPr="00E1372C">
        <w:rPr>
          <w:lang w:val="fr-FR" w:bidi="en-US"/>
        </w:rPr>
        <w:t>Dans l</w:t>
      </w:r>
      <w:r w:rsidR="00731F09" w:rsidRPr="00E1372C">
        <w:rPr>
          <w:lang w:val="fr-FR" w:bidi="en-US"/>
        </w:rPr>
        <w:t>’</w:t>
      </w:r>
      <w:r w:rsidR="00D540DD" w:rsidRPr="00E1372C">
        <w:rPr>
          <w:lang w:val="fr-FR" w:bidi="en-US"/>
        </w:rPr>
        <w:t>ensemble du secteur de la santé, la proportion de médecins par nombre d</w:t>
      </w:r>
      <w:r w:rsidR="00731F09" w:rsidRPr="00E1372C">
        <w:rPr>
          <w:lang w:val="fr-FR" w:bidi="en-US"/>
        </w:rPr>
        <w:t>’</w:t>
      </w:r>
      <w:r w:rsidR="00D540DD" w:rsidRPr="00E1372C">
        <w:rPr>
          <w:lang w:val="fr-FR" w:bidi="en-US"/>
        </w:rPr>
        <w:t>habitants est supérieure au critère fixé par l</w:t>
      </w:r>
      <w:r w:rsidR="00731F09" w:rsidRPr="00E1372C">
        <w:rPr>
          <w:lang w:val="fr-FR" w:bidi="en-US"/>
        </w:rPr>
        <w:t>’</w:t>
      </w:r>
      <w:r w:rsidR="00D540DD" w:rsidRPr="00E1372C">
        <w:rPr>
          <w:lang w:val="fr-FR" w:bidi="en-US"/>
        </w:rPr>
        <w:t xml:space="preserve">OMS </w:t>
      </w:r>
      <w:r w:rsidR="00D80D04" w:rsidRPr="00E1372C">
        <w:rPr>
          <w:lang w:val="fr-FR" w:bidi="en-US"/>
        </w:rPr>
        <w:t>de</w:t>
      </w:r>
      <w:r w:rsidR="00D540DD" w:rsidRPr="00E1372C">
        <w:rPr>
          <w:lang w:val="fr-FR" w:bidi="en-US"/>
        </w:rPr>
        <w:t xml:space="preserve"> 2,3 médecins pour 1 000 habitants. Toutefois, son classement par secteur privé et secteur public la place </w:t>
      </w:r>
      <w:r w:rsidR="00D80D04" w:rsidRPr="00E1372C">
        <w:rPr>
          <w:lang w:val="fr-FR" w:bidi="en-US"/>
        </w:rPr>
        <w:t xml:space="preserve">bien </w:t>
      </w:r>
      <w:r w:rsidR="00BE63FA" w:rsidRPr="00E1372C">
        <w:rPr>
          <w:lang w:val="fr-FR" w:bidi="en-US"/>
        </w:rPr>
        <w:t>au-</w:t>
      </w:r>
      <w:r w:rsidR="00D540DD" w:rsidRPr="00E1372C">
        <w:rPr>
          <w:lang w:val="fr-FR" w:bidi="en-US"/>
        </w:rPr>
        <w:t>dessous du critère relatif au secteur public.</w:t>
      </w:r>
    </w:p>
    <w:p w:rsidR="00D540DD" w:rsidRPr="00E1372C" w:rsidRDefault="007A1757" w:rsidP="007A1757">
      <w:pPr>
        <w:pStyle w:val="SingleTxtG"/>
        <w:rPr>
          <w:lang w:val="fr-FR" w:bidi="en-US"/>
        </w:rPr>
      </w:pPr>
      <w:r w:rsidRPr="00E1372C">
        <w:rPr>
          <w:lang w:val="fr-FR" w:bidi="en-US"/>
        </w:rPr>
        <w:t>320.</w:t>
      </w:r>
      <w:r w:rsidRPr="00E1372C">
        <w:rPr>
          <w:lang w:val="fr-FR" w:bidi="en-US"/>
        </w:rPr>
        <w:tab/>
      </w:r>
      <w:r w:rsidR="00D540DD" w:rsidRPr="00E1372C">
        <w:rPr>
          <w:lang w:val="fr-FR" w:bidi="en-US"/>
        </w:rPr>
        <w:t>L</w:t>
      </w:r>
      <w:r w:rsidR="00731F09" w:rsidRPr="00E1372C">
        <w:rPr>
          <w:lang w:val="fr-FR" w:bidi="en-US"/>
        </w:rPr>
        <w:t>’</w:t>
      </w:r>
      <w:r w:rsidR="00D33B20" w:rsidRPr="00E1372C">
        <w:rPr>
          <w:lang w:val="fr-FR" w:bidi="en-US"/>
        </w:rPr>
        <w:t>état de</w:t>
      </w:r>
      <w:r w:rsidR="00D540DD" w:rsidRPr="00E1372C">
        <w:rPr>
          <w:lang w:val="fr-FR" w:bidi="en-US"/>
        </w:rPr>
        <w:t xml:space="preserve"> santé </w:t>
      </w:r>
      <w:r w:rsidR="00D33B20" w:rsidRPr="00E1372C">
        <w:rPr>
          <w:lang w:val="fr-FR" w:bidi="en-US"/>
        </w:rPr>
        <w:t>glob</w:t>
      </w:r>
      <w:r w:rsidR="00D540DD" w:rsidRPr="00E1372C">
        <w:rPr>
          <w:lang w:val="fr-FR" w:bidi="en-US"/>
        </w:rPr>
        <w:t xml:space="preserve">al dans un pays est normalement évalué en fonction des </w:t>
      </w:r>
      <w:r w:rsidR="00761A9C" w:rsidRPr="00E1372C">
        <w:rPr>
          <w:lang w:val="fr-FR" w:bidi="en-US"/>
        </w:rPr>
        <w:t>résultats moyennant des indicateurs tels que le</w:t>
      </w:r>
      <w:r w:rsidR="00D33B20" w:rsidRPr="00E1372C">
        <w:rPr>
          <w:lang w:val="fr-FR" w:bidi="en-US"/>
        </w:rPr>
        <w:t>s</w:t>
      </w:r>
      <w:r w:rsidR="00761A9C" w:rsidRPr="00E1372C">
        <w:rPr>
          <w:lang w:val="fr-FR" w:bidi="en-US"/>
        </w:rPr>
        <w:t xml:space="preserve"> taux de fécondité et de mortalité. Ces indicateurs sont composites par nature. En d</w:t>
      </w:r>
      <w:r w:rsidR="00731F09" w:rsidRPr="00E1372C">
        <w:rPr>
          <w:lang w:val="fr-FR" w:bidi="en-US"/>
        </w:rPr>
        <w:t>’</w:t>
      </w:r>
      <w:r w:rsidR="00761A9C" w:rsidRPr="00E1372C">
        <w:rPr>
          <w:lang w:val="fr-FR" w:bidi="en-US"/>
        </w:rPr>
        <w:t>autres termes, ils sont influencés par de nombreux</w:t>
      </w:r>
      <w:r w:rsidR="00D33B20" w:rsidRPr="00E1372C">
        <w:rPr>
          <w:lang w:val="fr-FR" w:bidi="en-US"/>
        </w:rPr>
        <w:t xml:space="preserve"> </w:t>
      </w:r>
      <w:r w:rsidR="00761A9C" w:rsidRPr="00E1372C">
        <w:rPr>
          <w:lang w:val="fr-FR" w:bidi="en-US"/>
        </w:rPr>
        <w:t xml:space="preserve">facteurs </w:t>
      </w:r>
      <w:r w:rsidR="00761A9C" w:rsidRPr="00E1372C">
        <w:rPr>
          <w:lang w:val="fr-FR" w:bidi="en-US"/>
        </w:rPr>
        <w:br/>
        <w:t>– connaissances, comportement</w:t>
      </w:r>
      <w:r w:rsidR="00D33B20" w:rsidRPr="00E1372C">
        <w:rPr>
          <w:lang w:val="fr-FR" w:bidi="en-US"/>
        </w:rPr>
        <w:t>s</w:t>
      </w:r>
      <w:r w:rsidR="00761A9C" w:rsidRPr="00E1372C">
        <w:rPr>
          <w:lang w:val="fr-FR" w:bidi="en-US"/>
        </w:rPr>
        <w:t>, pratiques et conduite des personnes, des familles et des communautés, d</w:t>
      </w:r>
      <w:r w:rsidR="00731F09" w:rsidRPr="00E1372C">
        <w:rPr>
          <w:lang w:val="fr-FR" w:bidi="en-US"/>
        </w:rPr>
        <w:t>’</w:t>
      </w:r>
      <w:r w:rsidR="00761A9C" w:rsidRPr="00E1372C">
        <w:rPr>
          <w:lang w:val="fr-FR" w:bidi="en-US"/>
        </w:rPr>
        <w:t>une part et offre, mise à disposition, qualité et efficacité des programmes et services fournis par différents prestataires, d</w:t>
      </w:r>
      <w:r w:rsidR="00731F09" w:rsidRPr="00E1372C">
        <w:rPr>
          <w:lang w:val="fr-FR" w:bidi="en-US"/>
        </w:rPr>
        <w:t>’</w:t>
      </w:r>
      <w:r w:rsidR="00761A9C" w:rsidRPr="00E1372C">
        <w:rPr>
          <w:lang w:val="fr-FR" w:bidi="en-US"/>
        </w:rPr>
        <w:t>autre part. Les progrès accomplis quant aux résultats doivent par</w:t>
      </w:r>
      <w:r w:rsidR="00BE63FA" w:rsidRPr="00E1372C">
        <w:rPr>
          <w:lang w:val="fr-FR" w:bidi="en-US"/>
        </w:rPr>
        <w:t xml:space="preserve"> conséquent</w:t>
      </w:r>
      <w:r w:rsidR="00761A9C" w:rsidRPr="00E1372C">
        <w:rPr>
          <w:lang w:val="fr-FR" w:bidi="en-US"/>
        </w:rPr>
        <w:t xml:space="preserve"> être attribués à l</w:t>
      </w:r>
      <w:r w:rsidR="00731F09" w:rsidRPr="00E1372C">
        <w:rPr>
          <w:lang w:val="fr-FR" w:bidi="en-US"/>
        </w:rPr>
        <w:t>’</w:t>
      </w:r>
      <w:r w:rsidR="00761A9C" w:rsidRPr="00E1372C">
        <w:rPr>
          <w:lang w:val="fr-FR" w:bidi="en-US"/>
        </w:rPr>
        <w:t>ensemble de ces intervenants, ainsi qu</w:t>
      </w:r>
      <w:r w:rsidR="00731F09" w:rsidRPr="00E1372C">
        <w:rPr>
          <w:lang w:val="fr-FR" w:bidi="en-US"/>
        </w:rPr>
        <w:t>’</w:t>
      </w:r>
      <w:r w:rsidR="00761A9C" w:rsidRPr="00E1372C">
        <w:rPr>
          <w:lang w:val="fr-FR" w:bidi="en-US"/>
        </w:rPr>
        <w:t>à la qualité de leur coopération et de l</w:t>
      </w:r>
      <w:r w:rsidR="00731F09" w:rsidRPr="00E1372C">
        <w:rPr>
          <w:lang w:val="fr-FR" w:bidi="en-US"/>
        </w:rPr>
        <w:t>’</w:t>
      </w:r>
      <w:r w:rsidR="00761A9C" w:rsidRPr="00E1372C">
        <w:rPr>
          <w:lang w:val="fr-FR" w:bidi="en-US"/>
        </w:rPr>
        <w:t>administration du système de santé au sens large.</w:t>
      </w:r>
    </w:p>
    <w:p w:rsidR="00761A9C" w:rsidRPr="00E1372C" w:rsidRDefault="007A1757" w:rsidP="007A1757">
      <w:pPr>
        <w:pStyle w:val="SingleTxtG"/>
        <w:rPr>
          <w:lang w:val="fr-FR" w:bidi="en-US"/>
        </w:rPr>
      </w:pPr>
      <w:r w:rsidRPr="00E1372C">
        <w:rPr>
          <w:lang w:val="fr-FR" w:bidi="en-US"/>
        </w:rPr>
        <w:t>321.</w:t>
      </w:r>
      <w:r w:rsidRPr="00E1372C">
        <w:rPr>
          <w:lang w:val="fr-FR" w:bidi="en-US"/>
        </w:rPr>
        <w:tab/>
      </w:r>
      <w:r w:rsidR="00761A9C" w:rsidRPr="00E1372C">
        <w:rPr>
          <w:lang w:val="fr-FR" w:bidi="en-US"/>
        </w:rPr>
        <w:t>L</w:t>
      </w:r>
      <w:r w:rsidR="00731F09" w:rsidRPr="00E1372C">
        <w:rPr>
          <w:lang w:val="fr-FR" w:bidi="en-US"/>
        </w:rPr>
        <w:t>’</w:t>
      </w:r>
      <w:r w:rsidR="00D33B20" w:rsidRPr="00E1372C">
        <w:rPr>
          <w:lang w:val="fr-FR" w:bidi="en-US"/>
        </w:rPr>
        <w:t>e</w:t>
      </w:r>
      <w:r w:rsidR="00761A9C" w:rsidRPr="00E1372C">
        <w:rPr>
          <w:lang w:val="fr-FR" w:bidi="en-US"/>
        </w:rPr>
        <w:t>nquête nationale sur la santé de la population de 2006 constate de nets progrès en matière de résultats, par rapport à ceux obtenus en 2000 et 1992. Le taux de fécondité total, soit le nombre moyen d</w:t>
      </w:r>
      <w:r w:rsidR="00731F09" w:rsidRPr="00E1372C">
        <w:rPr>
          <w:lang w:val="fr-FR" w:bidi="en-US"/>
        </w:rPr>
        <w:t>’</w:t>
      </w:r>
      <w:r w:rsidR="00761A9C" w:rsidRPr="00E1372C">
        <w:rPr>
          <w:lang w:val="fr-FR" w:bidi="en-US"/>
        </w:rPr>
        <w:t>enfants qu</w:t>
      </w:r>
      <w:r w:rsidR="00731F09" w:rsidRPr="00E1372C">
        <w:rPr>
          <w:lang w:val="fr-FR" w:bidi="en-US"/>
        </w:rPr>
        <w:t>’</w:t>
      </w:r>
      <w:r w:rsidR="00761A9C" w:rsidRPr="00E1372C">
        <w:rPr>
          <w:lang w:val="fr-FR" w:bidi="en-US"/>
        </w:rPr>
        <w:t>une femme est susceptible d</w:t>
      </w:r>
      <w:r w:rsidR="00731F09" w:rsidRPr="00E1372C">
        <w:rPr>
          <w:lang w:val="fr-FR" w:bidi="en-US"/>
        </w:rPr>
        <w:t>’</w:t>
      </w:r>
      <w:r w:rsidR="00761A9C" w:rsidRPr="00E1372C">
        <w:rPr>
          <w:lang w:val="fr-FR" w:bidi="en-US"/>
        </w:rPr>
        <w:t>avoir, a baissé de 22</w:t>
      </w:r>
      <w:r w:rsidR="007064FC" w:rsidRPr="00E1372C">
        <w:rPr>
          <w:lang w:val="fr-FR" w:bidi="en-US"/>
        </w:rPr>
        <w:t> %</w:t>
      </w:r>
      <w:r w:rsidR="00F3392A" w:rsidRPr="00E1372C">
        <w:rPr>
          <w:lang w:val="fr-FR" w:bidi="en-US"/>
        </w:rPr>
        <w:t xml:space="preserve">, tombant de </w:t>
      </w:r>
      <w:r w:rsidR="00761A9C" w:rsidRPr="00E1372C">
        <w:rPr>
          <w:lang w:val="fr-FR" w:bidi="en-US"/>
        </w:rPr>
        <w:t>5,4 en 1992 à 4,2 en 2000 et à 3,6 en 2006. L</w:t>
      </w:r>
      <w:r w:rsidR="001E19AD" w:rsidRPr="00E1372C">
        <w:rPr>
          <w:lang w:val="fr-FR" w:bidi="en-US"/>
        </w:rPr>
        <w:t xml:space="preserve">e taux de mortalité infantile </w:t>
      </w:r>
      <w:r w:rsidR="00F3392A" w:rsidRPr="00E1372C">
        <w:rPr>
          <w:lang w:val="fr-FR" w:bidi="en-US"/>
        </w:rPr>
        <w:br/>
      </w:r>
      <w:r w:rsidR="001E19AD" w:rsidRPr="00E1372C">
        <w:rPr>
          <w:lang w:val="fr-FR" w:bidi="en-US"/>
        </w:rPr>
        <w:t xml:space="preserve">– </w:t>
      </w:r>
      <w:r w:rsidR="00761A9C" w:rsidRPr="00E1372C">
        <w:rPr>
          <w:lang w:val="fr-FR" w:bidi="en-US"/>
        </w:rPr>
        <w:t>nombre de décès parmi</w:t>
      </w:r>
      <w:r w:rsidR="00AE017E" w:rsidRPr="00E1372C">
        <w:rPr>
          <w:lang w:val="fr-FR" w:bidi="en-US"/>
        </w:rPr>
        <w:t xml:space="preserve"> </w:t>
      </w:r>
      <w:r w:rsidR="00761A9C" w:rsidRPr="00E1372C">
        <w:rPr>
          <w:lang w:val="fr-FR" w:bidi="en-US"/>
        </w:rPr>
        <w:t>les enfants de moins d</w:t>
      </w:r>
      <w:r w:rsidR="00731F09" w:rsidRPr="00E1372C">
        <w:rPr>
          <w:lang w:val="fr-FR" w:bidi="en-US"/>
        </w:rPr>
        <w:t>’</w:t>
      </w:r>
      <w:r w:rsidR="00761A9C" w:rsidRPr="00E1372C">
        <w:rPr>
          <w:lang w:val="fr-FR" w:bidi="en-US"/>
        </w:rPr>
        <w:t>un an, exprimé pour 1 000 naissances vivantes – a notablement baissé, de 57 en 1992 à 38</w:t>
      </w:r>
      <w:r w:rsidR="001E19AD" w:rsidRPr="00E1372C">
        <w:rPr>
          <w:lang w:val="fr-FR" w:bidi="en-US"/>
        </w:rPr>
        <w:t xml:space="preserve"> en 2000, mais est remonté à 46 en </w:t>
      </w:r>
      <w:r w:rsidR="00761A9C" w:rsidRPr="00E1372C">
        <w:rPr>
          <w:lang w:val="fr-FR" w:bidi="en-US"/>
        </w:rPr>
        <w:t>2006. En outre, le taux de mortalité des enfants de moins de 5 ans – nombre d</w:t>
      </w:r>
      <w:r w:rsidR="00731F09" w:rsidRPr="00E1372C">
        <w:rPr>
          <w:lang w:val="fr-FR" w:bidi="en-US"/>
        </w:rPr>
        <w:t>’</w:t>
      </w:r>
      <w:r w:rsidR="00761A9C" w:rsidRPr="00E1372C">
        <w:rPr>
          <w:lang w:val="fr-FR" w:bidi="en-US"/>
        </w:rPr>
        <w:t>enfants de moins de 5 ans décédés sur 100 000 naissances – est passé de 64 à 68 en 2000 et 69 en 2006.</w:t>
      </w:r>
    </w:p>
    <w:p w:rsidR="00786585" w:rsidRPr="00E1372C" w:rsidRDefault="007A1757" w:rsidP="007A1757">
      <w:pPr>
        <w:pStyle w:val="SingleTxtG"/>
        <w:rPr>
          <w:lang w:val="fr-FR" w:bidi="en-US"/>
        </w:rPr>
      </w:pPr>
      <w:r w:rsidRPr="00E1372C">
        <w:rPr>
          <w:lang w:val="fr-FR" w:bidi="en-US"/>
        </w:rPr>
        <w:t>322.</w:t>
      </w:r>
      <w:r w:rsidRPr="00E1372C">
        <w:rPr>
          <w:lang w:val="fr-FR" w:bidi="en-US"/>
        </w:rPr>
        <w:tab/>
      </w:r>
      <w:r w:rsidR="00786585" w:rsidRPr="00E1372C">
        <w:rPr>
          <w:lang w:val="fr-FR"/>
        </w:rPr>
        <w:t>La situation sanitaire de la communauté San des régions d</w:t>
      </w:r>
      <w:r w:rsidR="00731F09" w:rsidRPr="00E1372C">
        <w:rPr>
          <w:lang w:val="fr-FR"/>
        </w:rPr>
        <w:t>’</w:t>
      </w:r>
      <w:r w:rsidR="00786585" w:rsidRPr="00E1372C">
        <w:rPr>
          <w:lang w:val="fr-FR"/>
        </w:rPr>
        <w:t>Otjozondjupa et d</w:t>
      </w:r>
      <w:r w:rsidR="00731F09" w:rsidRPr="00E1372C">
        <w:rPr>
          <w:lang w:val="fr-FR"/>
        </w:rPr>
        <w:t>’</w:t>
      </w:r>
      <w:r w:rsidR="00786585" w:rsidRPr="00E1372C">
        <w:rPr>
          <w:lang w:val="fr-FR"/>
        </w:rPr>
        <w:t>Omaheke serait plus mauvaise que celle du reste du pays. Ces deux régions connaissent les taux de mortalité liés à la maternité les plus élevés. Le Ministère de la santé et des services sociaux s</w:t>
      </w:r>
      <w:r w:rsidR="00731F09" w:rsidRPr="00E1372C">
        <w:rPr>
          <w:lang w:val="fr-FR"/>
        </w:rPr>
        <w:t>’</w:t>
      </w:r>
      <w:r w:rsidR="00786585" w:rsidRPr="00E1372C">
        <w:rPr>
          <w:lang w:val="fr-FR"/>
        </w:rPr>
        <w:t xml:space="preserve">est engagé à traiter la question pour les communautés marginalisées en orientant les interventions appropriées vers la communauté </w:t>
      </w:r>
      <w:r w:rsidR="00702C2B" w:rsidRPr="00E1372C">
        <w:rPr>
          <w:lang w:val="fr-FR"/>
        </w:rPr>
        <w:t>s</w:t>
      </w:r>
      <w:r w:rsidR="00786585" w:rsidRPr="00E1372C">
        <w:rPr>
          <w:lang w:val="fr-FR"/>
        </w:rPr>
        <w:t>an disséminée. Il fournit des services à ces communautés.</w:t>
      </w:r>
    </w:p>
    <w:p w:rsidR="00E53EC5" w:rsidRPr="00E1372C" w:rsidRDefault="007A1757" w:rsidP="007A1757">
      <w:pPr>
        <w:pStyle w:val="SingleTxtG"/>
        <w:rPr>
          <w:lang w:val="fr-FR" w:bidi="en-US"/>
        </w:rPr>
      </w:pPr>
      <w:r w:rsidRPr="00E1372C">
        <w:rPr>
          <w:lang w:val="fr-FR" w:bidi="en-US"/>
        </w:rPr>
        <w:t>323.</w:t>
      </w:r>
      <w:r w:rsidRPr="00E1372C">
        <w:rPr>
          <w:lang w:val="fr-FR" w:bidi="en-US"/>
        </w:rPr>
        <w:tab/>
      </w:r>
      <w:r w:rsidR="00E53EC5" w:rsidRPr="00E1372C">
        <w:rPr>
          <w:lang w:val="fr-FR" w:bidi="en-US"/>
        </w:rPr>
        <w:t>Des programmes de santé génésique ont été mis en œuvre dans les régions d</w:t>
      </w:r>
      <w:r w:rsidR="00731F09" w:rsidRPr="00E1372C">
        <w:rPr>
          <w:lang w:val="fr-FR" w:bidi="en-US"/>
        </w:rPr>
        <w:t>’</w:t>
      </w:r>
      <w:r w:rsidR="00A55A0E" w:rsidRPr="00E1372C">
        <w:rPr>
          <w:lang w:val="fr-FR" w:bidi="en-US"/>
        </w:rPr>
        <w:t xml:space="preserve">Ohangwena </w:t>
      </w:r>
      <w:r w:rsidR="00E53EC5" w:rsidRPr="00E1372C">
        <w:rPr>
          <w:lang w:val="fr-FR" w:bidi="en-US"/>
        </w:rPr>
        <w:t>et d</w:t>
      </w:r>
      <w:r w:rsidR="00731F09" w:rsidRPr="00E1372C">
        <w:rPr>
          <w:lang w:val="fr-FR" w:bidi="en-US"/>
        </w:rPr>
        <w:t>’</w:t>
      </w:r>
      <w:r w:rsidR="00A55A0E" w:rsidRPr="00E1372C">
        <w:rPr>
          <w:lang w:val="fr-FR" w:bidi="en-US"/>
        </w:rPr>
        <w:t>Okavango</w:t>
      </w:r>
      <w:r w:rsidR="00E53EC5" w:rsidRPr="00E1372C">
        <w:rPr>
          <w:lang w:val="fr-FR" w:bidi="en-US"/>
        </w:rPr>
        <w:t>. La priorité absolue a été donnée au</w:t>
      </w:r>
      <w:r w:rsidR="009B7FFC" w:rsidRPr="00E1372C">
        <w:rPr>
          <w:lang w:val="fr-FR" w:bidi="en-US"/>
        </w:rPr>
        <w:t xml:space="preserve"> programme de santé génésique. Le programme de vaccination a été élargi en vue de traiter et de maîtriser les maladies qui tuent des enfants. Le Ministère a rendu les services de santé et tous les dispensaires mieux accessibles dans un rayon de 10 kilomètres de toutes les communautés.</w:t>
      </w:r>
    </w:p>
    <w:p w:rsidR="009B7FFC" w:rsidRPr="00E1372C" w:rsidRDefault="007A1757" w:rsidP="007A1757">
      <w:pPr>
        <w:pStyle w:val="SingleTxtG"/>
        <w:rPr>
          <w:lang w:val="fr-FR" w:bidi="en-US"/>
        </w:rPr>
      </w:pPr>
      <w:r w:rsidRPr="00E1372C">
        <w:rPr>
          <w:lang w:val="fr-FR" w:bidi="en-US"/>
        </w:rPr>
        <w:t>324.</w:t>
      </w:r>
      <w:r w:rsidRPr="00E1372C">
        <w:rPr>
          <w:lang w:val="fr-FR" w:bidi="en-US"/>
        </w:rPr>
        <w:tab/>
      </w:r>
      <w:r w:rsidR="009B7FFC" w:rsidRPr="00E1372C">
        <w:rPr>
          <w:lang w:val="fr-FR" w:bidi="en-US"/>
        </w:rPr>
        <w:t>Le Ministère dispense les indigents du paiement des soins et tous les services de soins de santé primaires sont fournis</w:t>
      </w:r>
      <w:r w:rsidR="00AE017E" w:rsidRPr="00E1372C">
        <w:rPr>
          <w:lang w:val="fr-FR" w:bidi="en-US"/>
        </w:rPr>
        <w:t xml:space="preserve"> </w:t>
      </w:r>
      <w:r w:rsidR="009B7FFC" w:rsidRPr="00E1372C">
        <w:rPr>
          <w:lang w:val="fr-FR" w:bidi="en-US"/>
        </w:rPr>
        <w:t>gratuitement. Il a établi des critères d</w:t>
      </w:r>
      <w:r w:rsidR="00731F09" w:rsidRPr="00E1372C">
        <w:rPr>
          <w:lang w:val="fr-FR" w:bidi="en-US"/>
        </w:rPr>
        <w:t>’</w:t>
      </w:r>
      <w:r w:rsidR="009B7FFC" w:rsidRPr="00E1372C">
        <w:rPr>
          <w:lang w:val="fr-FR" w:bidi="en-US"/>
        </w:rPr>
        <w:t>exonération des frais, dont bénéficient également les personnes âgées. Seule une très faible proportion de personnes âgées, qui peuvent souscrire une assurance maladie privée, risque de subir une hausse des coûts. La grande majorité, plus de 90</w:t>
      </w:r>
      <w:r w:rsidR="007064FC" w:rsidRPr="00E1372C">
        <w:rPr>
          <w:lang w:val="fr-FR" w:bidi="en-US"/>
        </w:rPr>
        <w:t> %</w:t>
      </w:r>
      <w:r w:rsidR="009B7FFC" w:rsidRPr="00E1372C">
        <w:rPr>
          <w:lang w:val="fr-FR" w:bidi="en-US"/>
        </w:rPr>
        <w:t>, recourt aux services du ministère, qui sont assurés gratuitement.</w:t>
      </w:r>
    </w:p>
    <w:p w:rsidR="009B7FFC" w:rsidRPr="00E1372C" w:rsidRDefault="007A1757" w:rsidP="007A1757">
      <w:pPr>
        <w:pStyle w:val="SingleTxtG"/>
        <w:rPr>
          <w:lang w:val="fr-FR" w:bidi="en-US"/>
        </w:rPr>
      </w:pPr>
      <w:r w:rsidRPr="00E1372C">
        <w:rPr>
          <w:lang w:val="fr-FR" w:bidi="en-US"/>
        </w:rPr>
        <w:t>325.</w:t>
      </w:r>
      <w:r w:rsidRPr="00E1372C">
        <w:rPr>
          <w:lang w:val="fr-FR" w:bidi="en-US"/>
        </w:rPr>
        <w:tab/>
      </w:r>
      <w:r w:rsidR="009B7FFC" w:rsidRPr="00E1372C">
        <w:rPr>
          <w:lang w:val="fr-FR" w:bidi="en-US"/>
        </w:rPr>
        <w:t>Le Ministère a instauré des comités régionaux de développement</w:t>
      </w:r>
      <w:r w:rsidR="00764E15" w:rsidRPr="00E1372C">
        <w:rPr>
          <w:lang w:val="fr-FR" w:bidi="en-US"/>
        </w:rPr>
        <w:t>,</w:t>
      </w:r>
      <w:r w:rsidR="009B7FFC" w:rsidRPr="00E1372C">
        <w:rPr>
          <w:lang w:val="fr-FR" w:bidi="en-US"/>
        </w:rPr>
        <w:t xml:space="preserve"> formés de responsables politiques et autres chefs communautaires, ainsi que des intervenants clés</w:t>
      </w:r>
      <w:r w:rsidR="00764E15" w:rsidRPr="00E1372C">
        <w:rPr>
          <w:lang w:val="fr-FR" w:bidi="en-US"/>
        </w:rPr>
        <w:t>,</w:t>
      </w:r>
      <w:r w:rsidR="009B7FFC" w:rsidRPr="00E1372C">
        <w:rPr>
          <w:lang w:val="fr-FR" w:bidi="en-US"/>
        </w:rPr>
        <w:t xml:space="preserve"> qui se réunissent régulièrement. Des comités ont également été établis dans les circonscriptions. Les districts de santé comptent des </w:t>
      </w:r>
      <w:r w:rsidR="00896A52" w:rsidRPr="00E1372C">
        <w:rPr>
          <w:lang w:val="fr-FR" w:bidi="en-US"/>
        </w:rPr>
        <w:t xml:space="preserve">comités sanitaires et la plupart des dispensaires </w:t>
      </w:r>
      <w:r w:rsidR="00BE63FA" w:rsidRPr="00E1372C">
        <w:rPr>
          <w:lang w:val="fr-FR" w:bidi="en-US"/>
        </w:rPr>
        <w:t>dispose</w:t>
      </w:r>
      <w:r w:rsidR="00483A5A" w:rsidRPr="00E1372C">
        <w:rPr>
          <w:lang w:val="fr-FR" w:bidi="en-US"/>
        </w:rPr>
        <w:t>nt</w:t>
      </w:r>
      <w:r w:rsidR="00BE63FA" w:rsidRPr="00E1372C">
        <w:rPr>
          <w:lang w:val="fr-FR" w:bidi="en-US"/>
        </w:rPr>
        <w:t xml:space="preserve"> </w:t>
      </w:r>
      <w:r w:rsidR="00896A52" w:rsidRPr="00E1372C">
        <w:rPr>
          <w:lang w:val="fr-FR" w:bidi="en-US"/>
        </w:rPr>
        <w:t>de comités communautaires où toutes les questions de soins de santé primaires sont examinées et traitées.</w:t>
      </w:r>
    </w:p>
    <w:p w:rsidR="00896A52" w:rsidRPr="00E1372C" w:rsidRDefault="007A1757" w:rsidP="007A1757">
      <w:pPr>
        <w:pStyle w:val="SingleTxtG"/>
        <w:rPr>
          <w:lang w:val="fr-FR" w:bidi="en-US"/>
        </w:rPr>
      </w:pPr>
      <w:r w:rsidRPr="00E1372C">
        <w:rPr>
          <w:lang w:val="fr-FR" w:bidi="en-US"/>
        </w:rPr>
        <w:t>326.</w:t>
      </w:r>
      <w:r w:rsidRPr="00E1372C">
        <w:rPr>
          <w:lang w:val="fr-FR" w:bidi="en-US"/>
        </w:rPr>
        <w:tab/>
      </w:r>
      <w:r w:rsidR="00896A52" w:rsidRPr="00E1372C">
        <w:rPr>
          <w:lang w:val="fr-FR" w:bidi="en-US"/>
        </w:rPr>
        <w:t>Le Ministère de l</w:t>
      </w:r>
      <w:r w:rsidR="00731F09" w:rsidRPr="00E1372C">
        <w:rPr>
          <w:lang w:val="fr-FR" w:bidi="en-US"/>
        </w:rPr>
        <w:t>’</w:t>
      </w:r>
      <w:r w:rsidR="00896A52" w:rsidRPr="00E1372C">
        <w:rPr>
          <w:lang w:val="fr-FR" w:bidi="en-US"/>
        </w:rPr>
        <w:t>éducation a inscrit l</w:t>
      </w:r>
      <w:r w:rsidR="00731F09" w:rsidRPr="00E1372C">
        <w:rPr>
          <w:lang w:val="fr-FR" w:bidi="en-US"/>
        </w:rPr>
        <w:t>’</w:t>
      </w:r>
      <w:r w:rsidR="00483A5A" w:rsidRPr="00E1372C">
        <w:rPr>
          <w:lang w:val="fr-FR" w:bidi="en-US"/>
        </w:rPr>
        <w:t>enseignement de la santé</w:t>
      </w:r>
      <w:r w:rsidR="00896A52" w:rsidRPr="00E1372C">
        <w:rPr>
          <w:lang w:val="fr-FR" w:bidi="en-US"/>
        </w:rPr>
        <w:t xml:space="preserve"> dans son programme. Les questions relatives à la santé font partie du programme des compétences pratiques dispensé dans les écoles. Le programme relatif à la santé scolaire, du Ministère de la santé et des services sociaux, prévoit des visites dans les écoles. Le programme de sensibilisation du même ministère sert à instruire les groupes à atteindre dans ces communautés.</w:t>
      </w:r>
    </w:p>
    <w:p w:rsidR="000F50D1" w:rsidRPr="00E1372C" w:rsidRDefault="007A1757" w:rsidP="007A1757">
      <w:pPr>
        <w:pStyle w:val="SingleTxtG"/>
        <w:rPr>
          <w:lang w:val="fr-FR" w:bidi="en-US"/>
        </w:rPr>
      </w:pPr>
      <w:r w:rsidRPr="00E1372C">
        <w:rPr>
          <w:lang w:val="fr-FR" w:bidi="en-US"/>
        </w:rPr>
        <w:t>327.</w:t>
      </w:r>
      <w:r w:rsidRPr="00E1372C">
        <w:rPr>
          <w:lang w:val="fr-FR" w:bidi="en-US"/>
        </w:rPr>
        <w:tab/>
      </w:r>
      <w:r w:rsidR="00764E15" w:rsidRPr="00E1372C">
        <w:rPr>
          <w:lang w:val="fr-FR" w:bidi="en-US"/>
        </w:rPr>
        <w:t>Le Gouvernement a,</w:t>
      </w:r>
      <w:r w:rsidR="00896A52" w:rsidRPr="00E1372C">
        <w:rPr>
          <w:lang w:val="fr-FR" w:bidi="en-US"/>
        </w:rPr>
        <w:t xml:space="preserve"> depuis l</w:t>
      </w:r>
      <w:r w:rsidR="00731F09" w:rsidRPr="00E1372C">
        <w:rPr>
          <w:lang w:val="fr-FR" w:bidi="en-US"/>
        </w:rPr>
        <w:t>’</w:t>
      </w:r>
      <w:r w:rsidR="00896A52" w:rsidRPr="00E1372C">
        <w:rPr>
          <w:lang w:val="fr-FR" w:bidi="en-US"/>
        </w:rPr>
        <w:t>indépendance, été assidûment soutenu par différents partenaires du développement. Le Ministère de la santé et des services sociaux a été assisté par l</w:t>
      </w:r>
      <w:r w:rsidR="00731F09" w:rsidRPr="00E1372C">
        <w:rPr>
          <w:lang w:val="fr-FR" w:bidi="en-US"/>
        </w:rPr>
        <w:t>’</w:t>
      </w:r>
      <w:r w:rsidR="00896A52" w:rsidRPr="00E1372C">
        <w:rPr>
          <w:lang w:val="fr-FR" w:bidi="en-US"/>
        </w:rPr>
        <w:t>UNICEF, l</w:t>
      </w:r>
      <w:r w:rsidR="00731F09" w:rsidRPr="00E1372C">
        <w:rPr>
          <w:lang w:val="fr-FR" w:bidi="en-US"/>
        </w:rPr>
        <w:t>’</w:t>
      </w:r>
      <w:r w:rsidR="00896A52" w:rsidRPr="00E1372C">
        <w:rPr>
          <w:lang w:val="fr-FR" w:bidi="en-US"/>
        </w:rPr>
        <w:t>OMS, le FNUAP et autres partenaires de la santé.</w:t>
      </w:r>
    </w:p>
    <w:p w:rsidR="00896A52" w:rsidRPr="00E1372C" w:rsidRDefault="007A1757" w:rsidP="007A1757">
      <w:pPr>
        <w:pStyle w:val="SingleTxtG"/>
        <w:rPr>
          <w:lang w:val="fr-FR" w:bidi="en-US"/>
        </w:rPr>
      </w:pPr>
      <w:r w:rsidRPr="00E1372C">
        <w:rPr>
          <w:lang w:val="fr-FR" w:bidi="en-US"/>
        </w:rPr>
        <w:t>328.</w:t>
      </w:r>
      <w:r w:rsidRPr="00E1372C">
        <w:rPr>
          <w:lang w:val="fr-FR" w:bidi="en-US"/>
        </w:rPr>
        <w:tab/>
      </w:r>
      <w:r w:rsidR="00896A52" w:rsidRPr="00E1372C">
        <w:rPr>
          <w:lang w:val="fr-FR" w:bidi="en-US"/>
        </w:rPr>
        <w:t>À l</w:t>
      </w:r>
      <w:r w:rsidR="00731F09" w:rsidRPr="00E1372C">
        <w:rPr>
          <w:lang w:val="fr-FR" w:bidi="en-US"/>
        </w:rPr>
        <w:t>’</w:t>
      </w:r>
      <w:r w:rsidR="00896A52" w:rsidRPr="00E1372C">
        <w:rPr>
          <w:lang w:val="fr-FR" w:bidi="en-US"/>
        </w:rPr>
        <w:t>époque du colonialisme et jusqu</w:t>
      </w:r>
      <w:r w:rsidR="00731F09" w:rsidRPr="00E1372C">
        <w:rPr>
          <w:lang w:val="fr-FR" w:bidi="en-US"/>
        </w:rPr>
        <w:t>’</w:t>
      </w:r>
      <w:r w:rsidR="00896A52" w:rsidRPr="00E1372C">
        <w:rPr>
          <w:lang w:val="fr-FR" w:bidi="en-US"/>
        </w:rPr>
        <w:t>à l</w:t>
      </w:r>
      <w:r w:rsidR="00731F09" w:rsidRPr="00E1372C">
        <w:rPr>
          <w:lang w:val="fr-FR" w:bidi="en-US"/>
        </w:rPr>
        <w:t>’</w:t>
      </w:r>
      <w:r w:rsidR="00896A52" w:rsidRPr="00E1372C">
        <w:rPr>
          <w:lang w:val="fr-FR" w:bidi="en-US"/>
        </w:rPr>
        <w:t>indépendance, les services de santé étaient dispensés et administrés dans les régions rurales, selon des critères ethniques. Ainsi, le système de santé était alors par nature curatif, extrêmement fragmenté et inéquitable. Depuis l</w:t>
      </w:r>
      <w:r w:rsidR="00731F09" w:rsidRPr="00E1372C">
        <w:rPr>
          <w:lang w:val="fr-FR" w:bidi="en-US"/>
        </w:rPr>
        <w:t>’</w:t>
      </w:r>
      <w:r w:rsidR="00896A52" w:rsidRPr="00E1372C">
        <w:rPr>
          <w:lang w:val="fr-FR" w:bidi="en-US"/>
        </w:rPr>
        <w:t>indépendance, le Gouvernement a transformé ce système pour le rendre compatible avec les nouveaux principes et objectifs internationaux.</w:t>
      </w:r>
    </w:p>
    <w:p w:rsidR="00A55A0E" w:rsidRPr="00E1372C" w:rsidRDefault="001E19AD" w:rsidP="001E19AD">
      <w:pPr>
        <w:pStyle w:val="H23G"/>
        <w:rPr>
          <w:lang w:val="fr-FR" w:bidi="en-US"/>
        </w:rPr>
      </w:pPr>
      <w:r w:rsidRPr="00E1372C">
        <w:rPr>
          <w:lang w:val="fr-FR" w:bidi="en-US"/>
        </w:rPr>
        <w:tab/>
      </w:r>
      <w:r w:rsidRPr="00E1372C">
        <w:rPr>
          <w:lang w:val="fr-FR" w:bidi="en-US"/>
        </w:rPr>
        <w:tab/>
      </w:r>
      <w:r w:rsidR="00A55A0E" w:rsidRPr="00E1372C">
        <w:rPr>
          <w:lang w:val="fr-FR" w:bidi="en-US"/>
        </w:rPr>
        <w:t>N</w:t>
      </w:r>
      <w:r w:rsidR="00896A52" w:rsidRPr="00E1372C">
        <w:rPr>
          <w:lang w:val="fr-FR" w:bidi="en-US"/>
        </w:rPr>
        <w:t>ombre d</w:t>
      </w:r>
      <w:r w:rsidR="00731F09" w:rsidRPr="00E1372C">
        <w:rPr>
          <w:lang w:val="fr-FR" w:bidi="en-US"/>
        </w:rPr>
        <w:t>’</w:t>
      </w:r>
      <w:r w:rsidR="00896A52" w:rsidRPr="00E1372C">
        <w:rPr>
          <w:lang w:val="fr-FR" w:bidi="en-US"/>
        </w:rPr>
        <w:t xml:space="preserve">établissements </w:t>
      </w:r>
      <w:r w:rsidR="004738C7" w:rsidRPr="00E1372C">
        <w:rPr>
          <w:lang w:val="fr-FR" w:bidi="en-US"/>
        </w:rPr>
        <w:t>de santé</w:t>
      </w:r>
    </w:p>
    <w:p w:rsidR="00A55A0E" w:rsidRPr="00E1372C" w:rsidRDefault="007A1757" w:rsidP="00804361">
      <w:pPr>
        <w:pStyle w:val="SingleTxtG"/>
        <w:keepNext/>
        <w:spacing w:after="240"/>
        <w:rPr>
          <w:lang w:val="fr-FR" w:bidi="en-US"/>
        </w:rPr>
      </w:pPr>
      <w:r w:rsidRPr="00E1372C">
        <w:rPr>
          <w:lang w:val="fr-FR" w:bidi="en-US"/>
        </w:rPr>
        <w:t>329.</w:t>
      </w:r>
      <w:r w:rsidRPr="00E1372C">
        <w:rPr>
          <w:lang w:val="fr-FR" w:bidi="en-US"/>
        </w:rPr>
        <w:tab/>
      </w:r>
      <w:r w:rsidR="00896A52" w:rsidRPr="00E1372C">
        <w:rPr>
          <w:lang w:val="fr-FR" w:bidi="en-US"/>
        </w:rPr>
        <w:t>Le nombre d</w:t>
      </w:r>
      <w:r w:rsidR="00731F09" w:rsidRPr="00E1372C">
        <w:rPr>
          <w:lang w:val="fr-FR" w:bidi="en-US"/>
        </w:rPr>
        <w:t>’</w:t>
      </w:r>
      <w:r w:rsidR="00896A52" w:rsidRPr="00E1372C">
        <w:rPr>
          <w:lang w:val="fr-FR" w:bidi="en-US"/>
        </w:rPr>
        <w:t xml:space="preserve">établissements </w:t>
      </w:r>
      <w:r w:rsidR="004738C7" w:rsidRPr="00E1372C">
        <w:rPr>
          <w:lang w:val="fr-FR" w:bidi="en-US"/>
        </w:rPr>
        <w:t>de santé</w:t>
      </w:r>
      <w:r w:rsidR="00896A52" w:rsidRPr="00E1372C">
        <w:rPr>
          <w:lang w:val="fr-FR" w:bidi="en-US"/>
        </w:rPr>
        <w:t xml:space="preserve"> construits après l</w:t>
      </w:r>
      <w:r w:rsidR="00731F09" w:rsidRPr="00E1372C">
        <w:rPr>
          <w:lang w:val="fr-FR" w:bidi="en-US"/>
        </w:rPr>
        <w:t>’</w:t>
      </w:r>
      <w:r w:rsidR="00896A52" w:rsidRPr="00E1372C">
        <w:rPr>
          <w:lang w:val="fr-FR" w:bidi="en-US"/>
        </w:rPr>
        <w:t>indépendance est, par catégorie, le suivant</w:t>
      </w:r>
      <w:r w:rsidR="00AE017E" w:rsidRPr="00E1372C">
        <w:rPr>
          <w:lang w:val="fr-FR" w:bidi="en-US"/>
        </w:rPr>
        <w:t>:</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A55A0E" w:rsidRPr="00E1372C" w:rsidTr="00804361">
        <w:trPr>
          <w:trHeight w:val="240"/>
        </w:trPr>
        <w:tc>
          <w:tcPr>
            <w:tcW w:w="3685" w:type="dxa"/>
            <w:tcBorders>
              <w:top w:val="single" w:sz="12" w:space="0" w:color="auto"/>
              <w:bottom w:val="single" w:sz="4" w:space="0" w:color="auto"/>
            </w:tcBorders>
            <w:shd w:val="clear" w:color="auto" w:fill="auto"/>
            <w:vAlign w:val="center"/>
          </w:tcPr>
          <w:p w:rsidR="00A55A0E" w:rsidRPr="00E1372C" w:rsidRDefault="00896A52" w:rsidP="00804361">
            <w:pPr>
              <w:keepNext/>
              <w:suppressAutoHyphens w:val="0"/>
              <w:spacing w:before="40" w:after="40" w:line="220" w:lineRule="exact"/>
              <w:rPr>
                <w:iCs/>
                <w:sz w:val="18"/>
                <w:szCs w:val="18"/>
                <w:lang w:val="fr-FR" w:bidi="en-US"/>
              </w:rPr>
            </w:pPr>
            <w:r w:rsidRPr="00E1372C">
              <w:rPr>
                <w:iCs/>
                <w:sz w:val="18"/>
                <w:szCs w:val="18"/>
                <w:lang w:val="fr-FR" w:bidi="en-US"/>
              </w:rPr>
              <w:t>Dispensaires</w:t>
            </w:r>
          </w:p>
        </w:tc>
        <w:tc>
          <w:tcPr>
            <w:tcW w:w="3685" w:type="dxa"/>
            <w:tcBorders>
              <w:top w:val="single" w:sz="12" w:space="0" w:color="auto"/>
              <w:bottom w:val="single" w:sz="4" w:space="0" w:color="auto"/>
            </w:tcBorders>
            <w:shd w:val="clear" w:color="auto" w:fill="auto"/>
            <w:vAlign w:val="bottom"/>
          </w:tcPr>
          <w:p w:rsidR="00A55A0E" w:rsidRPr="00E1372C" w:rsidRDefault="00A55A0E" w:rsidP="0076598A">
            <w:pPr>
              <w:keepNext/>
              <w:suppressAutoHyphens w:val="0"/>
              <w:spacing w:before="40" w:after="40" w:line="220" w:lineRule="exact"/>
              <w:jc w:val="right"/>
              <w:rPr>
                <w:iCs/>
                <w:sz w:val="18"/>
                <w:szCs w:val="18"/>
                <w:lang w:val="fr-FR" w:bidi="en-US"/>
              </w:rPr>
            </w:pPr>
            <w:r w:rsidRPr="00E1372C">
              <w:rPr>
                <w:iCs/>
                <w:sz w:val="18"/>
                <w:szCs w:val="18"/>
                <w:lang w:val="fr-FR" w:bidi="en-US"/>
              </w:rPr>
              <w:t>N</w:t>
            </w:r>
            <w:r w:rsidR="00896A52" w:rsidRPr="00E1372C">
              <w:rPr>
                <w:iCs/>
                <w:sz w:val="18"/>
                <w:szCs w:val="18"/>
                <w:lang w:val="fr-FR" w:bidi="en-US"/>
              </w:rPr>
              <w:t>ouveaux</w:t>
            </w:r>
            <w:r w:rsidRPr="00E1372C">
              <w:rPr>
                <w:iCs/>
                <w:sz w:val="18"/>
                <w:szCs w:val="18"/>
                <w:lang w:val="fr-FR" w:bidi="en-US"/>
              </w:rPr>
              <w:t xml:space="preserve"> 228</w:t>
            </w:r>
            <w:r w:rsidRPr="00E1372C">
              <w:rPr>
                <w:iCs/>
                <w:sz w:val="18"/>
                <w:szCs w:val="18"/>
                <w:lang w:val="fr-FR" w:bidi="en-US"/>
              </w:rPr>
              <w:br/>
            </w:r>
            <w:r w:rsidR="00896A52" w:rsidRPr="00E1372C">
              <w:rPr>
                <w:iCs/>
                <w:sz w:val="18"/>
                <w:szCs w:val="18"/>
                <w:lang w:val="fr-FR" w:bidi="en-US"/>
              </w:rPr>
              <w:t>Modernisés</w:t>
            </w:r>
            <w:r w:rsidRPr="00E1372C">
              <w:rPr>
                <w:iCs/>
                <w:sz w:val="18"/>
                <w:szCs w:val="18"/>
                <w:lang w:val="fr-FR" w:bidi="en-US"/>
              </w:rPr>
              <w:t xml:space="preserve"> 40</w:t>
            </w:r>
          </w:p>
        </w:tc>
      </w:tr>
      <w:tr w:rsidR="00A55A0E" w:rsidRPr="00E1372C" w:rsidTr="00804361">
        <w:trPr>
          <w:trHeight w:val="240"/>
        </w:trPr>
        <w:tc>
          <w:tcPr>
            <w:tcW w:w="3685" w:type="dxa"/>
            <w:tcBorders>
              <w:top w:val="single" w:sz="4" w:space="0" w:color="auto"/>
              <w:bottom w:val="single" w:sz="4" w:space="0" w:color="auto"/>
            </w:tcBorders>
            <w:shd w:val="clear" w:color="auto" w:fill="auto"/>
          </w:tcPr>
          <w:p w:rsidR="00A55A0E" w:rsidRPr="00E1372C" w:rsidRDefault="00A55A0E" w:rsidP="00804361">
            <w:pPr>
              <w:keepNext/>
              <w:suppressAutoHyphens w:val="0"/>
              <w:spacing w:before="80" w:after="80" w:line="220" w:lineRule="exact"/>
              <w:ind w:left="283"/>
              <w:rPr>
                <w:b/>
                <w:bCs/>
                <w:sz w:val="18"/>
                <w:szCs w:val="24"/>
                <w:lang w:val="fr-FR" w:bidi="en-US"/>
              </w:rPr>
            </w:pPr>
            <w:r w:rsidRPr="00E1372C">
              <w:rPr>
                <w:b/>
                <w:bCs/>
                <w:sz w:val="18"/>
                <w:szCs w:val="24"/>
                <w:lang w:val="fr-FR" w:bidi="en-US"/>
              </w:rPr>
              <w:t>Total</w:t>
            </w:r>
          </w:p>
        </w:tc>
        <w:tc>
          <w:tcPr>
            <w:tcW w:w="3685" w:type="dxa"/>
            <w:tcBorders>
              <w:top w:val="single" w:sz="4" w:space="0" w:color="auto"/>
              <w:bottom w:val="single" w:sz="4" w:space="0" w:color="auto"/>
            </w:tcBorders>
            <w:shd w:val="clear" w:color="auto" w:fill="auto"/>
            <w:vAlign w:val="bottom"/>
          </w:tcPr>
          <w:p w:rsidR="00A55A0E" w:rsidRPr="00E1372C" w:rsidRDefault="00A55A0E" w:rsidP="00804361">
            <w:pPr>
              <w:keepNext/>
              <w:suppressAutoHyphens w:val="0"/>
              <w:spacing w:before="80" w:after="80" w:line="220" w:lineRule="exact"/>
              <w:jc w:val="right"/>
              <w:rPr>
                <w:b/>
                <w:bCs/>
                <w:sz w:val="18"/>
                <w:szCs w:val="24"/>
                <w:lang w:val="fr-FR" w:bidi="en-US"/>
              </w:rPr>
            </w:pPr>
            <w:r w:rsidRPr="00E1372C">
              <w:rPr>
                <w:b/>
                <w:bCs/>
                <w:sz w:val="18"/>
                <w:szCs w:val="24"/>
                <w:lang w:val="fr-FR" w:bidi="en-US"/>
              </w:rPr>
              <w:t>268</w:t>
            </w:r>
          </w:p>
        </w:tc>
      </w:tr>
      <w:tr w:rsidR="00A55A0E" w:rsidRPr="00E1372C" w:rsidTr="00804361">
        <w:trPr>
          <w:trHeight w:val="240"/>
        </w:trPr>
        <w:tc>
          <w:tcPr>
            <w:tcW w:w="3685" w:type="dxa"/>
            <w:tcBorders>
              <w:top w:val="single" w:sz="4" w:space="0" w:color="auto"/>
              <w:bottom w:val="single" w:sz="4" w:space="0" w:color="auto"/>
            </w:tcBorders>
            <w:shd w:val="clear" w:color="auto" w:fill="auto"/>
            <w:vAlign w:val="center"/>
          </w:tcPr>
          <w:p w:rsidR="00A55A0E" w:rsidRPr="00E1372C" w:rsidRDefault="005703FD" w:rsidP="00804361">
            <w:pPr>
              <w:keepNext/>
              <w:suppressAutoHyphens w:val="0"/>
              <w:spacing w:before="40" w:after="40" w:line="220" w:lineRule="exact"/>
              <w:rPr>
                <w:sz w:val="18"/>
                <w:szCs w:val="24"/>
                <w:lang w:val="fr-FR" w:bidi="en-US"/>
              </w:rPr>
            </w:pPr>
            <w:r w:rsidRPr="00E1372C">
              <w:rPr>
                <w:iCs/>
                <w:sz w:val="18"/>
                <w:szCs w:val="18"/>
                <w:lang w:val="fr-FR" w:bidi="en-US"/>
              </w:rPr>
              <w:t>Centres</w:t>
            </w:r>
            <w:r w:rsidR="00896A52" w:rsidRPr="00E1372C">
              <w:rPr>
                <w:sz w:val="18"/>
                <w:szCs w:val="24"/>
                <w:lang w:val="fr-FR" w:bidi="en-US"/>
              </w:rPr>
              <w:t xml:space="preserve"> médicaux</w:t>
            </w:r>
          </w:p>
        </w:tc>
        <w:tc>
          <w:tcPr>
            <w:tcW w:w="3685" w:type="dxa"/>
            <w:tcBorders>
              <w:top w:val="single" w:sz="4" w:space="0" w:color="auto"/>
              <w:bottom w:val="single" w:sz="4" w:space="0" w:color="auto"/>
            </w:tcBorders>
            <w:shd w:val="clear" w:color="auto" w:fill="auto"/>
            <w:vAlign w:val="bottom"/>
          </w:tcPr>
          <w:p w:rsidR="00A55A0E" w:rsidRPr="00E1372C" w:rsidRDefault="00A55A0E" w:rsidP="0076598A">
            <w:pPr>
              <w:keepNext/>
              <w:suppressAutoHyphens w:val="0"/>
              <w:spacing w:before="40" w:after="40" w:line="220" w:lineRule="exact"/>
              <w:jc w:val="right"/>
              <w:rPr>
                <w:sz w:val="18"/>
                <w:szCs w:val="24"/>
                <w:lang w:val="fr-FR" w:bidi="en-US"/>
              </w:rPr>
            </w:pPr>
            <w:r w:rsidRPr="00E1372C">
              <w:rPr>
                <w:sz w:val="18"/>
                <w:szCs w:val="24"/>
                <w:lang w:val="fr-FR" w:bidi="en-US"/>
              </w:rPr>
              <w:t>N</w:t>
            </w:r>
            <w:r w:rsidR="00896A52" w:rsidRPr="00E1372C">
              <w:rPr>
                <w:sz w:val="18"/>
                <w:szCs w:val="24"/>
                <w:lang w:val="fr-FR" w:bidi="en-US"/>
              </w:rPr>
              <w:t>ouveaux</w:t>
            </w:r>
            <w:r w:rsidRPr="00E1372C">
              <w:rPr>
                <w:sz w:val="18"/>
                <w:szCs w:val="24"/>
                <w:lang w:val="fr-FR" w:bidi="en-US"/>
              </w:rPr>
              <w:t xml:space="preserve"> 6</w:t>
            </w:r>
            <w:r w:rsidRPr="00E1372C">
              <w:rPr>
                <w:sz w:val="18"/>
                <w:szCs w:val="24"/>
                <w:lang w:val="fr-FR" w:bidi="en-US"/>
              </w:rPr>
              <w:br/>
            </w:r>
            <w:r w:rsidR="00896A52" w:rsidRPr="00E1372C">
              <w:rPr>
                <w:sz w:val="18"/>
                <w:szCs w:val="24"/>
                <w:lang w:val="fr-FR" w:bidi="en-US"/>
              </w:rPr>
              <w:t>Modernisés</w:t>
            </w:r>
            <w:r w:rsidRPr="00E1372C">
              <w:rPr>
                <w:sz w:val="18"/>
                <w:szCs w:val="24"/>
                <w:lang w:val="fr-FR" w:bidi="en-US"/>
              </w:rPr>
              <w:t xml:space="preserve"> 37</w:t>
            </w:r>
          </w:p>
        </w:tc>
      </w:tr>
      <w:tr w:rsidR="00A55A0E" w:rsidRPr="00E1372C" w:rsidTr="00804361">
        <w:trPr>
          <w:trHeight w:val="240"/>
        </w:trPr>
        <w:tc>
          <w:tcPr>
            <w:tcW w:w="3685" w:type="dxa"/>
            <w:tcBorders>
              <w:top w:val="single" w:sz="4" w:space="0" w:color="auto"/>
              <w:bottom w:val="single" w:sz="4" w:space="0" w:color="auto"/>
            </w:tcBorders>
            <w:shd w:val="clear" w:color="auto" w:fill="auto"/>
          </w:tcPr>
          <w:p w:rsidR="00A55A0E" w:rsidRPr="00E1372C" w:rsidRDefault="00A55A0E" w:rsidP="00804361">
            <w:pPr>
              <w:keepNext/>
              <w:suppressAutoHyphens w:val="0"/>
              <w:spacing w:before="80" w:after="80" w:line="220" w:lineRule="exact"/>
              <w:ind w:left="283"/>
              <w:rPr>
                <w:b/>
                <w:bCs/>
                <w:sz w:val="18"/>
                <w:szCs w:val="24"/>
                <w:lang w:val="fr-FR" w:bidi="en-US"/>
              </w:rPr>
            </w:pPr>
            <w:r w:rsidRPr="00E1372C">
              <w:rPr>
                <w:b/>
                <w:bCs/>
                <w:sz w:val="18"/>
                <w:szCs w:val="24"/>
                <w:lang w:val="fr-FR" w:bidi="en-US"/>
              </w:rPr>
              <w:t xml:space="preserve">Total </w:t>
            </w:r>
          </w:p>
        </w:tc>
        <w:tc>
          <w:tcPr>
            <w:tcW w:w="3685" w:type="dxa"/>
            <w:tcBorders>
              <w:top w:val="single" w:sz="4" w:space="0" w:color="auto"/>
              <w:bottom w:val="single" w:sz="4" w:space="0" w:color="auto"/>
            </w:tcBorders>
            <w:shd w:val="clear" w:color="auto" w:fill="auto"/>
            <w:vAlign w:val="bottom"/>
          </w:tcPr>
          <w:p w:rsidR="00A55A0E" w:rsidRPr="00E1372C" w:rsidRDefault="00A55A0E" w:rsidP="00804361">
            <w:pPr>
              <w:keepNext/>
              <w:suppressAutoHyphens w:val="0"/>
              <w:spacing w:before="80" w:after="80" w:line="220" w:lineRule="exact"/>
              <w:jc w:val="right"/>
              <w:rPr>
                <w:b/>
                <w:bCs/>
                <w:sz w:val="18"/>
                <w:szCs w:val="24"/>
                <w:lang w:val="fr-FR" w:bidi="en-US"/>
              </w:rPr>
            </w:pPr>
            <w:r w:rsidRPr="00E1372C">
              <w:rPr>
                <w:b/>
                <w:bCs/>
                <w:sz w:val="18"/>
                <w:szCs w:val="24"/>
                <w:lang w:val="fr-FR" w:bidi="en-US"/>
              </w:rPr>
              <w:t>43</w:t>
            </w:r>
          </w:p>
        </w:tc>
      </w:tr>
      <w:tr w:rsidR="00A55A0E" w:rsidRPr="00E1372C" w:rsidTr="00804361">
        <w:trPr>
          <w:trHeight w:val="240"/>
        </w:trPr>
        <w:tc>
          <w:tcPr>
            <w:tcW w:w="3685" w:type="dxa"/>
            <w:tcBorders>
              <w:top w:val="single" w:sz="4" w:space="0" w:color="auto"/>
              <w:bottom w:val="single" w:sz="4" w:space="0" w:color="auto"/>
            </w:tcBorders>
            <w:shd w:val="clear" w:color="auto" w:fill="auto"/>
            <w:vAlign w:val="center"/>
          </w:tcPr>
          <w:p w:rsidR="00A55A0E" w:rsidRPr="00E1372C" w:rsidRDefault="00A55A0E" w:rsidP="00804361">
            <w:pPr>
              <w:keepNext/>
              <w:suppressAutoHyphens w:val="0"/>
              <w:spacing w:before="40" w:after="40" w:line="220" w:lineRule="exact"/>
              <w:rPr>
                <w:sz w:val="18"/>
                <w:szCs w:val="24"/>
                <w:lang w:val="fr-FR" w:bidi="en-US"/>
              </w:rPr>
            </w:pPr>
            <w:r w:rsidRPr="00E1372C">
              <w:rPr>
                <w:sz w:val="18"/>
                <w:szCs w:val="24"/>
                <w:lang w:val="fr-FR" w:bidi="en-US"/>
              </w:rPr>
              <w:t>H</w:t>
            </w:r>
            <w:r w:rsidR="00896A52" w:rsidRPr="00E1372C">
              <w:rPr>
                <w:sz w:val="18"/>
                <w:szCs w:val="24"/>
                <w:lang w:val="fr-FR" w:bidi="en-US"/>
              </w:rPr>
              <w:t>ôpitaux</w:t>
            </w:r>
          </w:p>
        </w:tc>
        <w:tc>
          <w:tcPr>
            <w:tcW w:w="3685" w:type="dxa"/>
            <w:tcBorders>
              <w:top w:val="single" w:sz="4" w:space="0" w:color="auto"/>
              <w:bottom w:val="single" w:sz="4" w:space="0" w:color="auto"/>
            </w:tcBorders>
            <w:shd w:val="clear" w:color="auto" w:fill="auto"/>
            <w:vAlign w:val="bottom"/>
          </w:tcPr>
          <w:p w:rsidR="00A55A0E" w:rsidRPr="00E1372C" w:rsidRDefault="00A55A0E" w:rsidP="0076598A">
            <w:pPr>
              <w:keepNext/>
              <w:suppressAutoHyphens w:val="0"/>
              <w:spacing w:before="40" w:after="40" w:line="220" w:lineRule="exact"/>
              <w:jc w:val="right"/>
              <w:rPr>
                <w:sz w:val="18"/>
                <w:szCs w:val="24"/>
                <w:lang w:val="fr-FR" w:bidi="en-US"/>
              </w:rPr>
            </w:pPr>
            <w:r w:rsidRPr="00E1372C">
              <w:rPr>
                <w:sz w:val="18"/>
                <w:szCs w:val="24"/>
                <w:lang w:val="fr-FR" w:bidi="en-US"/>
              </w:rPr>
              <w:t>N</w:t>
            </w:r>
            <w:r w:rsidR="00896A52" w:rsidRPr="00E1372C">
              <w:rPr>
                <w:sz w:val="18"/>
                <w:szCs w:val="24"/>
                <w:lang w:val="fr-FR" w:bidi="en-US"/>
              </w:rPr>
              <w:t>ouveaux</w:t>
            </w:r>
            <w:r w:rsidRPr="00E1372C">
              <w:rPr>
                <w:sz w:val="18"/>
                <w:szCs w:val="24"/>
                <w:lang w:val="fr-FR" w:bidi="en-US"/>
              </w:rPr>
              <w:t xml:space="preserve"> 19</w:t>
            </w:r>
            <w:r w:rsidRPr="00E1372C">
              <w:rPr>
                <w:sz w:val="18"/>
                <w:szCs w:val="24"/>
                <w:lang w:val="fr-FR" w:bidi="en-US"/>
              </w:rPr>
              <w:br/>
            </w:r>
            <w:r w:rsidR="00896A52" w:rsidRPr="00E1372C">
              <w:rPr>
                <w:sz w:val="18"/>
                <w:szCs w:val="24"/>
                <w:lang w:val="fr-FR" w:bidi="en-US"/>
              </w:rPr>
              <w:t>Modernisés</w:t>
            </w:r>
            <w:r w:rsidRPr="00E1372C">
              <w:rPr>
                <w:sz w:val="18"/>
                <w:szCs w:val="24"/>
                <w:lang w:val="fr-FR" w:bidi="en-US"/>
              </w:rPr>
              <w:t xml:space="preserve"> 16</w:t>
            </w:r>
          </w:p>
        </w:tc>
      </w:tr>
      <w:tr w:rsidR="00A55A0E" w:rsidRPr="00E1372C" w:rsidTr="00804361">
        <w:trPr>
          <w:trHeight w:val="240"/>
        </w:trPr>
        <w:tc>
          <w:tcPr>
            <w:tcW w:w="3685" w:type="dxa"/>
            <w:tcBorders>
              <w:top w:val="single" w:sz="4" w:space="0" w:color="auto"/>
              <w:bottom w:val="single" w:sz="4" w:space="0" w:color="auto"/>
            </w:tcBorders>
            <w:shd w:val="clear" w:color="auto" w:fill="auto"/>
          </w:tcPr>
          <w:p w:rsidR="00A55A0E" w:rsidRPr="00E1372C" w:rsidRDefault="00A55A0E" w:rsidP="00804361">
            <w:pPr>
              <w:keepNext/>
              <w:suppressAutoHyphens w:val="0"/>
              <w:spacing w:before="80" w:after="80" w:line="220" w:lineRule="exact"/>
              <w:ind w:left="283"/>
              <w:rPr>
                <w:b/>
                <w:bCs/>
                <w:sz w:val="18"/>
                <w:szCs w:val="24"/>
                <w:lang w:val="fr-FR" w:bidi="en-US"/>
              </w:rPr>
            </w:pPr>
            <w:r w:rsidRPr="00E1372C">
              <w:rPr>
                <w:b/>
                <w:bCs/>
                <w:sz w:val="18"/>
                <w:szCs w:val="24"/>
                <w:lang w:val="fr-FR" w:bidi="en-US"/>
              </w:rPr>
              <w:t xml:space="preserve">Total </w:t>
            </w:r>
          </w:p>
        </w:tc>
        <w:tc>
          <w:tcPr>
            <w:tcW w:w="3685" w:type="dxa"/>
            <w:tcBorders>
              <w:top w:val="single" w:sz="4" w:space="0" w:color="auto"/>
              <w:bottom w:val="single" w:sz="4" w:space="0" w:color="auto"/>
            </w:tcBorders>
            <w:shd w:val="clear" w:color="auto" w:fill="auto"/>
            <w:vAlign w:val="bottom"/>
          </w:tcPr>
          <w:p w:rsidR="00A55A0E" w:rsidRPr="00E1372C" w:rsidRDefault="00A55A0E" w:rsidP="00804361">
            <w:pPr>
              <w:keepNext/>
              <w:suppressAutoHyphens w:val="0"/>
              <w:spacing w:before="80" w:after="80" w:line="220" w:lineRule="exact"/>
              <w:jc w:val="right"/>
              <w:rPr>
                <w:b/>
                <w:bCs/>
                <w:sz w:val="18"/>
                <w:szCs w:val="24"/>
                <w:lang w:val="fr-FR" w:bidi="en-US"/>
              </w:rPr>
            </w:pPr>
            <w:r w:rsidRPr="00E1372C">
              <w:rPr>
                <w:b/>
                <w:bCs/>
                <w:sz w:val="18"/>
                <w:szCs w:val="24"/>
                <w:lang w:val="fr-FR" w:bidi="en-US"/>
              </w:rPr>
              <w:t>3</w:t>
            </w:r>
            <w:r w:rsidR="0076598A" w:rsidRPr="00E1372C">
              <w:rPr>
                <w:b/>
                <w:bCs/>
                <w:sz w:val="18"/>
                <w:szCs w:val="24"/>
                <w:lang w:val="fr-FR" w:bidi="en-US"/>
              </w:rPr>
              <w:t>5</w:t>
            </w:r>
          </w:p>
        </w:tc>
      </w:tr>
      <w:tr w:rsidR="00A55A0E" w:rsidRPr="00E1372C" w:rsidTr="00804361">
        <w:trPr>
          <w:trHeight w:val="240"/>
        </w:trPr>
        <w:tc>
          <w:tcPr>
            <w:tcW w:w="3685" w:type="dxa"/>
            <w:tcBorders>
              <w:top w:val="single" w:sz="4" w:space="0" w:color="auto"/>
            </w:tcBorders>
            <w:shd w:val="clear" w:color="auto" w:fill="auto"/>
          </w:tcPr>
          <w:p w:rsidR="00A55A0E" w:rsidRPr="00E1372C" w:rsidRDefault="00896A52" w:rsidP="0076598A">
            <w:pPr>
              <w:keepNext/>
              <w:suppressAutoHyphens w:val="0"/>
              <w:spacing w:before="40" w:after="40" w:line="220" w:lineRule="exact"/>
              <w:rPr>
                <w:sz w:val="18"/>
                <w:szCs w:val="24"/>
                <w:lang w:val="fr-FR" w:bidi="en-US"/>
              </w:rPr>
            </w:pPr>
            <w:r w:rsidRPr="00E1372C">
              <w:rPr>
                <w:sz w:val="18"/>
                <w:szCs w:val="24"/>
                <w:lang w:val="fr-FR" w:bidi="en-US"/>
              </w:rPr>
              <w:t>Bureaux régionaux</w:t>
            </w:r>
            <w:r w:rsidR="005703FD" w:rsidRPr="00E1372C">
              <w:rPr>
                <w:sz w:val="18"/>
                <w:szCs w:val="24"/>
                <w:lang w:val="fr-FR" w:bidi="en-US"/>
              </w:rPr>
              <w:t xml:space="preserve"> des équipes de gestion</w:t>
            </w:r>
          </w:p>
        </w:tc>
        <w:tc>
          <w:tcPr>
            <w:tcW w:w="3685" w:type="dxa"/>
            <w:tcBorders>
              <w:top w:val="single" w:sz="4" w:space="0" w:color="auto"/>
            </w:tcBorders>
            <w:shd w:val="clear" w:color="auto" w:fill="auto"/>
            <w:vAlign w:val="bottom"/>
          </w:tcPr>
          <w:p w:rsidR="00A55A0E" w:rsidRPr="00E1372C" w:rsidRDefault="00A55A0E" w:rsidP="0076598A">
            <w:pPr>
              <w:keepNext/>
              <w:suppressAutoHyphens w:val="0"/>
              <w:spacing w:before="40" w:after="40" w:line="220" w:lineRule="exact"/>
              <w:jc w:val="right"/>
              <w:rPr>
                <w:sz w:val="18"/>
                <w:szCs w:val="24"/>
                <w:lang w:val="fr-FR" w:bidi="en-US"/>
              </w:rPr>
            </w:pPr>
            <w:r w:rsidRPr="00E1372C">
              <w:rPr>
                <w:sz w:val="18"/>
                <w:szCs w:val="24"/>
                <w:lang w:val="fr-FR" w:bidi="en-US"/>
              </w:rPr>
              <w:t>3</w:t>
            </w:r>
          </w:p>
        </w:tc>
      </w:tr>
    </w:tbl>
    <w:p w:rsidR="00C13FD4" w:rsidRPr="00E1372C" w:rsidRDefault="00C13FD4" w:rsidP="00804361">
      <w:pPr>
        <w:pStyle w:val="Source"/>
        <w:rPr>
          <w:lang w:bidi="en-US"/>
        </w:rPr>
      </w:pPr>
      <w:r w:rsidRPr="00E1372C">
        <w:rPr>
          <w:i/>
          <w:lang w:bidi="en-US"/>
        </w:rPr>
        <w:t>Source</w:t>
      </w:r>
      <w:r w:rsidRPr="00806DB6">
        <w:rPr>
          <w:lang w:bidi="en-US"/>
        </w:rPr>
        <w:t xml:space="preserve">: </w:t>
      </w:r>
      <w:r w:rsidRPr="00E1372C">
        <w:rPr>
          <w:lang w:bidi="en-US"/>
        </w:rPr>
        <w:t>Ministère de la santé et des services sociaux, aménagement des établissements, 2008.</w:t>
      </w:r>
    </w:p>
    <w:p w:rsidR="00216E5B" w:rsidRPr="00E1372C" w:rsidRDefault="007A1757" w:rsidP="007A1757">
      <w:pPr>
        <w:pStyle w:val="SingleTxtG"/>
        <w:rPr>
          <w:lang w:val="fr-FR" w:bidi="en-US"/>
        </w:rPr>
      </w:pPr>
      <w:r w:rsidRPr="00E1372C">
        <w:rPr>
          <w:lang w:val="fr-FR" w:bidi="en-US"/>
        </w:rPr>
        <w:t>330.</w:t>
      </w:r>
      <w:r w:rsidRPr="00E1372C">
        <w:rPr>
          <w:lang w:val="fr-FR" w:bidi="en-US"/>
        </w:rPr>
        <w:tab/>
      </w:r>
      <w:r w:rsidR="00D569C4" w:rsidRPr="00E1372C">
        <w:rPr>
          <w:lang w:val="fr-FR"/>
        </w:rPr>
        <w:t>Le principal objectif du Gouvernement en matière de soins de santé est d</w:t>
      </w:r>
      <w:r w:rsidR="00731F09" w:rsidRPr="00E1372C">
        <w:rPr>
          <w:lang w:val="fr-FR"/>
        </w:rPr>
        <w:t>’</w:t>
      </w:r>
      <w:r w:rsidR="00D569C4" w:rsidRPr="00E1372C">
        <w:rPr>
          <w:lang w:val="fr-FR"/>
        </w:rPr>
        <w:t>améliorer la santé de la population namibienne en proposant à tous les Namibiens ses services abordables et accessibles, en matière de prévention, de thérapie traditionnelle, de traitement et de rééducation.</w:t>
      </w:r>
      <w:r w:rsidR="00C13FD4" w:rsidRPr="00E1372C">
        <w:rPr>
          <w:lang w:val="fr-FR"/>
        </w:rPr>
        <w:t xml:space="preserve"> </w:t>
      </w:r>
      <w:r w:rsidR="00C13FD4" w:rsidRPr="00E1372C">
        <w:rPr>
          <w:lang w:val="fr-FR" w:bidi="en-US"/>
        </w:rPr>
        <w:t>L</w:t>
      </w:r>
      <w:r w:rsidR="00731F09" w:rsidRPr="00E1372C">
        <w:rPr>
          <w:lang w:val="fr-FR" w:bidi="en-US"/>
        </w:rPr>
        <w:t>’</w:t>
      </w:r>
      <w:r w:rsidR="00C13FD4" w:rsidRPr="00E1372C">
        <w:rPr>
          <w:lang w:val="fr-FR" w:bidi="en-US"/>
        </w:rPr>
        <w:t>équité et la participation de la communauté constituent d</w:t>
      </w:r>
      <w:r w:rsidR="00731F09" w:rsidRPr="00E1372C">
        <w:rPr>
          <w:lang w:val="fr-FR" w:bidi="en-US"/>
        </w:rPr>
        <w:t>’</w:t>
      </w:r>
      <w:r w:rsidR="00C13FD4" w:rsidRPr="00E1372C">
        <w:rPr>
          <w:lang w:val="fr-FR" w:bidi="en-US"/>
        </w:rPr>
        <w:t>autres principes qui orientent la formulation et l</w:t>
      </w:r>
      <w:r w:rsidR="00731F09" w:rsidRPr="00E1372C">
        <w:rPr>
          <w:lang w:val="fr-FR" w:bidi="en-US"/>
        </w:rPr>
        <w:t>’</w:t>
      </w:r>
      <w:r w:rsidR="00C13FD4" w:rsidRPr="00E1372C">
        <w:rPr>
          <w:lang w:val="fr-FR" w:bidi="en-US"/>
        </w:rPr>
        <w:t>application de la politique de santé.</w:t>
      </w:r>
      <w:r w:rsidR="00D569C4" w:rsidRPr="00E1372C">
        <w:rPr>
          <w:lang w:val="fr-FR" w:bidi="en-US"/>
        </w:rPr>
        <w:t xml:space="preserve"> </w:t>
      </w:r>
    </w:p>
    <w:p w:rsidR="00A55A0E" w:rsidRPr="00E1372C" w:rsidRDefault="007A1757" w:rsidP="007A1757">
      <w:pPr>
        <w:pStyle w:val="SingleTxtG"/>
        <w:rPr>
          <w:lang w:val="fr-FR" w:bidi="en-US"/>
        </w:rPr>
      </w:pPr>
      <w:r w:rsidRPr="00E1372C">
        <w:rPr>
          <w:lang w:val="fr-FR" w:bidi="en-US"/>
        </w:rPr>
        <w:t>331.</w:t>
      </w:r>
      <w:r w:rsidRPr="00E1372C">
        <w:rPr>
          <w:lang w:val="fr-FR" w:bidi="en-US"/>
        </w:rPr>
        <w:tab/>
      </w:r>
      <w:r w:rsidR="00D569C4" w:rsidRPr="00E1372C">
        <w:rPr>
          <w:lang w:val="fr-FR"/>
        </w:rPr>
        <w:t>L</w:t>
      </w:r>
      <w:r w:rsidR="00D569C4" w:rsidRPr="00E1372C">
        <w:rPr>
          <w:lang w:val="fr-FR" w:bidi="en-US"/>
        </w:rPr>
        <w:t>ors du recensement de population et du logement de 1991, le taux de mortalité infantile s</w:t>
      </w:r>
      <w:r w:rsidR="00731F09" w:rsidRPr="00E1372C">
        <w:rPr>
          <w:lang w:val="fr-FR" w:bidi="en-US"/>
        </w:rPr>
        <w:t>’</w:t>
      </w:r>
      <w:r w:rsidR="00D569C4" w:rsidRPr="00E1372C">
        <w:rPr>
          <w:lang w:val="fr-FR" w:bidi="en-US"/>
        </w:rPr>
        <w:t>élevait à 57 pour 1 000 naissances vivant</w:t>
      </w:r>
      <w:r w:rsidR="004738C7" w:rsidRPr="00E1372C">
        <w:rPr>
          <w:lang w:val="fr-FR" w:bidi="en-US"/>
        </w:rPr>
        <w:t>e</w:t>
      </w:r>
      <w:r w:rsidR="00D569C4" w:rsidRPr="00E1372C">
        <w:rPr>
          <w:lang w:val="fr-FR" w:bidi="en-US"/>
        </w:rPr>
        <w:t>s et à 48</w:t>
      </w:r>
      <w:r w:rsidR="007064FC" w:rsidRPr="00E1372C">
        <w:rPr>
          <w:lang w:val="fr-FR" w:bidi="en-US"/>
        </w:rPr>
        <w:t> %</w:t>
      </w:r>
      <w:r w:rsidR="00D569C4" w:rsidRPr="00E1372C">
        <w:rPr>
          <w:lang w:val="fr-FR" w:bidi="en-US"/>
        </w:rPr>
        <w:t xml:space="preserve"> selon le recensement de 2001. L</w:t>
      </w:r>
      <w:r w:rsidR="00D569C4" w:rsidRPr="00E1372C">
        <w:rPr>
          <w:lang w:val="fr-FR"/>
        </w:rPr>
        <w:t>a probabilité de mourir avant le cinquième anniversaire est de 83 pour 1 000 naissances vivant</w:t>
      </w:r>
      <w:r w:rsidR="004738C7" w:rsidRPr="00E1372C">
        <w:rPr>
          <w:lang w:val="fr-FR"/>
        </w:rPr>
        <w:t>e</w:t>
      </w:r>
      <w:r w:rsidR="00D569C4" w:rsidRPr="00E1372C">
        <w:rPr>
          <w:lang w:val="fr-FR"/>
        </w:rPr>
        <w:t>s.</w:t>
      </w:r>
      <w:r w:rsidR="00DB7BFF" w:rsidRPr="00E1372C">
        <w:rPr>
          <w:lang w:val="fr-FR" w:bidi="en-US"/>
        </w:rPr>
        <w:t xml:space="preserve"> </w:t>
      </w:r>
    </w:p>
    <w:p w:rsidR="00D4381C" w:rsidRPr="00E1372C" w:rsidRDefault="007A1757" w:rsidP="007A1757">
      <w:pPr>
        <w:pStyle w:val="SingleTxtG"/>
        <w:rPr>
          <w:lang w:val="fr-FR" w:bidi="en-US"/>
        </w:rPr>
      </w:pPr>
      <w:r w:rsidRPr="00E1372C">
        <w:rPr>
          <w:lang w:val="fr-FR" w:bidi="en-US"/>
        </w:rPr>
        <w:t>332.</w:t>
      </w:r>
      <w:r w:rsidRPr="00E1372C">
        <w:rPr>
          <w:lang w:val="fr-FR" w:bidi="en-US"/>
        </w:rPr>
        <w:tab/>
      </w:r>
      <w:r w:rsidR="00D4381C" w:rsidRPr="00E1372C">
        <w:rPr>
          <w:lang w:val="fr-FR"/>
        </w:rPr>
        <w:t>Depuis 1990, le Ministère de la santé et des affaires sociales met en œuvre un programme élargi de vaccination, suivant les directives de l</w:t>
      </w:r>
      <w:r w:rsidR="00731F09" w:rsidRPr="00E1372C">
        <w:rPr>
          <w:lang w:val="fr-FR"/>
        </w:rPr>
        <w:t>’</w:t>
      </w:r>
      <w:r w:rsidR="00F3392A" w:rsidRPr="00E1372C">
        <w:rPr>
          <w:lang w:val="fr-FR"/>
        </w:rPr>
        <w:t xml:space="preserve">Organisation mondiale de la </w:t>
      </w:r>
      <w:r w:rsidR="00D4381C" w:rsidRPr="00E1372C">
        <w:rPr>
          <w:lang w:val="fr-FR"/>
        </w:rPr>
        <w:t>santé (OMS). D</w:t>
      </w:r>
      <w:r w:rsidR="00731F09" w:rsidRPr="00E1372C">
        <w:rPr>
          <w:lang w:val="fr-FR"/>
        </w:rPr>
        <w:t>’</w:t>
      </w:r>
      <w:r w:rsidR="00D4381C" w:rsidRPr="00E1372C">
        <w:rPr>
          <w:lang w:val="fr-FR"/>
        </w:rPr>
        <w:t>après ce programme, tous les enfants doivent recevoir le BCG (vaccin contre la tuberculose), trois doses de D</w:t>
      </w:r>
      <w:r w:rsidR="00DB7BFF" w:rsidRPr="00E1372C">
        <w:rPr>
          <w:lang w:val="fr-FR"/>
        </w:rPr>
        <w:t>C</w:t>
      </w:r>
      <w:r w:rsidR="00D4381C" w:rsidRPr="00E1372C">
        <w:rPr>
          <w:lang w:val="fr-FR"/>
        </w:rPr>
        <w:t>T pour la prévention de la diphtérie, de la coqueluche et du tétanos, trois doses du vaccin contre la poliomyélite et une dose du vaccin contre la rougeole. Les enfants doivent avoir reçu tous ces vaccins lorsqu</w:t>
      </w:r>
      <w:r w:rsidR="00731F09" w:rsidRPr="00E1372C">
        <w:rPr>
          <w:lang w:val="fr-FR"/>
        </w:rPr>
        <w:t>’</w:t>
      </w:r>
      <w:r w:rsidR="00D4381C" w:rsidRPr="00E1372C">
        <w:rPr>
          <w:lang w:val="fr-FR"/>
        </w:rPr>
        <w:t>ils atteignent l</w:t>
      </w:r>
      <w:r w:rsidR="00731F09" w:rsidRPr="00E1372C">
        <w:rPr>
          <w:lang w:val="fr-FR"/>
        </w:rPr>
        <w:t>’</w:t>
      </w:r>
      <w:r w:rsidR="00D4381C" w:rsidRPr="00E1372C">
        <w:rPr>
          <w:lang w:val="fr-FR"/>
        </w:rPr>
        <w:t>âge de 12 mois. Ces vaccinations sont généralement inscrites sur un carnet de santé remis à la mère. Quatre-vingt-dix p</w:t>
      </w:r>
      <w:r w:rsidR="00F3392A" w:rsidRPr="00E1372C">
        <w:rPr>
          <w:lang w:val="fr-FR"/>
        </w:rPr>
        <w:t xml:space="preserve">our cent des enfants de 12 à 23 </w:t>
      </w:r>
      <w:r w:rsidR="00D4381C" w:rsidRPr="00E1372C">
        <w:rPr>
          <w:lang w:val="fr-FR"/>
        </w:rPr>
        <w:t xml:space="preserve">mois </w:t>
      </w:r>
      <w:r w:rsidR="00B018DA" w:rsidRPr="00E1372C">
        <w:rPr>
          <w:lang w:val="fr-FR"/>
        </w:rPr>
        <w:t>s</w:t>
      </w:r>
      <w:r w:rsidR="00D4381C" w:rsidRPr="00E1372C">
        <w:rPr>
          <w:lang w:val="fr-FR"/>
        </w:rPr>
        <w:t>ont vaccinés contre la tuberculose</w:t>
      </w:r>
      <w:r w:rsidR="00B018DA" w:rsidRPr="00E1372C">
        <w:rPr>
          <w:lang w:val="fr-FR"/>
        </w:rPr>
        <w:t xml:space="preserve"> chaque année.</w:t>
      </w:r>
    </w:p>
    <w:p w:rsidR="00D4381C" w:rsidRPr="00E1372C" w:rsidRDefault="007A1757" w:rsidP="007A1757">
      <w:pPr>
        <w:pStyle w:val="SingleTxtG"/>
        <w:rPr>
          <w:lang w:val="fr-FR" w:bidi="en-US"/>
        </w:rPr>
      </w:pPr>
      <w:r w:rsidRPr="00E1372C">
        <w:rPr>
          <w:lang w:val="fr-FR" w:bidi="en-US"/>
        </w:rPr>
        <w:t>333.</w:t>
      </w:r>
      <w:r w:rsidRPr="00E1372C">
        <w:rPr>
          <w:lang w:val="fr-FR" w:bidi="en-US"/>
        </w:rPr>
        <w:tab/>
      </w:r>
      <w:r w:rsidR="00D4381C" w:rsidRPr="00E1372C">
        <w:rPr>
          <w:lang w:val="fr-FR" w:bidi="en-US"/>
        </w:rPr>
        <w:t>En matière de santé mentale, comme il est indiqué dans le plan directeur du Ministère de la santé et des services sociaux (1998), l</w:t>
      </w:r>
      <w:r w:rsidR="00731F09" w:rsidRPr="00E1372C">
        <w:rPr>
          <w:lang w:val="fr-FR" w:bidi="en-US"/>
        </w:rPr>
        <w:t>’</w:t>
      </w:r>
      <w:r w:rsidR="00D4381C" w:rsidRPr="00E1372C">
        <w:rPr>
          <w:lang w:val="fr-FR" w:bidi="en-US"/>
        </w:rPr>
        <w:t>objectif</w:t>
      </w:r>
      <w:r w:rsidR="00B018DA" w:rsidRPr="00E1372C">
        <w:rPr>
          <w:lang w:val="fr-FR" w:bidi="en-US"/>
        </w:rPr>
        <w:t>,</w:t>
      </w:r>
      <w:r w:rsidR="00D4381C" w:rsidRPr="00E1372C">
        <w:rPr>
          <w:lang w:val="fr-FR" w:bidi="en-US"/>
        </w:rPr>
        <w:t xml:space="preserve"> aujourd</w:t>
      </w:r>
      <w:r w:rsidR="00731F09" w:rsidRPr="00E1372C">
        <w:rPr>
          <w:lang w:val="fr-FR" w:bidi="en-US"/>
        </w:rPr>
        <w:t>’</w:t>
      </w:r>
      <w:r w:rsidR="00D4381C" w:rsidRPr="00E1372C">
        <w:rPr>
          <w:lang w:val="fr-FR" w:bidi="en-US"/>
        </w:rPr>
        <w:t>hui</w:t>
      </w:r>
      <w:r w:rsidR="00B018DA" w:rsidRPr="00E1372C">
        <w:rPr>
          <w:lang w:val="fr-FR" w:bidi="en-US"/>
        </w:rPr>
        <w:t>,</w:t>
      </w:r>
      <w:r w:rsidR="00D4381C" w:rsidRPr="00E1372C">
        <w:rPr>
          <w:lang w:val="fr-FR" w:bidi="en-US"/>
        </w:rPr>
        <w:t xml:space="preserve"> consiste à améliorer et maintenir </w:t>
      </w:r>
      <w:r w:rsidR="00B018DA" w:rsidRPr="00E1372C">
        <w:rPr>
          <w:lang w:val="fr-FR" w:bidi="en-US"/>
        </w:rPr>
        <w:t xml:space="preserve">tant </w:t>
      </w:r>
      <w:r w:rsidR="00D4381C" w:rsidRPr="00E1372C">
        <w:rPr>
          <w:lang w:val="fr-FR" w:bidi="en-US"/>
        </w:rPr>
        <w:t>la santé physique et mentale de tous les Namibiens que la protection sociale, l</w:t>
      </w:r>
      <w:r w:rsidR="00731F09" w:rsidRPr="00E1372C">
        <w:rPr>
          <w:lang w:val="fr-FR" w:bidi="en-US"/>
        </w:rPr>
        <w:t>’</w:t>
      </w:r>
      <w:r w:rsidR="00D4381C" w:rsidRPr="00E1372C">
        <w:rPr>
          <w:lang w:val="fr-FR" w:bidi="en-US"/>
        </w:rPr>
        <w:t>autonomie et la capacité d</w:t>
      </w:r>
      <w:r w:rsidR="00731F09" w:rsidRPr="00E1372C">
        <w:rPr>
          <w:lang w:val="fr-FR" w:bidi="en-US"/>
        </w:rPr>
        <w:t>’</w:t>
      </w:r>
      <w:r w:rsidR="00D4381C" w:rsidRPr="00E1372C">
        <w:rPr>
          <w:lang w:val="fr-FR" w:bidi="en-US"/>
        </w:rPr>
        <w:t>adaptation des personnes, des familles et des communautés.</w:t>
      </w:r>
    </w:p>
    <w:p w:rsidR="00D4381C" w:rsidRPr="00E1372C" w:rsidRDefault="007A1757" w:rsidP="007A1757">
      <w:pPr>
        <w:pStyle w:val="SingleTxtG"/>
        <w:rPr>
          <w:lang w:val="fr-FR" w:bidi="en-US"/>
        </w:rPr>
      </w:pPr>
      <w:r w:rsidRPr="00E1372C">
        <w:rPr>
          <w:lang w:val="fr-FR" w:bidi="en-US"/>
        </w:rPr>
        <w:t>334.</w:t>
      </w:r>
      <w:r w:rsidRPr="00E1372C">
        <w:rPr>
          <w:lang w:val="fr-FR" w:bidi="en-US"/>
        </w:rPr>
        <w:tab/>
      </w:r>
      <w:r w:rsidR="00D4381C" w:rsidRPr="00E1372C">
        <w:rPr>
          <w:lang w:val="fr-FR" w:bidi="en-US"/>
        </w:rPr>
        <w:t>Le plan directeur dispense des conseils sur la fourniture de services de soins et de réadaptation psychosociaux par différentes méthodes – conseils, thérapies cognitives et comportementales, entrevues motivationnelles, thérapies de groupe, jeux, thérapie par la musique et formation aux compétences pratiques.</w:t>
      </w:r>
    </w:p>
    <w:p w:rsidR="00CC33DD" w:rsidRPr="00E1372C" w:rsidRDefault="007A1757" w:rsidP="007A1757">
      <w:pPr>
        <w:pStyle w:val="SingleTxtG"/>
        <w:rPr>
          <w:lang w:val="fr-FR" w:bidi="en-US"/>
        </w:rPr>
      </w:pPr>
      <w:r w:rsidRPr="00E1372C">
        <w:rPr>
          <w:lang w:val="fr-FR" w:bidi="en-US"/>
        </w:rPr>
        <w:t>335.</w:t>
      </w:r>
      <w:r w:rsidRPr="00E1372C">
        <w:rPr>
          <w:lang w:val="fr-FR" w:bidi="en-US"/>
        </w:rPr>
        <w:tab/>
      </w:r>
      <w:r w:rsidR="00D4381C" w:rsidRPr="00E1372C">
        <w:rPr>
          <w:lang w:val="fr-FR" w:bidi="en-US"/>
        </w:rPr>
        <w:t>La politique relative à la santé mentale est en cours d</w:t>
      </w:r>
      <w:r w:rsidR="00731F09" w:rsidRPr="00E1372C">
        <w:rPr>
          <w:lang w:val="fr-FR" w:bidi="en-US"/>
        </w:rPr>
        <w:t>’</w:t>
      </w:r>
      <w:r w:rsidR="00D4381C" w:rsidRPr="00E1372C">
        <w:rPr>
          <w:lang w:val="fr-FR" w:bidi="en-US"/>
        </w:rPr>
        <w:t xml:space="preserve">élaboration et la législation correspondante, qui remonte à la période du colonialisme, est actuellement réexaminée. </w:t>
      </w:r>
      <w:r w:rsidR="00CC33DD" w:rsidRPr="00E1372C">
        <w:rPr>
          <w:lang w:val="fr-FR" w:bidi="en-US"/>
        </w:rPr>
        <w:t>Il est difficile d</w:t>
      </w:r>
      <w:r w:rsidR="00731F09" w:rsidRPr="00E1372C">
        <w:rPr>
          <w:lang w:val="fr-FR" w:bidi="en-US"/>
        </w:rPr>
        <w:t>’</w:t>
      </w:r>
      <w:r w:rsidR="00CC33DD" w:rsidRPr="00E1372C">
        <w:rPr>
          <w:lang w:val="fr-FR" w:bidi="en-US"/>
        </w:rPr>
        <w:t>évaluer l</w:t>
      </w:r>
      <w:r w:rsidR="00731F09" w:rsidRPr="00E1372C">
        <w:rPr>
          <w:lang w:val="fr-FR" w:bidi="en-US"/>
        </w:rPr>
        <w:t>’</w:t>
      </w:r>
      <w:r w:rsidR="00CC33DD" w:rsidRPr="00E1372C">
        <w:rPr>
          <w:lang w:val="fr-FR" w:bidi="en-US"/>
        </w:rPr>
        <w:t>amélioration de la santé mentale de la population. Son état est par</w:t>
      </w:r>
      <w:r w:rsidR="00B018DA" w:rsidRPr="00E1372C">
        <w:rPr>
          <w:lang w:val="fr-FR" w:bidi="en-US"/>
        </w:rPr>
        <w:t xml:space="preserve"> conséquent</w:t>
      </w:r>
      <w:r w:rsidR="00CC33DD" w:rsidRPr="00E1372C">
        <w:rPr>
          <w:lang w:val="fr-FR" w:bidi="en-US"/>
        </w:rPr>
        <w:t xml:space="preserve"> présenté d</w:t>
      </w:r>
      <w:r w:rsidR="00731F09" w:rsidRPr="00E1372C">
        <w:rPr>
          <w:lang w:val="fr-FR" w:bidi="en-US"/>
        </w:rPr>
        <w:t>’</w:t>
      </w:r>
      <w:r w:rsidR="00CC33DD" w:rsidRPr="00E1372C">
        <w:rPr>
          <w:lang w:val="fr-FR" w:bidi="en-US"/>
        </w:rPr>
        <w:t>ordinaire par des données sur l</w:t>
      </w:r>
      <w:r w:rsidR="00B018DA" w:rsidRPr="00E1372C">
        <w:rPr>
          <w:lang w:val="fr-FR" w:bidi="en-US"/>
        </w:rPr>
        <w:t>e nombre de cas de</w:t>
      </w:r>
      <w:r w:rsidR="00CC33DD" w:rsidRPr="00E1372C">
        <w:rPr>
          <w:lang w:val="fr-FR" w:bidi="en-US"/>
        </w:rPr>
        <w:t xml:space="preserve"> maladies mentales et </w:t>
      </w:r>
      <w:r w:rsidR="00992A63" w:rsidRPr="00E1372C">
        <w:rPr>
          <w:lang w:val="fr-FR" w:bidi="en-US"/>
        </w:rPr>
        <w:t>de</w:t>
      </w:r>
      <w:r w:rsidR="00CC33DD" w:rsidRPr="00E1372C">
        <w:rPr>
          <w:lang w:val="fr-FR" w:bidi="en-US"/>
        </w:rPr>
        <w:t xml:space="preserve"> facteurs de risque importants. Il est également difficile d</w:t>
      </w:r>
      <w:r w:rsidR="00731F09" w:rsidRPr="00E1372C">
        <w:rPr>
          <w:lang w:val="fr-FR" w:bidi="en-US"/>
        </w:rPr>
        <w:t>’</w:t>
      </w:r>
      <w:r w:rsidR="00CC33DD" w:rsidRPr="00E1372C">
        <w:rPr>
          <w:lang w:val="fr-FR" w:bidi="en-US"/>
        </w:rPr>
        <w:t>obtenir des données sûres en raison de la complexité de l</w:t>
      </w:r>
      <w:r w:rsidR="00731F09" w:rsidRPr="00E1372C">
        <w:rPr>
          <w:lang w:val="fr-FR" w:bidi="en-US"/>
        </w:rPr>
        <w:t>’</w:t>
      </w:r>
      <w:r w:rsidR="00CC33DD" w:rsidRPr="00E1372C">
        <w:rPr>
          <w:lang w:val="fr-FR" w:bidi="en-US"/>
        </w:rPr>
        <w:t>épidémiologie psychiatrique, laquelle, dans le monde, n</w:t>
      </w:r>
      <w:r w:rsidR="00731F09" w:rsidRPr="00E1372C">
        <w:rPr>
          <w:lang w:val="fr-FR" w:bidi="en-US"/>
        </w:rPr>
        <w:t>’</w:t>
      </w:r>
      <w:r w:rsidR="00CC33DD" w:rsidRPr="00E1372C">
        <w:rPr>
          <w:lang w:val="fr-FR" w:bidi="en-US"/>
        </w:rPr>
        <w:t>a pas suivi les progrès de l</w:t>
      </w:r>
      <w:r w:rsidR="00731F09" w:rsidRPr="00E1372C">
        <w:rPr>
          <w:lang w:val="fr-FR" w:bidi="en-US"/>
        </w:rPr>
        <w:t>’</w:t>
      </w:r>
      <w:r w:rsidR="00CC33DD" w:rsidRPr="00E1372C">
        <w:rPr>
          <w:lang w:val="fr-FR" w:bidi="en-US"/>
        </w:rPr>
        <w:t>épidémiologie de nombreuses maladies somatiques. Les statistiques descriptives relatives à la santé mentale en Namibie en sont à leur début.</w:t>
      </w:r>
    </w:p>
    <w:p w:rsidR="00CC33DD" w:rsidRPr="00E1372C" w:rsidRDefault="007A1757" w:rsidP="007A1757">
      <w:pPr>
        <w:pStyle w:val="SingleTxtG"/>
        <w:rPr>
          <w:lang w:val="fr-FR" w:bidi="en-US"/>
        </w:rPr>
      </w:pPr>
      <w:r w:rsidRPr="00E1372C">
        <w:rPr>
          <w:lang w:val="fr-FR" w:bidi="en-US"/>
        </w:rPr>
        <w:t>336.</w:t>
      </w:r>
      <w:r w:rsidRPr="00E1372C">
        <w:rPr>
          <w:lang w:val="fr-FR" w:bidi="en-US"/>
        </w:rPr>
        <w:tab/>
      </w:r>
      <w:r w:rsidR="00CC33DD" w:rsidRPr="00E1372C">
        <w:rPr>
          <w:lang w:val="fr-FR" w:bidi="en-US"/>
        </w:rPr>
        <w:t>Le pays compte deux hôpitaux psychiatriques</w:t>
      </w:r>
      <w:r w:rsidR="00AE017E" w:rsidRPr="00E1372C">
        <w:rPr>
          <w:lang w:val="fr-FR" w:bidi="en-US"/>
        </w:rPr>
        <w:t>:</w:t>
      </w:r>
      <w:r w:rsidR="00CC33DD" w:rsidRPr="00E1372C">
        <w:rPr>
          <w:lang w:val="fr-FR" w:bidi="en-US"/>
        </w:rPr>
        <w:t xml:space="preserve"> Hôpital psychiatrique de </w:t>
      </w:r>
      <w:r w:rsidR="00A55A0E" w:rsidRPr="00E1372C">
        <w:rPr>
          <w:lang w:val="fr-FR" w:bidi="en-US"/>
        </w:rPr>
        <w:t xml:space="preserve">Windhoek </w:t>
      </w:r>
      <w:r w:rsidR="00CC33DD" w:rsidRPr="00E1372C">
        <w:rPr>
          <w:lang w:val="fr-FR" w:bidi="en-US"/>
        </w:rPr>
        <w:t xml:space="preserve">et </w:t>
      </w:r>
      <w:r w:rsidR="000200B1" w:rsidRPr="00E1372C">
        <w:rPr>
          <w:lang w:val="fr-FR" w:bidi="en-US"/>
        </w:rPr>
        <w:t>s</w:t>
      </w:r>
      <w:r w:rsidR="00CC33DD" w:rsidRPr="00E1372C">
        <w:rPr>
          <w:lang w:val="fr-FR" w:bidi="en-US"/>
        </w:rPr>
        <w:t>ervice psychiatrique d</w:t>
      </w:r>
      <w:r w:rsidR="00731F09" w:rsidRPr="00E1372C">
        <w:rPr>
          <w:lang w:val="fr-FR" w:bidi="en-US"/>
        </w:rPr>
        <w:t>’</w:t>
      </w:r>
      <w:r w:rsidR="00A55A0E" w:rsidRPr="00E1372C">
        <w:rPr>
          <w:lang w:val="fr-FR" w:bidi="en-US"/>
        </w:rPr>
        <w:t>Oshakati</w:t>
      </w:r>
      <w:r w:rsidR="00CC33DD" w:rsidRPr="00E1372C">
        <w:rPr>
          <w:lang w:val="fr-FR" w:bidi="en-US"/>
        </w:rPr>
        <w:t>. Tous les médicaments nécessaires</w:t>
      </w:r>
      <w:r w:rsidR="00992A63" w:rsidRPr="00E1372C">
        <w:rPr>
          <w:lang w:val="fr-FR" w:bidi="en-US"/>
        </w:rPr>
        <w:t>,</w:t>
      </w:r>
      <w:r w:rsidR="00CC33DD" w:rsidRPr="00E1372C">
        <w:rPr>
          <w:lang w:val="fr-FR" w:bidi="en-US"/>
        </w:rPr>
        <w:t xml:space="preserve"> préconisés par l</w:t>
      </w:r>
      <w:r w:rsidR="00731F09" w:rsidRPr="00E1372C">
        <w:rPr>
          <w:lang w:val="fr-FR" w:bidi="en-US"/>
        </w:rPr>
        <w:t>’</w:t>
      </w:r>
      <w:r w:rsidR="00CC33DD" w:rsidRPr="00E1372C">
        <w:rPr>
          <w:lang w:val="fr-FR" w:bidi="en-US"/>
        </w:rPr>
        <w:t>OMS</w:t>
      </w:r>
      <w:r w:rsidR="00992A63" w:rsidRPr="00E1372C">
        <w:rPr>
          <w:lang w:val="fr-FR" w:bidi="en-US"/>
        </w:rPr>
        <w:t>,</w:t>
      </w:r>
      <w:r w:rsidR="00CC33DD" w:rsidRPr="00E1372C">
        <w:rPr>
          <w:lang w:val="fr-FR" w:bidi="en-US"/>
        </w:rPr>
        <w:t xml:space="preserve"> pour les maladies mentales</w:t>
      </w:r>
      <w:r w:rsidR="00992A63" w:rsidRPr="00E1372C">
        <w:rPr>
          <w:lang w:val="fr-FR" w:bidi="en-US"/>
        </w:rPr>
        <w:t xml:space="preserve"> figurent dans la l</w:t>
      </w:r>
      <w:r w:rsidR="00CC33DD" w:rsidRPr="00E1372C">
        <w:rPr>
          <w:lang w:val="fr-FR" w:bidi="en-US"/>
        </w:rPr>
        <w:t>iste des médicaments essentiels de Namibie (</w:t>
      </w:r>
      <w:r w:rsidR="00AE017E" w:rsidRPr="00E1372C">
        <w:rPr>
          <w:lang w:val="fr-FR" w:bidi="en-US"/>
        </w:rPr>
        <w:t>«</w:t>
      </w:r>
      <w:r w:rsidR="00CC33DD" w:rsidRPr="00E1372C">
        <w:rPr>
          <w:lang w:val="fr-FR" w:bidi="en-US"/>
        </w:rPr>
        <w:t>Nedlist</w:t>
      </w:r>
      <w:r w:rsidR="00AE017E" w:rsidRPr="00E1372C">
        <w:rPr>
          <w:lang w:val="fr-FR" w:bidi="en-US"/>
        </w:rPr>
        <w:t>»</w:t>
      </w:r>
      <w:r w:rsidR="00CC33DD" w:rsidRPr="00E1372C">
        <w:rPr>
          <w:lang w:val="fr-FR" w:bidi="en-US"/>
        </w:rPr>
        <w:t xml:space="preserve">). La </w:t>
      </w:r>
      <w:r w:rsidR="00D24359" w:rsidRPr="00E1372C">
        <w:rPr>
          <w:lang w:val="fr-FR" w:bidi="en-US"/>
        </w:rPr>
        <w:t>p</w:t>
      </w:r>
      <w:r w:rsidR="00CC33DD" w:rsidRPr="00E1372C">
        <w:rPr>
          <w:lang w:val="fr-FR" w:bidi="en-US"/>
        </w:rPr>
        <w:t>olitique nationale en matière de médicaments en Namibie définit</w:t>
      </w:r>
      <w:r w:rsidR="00992A63" w:rsidRPr="00E1372C">
        <w:rPr>
          <w:lang w:val="fr-FR" w:bidi="en-US"/>
        </w:rPr>
        <w:t>,</w:t>
      </w:r>
      <w:r w:rsidR="00CC33DD" w:rsidRPr="00E1372C">
        <w:rPr>
          <w:lang w:val="fr-FR" w:bidi="en-US"/>
        </w:rPr>
        <w:t xml:space="preserve"> en son chapitre 6 sur l</w:t>
      </w:r>
      <w:r w:rsidR="00731F09" w:rsidRPr="00E1372C">
        <w:rPr>
          <w:lang w:val="fr-FR" w:bidi="en-US"/>
        </w:rPr>
        <w:t>’</w:t>
      </w:r>
      <w:r w:rsidR="00CC33DD" w:rsidRPr="00E1372C">
        <w:rPr>
          <w:lang w:val="fr-FR" w:bidi="en-US"/>
        </w:rPr>
        <w:t>approvisionnement en médicaments</w:t>
      </w:r>
      <w:r w:rsidR="00992A63" w:rsidRPr="00E1372C">
        <w:rPr>
          <w:lang w:val="fr-FR" w:bidi="en-US"/>
        </w:rPr>
        <w:t>,</w:t>
      </w:r>
      <w:r w:rsidR="00CC33DD" w:rsidRPr="00E1372C">
        <w:rPr>
          <w:lang w:val="fr-FR" w:bidi="en-US"/>
        </w:rPr>
        <w:t xml:space="preserve"> le but</w:t>
      </w:r>
      <w:r w:rsidR="00AE017E" w:rsidRPr="00E1372C">
        <w:rPr>
          <w:lang w:val="fr-FR" w:bidi="en-US"/>
        </w:rPr>
        <w:t>:</w:t>
      </w:r>
      <w:r w:rsidR="00CC33DD" w:rsidRPr="00E1372C">
        <w:rPr>
          <w:lang w:val="fr-FR" w:bidi="en-US"/>
        </w:rPr>
        <w:t xml:space="preserve"> s</w:t>
      </w:r>
      <w:r w:rsidR="00731F09" w:rsidRPr="00E1372C">
        <w:rPr>
          <w:lang w:val="fr-FR" w:bidi="en-US"/>
        </w:rPr>
        <w:t>’</w:t>
      </w:r>
      <w:r w:rsidR="00CC33DD" w:rsidRPr="00E1372C">
        <w:rPr>
          <w:lang w:val="fr-FR" w:bidi="en-US"/>
        </w:rPr>
        <w:t>assurer que des médicaments essentiels de haute qualité soient disponibles en quantités suffisantes pour satisfaire aux besoins sanitaires de la population dans tout le pays au coût le plus bas possible. Au chapitre 7 sur l</w:t>
      </w:r>
      <w:r w:rsidR="00731F09" w:rsidRPr="00E1372C">
        <w:rPr>
          <w:lang w:val="fr-FR" w:bidi="en-US"/>
        </w:rPr>
        <w:t>’</w:t>
      </w:r>
      <w:r w:rsidR="00CC33DD" w:rsidRPr="00E1372C">
        <w:rPr>
          <w:lang w:val="fr-FR" w:bidi="en-US"/>
        </w:rPr>
        <w:t>utilisation rationnelle des médicaments, l</w:t>
      </w:r>
      <w:r w:rsidR="00731F09" w:rsidRPr="00E1372C">
        <w:rPr>
          <w:lang w:val="fr-FR" w:bidi="en-US"/>
        </w:rPr>
        <w:t>’</w:t>
      </w:r>
      <w:r w:rsidR="00CC33DD" w:rsidRPr="00E1372C">
        <w:rPr>
          <w:lang w:val="fr-FR" w:bidi="en-US"/>
        </w:rPr>
        <w:t>objectif est de promouvoir la prescription, la délivrance et l</w:t>
      </w:r>
      <w:r w:rsidR="00731F09" w:rsidRPr="00E1372C">
        <w:rPr>
          <w:lang w:val="fr-FR" w:bidi="en-US"/>
        </w:rPr>
        <w:t>’</w:t>
      </w:r>
      <w:r w:rsidR="00CC33DD" w:rsidRPr="00E1372C">
        <w:rPr>
          <w:lang w:val="fr-FR" w:bidi="en-US"/>
        </w:rPr>
        <w:t>usage rationnel de médicaments par tous les agents de santé, ainsi que d</w:t>
      </w:r>
      <w:r w:rsidR="00731F09" w:rsidRPr="00E1372C">
        <w:rPr>
          <w:lang w:val="fr-FR" w:bidi="en-US"/>
        </w:rPr>
        <w:t>’</w:t>
      </w:r>
      <w:r w:rsidR="00CC33DD" w:rsidRPr="00E1372C">
        <w:rPr>
          <w:lang w:val="fr-FR" w:bidi="en-US"/>
        </w:rPr>
        <w:t>encourager et de soutenir l</w:t>
      </w:r>
      <w:r w:rsidR="00731F09" w:rsidRPr="00E1372C">
        <w:rPr>
          <w:lang w:val="fr-FR" w:bidi="en-US"/>
        </w:rPr>
        <w:t>’</w:t>
      </w:r>
      <w:r w:rsidR="00CC33DD" w:rsidRPr="00E1372C">
        <w:rPr>
          <w:lang w:val="fr-FR" w:bidi="en-US"/>
        </w:rPr>
        <w:t>utilisation avisée des médicaments par la communauté.</w:t>
      </w:r>
    </w:p>
    <w:p w:rsidR="00CC33DD" w:rsidRPr="00E1372C" w:rsidRDefault="007A1757" w:rsidP="007A1757">
      <w:pPr>
        <w:pStyle w:val="SingleTxtG"/>
        <w:rPr>
          <w:b/>
          <w:lang w:val="fr-FR" w:bidi="en-US"/>
        </w:rPr>
      </w:pPr>
      <w:r w:rsidRPr="00E1372C">
        <w:rPr>
          <w:lang w:val="fr-FR" w:bidi="en-US"/>
        </w:rPr>
        <w:t>337.</w:t>
      </w:r>
      <w:r w:rsidRPr="00E1372C">
        <w:rPr>
          <w:lang w:val="fr-FR" w:bidi="en-US"/>
        </w:rPr>
        <w:tab/>
      </w:r>
      <w:r w:rsidR="00CC33DD" w:rsidRPr="00E1372C">
        <w:rPr>
          <w:lang w:val="fr-FR" w:bidi="en-US"/>
        </w:rPr>
        <w:t>La thérapie traditionnelle tient compte des croyances et principes culturels, de la personnalité du patient et du système d</w:t>
      </w:r>
      <w:r w:rsidR="00731F09" w:rsidRPr="00E1372C">
        <w:rPr>
          <w:lang w:val="fr-FR" w:bidi="en-US"/>
        </w:rPr>
        <w:t>’</w:t>
      </w:r>
      <w:r w:rsidR="00CC33DD" w:rsidRPr="00E1372C">
        <w:rPr>
          <w:lang w:val="fr-FR" w:bidi="en-US"/>
        </w:rPr>
        <w:t>aide sociale; elle privilégie une approche globale. Les effets potentiels de cette thérapie ont été reconnus dans les services de santé mentale; le Ministère de la santé et des services sociaux s</w:t>
      </w:r>
      <w:r w:rsidR="00731F09" w:rsidRPr="00E1372C">
        <w:rPr>
          <w:lang w:val="fr-FR" w:bidi="en-US"/>
        </w:rPr>
        <w:t>’</w:t>
      </w:r>
      <w:r w:rsidR="00CC33DD" w:rsidRPr="00E1372C">
        <w:rPr>
          <w:lang w:val="fr-FR" w:bidi="en-US"/>
        </w:rPr>
        <w:t>engage à collaborer avec différents guérisseurs. Les deux associations de guérisseurs traditionnels existantes comptent plus de 5 000 membres, dont des travailleurs sociaux, des sages-femmes et des éducateurs autochtones dans le pays.</w:t>
      </w:r>
      <w:r w:rsidR="00243B16" w:rsidRPr="00E1372C">
        <w:rPr>
          <w:lang w:val="fr-FR" w:bidi="en-US"/>
        </w:rPr>
        <w:t xml:space="preserve"> </w:t>
      </w:r>
    </w:p>
    <w:p w:rsidR="00A55A0E" w:rsidRPr="00E1372C" w:rsidRDefault="00AF32FE" w:rsidP="00AF32FE">
      <w:pPr>
        <w:pStyle w:val="H23G"/>
        <w:rPr>
          <w:lang w:val="fr-FR" w:bidi="en-US"/>
        </w:rPr>
      </w:pPr>
      <w:r w:rsidRPr="00E1372C">
        <w:rPr>
          <w:lang w:val="fr-FR" w:bidi="en-US"/>
        </w:rPr>
        <w:tab/>
      </w:r>
      <w:r w:rsidRPr="00E1372C">
        <w:rPr>
          <w:lang w:val="fr-FR" w:bidi="en-US"/>
        </w:rPr>
        <w:tab/>
      </w:r>
      <w:r w:rsidR="00F9669E" w:rsidRPr="00E1372C">
        <w:rPr>
          <w:lang w:val="fr-FR" w:bidi="en-US"/>
        </w:rPr>
        <w:t>Questions à traiter ces cinq prochaines années</w:t>
      </w:r>
      <w:r w:rsidR="00AE017E" w:rsidRPr="00E1372C">
        <w:rPr>
          <w:lang w:val="fr-FR" w:bidi="en-US"/>
        </w:rPr>
        <w:t>:</w:t>
      </w:r>
    </w:p>
    <w:p w:rsidR="00A55A0E" w:rsidRPr="00E1372C" w:rsidRDefault="005304D9" w:rsidP="005304D9">
      <w:pPr>
        <w:pStyle w:val="H23G"/>
        <w:rPr>
          <w:lang w:val="fr-FR" w:bidi="en-US"/>
        </w:rPr>
      </w:pPr>
      <w:r w:rsidRPr="00E1372C">
        <w:rPr>
          <w:lang w:val="fr-FR"/>
        </w:rPr>
        <w:tab/>
        <w:t>a)</w:t>
      </w:r>
      <w:r w:rsidR="00A55A0E" w:rsidRPr="00E1372C">
        <w:rPr>
          <w:lang w:val="fr-FR"/>
        </w:rPr>
        <w:tab/>
      </w:r>
      <w:r w:rsidR="00F9669E" w:rsidRPr="00E1372C">
        <w:rPr>
          <w:lang w:val="fr-FR"/>
        </w:rPr>
        <w:t>État de santé</w:t>
      </w:r>
    </w:p>
    <w:p w:rsidR="00A55A0E" w:rsidRPr="00E1372C" w:rsidRDefault="005304D9" w:rsidP="005304D9">
      <w:pPr>
        <w:pStyle w:val="H23G"/>
        <w:rPr>
          <w:lang w:val="fr-FR"/>
        </w:rPr>
      </w:pPr>
      <w:r w:rsidRPr="00E1372C">
        <w:rPr>
          <w:lang w:val="fr-FR"/>
        </w:rPr>
        <w:tab/>
        <w:t>b)</w:t>
      </w:r>
      <w:r w:rsidR="00A55A0E" w:rsidRPr="00E1372C">
        <w:rPr>
          <w:lang w:val="fr-FR"/>
        </w:rPr>
        <w:tab/>
      </w:r>
      <w:r w:rsidR="00F9669E" w:rsidRPr="00E1372C">
        <w:rPr>
          <w:lang w:val="fr-FR"/>
        </w:rPr>
        <w:t>VIH/</w:t>
      </w:r>
      <w:r w:rsidR="00B277C4" w:rsidRPr="00E1372C">
        <w:rPr>
          <w:lang w:val="fr-FR"/>
        </w:rPr>
        <w:t>sida</w:t>
      </w:r>
    </w:p>
    <w:p w:rsidR="00F9669E" w:rsidRPr="00E1372C" w:rsidRDefault="007A1757" w:rsidP="007A1757">
      <w:pPr>
        <w:pStyle w:val="SingleTxtG"/>
        <w:rPr>
          <w:lang w:val="fr-FR" w:bidi="en-US"/>
        </w:rPr>
      </w:pPr>
      <w:r w:rsidRPr="00E1372C">
        <w:rPr>
          <w:lang w:val="fr-FR" w:bidi="en-US"/>
        </w:rPr>
        <w:t>338.</w:t>
      </w:r>
      <w:r w:rsidRPr="00E1372C">
        <w:rPr>
          <w:lang w:val="fr-FR" w:bidi="en-US"/>
        </w:rPr>
        <w:tab/>
      </w:r>
      <w:r w:rsidR="00F9669E" w:rsidRPr="00E1372C">
        <w:rPr>
          <w:lang w:val="fr-FR" w:bidi="en-US"/>
        </w:rPr>
        <w:t>Des problèmes tels que le VIH/</w:t>
      </w:r>
      <w:r w:rsidR="00B277C4" w:rsidRPr="00E1372C">
        <w:rPr>
          <w:lang w:val="fr-FR" w:bidi="en-US"/>
        </w:rPr>
        <w:t>sida</w:t>
      </w:r>
      <w:r w:rsidR="00F9669E" w:rsidRPr="00E1372C">
        <w:rPr>
          <w:lang w:val="fr-FR" w:bidi="en-US"/>
        </w:rPr>
        <w:t xml:space="preserve"> demeurent un enjeu crucial pour le secteur de la santé comme pour l</w:t>
      </w:r>
      <w:r w:rsidR="00731F09" w:rsidRPr="00E1372C">
        <w:rPr>
          <w:lang w:val="fr-FR" w:bidi="en-US"/>
        </w:rPr>
        <w:t>’</w:t>
      </w:r>
      <w:r w:rsidR="00F9669E" w:rsidRPr="00E1372C">
        <w:rPr>
          <w:lang w:val="fr-FR" w:bidi="en-US"/>
        </w:rPr>
        <w:t>économie namibienne. La question majeure se pose en matière de changement</w:t>
      </w:r>
      <w:r w:rsidR="00992A63" w:rsidRPr="00E1372C">
        <w:rPr>
          <w:lang w:val="fr-FR" w:bidi="en-US"/>
        </w:rPr>
        <w:t>s</w:t>
      </w:r>
      <w:r w:rsidR="00F9669E" w:rsidRPr="00E1372C">
        <w:rPr>
          <w:lang w:val="fr-FR" w:bidi="en-US"/>
        </w:rPr>
        <w:t xml:space="preserve"> de comportement, de soins aux orphelins du VIH/</w:t>
      </w:r>
      <w:r w:rsidR="00B277C4" w:rsidRPr="00E1372C">
        <w:rPr>
          <w:lang w:val="fr-FR" w:bidi="en-US"/>
        </w:rPr>
        <w:t>sida</w:t>
      </w:r>
      <w:r w:rsidR="00F9669E" w:rsidRPr="00E1372C">
        <w:rPr>
          <w:lang w:val="fr-FR" w:bidi="en-US"/>
        </w:rPr>
        <w:t xml:space="preserve"> et de charges que </w:t>
      </w:r>
      <w:r w:rsidR="00992A63" w:rsidRPr="00E1372C">
        <w:rPr>
          <w:lang w:val="fr-FR" w:bidi="en-US"/>
        </w:rPr>
        <w:t xml:space="preserve">les soins requis </w:t>
      </w:r>
      <w:r w:rsidR="00F9669E" w:rsidRPr="00E1372C">
        <w:rPr>
          <w:lang w:val="fr-FR" w:bidi="en-US"/>
        </w:rPr>
        <w:t>font peser sur le budget du Ministère de la santé et des services sociaux.</w:t>
      </w:r>
    </w:p>
    <w:p w:rsidR="00F9669E" w:rsidRPr="00E1372C" w:rsidRDefault="007A1757" w:rsidP="007A1757">
      <w:pPr>
        <w:pStyle w:val="SingleTxtG"/>
        <w:rPr>
          <w:lang w:val="fr-FR" w:bidi="en-US"/>
        </w:rPr>
      </w:pPr>
      <w:r w:rsidRPr="00E1372C">
        <w:rPr>
          <w:lang w:val="fr-FR" w:bidi="en-US"/>
        </w:rPr>
        <w:t>339.</w:t>
      </w:r>
      <w:r w:rsidRPr="00E1372C">
        <w:rPr>
          <w:lang w:val="fr-FR" w:bidi="en-US"/>
        </w:rPr>
        <w:tab/>
      </w:r>
      <w:r w:rsidR="00F9669E" w:rsidRPr="00E1372C">
        <w:rPr>
          <w:lang w:val="fr-FR" w:bidi="en-US"/>
        </w:rPr>
        <w:t>Les résultats de l</w:t>
      </w:r>
      <w:r w:rsidR="00731F09" w:rsidRPr="00E1372C">
        <w:rPr>
          <w:lang w:val="fr-FR" w:bidi="en-US"/>
        </w:rPr>
        <w:t>’</w:t>
      </w:r>
      <w:r w:rsidR="00F9669E" w:rsidRPr="00E1372C">
        <w:rPr>
          <w:lang w:val="fr-FR" w:bidi="en-US"/>
        </w:rPr>
        <w:t>enquête biennale de vigilance montrent que l</w:t>
      </w:r>
      <w:r w:rsidR="00731F09" w:rsidRPr="00E1372C">
        <w:rPr>
          <w:lang w:val="fr-FR" w:bidi="en-US"/>
        </w:rPr>
        <w:t>’</w:t>
      </w:r>
      <w:r w:rsidR="00F9669E" w:rsidRPr="00E1372C">
        <w:rPr>
          <w:lang w:val="fr-FR" w:bidi="en-US"/>
        </w:rPr>
        <w:t>incidence du VIH/</w:t>
      </w:r>
      <w:r w:rsidR="00B277C4" w:rsidRPr="00E1372C">
        <w:rPr>
          <w:lang w:val="fr-FR" w:bidi="en-US"/>
        </w:rPr>
        <w:t>sida</w:t>
      </w:r>
      <w:r w:rsidR="00F9669E" w:rsidRPr="00E1372C">
        <w:rPr>
          <w:lang w:val="fr-FR" w:bidi="en-US"/>
        </w:rPr>
        <w:t xml:space="preserve"> est passée de 19,3</w:t>
      </w:r>
      <w:r w:rsidR="007064FC" w:rsidRPr="00E1372C">
        <w:rPr>
          <w:lang w:val="fr-FR" w:bidi="en-US"/>
        </w:rPr>
        <w:t> %</w:t>
      </w:r>
      <w:r w:rsidR="00F9669E" w:rsidRPr="00E1372C">
        <w:rPr>
          <w:lang w:val="fr-FR" w:bidi="en-US"/>
        </w:rPr>
        <w:t xml:space="preserve"> en 2000 à 22</w:t>
      </w:r>
      <w:r w:rsidR="007064FC" w:rsidRPr="00E1372C">
        <w:rPr>
          <w:lang w:val="fr-FR" w:bidi="en-US"/>
        </w:rPr>
        <w:t> %</w:t>
      </w:r>
      <w:r w:rsidR="00F9669E" w:rsidRPr="00E1372C">
        <w:rPr>
          <w:lang w:val="fr-FR" w:bidi="en-US"/>
        </w:rPr>
        <w:t xml:space="preserve"> en 2002, pour se stabiliser ensuite à 19,7</w:t>
      </w:r>
      <w:r w:rsidR="007064FC" w:rsidRPr="00E1372C">
        <w:rPr>
          <w:lang w:val="fr-FR" w:bidi="en-US"/>
        </w:rPr>
        <w:t> %</w:t>
      </w:r>
      <w:r w:rsidR="00F9669E" w:rsidRPr="00E1372C">
        <w:rPr>
          <w:lang w:val="fr-FR" w:bidi="en-US"/>
        </w:rPr>
        <w:t xml:space="preserve"> en 2004 et 19,6</w:t>
      </w:r>
      <w:r w:rsidR="007064FC" w:rsidRPr="00E1372C">
        <w:rPr>
          <w:lang w:val="fr-FR" w:bidi="en-US"/>
        </w:rPr>
        <w:t> %</w:t>
      </w:r>
      <w:r w:rsidR="00F9669E" w:rsidRPr="00E1372C">
        <w:rPr>
          <w:lang w:val="fr-FR" w:bidi="en-US"/>
        </w:rPr>
        <w:t xml:space="preserve"> en 2006.</w:t>
      </w:r>
    </w:p>
    <w:p w:rsidR="00F9669E" w:rsidRPr="00E1372C" w:rsidRDefault="007A1757" w:rsidP="007A1757">
      <w:pPr>
        <w:pStyle w:val="SingleTxtG"/>
        <w:rPr>
          <w:lang w:val="fr-FR" w:bidi="en-US"/>
        </w:rPr>
      </w:pPr>
      <w:r w:rsidRPr="00E1372C">
        <w:rPr>
          <w:lang w:val="fr-FR" w:bidi="en-US"/>
        </w:rPr>
        <w:t>340.</w:t>
      </w:r>
      <w:r w:rsidRPr="00E1372C">
        <w:rPr>
          <w:lang w:val="fr-FR" w:bidi="en-US"/>
        </w:rPr>
        <w:tab/>
      </w:r>
      <w:r w:rsidR="00F9669E" w:rsidRPr="00E1372C">
        <w:rPr>
          <w:lang w:val="fr-FR" w:bidi="en-US"/>
        </w:rPr>
        <w:t>L</w:t>
      </w:r>
      <w:r w:rsidR="00731F09" w:rsidRPr="00E1372C">
        <w:rPr>
          <w:lang w:val="fr-FR" w:bidi="en-US"/>
        </w:rPr>
        <w:t>’</w:t>
      </w:r>
      <w:r w:rsidR="00F9669E" w:rsidRPr="00E1372C">
        <w:rPr>
          <w:lang w:val="fr-FR" w:bidi="en-US"/>
        </w:rPr>
        <w:t xml:space="preserve">objectif national du troisième </w:t>
      </w:r>
      <w:r w:rsidR="00D24359" w:rsidRPr="00E1372C">
        <w:rPr>
          <w:lang w:val="fr-FR" w:bidi="en-US"/>
        </w:rPr>
        <w:t>p</w:t>
      </w:r>
      <w:r w:rsidR="00F9669E" w:rsidRPr="00E1372C">
        <w:rPr>
          <w:lang w:val="fr-FR" w:bidi="en-US"/>
        </w:rPr>
        <w:t>lan à moyen terme consiste à r</w:t>
      </w:r>
      <w:r w:rsidR="005036AD" w:rsidRPr="00E1372C">
        <w:rPr>
          <w:lang w:val="fr-FR" w:bidi="en-US"/>
        </w:rPr>
        <w:t>éduire l</w:t>
      </w:r>
      <w:r w:rsidR="00731F09" w:rsidRPr="00E1372C">
        <w:rPr>
          <w:lang w:val="fr-FR" w:bidi="en-US"/>
        </w:rPr>
        <w:t>’</w:t>
      </w:r>
      <w:r w:rsidR="005036AD" w:rsidRPr="00E1372C">
        <w:rPr>
          <w:lang w:val="fr-FR" w:bidi="en-US"/>
        </w:rPr>
        <w:t>incidence du VIH/</w:t>
      </w:r>
      <w:r w:rsidR="00B277C4" w:rsidRPr="00E1372C">
        <w:rPr>
          <w:lang w:val="fr-FR" w:bidi="en-US"/>
        </w:rPr>
        <w:t>sida</w:t>
      </w:r>
      <w:r w:rsidR="005036AD" w:rsidRPr="00E1372C">
        <w:rPr>
          <w:lang w:val="fr-FR" w:bidi="en-US"/>
        </w:rPr>
        <w:t xml:space="preserve"> sous le seuil épidémique de 1</w:t>
      </w:r>
      <w:r w:rsidR="007064FC" w:rsidRPr="00E1372C">
        <w:rPr>
          <w:lang w:val="fr-FR" w:bidi="en-US"/>
        </w:rPr>
        <w:t> %</w:t>
      </w:r>
      <w:r w:rsidR="005036AD" w:rsidRPr="00E1372C">
        <w:rPr>
          <w:lang w:val="fr-FR" w:bidi="en-US"/>
        </w:rPr>
        <w:t>. Le Ministère a fait de grands progrès dans les cinq composantes du VIH/</w:t>
      </w:r>
      <w:r w:rsidR="00B277C4" w:rsidRPr="00E1372C">
        <w:rPr>
          <w:lang w:val="fr-FR" w:bidi="en-US"/>
        </w:rPr>
        <w:t>sida</w:t>
      </w:r>
      <w:r w:rsidR="00AE017E" w:rsidRPr="00E1372C">
        <w:rPr>
          <w:lang w:val="fr-FR" w:bidi="en-US"/>
        </w:rPr>
        <w:t>:</w:t>
      </w:r>
      <w:r w:rsidR="005036AD" w:rsidRPr="00E1372C">
        <w:rPr>
          <w:lang w:val="fr-FR" w:bidi="en-US"/>
        </w:rPr>
        <w:t xml:space="preserve"> conditions </w:t>
      </w:r>
      <w:r w:rsidR="00992A63" w:rsidRPr="00E1372C">
        <w:rPr>
          <w:lang w:val="fr-FR" w:bidi="en-US"/>
        </w:rPr>
        <w:t>propic</w:t>
      </w:r>
      <w:r w:rsidR="005036AD" w:rsidRPr="00E1372C">
        <w:rPr>
          <w:lang w:val="fr-FR" w:bidi="en-US"/>
        </w:rPr>
        <w:t>es, prévention, accès au traitement, services de soins et de soutien, atténuation des effets et gestion de programmes concertés et coordonnés. Entre autres résultats notables, il convient de citer les suivants</w:t>
      </w:r>
      <w:r w:rsidR="00AE017E" w:rsidRPr="00E1372C">
        <w:rPr>
          <w:lang w:val="fr-FR" w:bidi="en-US"/>
        </w:rPr>
        <w:t>:</w:t>
      </w:r>
    </w:p>
    <w:p w:rsidR="00A55A0E" w:rsidRPr="00E1372C" w:rsidRDefault="005304D9" w:rsidP="00CE2771">
      <w:pPr>
        <w:pStyle w:val="Bullet1G"/>
      </w:pPr>
      <w:r w:rsidRPr="00E1372C">
        <w:t xml:space="preserve">Lancement </w:t>
      </w:r>
      <w:r w:rsidR="00992A63" w:rsidRPr="00E1372C">
        <w:t>de la p</w:t>
      </w:r>
      <w:r w:rsidR="005036AD" w:rsidRPr="00E1372C">
        <w:t>olitique nationale relative au VIH/</w:t>
      </w:r>
      <w:r w:rsidR="00B277C4" w:rsidRPr="00E1372C">
        <w:t>sida</w:t>
      </w:r>
      <w:r w:rsidR="005036AD" w:rsidRPr="00E1372C">
        <w:t xml:space="preserve"> (par le Président</w:t>
      </w:r>
      <w:r w:rsidR="00A55A0E" w:rsidRPr="00E1372C">
        <w:t xml:space="preserve"> Pohamba)</w:t>
      </w:r>
      <w:r w:rsidR="005036AD" w:rsidRPr="00E1372C">
        <w:t xml:space="preserve"> en février 2008, qui a été largement diffusée</w:t>
      </w:r>
      <w:r w:rsidR="00A55A0E" w:rsidRPr="00E1372C">
        <w:t xml:space="preserve">; </w:t>
      </w:r>
    </w:p>
    <w:p w:rsidR="00A55A0E" w:rsidRPr="00E1372C" w:rsidRDefault="005304D9" w:rsidP="00CE2771">
      <w:pPr>
        <w:pStyle w:val="Bullet1G"/>
      </w:pPr>
      <w:r w:rsidRPr="00E1372C">
        <w:t xml:space="preserve">Organisation </w:t>
      </w:r>
      <w:r w:rsidR="005036AD" w:rsidRPr="00E1372C">
        <w:t xml:space="preserve">de la première </w:t>
      </w:r>
      <w:r w:rsidR="00D24359" w:rsidRPr="00E1372C">
        <w:t>c</w:t>
      </w:r>
      <w:r w:rsidR="005036AD" w:rsidRPr="00E1372C">
        <w:t>onférence nationale des dirigeants en matière de VIH/</w:t>
      </w:r>
      <w:r w:rsidR="00B277C4" w:rsidRPr="00E1372C">
        <w:t>sida</w:t>
      </w:r>
      <w:r w:rsidR="005036AD" w:rsidRPr="00E1372C">
        <w:t>, visant à les habiliter à réorienter les mesures en la matière vers tous les secteurs du pays.</w:t>
      </w:r>
    </w:p>
    <w:p w:rsidR="00A55A0E" w:rsidRPr="00E1372C" w:rsidRDefault="007A1757" w:rsidP="007A1757">
      <w:pPr>
        <w:pStyle w:val="SingleTxtG"/>
        <w:rPr>
          <w:lang w:val="fr-FR" w:bidi="en-US"/>
        </w:rPr>
      </w:pPr>
      <w:r w:rsidRPr="00E1372C">
        <w:rPr>
          <w:lang w:val="fr-FR" w:bidi="en-US"/>
        </w:rPr>
        <w:t>341.</w:t>
      </w:r>
      <w:r w:rsidRPr="00E1372C">
        <w:rPr>
          <w:lang w:val="fr-FR" w:bidi="en-US"/>
        </w:rPr>
        <w:tab/>
      </w:r>
      <w:r w:rsidR="005036AD" w:rsidRPr="00E1372C">
        <w:rPr>
          <w:lang w:val="fr-FR" w:bidi="en-US"/>
        </w:rPr>
        <w:t>Le nombre cumulatif de personnes séropositives en Namibie est présenté dans le tableau ci-dessous</w:t>
      </w:r>
      <w:r w:rsidR="00A55A0E" w:rsidRPr="00E1372C">
        <w:rPr>
          <w:lang w:val="fr-FR" w:bidi="en-US"/>
        </w:rPr>
        <w:t>.</w:t>
      </w:r>
    </w:p>
    <w:p w:rsidR="00A55A0E" w:rsidRPr="00E1372C" w:rsidRDefault="00A55A0E" w:rsidP="005304D9">
      <w:pPr>
        <w:pStyle w:val="H23G"/>
        <w:rPr>
          <w:lang w:val="fr-FR" w:bidi="en-US"/>
        </w:rPr>
      </w:pPr>
      <w:bookmarkStart w:id="9" w:name="_Toc258399488"/>
      <w:r w:rsidRPr="00E1372C">
        <w:rPr>
          <w:b w:val="0"/>
          <w:lang w:val="fr-FR" w:bidi="en-US"/>
        </w:rPr>
        <w:tab/>
      </w:r>
      <w:r w:rsidRPr="00E1372C">
        <w:rPr>
          <w:b w:val="0"/>
          <w:lang w:val="fr-FR" w:bidi="en-US"/>
        </w:rPr>
        <w:tab/>
        <w:t>Table</w:t>
      </w:r>
      <w:r w:rsidR="005036AD" w:rsidRPr="00E1372C">
        <w:rPr>
          <w:b w:val="0"/>
          <w:lang w:val="fr-FR" w:bidi="en-US"/>
        </w:rPr>
        <w:t>au</w:t>
      </w:r>
      <w:r w:rsidRPr="00E1372C">
        <w:rPr>
          <w:b w:val="0"/>
          <w:lang w:val="fr-FR" w:bidi="en-US"/>
        </w:rPr>
        <w:t xml:space="preserve"> </w:t>
      </w:r>
      <w:r w:rsidR="005304D9" w:rsidRPr="00E1372C">
        <w:rPr>
          <w:b w:val="0"/>
          <w:lang w:val="fr-FR" w:bidi="en-US"/>
        </w:rPr>
        <w:t>1</w:t>
      </w:r>
      <w:r w:rsidRPr="00E1372C">
        <w:rPr>
          <w:bCs/>
          <w:lang w:val="fr-FR" w:bidi="en-US"/>
        </w:rPr>
        <w:br/>
      </w:r>
      <w:r w:rsidR="005036AD" w:rsidRPr="00E1372C">
        <w:rPr>
          <w:lang w:val="fr-FR" w:bidi="en-US"/>
        </w:rPr>
        <w:t>Séropositivité</w:t>
      </w:r>
      <w:r w:rsidR="00AE017E" w:rsidRPr="00E1372C">
        <w:rPr>
          <w:lang w:val="fr-FR" w:bidi="en-US"/>
        </w:rPr>
        <w:t>:</w:t>
      </w:r>
      <w:r w:rsidR="005036AD" w:rsidRPr="00E1372C">
        <w:rPr>
          <w:lang w:val="fr-FR" w:bidi="en-US"/>
        </w:rPr>
        <w:t xml:space="preserve"> chiffres </w:t>
      </w:r>
      <w:bookmarkEnd w:id="9"/>
      <w:r w:rsidR="005036AD" w:rsidRPr="00E1372C">
        <w:rPr>
          <w:lang w:val="fr-FR" w:bidi="en-US"/>
        </w:rPr>
        <w:t>cumulatifs</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1134"/>
        <w:gridCol w:w="1134"/>
        <w:gridCol w:w="1134"/>
        <w:gridCol w:w="1134"/>
      </w:tblGrid>
      <w:tr w:rsidR="00A55A0E" w:rsidRPr="00E1372C">
        <w:trPr>
          <w:trHeight w:val="240"/>
          <w:tblHeader/>
        </w:trPr>
        <w:tc>
          <w:tcPr>
            <w:tcW w:w="2835"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rPr>
                <w:i/>
                <w:sz w:val="16"/>
                <w:szCs w:val="24"/>
                <w:lang w:val="fr-FR" w:bidi="en-US"/>
              </w:rPr>
            </w:pP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2004/05</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2005/06</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2006/07</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2007/08</w:t>
            </w:r>
          </w:p>
        </w:tc>
      </w:tr>
      <w:tr w:rsidR="00A55A0E" w:rsidRPr="00E1372C">
        <w:trPr>
          <w:trHeight w:val="240"/>
        </w:trPr>
        <w:tc>
          <w:tcPr>
            <w:tcW w:w="2835" w:type="dxa"/>
            <w:tcBorders>
              <w:top w:val="single" w:sz="12" w:space="0" w:color="auto"/>
            </w:tcBorders>
            <w:shd w:val="clear" w:color="auto" w:fill="auto"/>
          </w:tcPr>
          <w:p w:rsidR="00A55A0E" w:rsidRPr="00E1372C" w:rsidRDefault="005036AD" w:rsidP="005036AD">
            <w:pPr>
              <w:suppressAutoHyphens w:val="0"/>
              <w:spacing w:before="40" w:after="40" w:line="220" w:lineRule="exact"/>
              <w:rPr>
                <w:sz w:val="18"/>
                <w:szCs w:val="24"/>
                <w:lang w:val="fr-FR" w:bidi="en-US"/>
              </w:rPr>
            </w:pPr>
            <w:r w:rsidRPr="00E1372C">
              <w:rPr>
                <w:sz w:val="18"/>
                <w:szCs w:val="24"/>
                <w:lang w:val="fr-FR" w:bidi="en-US"/>
              </w:rPr>
              <w:t>Nombre projeté de cas de séropositivité</w:t>
            </w:r>
          </w:p>
        </w:tc>
        <w:tc>
          <w:tcPr>
            <w:tcW w:w="1134" w:type="dxa"/>
            <w:tcBorders>
              <w:top w:val="single" w:sz="12" w:space="0" w:color="auto"/>
            </w:tcBorders>
            <w:shd w:val="clear" w:color="auto" w:fill="auto"/>
            <w:vAlign w:val="bottom"/>
          </w:tcPr>
          <w:p w:rsidR="00A55A0E" w:rsidRPr="00E1372C" w:rsidRDefault="00A55A0E" w:rsidP="005036AD">
            <w:pPr>
              <w:suppressAutoHyphens w:val="0"/>
              <w:spacing w:before="40" w:after="40" w:line="220" w:lineRule="exact"/>
              <w:jc w:val="right"/>
              <w:rPr>
                <w:sz w:val="18"/>
                <w:szCs w:val="24"/>
                <w:lang w:val="fr-FR" w:bidi="en-US"/>
              </w:rPr>
            </w:pPr>
            <w:r w:rsidRPr="00E1372C">
              <w:rPr>
                <w:sz w:val="18"/>
                <w:szCs w:val="24"/>
                <w:lang w:val="fr-FR" w:bidi="en-US"/>
              </w:rPr>
              <w:t>174</w:t>
            </w:r>
            <w:r w:rsidR="005036AD" w:rsidRPr="00E1372C">
              <w:rPr>
                <w:sz w:val="18"/>
                <w:szCs w:val="24"/>
                <w:lang w:val="fr-FR" w:bidi="en-US"/>
              </w:rPr>
              <w:t> </w:t>
            </w:r>
            <w:r w:rsidRPr="00E1372C">
              <w:rPr>
                <w:sz w:val="18"/>
                <w:szCs w:val="24"/>
                <w:lang w:val="fr-FR" w:bidi="en-US"/>
              </w:rPr>
              <w:t>000</w:t>
            </w:r>
          </w:p>
        </w:tc>
        <w:tc>
          <w:tcPr>
            <w:tcW w:w="1134" w:type="dxa"/>
            <w:tcBorders>
              <w:top w:val="single" w:sz="12" w:space="0" w:color="auto"/>
            </w:tcBorders>
            <w:shd w:val="clear" w:color="auto" w:fill="auto"/>
            <w:vAlign w:val="bottom"/>
          </w:tcPr>
          <w:p w:rsidR="00A55A0E" w:rsidRPr="00E1372C" w:rsidRDefault="00A55A0E" w:rsidP="005036AD">
            <w:pPr>
              <w:suppressAutoHyphens w:val="0"/>
              <w:spacing w:before="40" w:after="40" w:line="220" w:lineRule="exact"/>
              <w:jc w:val="right"/>
              <w:rPr>
                <w:sz w:val="18"/>
                <w:szCs w:val="24"/>
                <w:lang w:val="fr-FR" w:bidi="en-US"/>
              </w:rPr>
            </w:pPr>
            <w:r w:rsidRPr="00E1372C">
              <w:rPr>
                <w:sz w:val="18"/>
                <w:szCs w:val="24"/>
                <w:lang w:val="fr-FR" w:bidi="en-US"/>
              </w:rPr>
              <w:t>179</w:t>
            </w:r>
            <w:r w:rsidR="005036AD" w:rsidRPr="00E1372C">
              <w:rPr>
                <w:sz w:val="18"/>
                <w:szCs w:val="24"/>
                <w:lang w:val="fr-FR" w:bidi="en-US"/>
              </w:rPr>
              <w:t> </w:t>
            </w:r>
            <w:r w:rsidRPr="00E1372C">
              <w:rPr>
                <w:sz w:val="18"/>
                <w:szCs w:val="24"/>
                <w:lang w:val="fr-FR" w:bidi="en-US"/>
              </w:rPr>
              <w:t>500</w:t>
            </w:r>
          </w:p>
        </w:tc>
        <w:tc>
          <w:tcPr>
            <w:tcW w:w="1134" w:type="dxa"/>
            <w:tcBorders>
              <w:top w:val="single" w:sz="12" w:space="0" w:color="auto"/>
            </w:tcBorders>
            <w:shd w:val="clear" w:color="auto" w:fill="auto"/>
            <w:vAlign w:val="bottom"/>
          </w:tcPr>
          <w:p w:rsidR="00A55A0E" w:rsidRPr="00E1372C" w:rsidRDefault="00A55A0E" w:rsidP="005036AD">
            <w:pPr>
              <w:suppressAutoHyphens w:val="0"/>
              <w:spacing w:before="40" w:after="40" w:line="220" w:lineRule="exact"/>
              <w:jc w:val="right"/>
              <w:rPr>
                <w:sz w:val="18"/>
                <w:szCs w:val="24"/>
                <w:lang w:val="fr-FR" w:bidi="en-US"/>
              </w:rPr>
            </w:pPr>
            <w:r w:rsidRPr="00E1372C">
              <w:rPr>
                <w:sz w:val="18"/>
                <w:szCs w:val="24"/>
                <w:lang w:val="fr-FR" w:bidi="en-US"/>
              </w:rPr>
              <w:t>187</w:t>
            </w:r>
            <w:r w:rsidR="005036AD" w:rsidRPr="00E1372C">
              <w:rPr>
                <w:sz w:val="18"/>
                <w:szCs w:val="24"/>
                <w:lang w:val="fr-FR" w:bidi="en-US"/>
              </w:rPr>
              <w:t> </w:t>
            </w:r>
            <w:r w:rsidRPr="00E1372C">
              <w:rPr>
                <w:sz w:val="18"/>
                <w:szCs w:val="24"/>
                <w:lang w:val="fr-FR" w:bidi="en-US"/>
              </w:rPr>
              <w:t>000</w:t>
            </w:r>
          </w:p>
        </w:tc>
        <w:tc>
          <w:tcPr>
            <w:tcW w:w="1134" w:type="dxa"/>
            <w:tcBorders>
              <w:top w:val="single" w:sz="12" w:space="0" w:color="auto"/>
            </w:tcBorders>
            <w:shd w:val="clear" w:color="auto" w:fill="auto"/>
            <w:vAlign w:val="bottom"/>
          </w:tcPr>
          <w:p w:rsidR="00A55A0E" w:rsidRPr="00E1372C" w:rsidRDefault="00A55A0E" w:rsidP="005036AD">
            <w:pPr>
              <w:suppressAutoHyphens w:val="0"/>
              <w:spacing w:before="40" w:after="40" w:line="220" w:lineRule="exact"/>
              <w:jc w:val="right"/>
              <w:rPr>
                <w:sz w:val="18"/>
                <w:szCs w:val="24"/>
                <w:lang w:val="fr-FR" w:bidi="en-US"/>
              </w:rPr>
            </w:pPr>
            <w:r w:rsidRPr="00E1372C">
              <w:rPr>
                <w:sz w:val="18"/>
                <w:szCs w:val="24"/>
                <w:lang w:val="fr-FR" w:bidi="en-US"/>
              </w:rPr>
              <w:t>202</w:t>
            </w:r>
            <w:r w:rsidR="005036AD" w:rsidRPr="00E1372C">
              <w:rPr>
                <w:sz w:val="18"/>
                <w:szCs w:val="24"/>
                <w:lang w:val="fr-FR" w:bidi="en-US"/>
              </w:rPr>
              <w:t> </w:t>
            </w:r>
            <w:r w:rsidRPr="00E1372C">
              <w:rPr>
                <w:sz w:val="18"/>
                <w:szCs w:val="24"/>
                <w:lang w:val="fr-FR" w:bidi="en-US"/>
              </w:rPr>
              <w:t>000</w:t>
            </w:r>
          </w:p>
        </w:tc>
      </w:tr>
    </w:tbl>
    <w:p w:rsidR="00A55A0E" w:rsidRPr="00E1372C" w:rsidRDefault="007A1757" w:rsidP="007A1757">
      <w:pPr>
        <w:pStyle w:val="SingleTxtG"/>
        <w:spacing w:before="240"/>
        <w:rPr>
          <w:lang w:val="fr-FR" w:bidi="en-US"/>
        </w:rPr>
      </w:pPr>
      <w:r w:rsidRPr="00E1372C">
        <w:rPr>
          <w:lang w:val="fr-FR" w:bidi="en-US"/>
        </w:rPr>
        <w:t>342.</w:t>
      </w:r>
      <w:r w:rsidRPr="00E1372C">
        <w:rPr>
          <w:lang w:val="fr-FR" w:bidi="en-US"/>
        </w:rPr>
        <w:tab/>
      </w:r>
      <w:r w:rsidR="005036AD" w:rsidRPr="00E1372C">
        <w:rPr>
          <w:lang w:val="fr-FR" w:bidi="en-US"/>
        </w:rPr>
        <w:t>Durant l</w:t>
      </w:r>
      <w:r w:rsidR="00731F09" w:rsidRPr="00E1372C">
        <w:rPr>
          <w:lang w:val="fr-FR" w:bidi="en-US"/>
        </w:rPr>
        <w:t>’</w:t>
      </w:r>
      <w:r w:rsidR="005036AD" w:rsidRPr="00E1372C">
        <w:rPr>
          <w:lang w:val="fr-FR" w:bidi="en-US"/>
        </w:rPr>
        <w:t>exercice 2007</w:t>
      </w:r>
      <w:r w:rsidR="009B5E44" w:rsidRPr="00E1372C">
        <w:rPr>
          <w:lang w:val="fr-FR" w:bidi="en-US"/>
        </w:rPr>
        <w:t>/</w:t>
      </w:r>
      <w:r w:rsidR="005036AD" w:rsidRPr="00E1372C">
        <w:rPr>
          <w:lang w:val="fr-FR" w:bidi="en-US"/>
        </w:rPr>
        <w:t xml:space="preserve">08, </w:t>
      </w:r>
      <w:r w:rsidR="00A55A0E" w:rsidRPr="00E1372C">
        <w:rPr>
          <w:lang w:val="fr-FR" w:bidi="en-US"/>
        </w:rPr>
        <w:t>99</w:t>
      </w:r>
      <w:r w:rsidR="005036AD" w:rsidRPr="00E1372C">
        <w:rPr>
          <w:lang w:val="fr-FR" w:bidi="en-US"/>
        </w:rPr>
        <w:t> </w:t>
      </w:r>
      <w:r w:rsidR="00A55A0E" w:rsidRPr="00E1372C">
        <w:rPr>
          <w:lang w:val="fr-FR" w:bidi="en-US"/>
        </w:rPr>
        <w:t>365</w:t>
      </w:r>
      <w:r w:rsidR="005036AD" w:rsidRPr="00E1372C">
        <w:rPr>
          <w:lang w:val="fr-FR" w:bidi="en-US"/>
        </w:rPr>
        <w:t> personnes (</w:t>
      </w:r>
      <w:r w:rsidR="00A55A0E" w:rsidRPr="00E1372C">
        <w:rPr>
          <w:lang w:val="fr-FR" w:bidi="en-US"/>
        </w:rPr>
        <w:t>31</w:t>
      </w:r>
      <w:r w:rsidR="005036AD" w:rsidRPr="00E1372C">
        <w:rPr>
          <w:lang w:val="fr-FR" w:bidi="en-US"/>
        </w:rPr>
        <w:t> </w:t>
      </w:r>
      <w:r w:rsidR="00A55A0E" w:rsidRPr="00E1372C">
        <w:rPr>
          <w:lang w:val="fr-FR" w:bidi="en-US"/>
        </w:rPr>
        <w:t xml:space="preserve">050 </w:t>
      </w:r>
      <w:r w:rsidR="005036AD" w:rsidRPr="00E1372C">
        <w:rPr>
          <w:lang w:val="fr-FR" w:bidi="en-US"/>
        </w:rPr>
        <w:t>e</w:t>
      </w:r>
      <w:r w:rsidR="00A55A0E" w:rsidRPr="00E1372C">
        <w:rPr>
          <w:lang w:val="fr-FR" w:bidi="en-US"/>
        </w:rPr>
        <w:t>n 2005</w:t>
      </w:r>
      <w:r w:rsidR="005036AD" w:rsidRPr="00E1372C">
        <w:rPr>
          <w:lang w:val="fr-FR" w:bidi="en-US"/>
        </w:rPr>
        <w:t>-</w:t>
      </w:r>
      <w:r w:rsidR="00A55A0E" w:rsidRPr="00E1372C">
        <w:rPr>
          <w:lang w:val="fr-FR" w:bidi="en-US"/>
        </w:rPr>
        <w:t>2006</w:t>
      </w:r>
      <w:r w:rsidR="005036AD" w:rsidRPr="00E1372C">
        <w:rPr>
          <w:lang w:val="fr-FR" w:bidi="en-US"/>
        </w:rPr>
        <w:t>) se sont rendues volontairement au</w:t>
      </w:r>
      <w:r w:rsidR="001F2D6B" w:rsidRPr="00E1372C">
        <w:rPr>
          <w:lang w:val="fr-FR" w:bidi="en-US"/>
        </w:rPr>
        <w:t>x</w:t>
      </w:r>
      <w:r w:rsidR="005036AD" w:rsidRPr="00E1372C">
        <w:rPr>
          <w:lang w:val="fr-FR" w:bidi="en-US"/>
        </w:rPr>
        <w:t xml:space="preserve"> service</w:t>
      </w:r>
      <w:r w:rsidR="001F2D6B" w:rsidRPr="00E1372C">
        <w:rPr>
          <w:lang w:val="fr-FR" w:bidi="en-US"/>
        </w:rPr>
        <w:t>s</w:t>
      </w:r>
      <w:r w:rsidR="005036AD" w:rsidRPr="00E1372C">
        <w:rPr>
          <w:lang w:val="fr-FR" w:bidi="en-US"/>
        </w:rPr>
        <w:t xml:space="preserve"> de consultation et de dépistage du VIH dans 250 </w:t>
      </w:r>
      <w:r w:rsidR="009B5E44" w:rsidRPr="00E1372C">
        <w:rPr>
          <w:lang w:val="fr-FR" w:bidi="en-US"/>
        </w:rPr>
        <w:t>établissement</w:t>
      </w:r>
      <w:r w:rsidR="005036AD" w:rsidRPr="00E1372C">
        <w:rPr>
          <w:lang w:val="fr-FR" w:bidi="en-US"/>
        </w:rPr>
        <w:t>s de santé publics sur 338, ainsi que dans 17 centres communautaires autonomes.</w:t>
      </w:r>
    </w:p>
    <w:p w:rsidR="00A55A0E" w:rsidRPr="00E1372C" w:rsidRDefault="007A1757" w:rsidP="007A1757">
      <w:pPr>
        <w:pStyle w:val="SingleTxtG"/>
        <w:rPr>
          <w:lang w:val="fr-FR" w:bidi="en-US"/>
        </w:rPr>
      </w:pPr>
      <w:r w:rsidRPr="00E1372C">
        <w:rPr>
          <w:lang w:val="fr-FR" w:bidi="en-US"/>
        </w:rPr>
        <w:t>343.</w:t>
      </w:r>
      <w:r w:rsidRPr="00E1372C">
        <w:rPr>
          <w:lang w:val="fr-FR" w:bidi="en-US"/>
        </w:rPr>
        <w:tab/>
      </w:r>
      <w:r w:rsidR="005036AD" w:rsidRPr="00E1372C">
        <w:rPr>
          <w:lang w:val="fr-FR" w:bidi="en-US"/>
        </w:rPr>
        <w:t xml:space="preserve">Le nombre de personnes nécessitant une thérapie antirétrovirale est passé de </w:t>
      </w:r>
      <w:r w:rsidR="00A55A0E" w:rsidRPr="00E1372C">
        <w:rPr>
          <w:lang w:val="fr-FR" w:bidi="en-US"/>
        </w:rPr>
        <w:t>29</w:t>
      </w:r>
      <w:r w:rsidR="005036AD" w:rsidRPr="00E1372C">
        <w:rPr>
          <w:lang w:val="fr-FR" w:bidi="en-US"/>
        </w:rPr>
        <w:t> </w:t>
      </w:r>
      <w:r w:rsidR="00A55A0E" w:rsidRPr="00E1372C">
        <w:rPr>
          <w:lang w:val="fr-FR" w:bidi="en-US"/>
        </w:rPr>
        <w:t xml:space="preserve">767 </w:t>
      </w:r>
      <w:r w:rsidR="005036AD" w:rsidRPr="00E1372C">
        <w:rPr>
          <w:lang w:val="fr-FR" w:bidi="en-US"/>
        </w:rPr>
        <w:t>e</w:t>
      </w:r>
      <w:r w:rsidR="00A55A0E" w:rsidRPr="00E1372C">
        <w:rPr>
          <w:lang w:val="fr-FR" w:bidi="en-US"/>
        </w:rPr>
        <w:t xml:space="preserve">n 2007 </w:t>
      </w:r>
      <w:r w:rsidR="005036AD" w:rsidRPr="00E1372C">
        <w:rPr>
          <w:lang w:val="fr-FR" w:bidi="en-US"/>
        </w:rPr>
        <w:t>à</w:t>
      </w:r>
      <w:r w:rsidR="00A55A0E" w:rsidRPr="00E1372C">
        <w:rPr>
          <w:lang w:val="fr-FR" w:bidi="en-US"/>
        </w:rPr>
        <w:t xml:space="preserve"> 47</w:t>
      </w:r>
      <w:r w:rsidR="005036AD" w:rsidRPr="00E1372C">
        <w:rPr>
          <w:lang w:val="fr-FR" w:bidi="en-US"/>
        </w:rPr>
        <w:t> </w:t>
      </w:r>
      <w:r w:rsidR="00A55A0E" w:rsidRPr="00E1372C">
        <w:rPr>
          <w:lang w:val="fr-FR" w:bidi="en-US"/>
        </w:rPr>
        <w:t xml:space="preserve">963 </w:t>
      </w:r>
      <w:r w:rsidR="005036AD" w:rsidRPr="00E1372C">
        <w:rPr>
          <w:lang w:val="fr-FR" w:bidi="en-US"/>
        </w:rPr>
        <w:t>e</w:t>
      </w:r>
      <w:r w:rsidR="00A55A0E" w:rsidRPr="00E1372C">
        <w:rPr>
          <w:lang w:val="fr-FR" w:bidi="en-US"/>
        </w:rPr>
        <w:t>n 2008</w:t>
      </w:r>
      <w:r w:rsidR="00F85280" w:rsidRPr="00E1372C">
        <w:rPr>
          <w:lang w:val="fr-FR" w:bidi="en-US"/>
        </w:rPr>
        <w:t>,</w:t>
      </w:r>
      <w:r w:rsidR="00A55A0E" w:rsidRPr="00E1372C">
        <w:rPr>
          <w:lang w:val="fr-FR" w:bidi="en-US"/>
        </w:rPr>
        <w:t xml:space="preserve"> </w:t>
      </w:r>
      <w:r w:rsidR="005036AD" w:rsidRPr="00E1372C">
        <w:rPr>
          <w:lang w:val="fr-FR" w:bidi="en-US"/>
        </w:rPr>
        <w:t>au-delà de l</w:t>
      </w:r>
      <w:r w:rsidR="00731F09" w:rsidRPr="00E1372C">
        <w:rPr>
          <w:lang w:val="fr-FR" w:bidi="en-US"/>
        </w:rPr>
        <w:t>’</w:t>
      </w:r>
      <w:r w:rsidR="005036AD" w:rsidRPr="00E1372C">
        <w:rPr>
          <w:lang w:val="fr-FR" w:bidi="en-US"/>
        </w:rPr>
        <w:t xml:space="preserve">objectif fixé dans le troisième </w:t>
      </w:r>
      <w:r w:rsidR="00D24359" w:rsidRPr="00E1372C">
        <w:rPr>
          <w:lang w:val="fr-FR" w:bidi="en-US"/>
        </w:rPr>
        <w:t>p</w:t>
      </w:r>
      <w:r w:rsidR="005036AD" w:rsidRPr="00E1372C">
        <w:rPr>
          <w:lang w:val="fr-FR" w:bidi="en-US"/>
        </w:rPr>
        <w:t xml:space="preserve">lan à moyen terme de </w:t>
      </w:r>
      <w:r w:rsidR="00A55A0E" w:rsidRPr="00E1372C">
        <w:rPr>
          <w:lang w:val="fr-FR" w:bidi="en-US"/>
        </w:rPr>
        <w:t>33</w:t>
      </w:r>
      <w:r w:rsidR="005036AD" w:rsidRPr="00E1372C">
        <w:rPr>
          <w:lang w:val="fr-FR" w:bidi="en-US"/>
        </w:rPr>
        <w:t> </w:t>
      </w:r>
      <w:r w:rsidR="00A55A0E" w:rsidRPr="00E1372C">
        <w:rPr>
          <w:lang w:val="fr-FR" w:bidi="en-US"/>
        </w:rPr>
        <w:t xml:space="preserve">591 </w:t>
      </w:r>
      <w:r w:rsidR="005036AD" w:rsidRPr="00E1372C">
        <w:rPr>
          <w:lang w:val="fr-FR" w:bidi="en-US"/>
        </w:rPr>
        <w:t>d</w:t>
      </w:r>
      <w:r w:rsidR="00731F09" w:rsidRPr="00E1372C">
        <w:rPr>
          <w:lang w:val="fr-FR" w:bidi="en-US"/>
        </w:rPr>
        <w:t>’</w:t>
      </w:r>
      <w:r w:rsidR="005036AD" w:rsidRPr="00E1372C">
        <w:rPr>
          <w:lang w:val="fr-FR" w:bidi="en-US"/>
        </w:rPr>
        <w:t>ici</w:t>
      </w:r>
      <w:r w:rsidR="00A55A0E" w:rsidRPr="00E1372C">
        <w:rPr>
          <w:lang w:val="fr-FR" w:bidi="en-US"/>
        </w:rPr>
        <w:t xml:space="preserve"> 2007. </w:t>
      </w:r>
      <w:r w:rsidR="005036AD" w:rsidRPr="00E1372C">
        <w:rPr>
          <w:lang w:val="fr-FR" w:bidi="en-US"/>
        </w:rPr>
        <w:t xml:space="preserve">Les </w:t>
      </w:r>
      <w:r w:rsidR="009B5E44" w:rsidRPr="00E1372C">
        <w:rPr>
          <w:lang w:val="fr-FR" w:bidi="en-US"/>
        </w:rPr>
        <w:t>établissements de santé</w:t>
      </w:r>
      <w:r w:rsidR="005036AD" w:rsidRPr="00E1372C">
        <w:rPr>
          <w:lang w:val="fr-FR" w:bidi="en-US"/>
        </w:rPr>
        <w:t xml:space="preserve"> sont passés de 43 structures en 2006</w:t>
      </w:r>
      <w:r w:rsidR="009B5E44" w:rsidRPr="00E1372C">
        <w:rPr>
          <w:lang w:val="fr-FR" w:bidi="en-US"/>
        </w:rPr>
        <w:t>/</w:t>
      </w:r>
      <w:r w:rsidR="002406E0" w:rsidRPr="00E1372C">
        <w:rPr>
          <w:lang w:val="fr-FR" w:bidi="en-US"/>
        </w:rPr>
        <w:t xml:space="preserve">07 à </w:t>
      </w:r>
      <w:r w:rsidR="005036AD" w:rsidRPr="00E1372C">
        <w:rPr>
          <w:lang w:val="fr-FR" w:bidi="en-US"/>
        </w:rPr>
        <w:t>57 en 2007-2008. Le nombre de personnes soumises à la thérapie durant les trois derniers exercices est indiqué dans le tableau ci-dessous.</w:t>
      </w:r>
    </w:p>
    <w:p w:rsidR="00A55A0E" w:rsidRPr="00E1372C" w:rsidRDefault="00A55A0E" w:rsidP="009F6700">
      <w:pPr>
        <w:pStyle w:val="H23G"/>
        <w:rPr>
          <w:lang w:val="fr-FR" w:bidi="en-US"/>
        </w:rPr>
      </w:pPr>
      <w:bookmarkStart w:id="10" w:name="_Toc258399489"/>
      <w:r w:rsidRPr="00E1372C">
        <w:rPr>
          <w:lang w:val="fr-FR" w:bidi="en-US"/>
        </w:rPr>
        <w:tab/>
      </w:r>
      <w:r w:rsidRPr="00E1372C">
        <w:rPr>
          <w:lang w:val="fr-FR" w:bidi="en-US"/>
        </w:rPr>
        <w:tab/>
        <w:t>N</w:t>
      </w:r>
      <w:r w:rsidR="00DA1B25" w:rsidRPr="00E1372C">
        <w:rPr>
          <w:lang w:val="fr-FR" w:bidi="en-US"/>
        </w:rPr>
        <w:t>ombre de personnes soumises à la thérapie</w:t>
      </w:r>
      <w:bookmarkEnd w:id="10"/>
      <w:r w:rsidR="001F2D6B" w:rsidRPr="00E1372C">
        <w:rPr>
          <w:lang w:val="fr-FR" w:bidi="en-US"/>
        </w:rPr>
        <w:t xml:space="preserve"> antirétrovirale</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1134"/>
        <w:gridCol w:w="1134"/>
        <w:gridCol w:w="1134"/>
      </w:tblGrid>
      <w:tr w:rsidR="00A55A0E" w:rsidRPr="00E1372C">
        <w:trPr>
          <w:trHeight w:val="240"/>
          <w:tblHeader/>
        </w:trPr>
        <w:tc>
          <w:tcPr>
            <w:tcW w:w="3969"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rPr>
                <w:i/>
                <w:sz w:val="16"/>
                <w:szCs w:val="24"/>
                <w:lang w:val="fr-FR" w:bidi="en-US"/>
              </w:rPr>
            </w:pP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2005/06</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2006/07</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2007/08</w:t>
            </w:r>
          </w:p>
        </w:tc>
      </w:tr>
      <w:tr w:rsidR="00A55A0E" w:rsidRPr="00E1372C">
        <w:trPr>
          <w:trHeight w:val="240"/>
        </w:trPr>
        <w:tc>
          <w:tcPr>
            <w:tcW w:w="3969" w:type="dxa"/>
            <w:tcBorders>
              <w:top w:val="single" w:sz="12" w:space="0" w:color="auto"/>
            </w:tcBorders>
            <w:shd w:val="clear" w:color="auto" w:fill="auto"/>
          </w:tcPr>
          <w:p w:rsidR="00A55A0E" w:rsidRPr="00E1372C" w:rsidRDefault="00A55A0E" w:rsidP="001F2D6B">
            <w:pPr>
              <w:suppressAutoHyphens w:val="0"/>
              <w:spacing w:before="40" w:after="40" w:line="220" w:lineRule="exact"/>
              <w:rPr>
                <w:sz w:val="18"/>
                <w:szCs w:val="24"/>
                <w:lang w:val="fr-FR" w:bidi="en-US"/>
              </w:rPr>
            </w:pPr>
            <w:r w:rsidRPr="00E1372C">
              <w:rPr>
                <w:sz w:val="18"/>
                <w:szCs w:val="24"/>
                <w:lang w:val="fr-FR" w:bidi="en-US"/>
              </w:rPr>
              <w:t>N</w:t>
            </w:r>
            <w:r w:rsidR="00DA1B25" w:rsidRPr="00E1372C">
              <w:rPr>
                <w:sz w:val="18"/>
                <w:szCs w:val="24"/>
                <w:lang w:val="fr-FR" w:bidi="en-US"/>
              </w:rPr>
              <w:t xml:space="preserve">ombre de personnes soumises à la thérapie </w:t>
            </w:r>
            <w:r w:rsidR="001F2D6B" w:rsidRPr="00E1372C">
              <w:rPr>
                <w:sz w:val="18"/>
                <w:szCs w:val="24"/>
                <w:lang w:val="fr-FR" w:bidi="en-US"/>
              </w:rPr>
              <w:t xml:space="preserve">antirétrovirale dans le </w:t>
            </w:r>
            <w:r w:rsidR="00DA1B25" w:rsidRPr="00E1372C">
              <w:rPr>
                <w:sz w:val="18"/>
                <w:szCs w:val="24"/>
                <w:lang w:val="fr-FR" w:bidi="en-US"/>
              </w:rPr>
              <w:t>secteur public</w:t>
            </w:r>
          </w:p>
        </w:tc>
        <w:tc>
          <w:tcPr>
            <w:tcW w:w="1134" w:type="dxa"/>
            <w:tcBorders>
              <w:top w:val="single" w:sz="12" w:space="0" w:color="auto"/>
            </w:tcBorders>
            <w:shd w:val="clear" w:color="auto" w:fill="auto"/>
            <w:vAlign w:val="bottom"/>
          </w:tcPr>
          <w:p w:rsidR="00A55A0E" w:rsidRPr="00E1372C" w:rsidRDefault="00A55A0E" w:rsidP="00DA1B25">
            <w:pPr>
              <w:suppressAutoHyphens w:val="0"/>
              <w:spacing w:before="40" w:after="40" w:line="220" w:lineRule="exact"/>
              <w:jc w:val="right"/>
              <w:rPr>
                <w:sz w:val="18"/>
                <w:szCs w:val="24"/>
                <w:lang w:val="fr-FR" w:bidi="en-US"/>
              </w:rPr>
            </w:pPr>
            <w:r w:rsidRPr="00E1372C">
              <w:rPr>
                <w:sz w:val="18"/>
                <w:szCs w:val="24"/>
                <w:lang w:val="fr-FR" w:bidi="en-US"/>
              </w:rPr>
              <w:t>18</w:t>
            </w:r>
            <w:r w:rsidR="00DA1B25" w:rsidRPr="00E1372C">
              <w:rPr>
                <w:sz w:val="18"/>
                <w:szCs w:val="24"/>
                <w:lang w:val="fr-FR" w:bidi="en-US"/>
              </w:rPr>
              <w:t> </w:t>
            </w:r>
            <w:r w:rsidRPr="00E1372C">
              <w:rPr>
                <w:sz w:val="18"/>
                <w:szCs w:val="24"/>
                <w:lang w:val="fr-FR" w:bidi="en-US"/>
              </w:rPr>
              <w:t>968</w:t>
            </w:r>
          </w:p>
        </w:tc>
        <w:tc>
          <w:tcPr>
            <w:tcW w:w="1134" w:type="dxa"/>
            <w:tcBorders>
              <w:top w:val="single" w:sz="12" w:space="0" w:color="auto"/>
            </w:tcBorders>
            <w:shd w:val="clear" w:color="auto" w:fill="auto"/>
            <w:vAlign w:val="bottom"/>
          </w:tcPr>
          <w:p w:rsidR="00A55A0E" w:rsidRPr="00E1372C" w:rsidRDefault="00A55A0E" w:rsidP="00DA1B25">
            <w:pPr>
              <w:suppressAutoHyphens w:val="0"/>
              <w:spacing w:before="40" w:after="40" w:line="220" w:lineRule="exact"/>
              <w:jc w:val="right"/>
              <w:rPr>
                <w:sz w:val="18"/>
                <w:szCs w:val="24"/>
                <w:lang w:val="fr-FR" w:bidi="en-US"/>
              </w:rPr>
            </w:pPr>
            <w:r w:rsidRPr="00E1372C">
              <w:rPr>
                <w:sz w:val="18"/>
                <w:szCs w:val="24"/>
                <w:lang w:val="fr-FR" w:bidi="en-US"/>
              </w:rPr>
              <w:t>40</w:t>
            </w:r>
            <w:r w:rsidR="00DA1B25" w:rsidRPr="00E1372C">
              <w:rPr>
                <w:sz w:val="18"/>
                <w:szCs w:val="24"/>
                <w:lang w:val="fr-FR" w:bidi="en-US"/>
              </w:rPr>
              <w:t> </w:t>
            </w:r>
            <w:r w:rsidRPr="00E1372C">
              <w:rPr>
                <w:sz w:val="18"/>
                <w:szCs w:val="24"/>
                <w:lang w:val="fr-FR" w:bidi="en-US"/>
              </w:rPr>
              <w:t>400</w:t>
            </w:r>
          </w:p>
        </w:tc>
        <w:tc>
          <w:tcPr>
            <w:tcW w:w="1134" w:type="dxa"/>
            <w:tcBorders>
              <w:top w:val="single" w:sz="12" w:space="0" w:color="auto"/>
            </w:tcBorders>
            <w:shd w:val="clear" w:color="auto" w:fill="auto"/>
            <w:vAlign w:val="bottom"/>
          </w:tcPr>
          <w:p w:rsidR="00A55A0E" w:rsidRPr="00E1372C" w:rsidRDefault="00A55A0E" w:rsidP="00DA1B25">
            <w:pPr>
              <w:suppressAutoHyphens w:val="0"/>
              <w:spacing w:before="40" w:after="40" w:line="220" w:lineRule="exact"/>
              <w:jc w:val="right"/>
              <w:rPr>
                <w:sz w:val="18"/>
                <w:szCs w:val="24"/>
                <w:lang w:val="fr-FR" w:bidi="en-US"/>
              </w:rPr>
            </w:pPr>
            <w:r w:rsidRPr="00E1372C">
              <w:rPr>
                <w:sz w:val="18"/>
                <w:szCs w:val="24"/>
                <w:lang w:val="fr-FR" w:bidi="en-US"/>
              </w:rPr>
              <w:t>50</w:t>
            </w:r>
            <w:r w:rsidR="00DA1B25" w:rsidRPr="00E1372C">
              <w:rPr>
                <w:sz w:val="18"/>
                <w:szCs w:val="24"/>
                <w:lang w:val="fr-FR" w:bidi="en-US"/>
              </w:rPr>
              <w:t> </w:t>
            </w:r>
            <w:r w:rsidRPr="00E1372C">
              <w:rPr>
                <w:sz w:val="18"/>
                <w:szCs w:val="24"/>
                <w:lang w:val="fr-FR" w:bidi="en-US"/>
              </w:rPr>
              <w:t>600</w:t>
            </w:r>
          </w:p>
        </w:tc>
      </w:tr>
    </w:tbl>
    <w:p w:rsidR="00A55A0E" w:rsidRPr="00E1372C" w:rsidRDefault="009F6700" w:rsidP="009F6700">
      <w:pPr>
        <w:pStyle w:val="H23G"/>
        <w:rPr>
          <w:lang w:val="fr-FR" w:bidi="en-US"/>
        </w:rPr>
      </w:pPr>
      <w:r w:rsidRPr="00E1372C">
        <w:rPr>
          <w:lang w:val="fr-FR" w:bidi="en-US"/>
        </w:rPr>
        <w:tab/>
        <w:t>c)</w:t>
      </w:r>
      <w:r w:rsidR="00A55A0E" w:rsidRPr="00E1372C">
        <w:rPr>
          <w:lang w:val="fr-FR" w:bidi="en-US"/>
        </w:rPr>
        <w:tab/>
      </w:r>
      <w:r w:rsidR="00DA1B25" w:rsidRPr="00E1372C">
        <w:rPr>
          <w:lang w:val="fr-FR" w:bidi="en-US"/>
        </w:rPr>
        <w:t>Maladies sexuellement transmissibles</w:t>
      </w:r>
    </w:p>
    <w:p w:rsidR="00A55A0E" w:rsidRPr="00E1372C" w:rsidRDefault="007A1757" w:rsidP="007A1757">
      <w:pPr>
        <w:pStyle w:val="SingleTxtG"/>
        <w:rPr>
          <w:lang w:val="fr-FR" w:bidi="en-US"/>
        </w:rPr>
      </w:pPr>
      <w:r w:rsidRPr="00E1372C">
        <w:rPr>
          <w:lang w:val="fr-FR" w:bidi="en-US"/>
        </w:rPr>
        <w:t>344.</w:t>
      </w:r>
      <w:r w:rsidRPr="00E1372C">
        <w:rPr>
          <w:lang w:val="fr-FR" w:bidi="en-US"/>
        </w:rPr>
        <w:tab/>
      </w:r>
      <w:r w:rsidR="009941DC" w:rsidRPr="00E1372C">
        <w:rPr>
          <w:lang w:val="fr-FR" w:bidi="en-US"/>
        </w:rPr>
        <w:t xml:space="preserve">Les maladies sexuellement transmissibles ne cessent de soulever un problème de santé majeur en Namibie. Durant la période examinée, </w:t>
      </w:r>
      <w:r w:rsidR="00A55A0E" w:rsidRPr="00E1372C">
        <w:rPr>
          <w:lang w:val="fr-FR" w:bidi="en-US"/>
        </w:rPr>
        <w:t>43</w:t>
      </w:r>
      <w:r w:rsidR="009941DC" w:rsidRPr="00E1372C">
        <w:rPr>
          <w:lang w:val="fr-FR" w:bidi="en-US"/>
        </w:rPr>
        <w:t> </w:t>
      </w:r>
      <w:r w:rsidR="00A55A0E" w:rsidRPr="00E1372C">
        <w:rPr>
          <w:lang w:val="fr-FR" w:bidi="en-US"/>
        </w:rPr>
        <w:t>778</w:t>
      </w:r>
      <w:r w:rsidR="009941DC" w:rsidRPr="00E1372C">
        <w:rPr>
          <w:lang w:val="fr-FR" w:bidi="en-US"/>
        </w:rPr>
        <w:t> cas ont été enregistrés</w:t>
      </w:r>
      <w:r w:rsidR="001F2D6B" w:rsidRPr="00E1372C">
        <w:rPr>
          <w:lang w:val="fr-FR" w:bidi="en-US"/>
        </w:rPr>
        <w:t xml:space="preserve"> au total</w:t>
      </w:r>
      <w:r w:rsidR="009941DC" w:rsidRPr="00E1372C">
        <w:rPr>
          <w:lang w:val="fr-FR" w:bidi="en-US"/>
        </w:rPr>
        <w:t>. La meilleure manière de prévenir ces maladies est l</w:t>
      </w:r>
      <w:r w:rsidR="00731F09" w:rsidRPr="00E1372C">
        <w:rPr>
          <w:lang w:val="fr-FR" w:bidi="en-US"/>
        </w:rPr>
        <w:t>’</w:t>
      </w:r>
      <w:r w:rsidR="009941DC" w:rsidRPr="00E1372C">
        <w:rPr>
          <w:lang w:val="fr-FR" w:bidi="en-US"/>
        </w:rPr>
        <w:t xml:space="preserve">utilisation du préservatif; ainsi, </w:t>
      </w:r>
      <w:r w:rsidR="00A55A0E" w:rsidRPr="00E1372C">
        <w:rPr>
          <w:lang w:val="fr-FR" w:bidi="en-US"/>
        </w:rPr>
        <w:t>24</w:t>
      </w:r>
      <w:r w:rsidR="009941DC" w:rsidRPr="00E1372C">
        <w:rPr>
          <w:lang w:val="fr-FR" w:bidi="en-US"/>
        </w:rPr>
        <w:t> </w:t>
      </w:r>
      <w:r w:rsidR="00A55A0E" w:rsidRPr="00E1372C">
        <w:rPr>
          <w:lang w:val="fr-FR" w:bidi="en-US"/>
        </w:rPr>
        <w:t>606</w:t>
      </w:r>
      <w:r w:rsidR="009941DC" w:rsidRPr="00E1372C">
        <w:rPr>
          <w:lang w:val="fr-FR" w:bidi="en-US"/>
        </w:rPr>
        <w:t> </w:t>
      </w:r>
      <w:r w:rsidR="00A55A0E" w:rsidRPr="00E1372C">
        <w:rPr>
          <w:lang w:val="fr-FR" w:bidi="en-US"/>
        </w:rPr>
        <w:t>720</w:t>
      </w:r>
      <w:r w:rsidR="009941DC" w:rsidRPr="00E1372C">
        <w:rPr>
          <w:lang w:val="fr-FR" w:bidi="en-US"/>
        </w:rPr>
        <w:t> préservatifs masculins ont été distribués. La tendance relative à la distribution de préservatifs apparaît dans le tableau ci-dessous.</w:t>
      </w:r>
    </w:p>
    <w:p w:rsidR="00A55A0E" w:rsidRPr="00E1372C" w:rsidRDefault="00A55A0E" w:rsidP="009F6700">
      <w:pPr>
        <w:pStyle w:val="H23G"/>
        <w:rPr>
          <w:sz w:val="24"/>
          <w:szCs w:val="24"/>
          <w:lang w:val="fr-FR" w:bidi="en-US"/>
        </w:rPr>
      </w:pPr>
      <w:bookmarkStart w:id="11" w:name="_Toc258399490"/>
      <w:r w:rsidRPr="00E1372C">
        <w:rPr>
          <w:lang w:val="fr-FR" w:bidi="en-US"/>
        </w:rPr>
        <w:tab/>
      </w:r>
      <w:r w:rsidRPr="00E1372C">
        <w:rPr>
          <w:lang w:val="fr-FR" w:bidi="en-US"/>
        </w:rPr>
        <w:tab/>
        <w:t>T</w:t>
      </w:r>
      <w:r w:rsidR="009941DC" w:rsidRPr="00E1372C">
        <w:rPr>
          <w:lang w:val="fr-FR" w:bidi="en-US"/>
        </w:rPr>
        <w:t>endance relative à la distribution de préservatifs</w:t>
      </w:r>
      <w:bookmarkEnd w:id="11"/>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A55A0E" w:rsidRPr="00E1372C">
        <w:trPr>
          <w:trHeight w:val="240"/>
          <w:tblHeader/>
        </w:trPr>
        <w:tc>
          <w:tcPr>
            <w:tcW w:w="1701" w:type="dxa"/>
            <w:tcBorders>
              <w:top w:val="single" w:sz="4" w:space="0" w:color="auto"/>
              <w:bottom w:val="single" w:sz="12" w:space="0" w:color="auto"/>
            </w:tcBorders>
            <w:shd w:val="clear" w:color="auto" w:fill="auto"/>
            <w:vAlign w:val="bottom"/>
          </w:tcPr>
          <w:p w:rsidR="00A55A0E" w:rsidRPr="00E1372C" w:rsidRDefault="009941DC" w:rsidP="009941DC">
            <w:pPr>
              <w:suppressAutoHyphens w:val="0"/>
              <w:spacing w:before="80" w:after="80" w:line="200" w:lineRule="exact"/>
              <w:rPr>
                <w:i/>
                <w:sz w:val="16"/>
                <w:szCs w:val="24"/>
                <w:lang w:val="fr-FR" w:bidi="en-US"/>
              </w:rPr>
            </w:pPr>
            <w:r w:rsidRPr="00E1372C">
              <w:rPr>
                <w:i/>
                <w:sz w:val="16"/>
                <w:szCs w:val="24"/>
                <w:lang w:val="fr-FR" w:bidi="en-US"/>
              </w:rPr>
              <w:t>Préservatifs</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2003/04</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2004/05</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2005/06</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2006/07</w:t>
            </w:r>
          </w:p>
        </w:tc>
        <w:tc>
          <w:tcPr>
            <w:tcW w:w="1134" w:type="dxa"/>
            <w:tcBorders>
              <w:top w:val="single" w:sz="4"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jc w:val="right"/>
              <w:rPr>
                <w:i/>
                <w:sz w:val="16"/>
                <w:szCs w:val="24"/>
                <w:lang w:val="fr-FR" w:bidi="en-US"/>
              </w:rPr>
            </w:pPr>
            <w:r w:rsidRPr="00E1372C">
              <w:rPr>
                <w:i/>
                <w:sz w:val="16"/>
                <w:szCs w:val="24"/>
                <w:lang w:val="fr-FR" w:bidi="en-US"/>
              </w:rPr>
              <w:t>2007/08</w:t>
            </w:r>
          </w:p>
        </w:tc>
      </w:tr>
      <w:tr w:rsidR="00A55A0E" w:rsidRPr="00E1372C">
        <w:trPr>
          <w:trHeight w:val="240"/>
        </w:trPr>
        <w:tc>
          <w:tcPr>
            <w:tcW w:w="1701" w:type="dxa"/>
            <w:tcBorders>
              <w:top w:val="single" w:sz="12" w:space="0" w:color="auto"/>
            </w:tcBorders>
            <w:shd w:val="clear" w:color="auto" w:fill="auto"/>
          </w:tcPr>
          <w:p w:rsidR="00A55A0E" w:rsidRPr="00E1372C" w:rsidRDefault="009941DC" w:rsidP="009941DC">
            <w:pPr>
              <w:suppressAutoHyphens w:val="0"/>
              <w:spacing w:before="40" w:after="40" w:line="220" w:lineRule="exact"/>
              <w:rPr>
                <w:sz w:val="18"/>
                <w:szCs w:val="24"/>
                <w:lang w:val="fr-FR" w:bidi="en-US"/>
              </w:rPr>
            </w:pPr>
            <w:r w:rsidRPr="00E1372C">
              <w:rPr>
                <w:sz w:val="18"/>
                <w:szCs w:val="24"/>
                <w:lang w:val="fr-FR" w:bidi="en-US"/>
              </w:rPr>
              <w:t>Préservatifs masculins</w:t>
            </w:r>
          </w:p>
        </w:tc>
        <w:tc>
          <w:tcPr>
            <w:tcW w:w="1134"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9</w:t>
            </w:r>
            <w:r w:rsidR="009941DC" w:rsidRPr="00E1372C">
              <w:rPr>
                <w:sz w:val="18"/>
                <w:szCs w:val="24"/>
                <w:lang w:val="fr-FR" w:bidi="en-US"/>
              </w:rPr>
              <w:t> </w:t>
            </w:r>
            <w:r w:rsidRPr="00E1372C">
              <w:rPr>
                <w:sz w:val="18"/>
                <w:szCs w:val="24"/>
                <w:lang w:val="fr-FR" w:bidi="en-US"/>
              </w:rPr>
              <w:t>700</w:t>
            </w:r>
            <w:r w:rsidR="009941DC" w:rsidRPr="00E1372C">
              <w:rPr>
                <w:sz w:val="18"/>
                <w:szCs w:val="24"/>
                <w:lang w:val="fr-FR" w:bidi="en-US"/>
              </w:rPr>
              <w:t> </w:t>
            </w:r>
            <w:r w:rsidRPr="00E1372C">
              <w:rPr>
                <w:sz w:val="18"/>
                <w:szCs w:val="24"/>
                <w:lang w:val="fr-FR" w:bidi="en-US"/>
              </w:rPr>
              <w:t>000</w:t>
            </w:r>
          </w:p>
        </w:tc>
        <w:tc>
          <w:tcPr>
            <w:tcW w:w="1134"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16</w:t>
            </w:r>
            <w:r w:rsidR="009941DC" w:rsidRPr="00E1372C">
              <w:rPr>
                <w:sz w:val="18"/>
                <w:szCs w:val="24"/>
                <w:lang w:val="fr-FR" w:bidi="en-US"/>
              </w:rPr>
              <w:t> </w:t>
            </w:r>
            <w:r w:rsidRPr="00E1372C">
              <w:rPr>
                <w:sz w:val="18"/>
                <w:szCs w:val="24"/>
                <w:lang w:val="fr-FR" w:bidi="en-US"/>
              </w:rPr>
              <w:t>300</w:t>
            </w:r>
            <w:r w:rsidR="009941DC" w:rsidRPr="00E1372C">
              <w:rPr>
                <w:sz w:val="18"/>
                <w:szCs w:val="24"/>
                <w:lang w:val="fr-FR" w:bidi="en-US"/>
              </w:rPr>
              <w:t> </w:t>
            </w:r>
            <w:r w:rsidRPr="00E1372C">
              <w:rPr>
                <w:sz w:val="18"/>
                <w:szCs w:val="24"/>
                <w:lang w:val="fr-FR" w:bidi="en-US"/>
              </w:rPr>
              <w:t>000</w:t>
            </w:r>
          </w:p>
        </w:tc>
        <w:tc>
          <w:tcPr>
            <w:tcW w:w="1134"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18</w:t>
            </w:r>
            <w:r w:rsidR="009941DC" w:rsidRPr="00E1372C">
              <w:rPr>
                <w:sz w:val="18"/>
                <w:szCs w:val="24"/>
                <w:lang w:val="fr-FR" w:bidi="en-US"/>
              </w:rPr>
              <w:t> </w:t>
            </w:r>
            <w:r w:rsidRPr="00E1372C">
              <w:rPr>
                <w:sz w:val="18"/>
                <w:szCs w:val="24"/>
                <w:lang w:val="fr-FR" w:bidi="en-US"/>
              </w:rPr>
              <w:t>632</w:t>
            </w:r>
            <w:r w:rsidR="009941DC" w:rsidRPr="00E1372C">
              <w:rPr>
                <w:sz w:val="18"/>
                <w:szCs w:val="24"/>
                <w:lang w:val="fr-FR" w:bidi="en-US"/>
              </w:rPr>
              <w:t> </w:t>
            </w:r>
            <w:r w:rsidRPr="00E1372C">
              <w:rPr>
                <w:sz w:val="18"/>
                <w:szCs w:val="24"/>
                <w:lang w:val="fr-FR" w:bidi="en-US"/>
              </w:rPr>
              <w:t>736</w:t>
            </w:r>
          </w:p>
        </w:tc>
        <w:tc>
          <w:tcPr>
            <w:tcW w:w="1134"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28</w:t>
            </w:r>
            <w:r w:rsidR="009941DC" w:rsidRPr="00E1372C">
              <w:rPr>
                <w:sz w:val="18"/>
                <w:szCs w:val="24"/>
                <w:lang w:val="fr-FR" w:bidi="en-US"/>
              </w:rPr>
              <w:t> </w:t>
            </w:r>
            <w:r w:rsidRPr="00E1372C">
              <w:rPr>
                <w:sz w:val="18"/>
                <w:szCs w:val="24"/>
                <w:lang w:val="fr-FR" w:bidi="en-US"/>
              </w:rPr>
              <w:t>000</w:t>
            </w:r>
            <w:r w:rsidR="009941DC" w:rsidRPr="00E1372C">
              <w:rPr>
                <w:sz w:val="18"/>
                <w:szCs w:val="24"/>
                <w:lang w:val="fr-FR" w:bidi="en-US"/>
              </w:rPr>
              <w:t> </w:t>
            </w:r>
            <w:r w:rsidRPr="00E1372C">
              <w:rPr>
                <w:sz w:val="18"/>
                <w:szCs w:val="24"/>
                <w:lang w:val="fr-FR" w:bidi="en-US"/>
              </w:rPr>
              <w:t>000</w:t>
            </w:r>
          </w:p>
        </w:tc>
        <w:tc>
          <w:tcPr>
            <w:tcW w:w="1134"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24</w:t>
            </w:r>
            <w:r w:rsidR="009941DC" w:rsidRPr="00E1372C">
              <w:rPr>
                <w:sz w:val="18"/>
                <w:szCs w:val="24"/>
                <w:lang w:val="fr-FR" w:bidi="en-US"/>
              </w:rPr>
              <w:t> </w:t>
            </w:r>
            <w:r w:rsidRPr="00E1372C">
              <w:rPr>
                <w:sz w:val="18"/>
                <w:szCs w:val="24"/>
                <w:lang w:val="fr-FR" w:bidi="en-US"/>
              </w:rPr>
              <w:t>606</w:t>
            </w:r>
            <w:r w:rsidR="009941DC" w:rsidRPr="00E1372C">
              <w:rPr>
                <w:sz w:val="18"/>
                <w:szCs w:val="24"/>
                <w:lang w:val="fr-FR" w:bidi="en-US"/>
              </w:rPr>
              <w:t> </w:t>
            </w:r>
            <w:r w:rsidRPr="00E1372C">
              <w:rPr>
                <w:sz w:val="18"/>
                <w:szCs w:val="24"/>
                <w:lang w:val="fr-FR" w:bidi="en-US"/>
              </w:rPr>
              <w:t>720</w:t>
            </w:r>
          </w:p>
        </w:tc>
      </w:tr>
      <w:tr w:rsidR="00A55A0E" w:rsidRPr="00E1372C">
        <w:trPr>
          <w:trHeight w:val="240"/>
        </w:trPr>
        <w:tc>
          <w:tcPr>
            <w:tcW w:w="1701" w:type="dxa"/>
            <w:shd w:val="clear" w:color="auto" w:fill="auto"/>
          </w:tcPr>
          <w:p w:rsidR="00A55A0E" w:rsidRPr="00E1372C" w:rsidRDefault="009941DC" w:rsidP="009941DC">
            <w:pPr>
              <w:suppressAutoHyphens w:val="0"/>
              <w:spacing w:before="40" w:after="40" w:line="220" w:lineRule="exact"/>
              <w:rPr>
                <w:sz w:val="18"/>
                <w:szCs w:val="24"/>
                <w:lang w:val="fr-FR" w:bidi="en-US"/>
              </w:rPr>
            </w:pPr>
            <w:r w:rsidRPr="00E1372C">
              <w:rPr>
                <w:sz w:val="18"/>
                <w:szCs w:val="24"/>
                <w:lang w:val="fr-FR" w:bidi="en-US"/>
              </w:rPr>
              <w:t>Préservatifs féminins</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32</w:t>
            </w:r>
            <w:r w:rsidR="009941DC" w:rsidRPr="00E1372C">
              <w:rPr>
                <w:sz w:val="18"/>
                <w:szCs w:val="24"/>
                <w:lang w:val="fr-FR" w:bidi="en-US"/>
              </w:rPr>
              <w:t> </w:t>
            </w:r>
            <w:r w:rsidRPr="00E1372C">
              <w:rPr>
                <w:sz w:val="18"/>
                <w:szCs w:val="24"/>
                <w:lang w:val="fr-FR" w:bidi="en-US"/>
              </w:rPr>
              <w:t>000</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50</w:t>
            </w:r>
            <w:r w:rsidR="009941DC" w:rsidRPr="00E1372C">
              <w:rPr>
                <w:sz w:val="18"/>
                <w:szCs w:val="24"/>
                <w:lang w:val="fr-FR" w:bidi="en-US"/>
              </w:rPr>
              <w:t> </w:t>
            </w:r>
            <w:r w:rsidRPr="00E1372C">
              <w:rPr>
                <w:sz w:val="18"/>
                <w:szCs w:val="24"/>
                <w:lang w:val="fr-FR" w:bidi="en-US"/>
              </w:rPr>
              <w:t>000</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43</w:t>
            </w:r>
            <w:r w:rsidR="009941DC" w:rsidRPr="00E1372C">
              <w:rPr>
                <w:sz w:val="18"/>
                <w:szCs w:val="24"/>
                <w:lang w:val="fr-FR" w:bidi="en-US"/>
              </w:rPr>
              <w:t> </w:t>
            </w:r>
            <w:r w:rsidRPr="00E1372C">
              <w:rPr>
                <w:sz w:val="18"/>
                <w:szCs w:val="24"/>
                <w:lang w:val="fr-FR" w:bidi="en-US"/>
              </w:rPr>
              <w:t>240</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450</w:t>
            </w:r>
            <w:r w:rsidR="009941DC" w:rsidRPr="00E1372C">
              <w:rPr>
                <w:sz w:val="18"/>
                <w:szCs w:val="24"/>
                <w:lang w:val="fr-FR" w:bidi="en-US"/>
              </w:rPr>
              <w:t> </w:t>
            </w:r>
            <w:r w:rsidRPr="00E1372C">
              <w:rPr>
                <w:sz w:val="18"/>
                <w:szCs w:val="24"/>
                <w:lang w:val="fr-FR" w:bidi="en-US"/>
              </w:rPr>
              <w:t>000</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492</w:t>
            </w:r>
            <w:r w:rsidR="009941DC" w:rsidRPr="00E1372C">
              <w:rPr>
                <w:sz w:val="18"/>
                <w:szCs w:val="24"/>
                <w:lang w:val="fr-FR" w:bidi="en-US"/>
              </w:rPr>
              <w:t> </w:t>
            </w:r>
            <w:r w:rsidRPr="00E1372C">
              <w:rPr>
                <w:sz w:val="18"/>
                <w:szCs w:val="24"/>
                <w:lang w:val="fr-FR" w:bidi="en-US"/>
              </w:rPr>
              <w:t>000</w:t>
            </w:r>
          </w:p>
        </w:tc>
      </w:tr>
    </w:tbl>
    <w:p w:rsidR="00A55A0E" w:rsidRPr="00E1372C" w:rsidRDefault="009F6700" w:rsidP="00A55A0E">
      <w:pPr>
        <w:pStyle w:val="H23G"/>
        <w:rPr>
          <w:lang w:val="fr-FR"/>
        </w:rPr>
      </w:pPr>
      <w:r w:rsidRPr="00E1372C">
        <w:rPr>
          <w:lang w:val="fr-FR"/>
        </w:rPr>
        <w:tab/>
        <w:t>d)</w:t>
      </w:r>
      <w:r w:rsidR="00A55A0E" w:rsidRPr="00E1372C">
        <w:rPr>
          <w:lang w:val="fr-FR"/>
        </w:rPr>
        <w:tab/>
      </w:r>
      <w:r w:rsidR="009941DC" w:rsidRPr="00E1372C">
        <w:rPr>
          <w:lang w:val="fr-FR"/>
        </w:rPr>
        <w:t>Paludisme</w:t>
      </w:r>
    </w:p>
    <w:p w:rsidR="00A55A0E" w:rsidRPr="00E1372C" w:rsidRDefault="007A1757" w:rsidP="007A1757">
      <w:pPr>
        <w:pStyle w:val="SingleTxtG"/>
        <w:rPr>
          <w:lang w:val="fr-FR" w:bidi="en-US"/>
        </w:rPr>
      </w:pPr>
      <w:r w:rsidRPr="00E1372C">
        <w:rPr>
          <w:lang w:val="fr-FR" w:bidi="en-US"/>
        </w:rPr>
        <w:t>345.</w:t>
      </w:r>
      <w:r w:rsidRPr="00E1372C">
        <w:rPr>
          <w:lang w:val="fr-FR" w:bidi="en-US"/>
        </w:rPr>
        <w:tab/>
      </w:r>
      <w:r w:rsidR="009941DC" w:rsidRPr="00E1372C">
        <w:rPr>
          <w:lang w:val="fr-FR" w:bidi="en-US"/>
        </w:rPr>
        <w:t>En 2007</w:t>
      </w:r>
      <w:r w:rsidR="009B5E44" w:rsidRPr="00E1372C">
        <w:rPr>
          <w:lang w:val="fr-FR" w:bidi="en-US"/>
        </w:rPr>
        <w:t>/</w:t>
      </w:r>
      <w:r w:rsidR="009941DC" w:rsidRPr="00E1372C">
        <w:rPr>
          <w:lang w:val="fr-FR" w:bidi="en-US"/>
        </w:rPr>
        <w:t>08, la morbidité due au paludisme a spectaculairement chuté</w:t>
      </w:r>
      <w:r w:rsidR="00AE017E" w:rsidRPr="00E1372C">
        <w:rPr>
          <w:lang w:val="fr-FR" w:bidi="en-US"/>
        </w:rPr>
        <w:t>:</w:t>
      </w:r>
      <w:r w:rsidR="009941DC" w:rsidRPr="00E1372C">
        <w:rPr>
          <w:lang w:val="fr-FR" w:bidi="en-US"/>
        </w:rPr>
        <w:t xml:space="preserve"> au total </w:t>
      </w:r>
      <w:r w:rsidR="00A55A0E" w:rsidRPr="00E1372C">
        <w:rPr>
          <w:lang w:val="fr-FR" w:bidi="en-US"/>
        </w:rPr>
        <w:t>102</w:t>
      </w:r>
      <w:r w:rsidR="00F85280" w:rsidRPr="00E1372C">
        <w:rPr>
          <w:lang w:val="fr-FR" w:bidi="en-US"/>
        </w:rPr>
        <w:t>,</w:t>
      </w:r>
      <w:r w:rsidR="00A55A0E" w:rsidRPr="00E1372C">
        <w:rPr>
          <w:lang w:val="fr-FR" w:bidi="en-US"/>
        </w:rPr>
        <w:t>381</w:t>
      </w:r>
      <w:r w:rsidR="009941DC" w:rsidRPr="00E1372C">
        <w:rPr>
          <w:lang w:val="fr-FR" w:bidi="en-US"/>
        </w:rPr>
        <w:t xml:space="preserve"> patients ambulatoires et </w:t>
      </w:r>
      <w:r w:rsidR="00A55A0E" w:rsidRPr="00E1372C">
        <w:rPr>
          <w:lang w:val="fr-FR" w:bidi="en-US"/>
        </w:rPr>
        <w:t>4</w:t>
      </w:r>
      <w:r w:rsidR="009941DC" w:rsidRPr="00E1372C">
        <w:rPr>
          <w:lang w:val="fr-FR" w:bidi="en-US"/>
        </w:rPr>
        <w:t> </w:t>
      </w:r>
      <w:r w:rsidR="00A55A0E" w:rsidRPr="00E1372C">
        <w:rPr>
          <w:lang w:val="fr-FR" w:bidi="en-US"/>
        </w:rPr>
        <w:t>242</w:t>
      </w:r>
      <w:r w:rsidR="009941DC" w:rsidRPr="00E1372C">
        <w:rPr>
          <w:lang w:val="fr-FR" w:bidi="en-US"/>
        </w:rPr>
        <w:t xml:space="preserve"> patients hospitalisés ont été enregistrés dans le pays, par rapport à respectivement </w:t>
      </w:r>
      <w:r w:rsidR="00A55A0E" w:rsidRPr="00E1372C">
        <w:rPr>
          <w:lang w:val="fr-FR" w:bidi="en-US"/>
        </w:rPr>
        <w:t>319</w:t>
      </w:r>
      <w:r w:rsidR="009941DC" w:rsidRPr="00E1372C">
        <w:rPr>
          <w:lang w:val="fr-FR" w:bidi="en-US"/>
        </w:rPr>
        <w:t> </w:t>
      </w:r>
      <w:r w:rsidR="00A55A0E" w:rsidRPr="00E1372C">
        <w:rPr>
          <w:lang w:val="fr-FR" w:bidi="en-US"/>
        </w:rPr>
        <w:t>676</w:t>
      </w:r>
      <w:r w:rsidR="009941DC" w:rsidRPr="00E1372C">
        <w:rPr>
          <w:lang w:val="fr-FR" w:bidi="en-US"/>
        </w:rPr>
        <w:t xml:space="preserve"> et </w:t>
      </w:r>
      <w:r w:rsidR="00A55A0E" w:rsidRPr="00E1372C">
        <w:rPr>
          <w:lang w:val="fr-FR" w:bidi="en-US"/>
        </w:rPr>
        <w:t>27</w:t>
      </w:r>
      <w:r w:rsidR="009941DC" w:rsidRPr="00E1372C">
        <w:rPr>
          <w:lang w:val="fr-FR" w:bidi="en-US"/>
        </w:rPr>
        <w:t> </w:t>
      </w:r>
      <w:r w:rsidR="00A55A0E" w:rsidRPr="00E1372C">
        <w:rPr>
          <w:lang w:val="fr-FR" w:bidi="en-US"/>
        </w:rPr>
        <w:t>690</w:t>
      </w:r>
      <w:r w:rsidR="009941DC" w:rsidRPr="00E1372C">
        <w:rPr>
          <w:lang w:val="fr-FR" w:bidi="en-US"/>
        </w:rPr>
        <w:t xml:space="preserve"> en 2006-2007.</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346.</w:t>
      </w:r>
      <w:r w:rsidRPr="00E1372C">
        <w:rPr>
          <w:lang w:val="fr-FR" w:bidi="en-US"/>
        </w:rPr>
        <w:tab/>
      </w:r>
      <w:r w:rsidR="009941DC" w:rsidRPr="00E1372C">
        <w:rPr>
          <w:lang w:val="fr-FR" w:bidi="en-US"/>
        </w:rPr>
        <w:t>Le nombre de cas le plus élevé (</w:t>
      </w:r>
      <w:r w:rsidR="00A55A0E" w:rsidRPr="00E1372C">
        <w:rPr>
          <w:lang w:val="fr-FR" w:bidi="en-US"/>
        </w:rPr>
        <w:t>108</w:t>
      </w:r>
      <w:r w:rsidR="009941DC" w:rsidRPr="00E1372C">
        <w:rPr>
          <w:lang w:val="fr-FR" w:bidi="en-US"/>
        </w:rPr>
        <w:t> </w:t>
      </w:r>
      <w:r w:rsidR="00A55A0E" w:rsidRPr="00E1372C">
        <w:rPr>
          <w:lang w:val="fr-FR" w:bidi="en-US"/>
        </w:rPr>
        <w:t xml:space="preserve">490) </w:t>
      </w:r>
      <w:r w:rsidR="009941DC" w:rsidRPr="00E1372C">
        <w:rPr>
          <w:lang w:val="fr-FR" w:bidi="en-US"/>
        </w:rPr>
        <w:t xml:space="preserve">a été enregistré dans la région de </w:t>
      </w:r>
      <w:r w:rsidR="00A55A0E" w:rsidRPr="00E1372C">
        <w:rPr>
          <w:lang w:val="fr-FR" w:bidi="en-US"/>
        </w:rPr>
        <w:t>Kavango</w:t>
      </w:r>
      <w:r w:rsidR="009941DC" w:rsidRPr="00E1372C">
        <w:rPr>
          <w:lang w:val="fr-FR" w:bidi="en-US"/>
        </w:rPr>
        <w:t xml:space="preserve"> l</w:t>
      </w:r>
      <w:r w:rsidR="00731F09" w:rsidRPr="00E1372C">
        <w:rPr>
          <w:lang w:val="fr-FR" w:bidi="en-US"/>
        </w:rPr>
        <w:t>’</w:t>
      </w:r>
      <w:r w:rsidR="009941DC" w:rsidRPr="00E1372C">
        <w:rPr>
          <w:lang w:val="fr-FR" w:bidi="en-US"/>
        </w:rPr>
        <w:t xml:space="preserve">année précédente et </w:t>
      </w:r>
      <w:r w:rsidR="00A55A0E" w:rsidRPr="00E1372C">
        <w:rPr>
          <w:lang w:val="fr-FR" w:bidi="en-US"/>
        </w:rPr>
        <w:t>25</w:t>
      </w:r>
      <w:r w:rsidR="009941DC" w:rsidRPr="00E1372C">
        <w:rPr>
          <w:lang w:val="fr-FR" w:bidi="en-US"/>
        </w:rPr>
        <w:t> </w:t>
      </w:r>
      <w:r w:rsidR="00A55A0E" w:rsidRPr="00E1372C">
        <w:rPr>
          <w:lang w:val="fr-FR" w:bidi="en-US"/>
        </w:rPr>
        <w:t>675</w:t>
      </w:r>
      <w:r w:rsidR="009941DC" w:rsidRPr="00E1372C">
        <w:rPr>
          <w:lang w:val="fr-FR" w:bidi="en-US"/>
        </w:rPr>
        <w:t xml:space="preserve"> cas </w:t>
      </w:r>
      <w:r w:rsidR="001F2D6B" w:rsidRPr="00E1372C">
        <w:rPr>
          <w:lang w:val="fr-FR" w:bidi="en-US"/>
        </w:rPr>
        <w:t xml:space="preserve">ont été </w:t>
      </w:r>
      <w:r w:rsidR="009941DC" w:rsidRPr="00E1372C">
        <w:rPr>
          <w:lang w:val="fr-FR" w:bidi="en-US"/>
        </w:rPr>
        <w:t xml:space="preserve">recensés durant la période examinée, </w:t>
      </w:r>
      <w:r w:rsidR="004678FA" w:rsidRPr="00E1372C">
        <w:rPr>
          <w:lang w:val="fr-FR" w:bidi="en-US"/>
        </w:rPr>
        <w:t>suivie</w:t>
      </w:r>
      <w:r w:rsidR="009941DC" w:rsidRPr="00E1372C">
        <w:rPr>
          <w:lang w:val="fr-FR" w:bidi="en-US"/>
        </w:rPr>
        <w:t xml:space="preserve"> de la région d</w:t>
      </w:r>
      <w:r w:rsidR="00731F09" w:rsidRPr="00E1372C">
        <w:rPr>
          <w:lang w:val="fr-FR" w:bidi="en-US"/>
        </w:rPr>
        <w:t>’</w:t>
      </w:r>
      <w:r w:rsidR="00A55A0E" w:rsidRPr="00E1372C">
        <w:rPr>
          <w:lang w:val="fr-FR" w:bidi="en-US"/>
        </w:rPr>
        <w:t>Ohangwena</w:t>
      </w:r>
      <w:r w:rsidR="009941DC" w:rsidRPr="00E1372C">
        <w:rPr>
          <w:lang w:val="fr-FR" w:bidi="en-US"/>
        </w:rPr>
        <w:t xml:space="preserve">, avec </w:t>
      </w:r>
      <w:r w:rsidR="00A55A0E" w:rsidRPr="00E1372C">
        <w:rPr>
          <w:lang w:val="fr-FR" w:bidi="en-US"/>
        </w:rPr>
        <w:t>65</w:t>
      </w:r>
      <w:r w:rsidR="009941DC" w:rsidRPr="00E1372C">
        <w:rPr>
          <w:lang w:val="fr-FR" w:bidi="en-US"/>
        </w:rPr>
        <w:t> </w:t>
      </w:r>
      <w:r w:rsidR="00A55A0E" w:rsidRPr="00E1372C">
        <w:rPr>
          <w:lang w:val="fr-FR" w:bidi="en-US"/>
        </w:rPr>
        <w:t>630</w:t>
      </w:r>
      <w:r w:rsidR="009941DC" w:rsidRPr="00E1372C">
        <w:rPr>
          <w:lang w:val="fr-FR" w:bidi="en-US"/>
        </w:rPr>
        <w:t> </w:t>
      </w:r>
      <w:r w:rsidR="00A55A0E" w:rsidRPr="00E1372C">
        <w:rPr>
          <w:lang w:val="fr-FR" w:bidi="en-US"/>
        </w:rPr>
        <w:t>cas</w:t>
      </w:r>
      <w:r w:rsidR="009941DC" w:rsidRPr="00E1372C">
        <w:rPr>
          <w:lang w:val="fr-FR" w:bidi="en-US"/>
        </w:rPr>
        <w:t xml:space="preserve"> l</w:t>
      </w:r>
      <w:r w:rsidR="00731F09" w:rsidRPr="00E1372C">
        <w:rPr>
          <w:lang w:val="fr-FR" w:bidi="en-US"/>
        </w:rPr>
        <w:t>’</w:t>
      </w:r>
      <w:r w:rsidR="009941DC" w:rsidRPr="00E1372C">
        <w:rPr>
          <w:lang w:val="fr-FR" w:bidi="en-US"/>
        </w:rPr>
        <w:t xml:space="preserve">année précédente et </w:t>
      </w:r>
      <w:r w:rsidR="00A55A0E" w:rsidRPr="00E1372C">
        <w:rPr>
          <w:lang w:val="fr-FR" w:bidi="en-US"/>
        </w:rPr>
        <w:t>19</w:t>
      </w:r>
      <w:r w:rsidR="009941DC" w:rsidRPr="00E1372C">
        <w:rPr>
          <w:lang w:val="fr-FR" w:bidi="en-US"/>
        </w:rPr>
        <w:t> </w:t>
      </w:r>
      <w:r w:rsidR="00A55A0E" w:rsidRPr="00E1372C">
        <w:rPr>
          <w:lang w:val="fr-FR" w:bidi="en-US"/>
        </w:rPr>
        <w:t>104</w:t>
      </w:r>
      <w:r w:rsidR="004678FA" w:rsidRPr="00E1372C">
        <w:rPr>
          <w:lang w:val="fr-FR" w:bidi="en-US"/>
        </w:rPr>
        <w:t xml:space="preserve"> durant la période examinée</w:t>
      </w:r>
      <w:r w:rsidR="00A55A0E" w:rsidRPr="00E1372C">
        <w:rPr>
          <w:lang w:val="fr-FR" w:bidi="en-US"/>
        </w:rPr>
        <w:t xml:space="preserve">. </w:t>
      </w:r>
    </w:p>
    <w:p w:rsidR="00A55A0E" w:rsidRPr="00E1372C" w:rsidRDefault="00A55A0E" w:rsidP="00DE4096">
      <w:pPr>
        <w:pStyle w:val="H23G"/>
        <w:rPr>
          <w:lang w:val="fr-FR" w:bidi="en-US"/>
        </w:rPr>
      </w:pPr>
      <w:bookmarkStart w:id="12" w:name="_Toc258399493"/>
      <w:r w:rsidRPr="00E1372C">
        <w:rPr>
          <w:lang w:val="fr-FR" w:bidi="en-US"/>
        </w:rPr>
        <w:tab/>
      </w:r>
      <w:r w:rsidRPr="00E1372C">
        <w:rPr>
          <w:lang w:val="fr-FR" w:bidi="en-US"/>
        </w:rPr>
        <w:tab/>
      </w:r>
      <w:r w:rsidRPr="00E1372C">
        <w:rPr>
          <w:b w:val="0"/>
          <w:lang w:val="fr-FR" w:bidi="en-US"/>
        </w:rPr>
        <w:t>Table</w:t>
      </w:r>
      <w:r w:rsidR="004678FA" w:rsidRPr="00E1372C">
        <w:rPr>
          <w:b w:val="0"/>
          <w:lang w:val="fr-FR" w:bidi="en-US"/>
        </w:rPr>
        <w:t>au</w:t>
      </w:r>
      <w:r w:rsidRPr="00E1372C">
        <w:rPr>
          <w:b w:val="0"/>
          <w:lang w:val="fr-FR" w:bidi="en-US"/>
        </w:rPr>
        <w:t xml:space="preserve"> </w:t>
      </w:r>
      <w:r w:rsidR="00DE4096" w:rsidRPr="00E1372C">
        <w:rPr>
          <w:b w:val="0"/>
          <w:lang w:val="fr-FR" w:bidi="en-US"/>
        </w:rPr>
        <w:t>2</w:t>
      </w:r>
      <w:r w:rsidRPr="00E1372C">
        <w:rPr>
          <w:lang w:val="fr-FR" w:bidi="en-US"/>
        </w:rPr>
        <w:br/>
      </w:r>
      <w:r w:rsidR="004678FA" w:rsidRPr="00E1372C">
        <w:rPr>
          <w:lang w:val="fr-FR" w:bidi="en-US"/>
        </w:rPr>
        <w:t>Morbidité</w:t>
      </w:r>
      <w:r w:rsidR="00D24359" w:rsidRPr="00E1372C">
        <w:rPr>
          <w:lang w:val="fr-FR" w:bidi="en-US"/>
        </w:rPr>
        <w:t xml:space="preserve"> liée au</w:t>
      </w:r>
      <w:r w:rsidR="004678FA" w:rsidRPr="00E1372C">
        <w:rPr>
          <w:lang w:val="fr-FR" w:bidi="en-US"/>
        </w:rPr>
        <w:t xml:space="preserve"> palud</w:t>
      </w:r>
      <w:r w:rsidR="00D24359" w:rsidRPr="00E1372C">
        <w:rPr>
          <w:lang w:val="fr-FR" w:bidi="en-US"/>
        </w:rPr>
        <w:t>ism</w:t>
      </w:r>
      <w:r w:rsidR="004678FA" w:rsidRPr="00E1372C">
        <w:rPr>
          <w:lang w:val="fr-FR" w:bidi="en-US"/>
        </w:rPr>
        <w:t>e par région</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701"/>
        <w:gridCol w:w="1701"/>
      </w:tblGrid>
      <w:tr w:rsidR="00A55A0E" w:rsidRPr="00E1372C">
        <w:trPr>
          <w:trHeight w:val="324"/>
          <w:tblHeader/>
        </w:trPr>
        <w:tc>
          <w:tcPr>
            <w:tcW w:w="3969" w:type="dxa"/>
            <w:tcBorders>
              <w:top w:val="single" w:sz="4" w:space="0" w:color="auto"/>
              <w:bottom w:val="single" w:sz="12" w:space="0" w:color="auto"/>
            </w:tcBorders>
            <w:shd w:val="clear" w:color="auto" w:fill="auto"/>
            <w:vAlign w:val="bottom"/>
          </w:tcPr>
          <w:p w:rsidR="00A55A0E" w:rsidRPr="00E1372C" w:rsidRDefault="004678FA" w:rsidP="004678FA">
            <w:pPr>
              <w:keepNext/>
              <w:suppressAutoHyphens w:val="0"/>
              <w:spacing w:before="80" w:after="80" w:line="200" w:lineRule="exact"/>
              <w:rPr>
                <w:i/>
                <w:sz w:val="16"/>
                <w:szCs w:val="24"/>
                <w:lang w:val="fr-FR" w:bidi="en-US"/>
              </w:rPr>
            </w:pPr>
            <w:r w:rsidRPr="00E1372C">
              <w:rPr>
                <w:i/>
                <w:sz w:val="16"/>
                <w:szCs w:val="24"/>
                <w:lang w:val="fr-FR" w:bidi="en-US"/>
              </w:rPr>
              <w:t>Région</w:t>
            </w:r>
          </w:p>
        </w:tc>
        <w:tc>
          <w:tcPr>
            <w:tcW w:w="1701" w:type="dxa"/>
            <w:tcBorders>
              <w:top w:val="single" w:sz="4" w:space="0" w:color="auto"/>
              <w:bottom w:val="single" w:sz="12" w:space="0" w:color="auto"/>
            </w:tcBorders>
            <w:shd w:val="clear" w:color="auto" w:fill="auto"/>
            <w:vAlign w:val="bottom"/>
          </w:tcPr>
          <w:p w:rsidR="00A55A0E" w:rsidRPr="00E1372C" w:rsidRDefault="00A55A0E" w:rsidP="004678FA">
            <w:pPr>
              <w:keepNext/>
              <w:suppressAutoHyphens w:val="0"/>
              <w:spacing w:before="80" w:after="80" w:line="200" w:lineRule="exact"/>
              <w:jc w:val="right"/>
              <w:rPr>
                <w:i/>
                <w:sz w:val="16"/>
                <w:szCs w:val="24"/>
                <w:lang w:val="fr-FR" w:bidi="en-US"/>
              </w:rPr>
            </w:pPr>
            <w:r w:rsidRPr="00E1372C">
              <w:rPr>
                <w:i/>
                <w:sz w:val="16"/>
                <w:szCs w:val="24"/>
                <w:lang w:val="fr-FR" w:bidi="en-US"/>
              </w:rPr>
              <w:t>2006/07</w:t>
            </w:r>
          </w:p>
        </w:tc>
        <w:tc>
          <w:tcPr>
            <w:tcW w:w="1701" w:type="dxa"/>
            <w:tcBorders>
              <w:top w:val="single" w:sz="4" w:space="0" w:color="auto"/>
              <w:bottom w:val="single" w:sz="12" w:space="0" w:color="auto"/>
            </w:tcBorders>
            <w:shd w:val="clear" w:color="auto" w:fill="auto"/>
            <w:vAlign w:val="bottom"/>
          </w:tcPr>
          <w:p w:rsidR="00A55A0E" w:rsidRPr="00E1372C" w:rsidRDefault="00A55A0E" w:rsidP="004678FA">
            <w:pPr>
              <w:keepNext/>
              <w:suppressAutoHyphens w:val="0"/>
              <w:spacing w:before="80" w:after="80" w:line="200" w:lineRule="exact"/>
              <w:jc w:val="right"/>
              <w:rPr>
                <w:i/>
                <w:sz w:val="16"/>
                <w:szCs w:val="24"/>
                <w:lang w:val="fr-FR" w:bidi="en-US"/>
              </w:rPr>
            </w:pPr>
            <w:r w:rsidRPr="00E1372C">
              <w:rPr>
                <w:i/>
                <w:sz w:val="16"/>
                <w:szCs w:val="24"/>
                <w:lang w:val="fr-FR" w:bidi="en-US"/>
              </w:rPr>
              <w:t>2007/08</w:t>
            </w:r>
          </w:p>
        </w:tc>
      </w:tr>
      <w:tr w:rsidR="00A55A0E" w:rsidRPr="00E1372C">
        <w:tc>
          <w:tcPr>
            <w:tcW w:w="3969" w:type="dxa"/>
            <w:tcBorders>
              <w:top w:val="single" w:sz="12" w:space="0" w:color="auto"/>
            </w:tcBorders>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Caprivi</w:t>
            </w:r>
          </w:p>
        </w:tc>
        <w:tc>
          <w:tcPr>
            <w:tcW w:w="1701" w:type="dxa"/>
            <w:tcBorders>
              <w:top w:val="single" w:sz="12" w:space="0" w:color="auto"/>
            </w:tcBorders>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40</w:t>
            </w:r>
            <w:r w:rsidR="004678FA" w:rsidRPr="00E1372C">
              <w:rPr>
                <w:sz w:val="18"/>
                <w:szCs w:val="24"/>
                <w:lang w:val="fr-FR" w:bidi="en-US"/>
              </w:rPr>
              <w:t> </w:t>
            </w:r>
            <w:r w:rsidRPr="00E1372C">
              <w:rPr>
                <w:sz w:val="18"/>
                <w:szCs w:val="24"/>
                <w:lang w:val="fr-FR" w:bidi="en-US"/>
              </w:rPr>
              <w:t xml:space="preserve">471 </w:t>
            </w:r>
          </w:p>
        </w:tc>
        <w:tc>
          <w:tcPr>
            <w:tcW w:w="1701" w:type="dxa"/>
            <w:tcBorders>
              <w:top w:val="single" w:sz="12" w:space="0" w:color="auto"/>
            </w:tcBorders>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36</w:t>
            </w:r>
            <w:r w:rsidR="004678FA" w:rsidRPr="00E1372C">
              <w:rPr>
                <w:sz w:val="18"/>
                <w:szCs w:val="24"/>
                <w:lang w:val="fr-FR" w:bidi="en-US"/>
              </w:rPr>
              <w:t> </w:t>
            </w:r>
            <w:r w:rsidRPr="00E1372C">
              <w:rPr>
                <w:sz w:val="18"/>
                <w:szCs w:val="24"/>
                <w:lang w:val="fr-FR" w:bidi="en-US"/>
              </w:rPr>
              <w:t xml:space="preserve">532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Erongo</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382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210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Hardap</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 -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 -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Karas</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 -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 2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Kavango</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108</w:t>
            </w:r>
            <w:r w:rsidR="004678FA" w:rsidRPr="00E1372C">
              <w:rPr>
                <w:sz w:val="18"/>
                <w:szCs w:val="24"/>
                <w:lang w:val="fr-FR" w:bidi="en-US"/>
              </w:rPr>
              <w:t> </w:t>
            </w:r>
            <w:r w:rsidRPr="00E1372C">
              <w:rPr>
                <w:sz w:val="18"/>
                <w:szCs w:val="24"/>
                <w:lang w:val="fr-FR" w:bidi="en-US"/>
              </w:rPr>
              <w:t xml:space="preserve">490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25</w:t>
            </w:r>
            <w:r w:rsidR="004678FA" w:rsidRPr="00E1372C">
              <w:rPr>
                <w:sz w:val="18"/>
                <w:szCs w:val="24"/>
                <w:lang w:val="fr-FR" w:bidi="en-US"/>
              </w:rPr>
              <w:t> </w:t>
            </w:r>
            <w:r w:rsidRPr="00E1372C">
              <w:rPr>
                <w:sz w:val="18"/>
                <w:szCs w:val="24"/>
                <w:lang w:val="fr-FR" w:bidi="en-US"/>
              </w:rPr>
              <w:t xml:space="preserve">675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Khomas</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776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542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Kunene</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4</w:t>
            </w:r>
            <w:r w:rsidR="004678FA" w:rsidRPr="00E1372C">
              <w:rPr>
                <w:sz w:val="18"/>
                <w:szCs w:val="24"/>
                <w:lang w:val="fr-FR" w:bidi="en-US"/>
              </w:rPr>
              <w:t> </w:t>
            </w:r>
            <w:r w:rsidRPr="00E1372C">
              <w:rPr>
                <w:sz w:val="18"/>
                <w:szCs w:val="24"/>
                <w:lang w:val="fr-FR" w:bidi="en-US"/>
              </w:rPr>
              <w:t xml:space="preserve">746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5</w:t>
            </w:r>
            <w:r w:rsidR="004678FA" w:rsidRPr="00E1372C">
              <w:rPr>
                <w:sz w:val="18"/>
                <w:szCs w:val="24"/>
                <w:lang w:val="fr-FR" w:bidi="en-US"/>
              </w:rPr>
              <w:t> </w:t>
            </w:r>
            <w:r w:rsidRPr="00E1372C">
              <w:rPr>
                <w:sz w:val="18"/>
                <w:szCs w:val="24"/>
                <w:lang w:val="fr-FR" w:bidi="en-US"/>
              </w:rPr>
              <w:t xml:space="preserve">704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Ohangwena</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65</w:t>
            </w:r>
            <w:r w:rsidR="004678FA" w:rsidRPr="00E1372C">
              <w:rPr>
                <w:sz w:val="18"/>
                <w:szCs w:val="24"/>
                <w:lang w:val="fr-FR" w:bidi="en-US"/>
              </w:rPr>
              <w:t> </w:t>
            </w:r>
            <w:r w:rsidRPr="00E1372C">
              <w:rPr>
                <w:sz w:val="18"/>
                <w:szCs w:val="24"/>
                <w:lang w:val="fr-FR" w:bidi="en-US"/>
              </w:rPr>
              <w:t xml:space="preserve">630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19</w:t>
            </w:r>
            <w:r w:rsidR="004678FA" w:rsidRPr="00E1372C">
              <w:rPr>
                <w:sz w:val="18"/>
                <w:szCs w:val="24"/>
                <w:lang w:val="fr-FR" w:bidi="en-US"/>
              </w:rPr>
              <w:t> </w:t>
            </w:r>
            <w:r w:rsidRPr="00E1372C">
              <w:rPr>
                <w:sz w:val="18"/>
                <w:szCs w:val="24"/>
                <w:lang w:val="fr-FR" w:bidi="en-US"/>
              </w:rPr>
              <w:t xml:space="preserve">104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Omaheke</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40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32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Omusati</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12</w:t>
            </w:r>
            <w:r w:rsidR="004678FA" w:rsidRPr="00E1372C">
              <w:rPr>
                <w:sz w:val="18"/>
                <w:szCs w:val="24"/>
                <w:lang w:val="fr-FR" w:bidi="en-US"/>
              </w:rPr>
              <w:t> </w:t>
            </w:r>
            <w:r w:rsidRPr="00E1372C">
              <w:rPr>
                <w:sz w:val="18"/>
                <w:szCs w:val="24"/>
                <w:lang w:val="fr-FR" w:bidi="en-US"/>
              </w:rPr>
              <w:t xml:space="preserve">304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34</w:t>
            </w:r>
            <w:r w:rsidR="004678FA" w:rsidRPr="00E1372C">
              <w:rPr>
                <w:sz w:val="18"/>
                <w:szCs w:val="24"/>
                <w:lang w:val="fr-FR" w:bidi="en-US"/>
              </w:rPr>
              <w:t> </w:t>
            </w:r>
            <w:r w:rsidRPr="00E1372C">
              <w:rPr>
                <w:sz w:val="18"/>
                <w:szCs w:val="24"/>
                <w:lang w:val="fr-FR" w:bidi="en-US"/>
              </w:rPr>
              <w:t xml:space="preserve">666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Oshana</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636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509 </w:t>
            </w:r>
          </w:p>
        </w:tc>
      </w:tr>
      <w:tr w:rsidR="00A55A0E" w:rsidRPr="00E1372C">
        <w:tc>
          <w:tcPr>
            <w:tcW w:w="3969" w:type="dxa"/>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Oshikoto</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26</w:t>
            </w:r>
            <w:r w:rsidR="004678FA" w:rsidRPr="00E1372C">
              <w:rPr>
                <w:sz w:val="18"/>
                <w:szCs w:val="24"/>
                <w:lang w:val="fr-FR" w:bidi="en-US"/>
              </w:rPr>
              <w:t> </w:t>
            </w:r>
            <w:r w:rsidRPr="00E1372C">
              <w:rPr>
                <w:sz w:val="18"/>
                <w:szCs w:val="24"/>
                <w:lang w:val="fr-FR" w:bidi="en-US"/>
              </w:rPr>
              <w:t xml:space="preserve">551 </w:t>
            </w:r>
          </w:p>
        </w:tc>
        <w:tc>
          <w:tcPr>
            <w:tcW w:w="1701" w:type="dxa"/>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10</w:t>
            </w:r>
            <w:r w:rsidR="004678FA" w:rsidRPr="00E1372C">
              <w:rPr>
                <w:sz w:val="18"/>
                <w:szCs w:val="24"/>
                <w:lang w:val="fr-FR" w:bidi="en-US"/>
              </w:rPr>
              <w:t> </w:t>
            </w:r>
            <w:r w:rsidRPr="00E1372C">
              <w:rPr>
                <w:sz w:val="18"/>
                <w:szCs w:val="24"/>
                <w:lang w:val="fr-FR" w:bidi="en-US"/>
              </w:rPr>
              <w:t xml:space="preserve">336 </w:t>
            </w:r>
          </w:p>
        </w:tc>
      </w:tr>
      <w:tr w:rsidR="00A55A0E" w:rsidRPr="00E1372C" w:rsidTr="00DE4096">
        <w:tc>
          <w:tcPr>
            <w:tcW w:w="3969" w:type="dxa"/>
            <w:tcBorders>
              <w:bottom w:val="single" w:sz="4" w:space="0" w:color="auto"/>
            </w:tcBorders>
            <w:shd w:val="clear" w:color="auto" w:fill="auto"/>
          </w:tcPr>
          <w:p w:rsidR="00A55A0E" w:rsidRPr="00E1372C" w:rsidRDefault="00A55A0E" w:rsidP="004678FA">
            <w:pPr>
              <w:keepNext/>
              <w:suppressAutoHyphens w:val="0"/>
              <w:spacing w:before="40" w:after="40" w:line="220" w:lineRule="exact"/>
              <w:rPr>
                <w:sz w:val="18"/>
                <w:szCs w:val="24"/>
                <w:lang w:val="fr-FR" w:bidi="en-US"/>
              </w:rPr>
            </w:pPr>
            <w:r w:rsidRPr="00E1372C">
              <w:rPr>
                <w:sz w:val="18"/>
                <w:szCs w:val="24"/>
                <w:lang w:val="fr-FR" w:bidi="en-US"/>
              </w:rPr>
              <w:t>Otjozondjupa</w:t>
            </w:r>
          </w:p>
        </w:tc>
        <w:tc>
          <w:tcPr>
            <w:tcW w:w="1701" w:type="dxa"/>
            <w:tcBorders>
              <w:bottom w:val="single" w:sz="4" w:space="0" w:color="auto"/>
            </w:tcBorders>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632 </w:t>
            </w:r>
          </w:p>
        </w:tc>
        <w:tc>
          <w:tcPr>
            <w:tcW w:w="1701" w:type="dxa"/>
            <w:tcBorders>
              <w:bottom w:val="single" w:sz="4" w:space="0" w:color="auto"/>
            </w:tcBorders>
            <w:shd w:val="clear" w:color="auto" w:fill="auto"/>
            <w:vAlign w:val="bottom"/>
          </w:tcPr>
          <w:p w:rsidR="00A55A0E" w:rsidRPr="00E1372C" w:rsidRDefault="00A55A0E" w:rsidP="004678FA">
            <w:pPr>
              <w:keepNext/>
              <w:suppressAutoHyphens w:val="0"/>
              <w:spacing w:before="40" w:after="40" w:line="220" w:lineRule="exact"/>
              <w:jc w:val="right"/>
              <w:rPr>
                <w:sz w:val="18"/>
                <w:szCs w:val="24"/>
                <w:lang w:val="fr-FR" w:bidi="en-US"/>
              </w:rPr>
            </w:pPr>
            <w:r w:rsidRPr="00E1372C">
              <w:rPr>
                <w:sz w:val="18"/>
                <w:szCs w:val="24"/>
                <w:lang w:val="fr-FR" w:bidi="en-US"/>
              </w:rPr>
              <w:t xml:space="preserve">654 </w:t>
            </w:r>
          </w:p>
        </w:tc>
      </w:tr>
      <w:tr w:rsidR="00A55A0E" w:rsidRPr="00E1372C" w:rsidTr="00DE4096">
        <w:tc>
          <w:tcPr>
            <w:tcW w:w="3969" w:type="dxa"/>
            <w:tcBorders>
              <w:top w:val="single" w:sz="4" w:space="0" w:color="auto"/>
              <w:bottom w:val="single" w:sz="12" w:space="0" w:color="auto"/>
            </w:tcBorders>
            <w:shd w:val="clear" w:color="auto" w:fill="auto"/>
          </w:tcPr>
          <w:p w:rsidR="00A55A0E" w:rsidRPr="00E1372C" w:rsidRDefault="00A55A0E" w:rsidP="00DE4096">
            <w:pPr>
              <w:keepNext/>
              <w:suppressAutoHyphens w:val="0"/>
              <w:spacing w:before="80" w:after="80" w:line="220" w:lineRule="exact"/>
              <w:ind w:left="283"/>
              <w:rPr>
                <w:b/>
                <w:bCs/>
                <w:sz w:val="18"/>
                <w:szCs w:val="24"/>
                <w:lang w:val="fr-FR" w:bidi="en-US"/>
              </w:rPr>
            </w:pPr>
            <w:r w:rsidRPr="00E1372C">
              <w:rPr>
                <w:b/>
                <w:bCs/>
                <w:sz w:val="18"/>
                <w:szCs w:val="24"/>
                <w:lang w:val="fr-FR" w:bidi="en-US"/>
              </w:rPr>
              <w:t>Namibi</w:t>
            </w:r>
            <w:r w:rsidR="004678FA" w:rsidRPr="00E1372C">
              <w:rPr>
                <w:b/>
                <w:bCs/>
                <w:sz w:val="18"/>
                <w:szCs w:val="24"/>
                <w:lang w:val="fr-FR" w:bidi="en-US"/>
              </w:rPr>
              <w:t>e</w:t>
            </w:r>
          </w:p>
        </w:tc>
        <w:tc>
          <w:tcPr>
            <w:tcW w:w="1701" w:type="dxa"/>
            <w:tcBorders>
              <w:top w:val="single" w:sz="4" w:space="0" w:color="auto"/>
              <w:bottom w:val="single" w:sz="12" w:space="0" w:color="auto"/>
            </w:tcBorders>
            <w:shd w:val="clear" w:color="auto" w:fill="auto"/>
            <w:vAlign w:val="bottom"/>
          </w:tcPr>
          <w:p w:rsidR="00A55A0E" w:rsidRPr="00E1372C" w:rsidRDefault="00A55A0E" w:rsidP="00DE4096">
            <w:pPr>
              <w:keepNext/>
              <w:suppressAutoHyphens w:val="0"/>
              <w:spacing w:before="80" w:after="80" w:line="220" w:lineRule="exact"/>
              <w:jc w:val="right"/>
              <w:rPr>
                <w:b/>
                <w:bCs/>
                <w:sz w:val="18"/>
                <w:szCs w:val="24"/>
                <w:lang w:val="fr-FR" w:bidi="en-US"/>
              </w:rPr>
            </w:pPr>
            <w:r w:rsidRPr="00E1372C">
              <w:rPr>
                <w:b/>
                <w:bCs/>
                <w:sz w:val="18"/>
                <w:szCs w:val="24"/>
                <w:lang w:val="fr-FR" w:bidi="en-US"/>
              </w:rPr>
              <w:t>260</w:t>
            </w:r>
            <w:r w:rsidR="004678FA" w:rsidRPr="00E1372C">
              <w:rPr>
                <w:b/>
                <w:bCs/>
                <w:sz w:val="18"/>
                <w:szCs w:val="24"/>
                <w:lang w:val="fr-FR" w:bidi="en-US"/>
              </w:rPr>
              <w:t> </w:t>
            </w:r>
            <w:r w:rsidRPr="00E1372C">
              <w:rPr>
                <w:b/>
                <w:bCs/>
                <w:sz w:val="18"/>
                <w:szCs w:val="24"/>
                <w:lang w:val="fr-FR" w:bidi="en-US"/>
              </w:rPr>
              <w:t xml:space="preserve">658 </w:t>
            </w:r>
          </w:p>
        </w:tc>
        <w:tc>
          <w:tcPr>
            <w:tcW w:w="1701" w:type="dxa"/>
            <w:tcBorders>
              <w:top w:val="single" w:sz="4" w:space="0" w:color="auto"/>
              <w:bottom w:val="single" w:sz="12" w:space="0" w:color="auto"/>
            </w:tcBorders>
            <w:shd w:val="clear" w:color="auto" w:fill="auto"/>
            <w:vAlign w:val="bottom"/>
          </w:tcPr>
          <w:p w:rsidR="00A55A0E" w:rsidRPr="00E1372C" w:rsidRDefault="00A55A0E" w:rsidP="00DE4096">
            <w:pPr>
              <w:keepNext/>
              <w:suppressAutoHyphens w:val="0"/>
              <w:spacing w:before="80" w:after="80" w:line="220" w:lineRule="exact"/>
              <w:jc w:val="right"/>
              <w:rPr>
                <w:b/>
                <w:bCs/>
                <w:sz w:val="18"/>
                <w:szCs w:val="24"/>
                <w:lang w:val="fr-FR" w:bidi="en-US"/>
              </w:rPr>
            </w:pPr>
            <w:r w:rsidRPr="00E1372C">
              <w:rPr>
                <w:b/>
                <w:bCs/>
                <w:sz w:val="18"/>
                <w:szCs w:val="24"/>
                <w:lang w:val="fr-FR" w:bidi="en-US"/>
              </w:rPr>
              <w:t>133</w:t>
            </w:r>
            <w:r w:rsidR="004678FA" w:rsidRPr="00E1372C">
              <w:rPr>
                <w:b/>
                <w:bCs/>
                <w:sz w:val="18"/>
                <w:szCs w:val="24"/>
                <w:lang w:val="fr-FR" w:bidi="en-US"/>
              </w:rPr>
              <w:t> </w:t>
            </w:r>
            <w:r w:rsidRPr="00E1372C">
              <w:rPr>
                <w:b/>
                <w:bCs/>
                <w:sz w:val="18"/>
                <w:szCs w:val="24"/>
                <w:lang w:val="fr-FR" w:bidi="en-US"/>
              </w:rPr>
              <w:t xml:space="preserve">966 </w:t>
            </w:r>
          </w:p>
        </w:tc>
      </w:tr>
    </w:tbl>
    <w:p w:rsidR="00A55A0E" w:rsidRPr="00E1372C" w:rsidRDefault="007A1757" w:rsidP="007A1757">
      <w:pPr>
        <w:pStyle w:val="SingleTxtG"/>
        <w:spacing w:before="240"/>
        <w:rPr>
          <w:snapToGrid w:val="0"/>
          <w:lang w:val="fr-FR" w:bidi="en-US"/>
        </w:rPr>
      </w:pPr>
      <w:r w:rsidRPr="00E1372C">
        <w:rPr>
          <w:snapToGrid w:val="0"/>
          <w:lang w:val="fr-FR" w:bidi="en-US"/>
        </w:rPr>
        <w:t>347.</w:t>
      </w:r>
      <w:r w:rsidRPr="00E1372C">
        <w:rPr>
          <w:snapToGrid w:val="0"/>
          <w:lang w:val="fr-FR" w:bidi="en-US"/>
        </w:rPr>
        <w:tab/>
      </w:r>
      <w:r w:rsidR="004678FA" w:rsidRPr="00E1372C">
        <w:rPr>
          <w:snapToGrid w:val="0"/>
          <w:lang w:val="fr-FR" w:bidi="en-US"/>
        </w:rPr>
        <w:t>Les cas d</w:t>
      </w:r>
      <w:r w:rsidR="00731F09" w:rsidRPr="00E1372C">
        <w:rPr>
          <w:snapToGrid w:val="0"/>
          <w:lang w:val="fr-FR" w:bidi="en-US"/>
        </w:rPr>
        <w:t>’</w:t>
      </w:r>
      <w:r w:rsidR="004678FA" w:rsidRPr="00E1372C">
        <w:rPr>
          <w:snapToGrid w:val="0"/>
          <w:lang w:val="fr-FR" w:bidi="en-US"/>
        </w:rPr>
        <w:t>hospitalisation dus au paludisme ont également diminué, en particulier dans les régions d</w:t>
      </w:r>
      <w:r w:rsidR="00731F09" w:rsidRPr="00E1372C">
        <w:rPr>
          <w:snapToGrid w:val="0"/>
          <w:lang w:val="fr-FR" w:bidi="en-US"/>
        </w:rPr>
        <w:t>’</w:t>
      </w:r>
      <w:r w:rsidR="00A55A0E" w:rsidRPr="00E1372C">
        <w:rPr>
          <w:snapToGrid w:val="0"/>
          <w:lang w:val="fr-FR" w:bidi="en-US"/>
        </w:rPr>
        <w:t>Omusati</w:t>
      </w:r>
      <w:r w:rsidR="004678FA" w:rsidRPr="00E1372C">
        <w:rPr>
          <w:snapToGrid w:val="0"/>
          <w:lang w:val="fr-FR" w:bidi="en-US"/>
        </w:rPr>
        <w:t xml:space="preserve">, qui a enregistré une baisse de </w:t>
      </w:r>
      <w:r w:rsidR="00A55A0E" w:rsidRPr="00E1372C">
        <w:rPr>
          <w:snapToGrid w:val="0"/>
          <w:lang w:val="fr-FR" w:bidi="en-US"/>
        </w:rPr>
        <w:t>15</w:t>
      </w:r>
      <w:r w:rsidR="004678FA" w:rsidRPr="00E1372C">
        <w:rPr>
          <w:snapToGrid w:val="0"/>
          <w:lang w:val="fr-FR" w:bidi="en-US"/>
        </w:rPr>
        <w:t> </w:t>
      </w:r>
      <w:r w:rsidR="00A55A0E" w:rsidRPr="00E1372C">
        <w:rPr>
          <w:snapToGrid w:val="0"/>
          <w:lang w:val="fr-FR" w:bidi="en-US"/>
        </w:rPr>
        <w:t xml:space="preserve">695 </w:t>
      </w:r>
      <w:r w:rsidR="004678FA" w:rsidRPr="00E1372C">
        <w:rPr>
          <w:snapToGrid w:val="0"/>
          <w:lang w:val="fr-FR" w:bidi="en-US"/>
        </w:rPr>
        <w:t>à</w:t>
      </w:r>
      <w:r w:rsidR="00A55A0E" w:rsidRPr="00E1372C">
        <w:rPr>
          <w:snapToGrid w:val="0"/>
          <w:lang w:val="fr-FR" w:bidi="en-US"/>
        </w:rPr>
        <w:t xml:space="preserve"> 1</w:t>
      </w:r>
      <w:r w:rsidR="004678FA" w:rsidRPr="00E1372C">
        <w:rPr>
          <w:snapToGrid w:val="0"/>
          <w:lang w:val="fr-FR" w:bidi="en-US"/>
        </w:rPr>
        <w:t> </w:t>
      </w:r>
      <w:r w:rsidR="00A55A0E" w:rsidRPr="00E1372C">
        <w:rPr>
          <w:snapToGrid w:val="0"/>
          <w:lang w:val="fr-FR" w:bidi="en-US"/>
        </w:rPr>
        <w:t>160</w:t>
      </w:r>
      <w:r w:rsidR="00F85280" w:rsidRPr="00E1372C">
        <w:rPr>
          <w:snapToGrid w:val="0"/>
          <w:lang w:val="fr-FR" w:bidi="en-US"/>
        </w:rPr>
        <w:t>,</w:t>
      </w:r>
      <w:r w:rsidR="00A55A0E" w:rsidRPr="00E1372C">
        <w:rPr>
          <w:snapToGrid w:val="0"/>
          <w:lang w:val="fr-FR" w:bidi="en-US"/>
        </w:rPr>
        <w:t xml:space="preserve"> </w:t>
      </w:r>
      <w:r w:rsidR="004678FA" w:rsidRPr="00E1372C">
        <w:rPr>
          <w:snapToGrid w:val="0"/>
          <w:lang w:val="fr-FR" w:bidi="en-US"/>
        </w:rPr>
        <w:t xml:space="preserve">de </w:t>
      </w:r>
      <w:r w:rsidR="00A55A0E" w:rsidRPr="00E1372C">
        <w:rPr>
          <w:snapToGrid w:val="0"/>
          <w:lang w:val="fr-FR" w:bidi="en-US"/>
        </w:rPr>
        <w:t>Kavango (</w:t>
      </w:r>
      <w:r w:rsidR="004678FA" w:rsidRPr="00E1372C">
        <w:rPr>
          <w:snapToGrid w:val="0"/>
          <w:lang w:val="fr-FR" w:bidi="en-US"/>
        </w:rPr>
        <w:t>de </w:t>
      </w:r>
      <w:r w:rsidR="00A55A0E" w:rsidRPr="00E1372C">
        <w:rPr>
          <w:snapToGrid w:val="0"/>
          <w:lang w:val="fr-FR" w:bidi="en-US"/>
        </w:rPr>
        <w:t>6</w:t>
      </w:r>
      <w:r w:rsidR="004678FA" w:rsidRPr="00E1372C">
        <w:rPr>
          <w:snapToGrid w:val="0"/>
          <w:lang w:val="fr-FR" w:bidi="en-US"/>
        </w:rPr>
        <w:t> </w:t>
      </w:r>
      <w:r w:rsidR="00A55A0E" w:rsidRPr="00E1372C">
        <w:rPr>
          <w:snapToGrid w:val="0"/>
          <w:lang w:val="fr-FR" w:bidi="en-US"/>
        </w:rPr>
        <w:t xml:space="preserve">393 </w:t>
      </w:r>
      <w:r w:rsidR="004678FA" w:rsidRPr="00E1372C">
        <w:rPr>
          <w:snapToGrid w:val="0"/>
          <w:lang w:val="fr-FR" w:bidi="en-US"/>
        </w:rPr>
        <w:t>à</w:t>
      </w:r>
      <w:r w:rsidR="00A55A0E" w:rsidRPr="00E1372C">
        <w:rPr>
          <w:snapToGrid w:val="0"/>
          <w:lang w:val="fr-FR" w:bidi="en-US"/>
        </w:rPr>
        <w:t xml:space="preserve"> 1</w:t>
      </w:r>
      <w:r w:rsidR="004678FA" w:rsidRPr="00E1372C">
        <w:rPr>
          <w:snapToGrid w:val="0"/>
          <w:lang w:val="fr-FR" w:bidi="en-US"/>
        </w:rPr>
        <w:t> </w:t>
      </w:r>
      <w:r w:rsidR="00A55A0E" w:rsidRPr="00E1372C">
        <w:rPr>
          <w:snapToGrid w:val="0"/>
          <w:lang w:val="fr-FR" w:bidi="en-US"/>
        </w:rPr>
        <w:t xml:space="preserve">107) </w:t>
      </w:r>
      <w:r w:rsidR="004678FA" w:rsidRPr="00E1372C">
        <w:rPr>
          <w:snapToGrid w:val="0"/>
          <w:lang w:val="fr-FR" w:bidi="en-US"/>
        </w:rPr>
        <w:t>et d</w:t>
      </w:r>
      <w:r w:rsidR="00731F09" w:rsidRPr="00E1372C">
        <w:rPr>
          <w:snapToGrid w:val="0"/>
          <w:lang w:val="fr-FR" w:bidi="en-US"/>
        </w:rPr>
        <w:t>’</w:t>
      </w:r>
      <w:r w:rsidR="00A55A0E" w:rsidRPr="00E1372C">
        <w:rPr>
          <w:snapToGrid w:val="0"/>
          <w:lang w:val="fr-FR" w:bidi="en-US"/>
        </w:rPr>
        <w:t>Ohangwena (</w:t>
      </w:r>
      <w:r w:rsidR="004678FA" w:rsidRPr="00E1372C">
        <w:rPr>
          <w:snapToGrid w:val="0"/>
          <w:lang w:val="fr-FR" w:bidi="en-US"/>
        </w:rPr>
        <w:t>de</w:t>
      </w:r>
      <w:r w:rsidR="00A55A0E" w:rsidRPr="00E1372C">
        <w:rPr>
          <w:snapToGrid w:val="0"/>
          <w:lang w:val="fr-FR" w:bidi="en-US"/>
        </w:rPr>
        <w:t xml:space="preserve"> 1</w:t>
      </w:r>
      <w:r w:rsidR="004678FA" w:rsidRPr="00E1372C">
        <w:rPr>
          <w:snapToGrid w:val="0"/>
          <w:lang w:val="fr-FR" w:bidi="en-US"/>
        </w:rPr>
        <w:t> </w:t>
      </w:r>
      <w:r w:rsidR="00A55A0E" w:rsidRPr="00E1372C">
        <w:rPr>
          <w:snapToGrid w:val="0"/>
          <w:lang w:val="fr-FR" w:bidi="en-US"/>
        </w:rPr>
        <w:t xml:space="preserve">889 </w:t>
      </w:r>
      <w:r w:rsidR="004678FA" w:rsidRPr="00E1372C">
        <w:rPr>
          <w:snapToGrid w:val="0"/>
          <w:lang w:val="fr-FR" w:bidi="en-US"/>
        </w:rPr>
        <w:t>à</w:t>
      </w:r>
      <w:r w:rsidR="00A55A0E" w:rsidRPr="00E1372C">
        <w:rPr>
          <w:snapToGrid w:val="0"/>
          <w:lang w:val="fr-FR" w:bidi="en-US"/>
        </w:rPr>
        <w:t xml:space="preserve"> 695). </w:t>
      </w:r>
      <w:r w:rsidR="004678FA" w:rsidRPr="00E1372C">
        <w:rPr>
          <w:snapToGrid w:val="0"/>
          <w:lang w:val="fr-FR" w:bidi="en-US"/>
        </w:rPr>
        <w:t>Le taux de mortalité est tombé de 27 pour 100 000 en 2006</w:t>
      </w:r>
      <w:r w:rsidR="00DD5F72" w:rsidRPr="00E1372C">
        <w:rPr>
          <w:snapToGrid w:val="0"/>
          <w:lang w:val="fr-FR" w:bidi="en-US"/>
        </w:rPr>
        <w:t>/</w:t>
      </w:r>
      <w:r w:rsidR="004678FA" w:rsidRPr="00E1372C">
        <w:rPr>
          <w:snapToGrid w:val="0"/>
          <w:lang w:val="fr-FR" w:bidi="en-US"/>
        </w:rPr>
        <w:t>07 à 10 pour 100 000 en 2007</w:t>
      </w:r>
      <w:r w:rsidR="00DD5F72" w:rsidRPr="00E1372C">
        <w:rPr>
          <w:snapToGrid w:val="0"/>
          <w:lang w:val="fr-FR" w:bidi="en-US"/>
        </w:rPr>
        <w:t>/</w:t>
      </w:r>
      <w:r w:rsidR="004678FA" w:rsidRPr="00E1372C">
        <w:rPr>
          <w:snapToGrid w:val="0"/>
          <w:lang w:val="fr-FR" w:bidi="en-US"/>
        </w:rPr>
        <w:t>08. La mortalité liée au paludisme durant deux exercices en chiffres absolus est présentée dans le tableau ci</w:t>
      </w:r>
      <w:r w:rsidR="007064FC" w:rsidRPr="00E1372C">
        <w:rPr>
          <w:snapToGrid w:val="0"/>
          <w:lang w:val="fr-FR" w:bidi="en-US"/>
        </w:rPr>
        <w:t>-</w:t>
      </w:r>
      <w:r w:rsidR="004678FA" w:rsidRPr="00E1372C">
        <w:rPr>
          <w:snapToGrid w:val="0"/>
          <w:lang w:val="fr-FR" w:bidi="en-US"/>
        </w:rPr>
        <w:t>dessous.</w:t>
      </w:r>
    </w:p>
    <w:p w:rsidR="00A55A0E" w:rsidRPr="00E1372C" w:rsidRDefault="00A55A0E" w:rsidP="00DE4096">
      <w:pPr>
        <w:pStyle w:val="H23G"/>
        <w:rPr>
          <w:lang w:val="fr-FR" w:bidi="en-US"/>
        </w:rPr>
      </w:pPr>
      <w:bookmarkStart w:id="13" w:name="_Toc258399494"/>
      <w:r w:rsidRPr="00E1372C">
        <w:rPr>
          <w:b w:val="0"/>
          <w:lang w:val="fr-FR" w:bidi="en-US"/>
        </w:rPr>
        <w:tab/>
      </w:r>
      <w:r w:rsidRPr="00E1372C">
        <w:rPr>
          <w:b w:val="0"/>
          <w:lang w:val="fr-FR" w:bidi="en-US"/>
        </w:rPr>
        <w:tab/>
        <w:t>Table</w:t>
      </w:r>
      <w:r w:rsidR="004678FA" w:rsidRPr="00E1372C">
        <w:rPr>
          <w:b w:val="0"/>
          <w:lang w:val="fr-FR" w:bidi="en-US"/>
        </w:rPr>
        <w:t>au</w:t>
      </w:r>
      <w:r w:rsidRPr="00E1372C">
        <w:rPr>
          <w:b w:val="0"/>
          <w:lang w:val="fr-FR" w:bidi="en-US"/>
        </w:rPr>
        <w:t xml:space="preserve"> </w:t>
      </w:r>
      <w:r w:rsidR="00DE4096" w:rsidRPr="00E1372C">
        <w:rPr>
          <w:b w:val="0"/>
          <w:lang w:val="fr-FR" w:bidi="en-US"/>
        </w:rPr>
        <w:t>3</w:t>
      </w:r>
      <w:r w:rsidRPr="00E1372C">
        <w:rPr>
          <w:lang w:val="fr-FR" w:bidi="en-US"/>
        </w:rPr>
        <w:br/>
        <w:t>M</w:t>
      </w:r>
      <w:r w:rsidR="004678FA" w:rsidRPr="00E1372C">
        <w:rPr>
          <w:lang w:val="fr-FR" w:bidi="en-US"/>
        </w:rPr>
        <w:t xml:space="preserve">ortalité liée au </w:t>
      </w:r>
      <w:r w:rsidR="00FA3042" w:rsidRPr="00E1372C">
        <w:rPr>
          <w:lang w:val="fr-FR" w:bidi="en-US"/>
        </w:rPr>
        <w:t>paludisme</w:t>
      </w:r>
      <w:r w:rsidR="004678FA" w:rsidRPr="00E1372C">
        <w:rPr>
          <w:lang w:val="fr-FR" w:bidi="en-US"/>
        </w:rPr>
        <w:t>, par région pour les exercices 2006</w:t>
      </w:r>
      <w:r w:rsidR="00702C2B" w:rsidRPr="00E1372C">
        <w:rPr>
          <w:lang w:val="fr-FR" w:bidi="en-US"/>
        </w:rPr>
        <w:t>/</w:t>
      </w:r>
      <w:r w:rsidR="004678FA" w:rsidRPr="00E1372C">
        <w:rPr>
          <w:lang w:val="fr-FR" w:bidi="en-US"/>
        </w:rPr>
        <w:t>07 et 2007</w:t>
      </w:r>
      <w:r w:rsidR="00702C2B" w:rsidRPr="00E1372C">
        <w:rPr>
          <w:lang w:val="fr-FR" w:bidi="en-US"/>
        </w:rPr>
        <w:t>/</w:t>
      </w:r>
      <w:r w:rsidR="004678FA" w:rsidRPr="00E1372C">
        <w:rPr>
          <w:lang w:val="fr-FR" w:bidi="en-US"/>
        </w:rPr>
        <w:t>08</w:t>
      </w:r>
      <w:bookmarkEnd w:id="13"/>
    </w:p>
    <w:tbl>
      <w:tblPr>
        <w:tblW w:w="0" w:type="auto"/>
        <w:tblInd w:w="1134" w:type="dxa"/>
        <w:tblBorders>
          <w:top w:val="single" w:sz="4" w:space="0" w:color="auto"/>
          <w:bottom w:val="single" w:sz="12" w:space="0" w:color="auto"/>
        </w:tblBorders>
        <w:tblLayout w:type="fixed"/>
        <w:tblCellMar>
          <w:left w:w="0" w:type="dxa"/>
          <w:right w:w="0" w:type="dxa"/>
        </w:tblCellMar>
        <w:tblLook w:val="00BF" w:firstRow="1" w:lastRow="0" w:firstColumn="1" w:lastColumn="0" w:noHBand="0" w:noVBand="0"/>
      </w:tblPr>
      <w:tblGrid>
        <w:gridCol w:w="1701"/>
        <w:gridCol w:w="1418"/>
        <w:gridCol w:w="1487"/>
        <w:gridCol w:w="1382"/>
        <w:gridCol w:w="1382"/>
      </w:tblGrid>
      <w:tr w:rsidR="00A55A0E" w:rsidRPr="00E1372C" w:rsidTr="002406E0">
        <w:trPr>
          <w:trHeight w:val="240"/>
          <w:tblHeader/>
        </w:trPr>
        <w:tc>
          <w:tcPr>
            <w:tcW w:w="1701" w:type="dxa"/>
            <w:tcBorders>
              <w:top w:val="single" w:sz="4" w:space="0" w:color="auto"/>
              <w:bottom w:val="single" w:sz="12" w:space="0" w:color="auto"/>
            </w:tcBorders>
            <w:shd w:val="clear" w:color="auto" w:fill="auto"/>
            <w:vAlign w:val="bottom"/>
          </w:tcPr>
          <w:p w:rsidR="00A55A0E" w:rsidRPr="00E1372C" w:rsidRDefault="00FA3042" w:rsidP="00A55A0E">
            <w:pPr>
              <w:keepNext/>
              <w:suppressAutoHyphens w:val="0"/>
              <w:spacing w:before="80" w:after="80" w:line="200" w:lineRule="exact"/>
              <w:rPr>
                <w:i/>
                <w:sz w:val="16"/>
                <w:szCs w:val="24"/>
                <w:lang w:val="fr-FR" w:bidi="en-US"/>
              </w:rPr>
            </w:pPr>
            <w:r w:rsidRPr="00E1372C">
              <w:rPr>
                <w:i/>
                <w:sz w:val="16"/>
                <w:szCs w:val="24"/>
                <w:lang w:val="fr-FR" w:bidi="en-US"/>
              </w:rPr>
              <w:t>Région</w:t>
            </w:r>
            <w:r w:rsidR="00A55A0E" w:rsidRPr="00E1372C">
              <w:rPr>
                <w:i/>
                <w:sz w:val="16"/>
                <w:szCs w:val="24"/>
                <w:lang w:val="fr-FR" w:bidi="en-US"/>
              </w:rPr>
              <w:t xml:space="preserve"> </w:t>
            </w:r>
          </w:p>
        </w:tc>
        <w:tc>
          <w:tcPr>
            <w:tcW w:w="1418" w:type="dxa"/>
            <w:tcBorders>
              <w:top w:val="single" w:sz="4" w:space="0" w:color="auto"/>
              <w:bottom w:val="single" w:sz="12" w:space="0" w:color="auto"/>
            </w:tcBorders>
            <w:shd w:val="clear" w:color="auto" w:fill="auto"/>
            <w:vAlign w:val="bottom"/>
          </w:tcPr>
          <w:p w:rsidR="00A55A0E" w:rsidRPr="00E1372C" w:rsidRDefault="00A55A0E" w:rsidP="00A55A0E">
            <w:pPr>
              <w:keepNext/>
              <w:suppressAutoHyphens w:val="0"/>
              <w:spacing w:before="80" w:after="80" w:line="200" w:lineRule="exact"/>
              <w:jc w:val="right"/>
              <w:rPr>
                <w:i/>
                <w:sz w:val="16"/>
                <w:szCs w:val="24"/>
                <w:lang w:val="fr-FR" w:bidi="en-US"/>
              </w:rPr>
            </w:pPr>
            <w:r w:rsidRPr="00E1372C">
              <w:rPr>
                <w:i/>
                <w:sz w:val="16"/>
                <w:szCs w:val="24"/>
                <w:lang w:val="fr-FR" w:bidi="en-US"/>
              </w:rPr>
              <w:t xml:space="preserve">Total 2006/07 </w:t>
            </w:r>
          </w:p>
        </w:tc>
        <w:tc>
          <w:tcPr>
            <w:tcW w:w="1487" w:type="dxa"/>
            <w:tcBorders>
              <w:top w:val="single" w:sz="4" w:space="0" w:color="auto"/>
              <w:bottom w:val="single" w:sz="12" w:space="0" w:color="auto"/>
            </w:tcBorders>
            <w:shd w:val="clear" w:color="auto" w:fill="auto"/>
            <w:vAlign w:val="bottom"/>
          </w:tcPr>
          <w:p w:rsidR="00A55A0E" w:rsidRPr="00E1372C" w:rsidRDefault="007064FC" w:rsidP="00A55A0E">
            <w:pPr>
              <w:keepNext/>
              <w:suppressAutoHyphens w:val="0"/>
              <w:spacing w:before="80" w:after="80" w:line="200" w:lineRule="exact"/>
              <w:jc w:val="right"/>
              <w:rPr>
                <w:i/>
                <w:sz w:val="16"/>
                <w:szCs w:val="24"/>
                <w:lang w:val="fr-FR" w:bidi="en-US"/>
              </w:rPr>
            </w:pPr>
            <w:r w:rsidRPr="00E1372C">
              <w:rPr>
                <w:i/>
                <w:sz w:val="16"/>
                <w:szCs w:val="24"/>
                <w:lang w:val="fr-FR" w:bidi="en-US"/>
              </w:rPr>
              <w:t> %</w:t>
            </w:r>
          </w:p>
        </w:tc>
        <w:tc>
          <w:tcPr>
            <w:tcW w:w="1382" w:type="dxa"/>
            <w:tcBorders>
              <w:top w:val="single" w:sz="4" w:space="0" w:color="auto"/>
              <w:bottom w:val="single" w:sz="12" w:space="0" w:color="auto"/>
            </w:tcBorders>
            <w:shd w:val="clear" w:color="auto" w:fill="auto"/>
            <w:vAlign w:val="bottom"/>
          </w:tcPr>
          <w:p w:rsidR="00A55A0E" w:rsidRPr="00E1372C" w:rsidRDefault="00A55A0E" w:rsidP="00A55A0E">
            <w:pPr>
              <w:keepNext/>
              <w:suppressAutoHyphens w:val="0"/>
              <w:spacing w:before="80" w:after="80" w:line="200" w:lineRule="exact"/>
              <w:jc w:val="right"/>
              <w:rPr>
                <w:i/>
                <w:sz w:val="16"/>
                <w:szCs w:val="24"/>
                <w:lang w:val="fr-FR" w:bidi="en-US"/>
              </w:rPr>
            </w:pPr>
            <w:r w:rsidRPr="00E1372C">
              <w:rPr>
                <w:i/>
                <w:sz w:val="16"/>
                <w:szCs w:val="24"/>
                <w:lang w:val="fr-FR" w:bidi="en-US"/>
              </w:rPr>
              <w:t>Total 2007/08</w:t>
            </w:r>
          </w:p>
        </w:tc>
        <w:tc>
          <w:tcPr>
            <w:tcW w:w="1382" w:type="dxa"/>
            <w:tcBorders>
              <w:top w:val="single" w:sz="4" w:space="0" w:color="auto"/>
              <w:bottom w:val="single" w:sz="12" w:space="0" w:color="auto"/>
            </w:tcBorders>
            <w:shd w:val="clear" w:color="auto" w:fill="auto"/>
            <w:vAlign w:val="bottom"/>
          </w:tcPr>
          <w:p w:rsidR="00A55A0E" w:rsidRPr="00E1372C" w:rsidRDefault="007064FC" w:rsidP="00A55A0E">
            <w:pPr>
              <w:keepNext/>
              <w:suppressAutoHyphens w:val="0"/>
              <w:spacing w:before="80" w:after="80" w:line="200" w:lineRule="exact"/>
              <w:jc w:val="right"/>
              <w:rPr>
                <w:i/>
                <w:sz w:val="16"/>
                <w:szCs w:val="24"/>
                <w:lang w:val="fr-FR" w:bidi="en-US"/>
              </w:rPr>
            </w:pPr>
            <w:r w:rsidRPr="00E1372C">
              <w:rPr>
                <w:i/>
                <w:sz w:val="16"/>
                <w:szCs w:val="24"/>
                <w:lang w:val="fr-FR" w:bidi="en-US"/>
              </w:rPr>
              <w:t> %</w:t>
            </w:r>
          </w:p>
        </w:tc>
      </w:tr>
      <w:tr w:rsidR="00A55A0E" w:rsidRPr="00E1372C" w:rsidTr="002406E0">
        <w:trPr>
          <w:trHeight w:val="240"/>
        </w:trPr>
        <w:tc>
          <w:tcPr>
            <w:tcW w:w="1701" w:type="dxa"/>
            <w:tcBorders>
              <w:top w:val="single" w:sz="12" w:space="0" w:color="auto"/>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Caprivi</w:t>
            </w:r>
          </w:p>
        </w:tc>
        <w:tc>
          <w:tcPr>
            <w:tcW w:w="1418"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134</w:t>
            </w:r>
          </w:p>
        </w:tc>
        <w:tc>
          <w:tcPr>
            <w:tcW w:w="1487"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21</w:t>
            </w:r>
            <w:r w:rsidR="00F85280" w:rsidRPr="00E1372C">
              <w:rPr>
                <w:sz w:val="18"/>
                <w:szCs w:val="24"/>
                <w:lang w:val="fr-FR" w:bidi="en-US"/>
              </w:rPr>
              <w:t>,</w:t>
            </w:r>
            <w:r w:rsidRPr="00E1372C">
              <w:rPr>
                <w:sz w:val="18"/>
                <w:szCs w:val="24"/>
                <w:lang w:val="fr-FR" w:bidi="en-US"/>
              </w:rPr>
              <w:t>9</w:t>
            </w:r>
            <w:r w:rsidR="007064FC" w:rsidRPr="00E1372C">
              <w:rPr>
                <w:sz w:val="18"/>
                <w:szCs w:val="24"/>
                <w:lang w:val="fr-FR" w:bidi="en-US"/>
              </w:rPr>
              <w:t> %</w:t>
            </w:r>
          </w:p>
        </w:tc>
        <w:tc>
          <w:tcPr>
            <w:tcW w:w="1382"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46</w:t>
            </w:r>
          </w:p>
        </w:tc>
        <w:tc>
          <w:tcPr>
            <w:tcW w:w="1382"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24</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Erongo</w:t>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F85280" w:rsidRPr="00E1372C">
              <w:rPr>
                <w:sz w:val="18"/>
                <w:szCs w:val="24"/>
                <w:lang w:val="fr-FR" w:bidi="en-US"/>
              </w:rPr>
              <w:t>,</w:t>
            </w:r>
            <w:r w:rsidRPr="00E1372C">
              <w:rPr>
                <w:sz w:val="18"/>
                <w:szCs w:val="24"/>
                <w:lang w:val="fr-FR" w:bidi="en-US"/>
              </w:rPr>
              <w:t>3</w:t>
            </w:r>
            <w:r w:rsidR="007064FC" w:rsidRPr="00E1372C">
              <w:rPr>
                <w:sz w:val="18"/>
                <w:szCs w:val="24"/>
                <w:lang w:val="fr-FR" w:bidi="en-US"/>
              </w:rPr>
              <w:t>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Hardap</w:t>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F85280" w:rsidRPr="00E1372C">
              <w:rPr>
                <w:sz w:val="18"/>
                <w:szCs w:val="24"/>
                <w:lang w:val="fr-FR" w:bidi="en-US"/>
              </w:rPr>
              <w:t>,</w:t>
            </w:r>
            <w:r w:rsidRPr="00E1372C">
              <w:rPr>
                <w:sz w:val="18"/>
                <w:szCs w:val="24"/>
                <w:lang w:val="fr-FR" w:bidi="en-US"/>
              </w:rPr>
              <w:t>5</w:t>
            </w:r>
            <w:r w:rsidR="007064FC" w:rsidRPr="00E1372C">
              <w:rPr>
                <w:sz w:val="18"/>
                <w:szCs w:val="24"/>
                <w:lang w:val="fr-FR" w:bidi="en-US"/>
              </w:rPr>
              <w:t> %</w:t>
            </w:r>
            <w:r w:rsidRPr="00E1372C">
              <w:rPr>
                <w:sz w:val="18"/>
                <w:szCs w:val="24"/>
                <w:lang w:val="fr-FR" w:bidi="en-US"/>
              </w:rPr>
              <w:t xml:space="preserve">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Karas</w:t>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F85280" w:rsidRPr="00E1372C">
              <w:rPr>
                <w:sz w:val="18"/>
                <w:szCs w:val="24"/>
                <w:lang w:val="fr-FR" w:bidi="en-US"/>
              </w:rPr>
              <w:t>,</w:t>
            </w:r>
            <w:r w:rsidRPr="00E1372C">
              <w:rPr>
                <w:sz w:val="18"/>
                <w:szCs w:val="24"/>
                <w:lang w:val="fr-FR" w:bidi="en-US"/>
              </w:rPr>
              <w:t>3</w:t>
            </w:r>
            <w:r w:rsidR="007064FC" w:rsidRPr="00E1372C">
              <w:rPr>
                <w:sz w:val="18"/>
                <w:szCs w:val="24"/>
                <w:lang w:val="fr-FR" w:bidi="en-US"/>
              </w:rPr>
              <w:t> %</w:t>
            </w:r>
            <w:r w:rsidRPr="00E1372C">
              <w:rPr>
                <w:sz w:val="18"/>
                <w:szCs w:val="24"/>
                <w:lang w:val="fr-FR" w:bidi="en-US"/>
              </w:rPr>
              <w:t xml:space="preserve">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Kavango</w:t>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154</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25</w:t>
            </w:r>
            <w:r w:rsidR="00F85280" w:rsidRPr="00E1372C">
              <w:rPr>
                <w:sz w:val="18"/>
                <w:szCs w:val="24"/>
                <w:lang w:val="fr-FR" w:bidi="en-US"/>
              </w:rPr>
              <w:t>,</w:t>
            </w:r>
            <w:r w:rsidRPr="00E1372C">
              <w:rPr>
                <w:sz w:val="18"/>
                <w:szCs w:val="24"/>
                <w:lang w:val="fr-FR" w:bidi="en-US"/>
              </w:rPr>
              <w:t>2</w:t>
            </w:r>
            <w:r w:rsidR="007064FC" w:rsidRPr="00E1372C">
              <w:rPr>
                <w:sz w:val="18"/>
                <w:szCs w:val="24"/>
                <w:lang w:val="fr-FR" w:bidi="en-US"/>
              </w:rPr>
              <w:t> %</w:t>
            </w:r>
            <w:r w:rsidRPr="00E1372C">
              <w:rPr>
                <w:sz w:val="18"/>
                <w:szCs w:val="24"/>
                <w:lang w:val="fr-FR" w:bidi="en-US"/>
              </w:rPr>
              <w:t xml:space="preserve">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40</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22</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Khomas</w:t>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21</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w:t>
            </w:r>
            <w:r w:rsidR="00F85280" w:rsidRPr="00E1372C">
              <w:rPr>
                <w:sz w:val="18"/>
                <w:szCs w:val="24"/>
                <w:lang w:val="fr-FR" w:bidi="en-US"/>
              </w:rPr>
              <w:t>,</w:t>
            </w:r>
            <w:r w:rsidRPr="00E1372C">
              <w:rPr>
                <w:sz w:val="18"/>
                <w:szCs w:val="24"/>
                <w:lang w:val="fr-FR" w:bidi="en-US"/>
              </w:rPr>
              <w:t>4</w:t>
            </w:r>
            <w:r w:rsidR="007064FC" w:rsidRPr="00E1372C">
              <w:rPr>
                <w:sz w:val="18"/>
                <w:szCs w:val="24"/>
                <w:lang w:val="fr-FR" w:bidi="en-US"/>
              </w:rPr>
              <w:t> %</w:t>
            </w:r>
            <w:r w:rsidRPr="00E1372C">
              <w:rPr>
                <w:sz w:val="18"/>
                <w:szCs w:val="24"/>
                <w:lang w:val="fr-FR" w:bidi="en-US"/>
              </w:rPr>
              <w:t xml:space="preserve">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w:t>
            </w:r>
            <w:r w:rsidR="007064FC" w:rsidRPr="00E1372C">
              <w:rPr>
                <w:sz w:val="18"/>
                <w:szCs w:val="24"/>
                <w:lang w:val="fr-FR" w:bidi="en-US"/>
              </w:rPr>
              <w:t> %</w:t>
            </w:r>
          </w:p>
        </w:tc>
      </w:tr>
      <w:tr w:rsidR="00A55A0E" w:rsidRPr="00E1372C" w:rsidTr="002406E0">
        <w:trPr>
          <w:trHeight w:val="240"/>
        </w:trPr>
        <w:tc>
          <w:tcPr>
            <w:tcW w:w="1701" w:type="dxa"/>
            <w:tcBorders>
              <w:bottom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Kunene</w:t>
            </w:r>
            <w:r w:rsidRPr="00E1372C">
              <w:rPr>
                <w:sz w:val="18"/>
                <w:szCs w:val="24"/>
                <w:lang w:val="fr-FR" w:bidi="en-US"/>
              </w:rPr>
              <w:tab/>
            </w:r>
          </w:p>
        </w:tc>
        <w:tc>
          <w:tcPr>
            <w:tcW w:w="1418" w:type="dxa"/>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22</w:t>
            </w:r>
          </w:p>
        </w:tc>
        <w:tc>
          <w:tcPr>
            <w:tcW w:w="1487" w:type="dxa"/>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w:t>
            </w:r>
            <w:r w:rsidR="00F85280" w:rsidRPr="00E1372C">
              <w:rPr>
                <w:sz w:val="18"/>
                <w:szCs w:val="24"/>
                <w:lang w:val="fr-FR" w:bidi="en-US"/>
              </w:rPr>
              <w:t>,</w:t>
            </w:r>
            <w:r w:rsidRPr="00E1372C">
              <w:rPr>
                <w:sz w:val="18"/>
                <w:szCs w:val="24"/>
                <w:lang w:val="fr-FR" w:bidi="en-US"/>
              </w:rPr>
              <w:t>6</w:t>
            </w:r>
            <w:r w:rsidR="007064FC" w:rsidRPr="00E1372C">
              <w:rPr>
                <w:sz w:val="18"/>
                <w:szCs w:val="24"/>
                <w:lang w:val="fr-FR" w:bidi="en-US"/>
              </w:rPr>
              <w:t> %</w:t>
            </w:r>
            <w:r w:rsidRPr="00E1372C">
              <w:rPr>
                <w:sz w:val="18"/>
                <w:szCs w:val="24"/>
                <w:lang w:val="fr-FR" w:bidi="en-US"/>
              </w:rPr>
              <w:t xml:space="preserve"> </w:t>
            </w:r>
          </w:p>
        </w:tc>
        <w:tc>
          <w:tcPr>
            <w:tcW w:w="1382" w:type="dxa"/>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13</w:t>
            </w:r>
          </w:p>
        </w:tc>
        <w:tc>
          <w:tcPr>
            <w:tcW w:w="1382" w:type="dxa"/>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w:t>
            </w:r>
            <w:r w:rsidR="007064FC" w:rsidRPr="00E1372C">
              <w:rPr>
                <w:sz w:val="18"/>
                <w:szCs w:val="24"/>
                <w:lang w:val="fr-FR" w:bidi="en-US"/>
              </w:rPr>
              <w:t> %</w:t>
            </w:r>
          </w:p>
        </w:tc>
      </w:tr>
      <w:tr w:rsidR="00A55A0E" w:rsidRPr="00E1372C" w:rsidTr="002406E0">
        <w:trPr>
          <w:trHeight w:val="240"/>
        </w:trPr>
        <w:tc>
          <w:tcPr>
            <w:tcW w:w="1701" w:type="dxa"/>
            <w:tcBorders>
              <w:top w:val="nil"/>
              <w:bottom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Ohangwena</w:t>
            </w:r>
          </w:p>
        </w:tc>
        <w:tc>
          <w:tcPr>
            <w:tcW w:w="1418" w:type="dxa"/>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120</w:t>
            </w:r>
          </w:p>
        </w:tc>
        <w:tc>
          <w:tcPr>
            <w:tcW w:w="1487" w:type="dxa"/>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19</w:t>
            </w:r>
            <w:r w:rsidR="00F85280" w:rsidRPr="00E1372C">
              <w:rPr>
                <w:sz w:val="18"/>
                <w:szCs w:val="24"/>
                <w:lang w:val="fr-FR" w:bidi="en-US"/>
              </w:rPr>
              <w:t>,</w:t>
            </w:r>
            <w:r w:rsidRPr="00E1372C">
              <w:rPr>
                <w:sz w:val="18"/>
                <w:szCs w:val="24"/>
                <w:lang w:val="fr-FR" w:bidi="en-US"/>
              </w:rPr>
              <w:t>6</w:t>
            </w:r>
            <w:r w:rsidR="007064FC" w:rsidRPr="00E1372C">
              <w:rPr>
                <w:sz w:val="18"/>
                <w:szCs w:val="24"/>
                <w:lang w:val="fr-FR" w:bidi="en-US"/>
              </w:rPr>
              <w:t> %</w:t>
            </w:r>
            <w:r w:rsidRPr="00E1372C">
              <w:rPr>
                <w:sz w:val="18"/>
                <w:szCs w:val="24"/>
                <w:lang w:val="fr-FR" w:bidi="en-US"/>
              </w:rPr>
              <w:t xml:space="preserve"> </w:t>
            </w:r>
          </w:p>
        </w:tc>
        <w:tc>
          <w:tcPr>
            <w:tcW w:w="1382" w:type="dxa"/>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16</w:t>
            </w:r>
          </w:p>
        </w:tc>
        <w:tc>
          <w:tcPr>
            <w:tcW w:w="1382" w:type="dxa"/>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9</w:t>
            </w:r>
            <w:r w:rsidR="007064FC" w:rsidRPr="00E1372C">
              <w:rPr>
                <w:sz w:val="18"/>
                <w:szCs w:val="24"/>
                <w:lang w:val="fr-FR" w:bidi="en-US"/>
              </w:rPr>
              <w:t> %</w:t>
            </w:r>
          </w:p>
        </w:tc>
      </w:tr>
      <w:tr w:rsidR="00A55A0E" w:rsidRPr="00E1372C" w:rsidTr="002406E0">
        <w:trPr>
          <w:trHeight w:val="240"/>
        </w:trPr>
        <w:tc>
          <w:tcPr>
            <w:tcW w:w="1701" w:type="dxa"/>
            <w:tcBorders>
              <w:top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Omaheke</w:t>
            </w:r>
          </w:p>
        </w:tc>
        <w:tc>
          <w:tcPr>
            <w:tcW w:w="1418"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w:t>
            </w:r>
          </w:p>
        </w:tc>
        <w:tc>
          <w:tcPr>
            <w:tcW w:w="1487"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F85280" w:rsidRPr="00E1372C">
              <w:rPr>
                <w:sz w:val="18"/>
                <w:szCs w:val="24"/>
                <w:lang w:val="fr-FR" w:bidi="en-US"/>
              </w:rPr>
              <w:t>,</w:t>
            </w:r>
            <w:r w:rsidRPr="00E1372C">
              <w:rPr>
                <w:sz w:val="18"/>
                <w:szCs w:val="24"/>
                <w:lang w:val="fr-FR" w:bidi="en-US"/>
              </w:rPr>
              <w:t>3</w:t>
            </w:r>
            <w:r w:rsidR="007064FC" w:rsidRPr="00E1372C">
              <w:rPr>
                <w:sz w:val="18"/>
                <w:szCs w:val="24"/>
                <w:lang w:val="fr-FR" w:bidi="en-US"/>
              </w:rPr>
              <w:t> %</w:t>
            </w:r>
            <w:r w:rsidRPr="00E1372C">
              <w:rPr>
                <w:sz w:val="18"/>
                <w:szCs w:val="24"/>
                <w:lang w:val="fr-FR" w:bidi="en-US"/>
              </w:rPr>
              <w:t xml:space="preserve"> </w:t>
            </w:r>
          </w:p>
        </w:tc>
        <w:tc>
          <w:tcPr>
            <w:tcW w:w="1382"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c>
          <w:tcPr>
            <w:tcW w:w="1382"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Omusati</w:t>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91</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14</w:t>
            </w:r>
            <w:r w:rsidR="00F85280" w:rsidRPr="00E1372C">
              <w:rPr>
                <w:sz w:val="18"/>
                <w:szCs w:val="24"/>
                <w:lang w:val="fr-FR" w:bidi="en-US"/>
              </w:rPr>
              <w:t>,</w:t>
            </w:r>
            <w:r w:rsidRPr="00E1372C">
              <w:rPr>
                <w:sz w:val="18"/>
                <w:szCs w:val="24"/>
                <w:lang w:val="fr-FR" w:bidi="en-US"/>
              </w:rPr>
              <w:t>9</w:t>
            </w:r>
            <w:r w:rsidR="007064FC" w:rsidRPr="00E1372C">
              <w:rPr>
                <w:sz w:val="18"/>
                <w:szCs w:val="24"/>
                <w:lang w:val="fr-FR" w:bidi="en-US"/>
              </w:rPr>
              <w:t> %</w:t>
            </w:r>
            <w:r w:rsidRPr="00E1372C">
              <w:rPr>
                <w:sz w:val="18"/>
                <w:szCs w:val="24"/>
                <w:lang w:val="fr-FR" w:bidi="en-US"/>
              </w:rPr>
              <w:t xml:space="preserve">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43</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24</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Oshana</w:t>
            </w:r>
            <w:r w:rsidRPr="00E1372C">
              <w:rPr>
                <w:sz w:val="18"/>
                <w:szCs w:val="24"/>
                <w:lang w:val="fr-FR" w:bidi="en-US"/>
              </w:rPr>
              <w:tab/>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37</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w:t>
            </w:r>
            <w:r w:rsidR="00F85280" w:rsidRPr="00E1372C">
              <w:rPr>
                <w:sz w:val="18"/>
                <w:szCs w:val="24"/>
                <w:lang w:val="fr-FR" w:bidi="en-US"/>
              </w:rPr>
              <w:t>,</w:t>
            </w:r>
            <w:r w:rsidRPr="00E1372C">
              <w:rPr>
                <w:sz w:val="18"/>
                <w:szCs w:val="24"/>
                <w:lang w:val="fr-FR" w:bidi="en-US"/>
              </w:rPr>
              <w:t>1</w:t>
            </w:r>
            <w:r w:rsidR="007064FC" w:rsidRPr="00E1372C">
              <w:rPr>
                <w:sz w:val="18"/>
                <w:szCs w:val="24"/>
                <w:lang w:val="fr-FR" w:bidi="en-US"/>
              </w:rPr>
              <w:t> %</w:t>
            </w:r>
            <w:r w:rsidRPr="00E1372C">
              <w:rPr>
                <w:sz w:val="18"/>
                <w:szCs w:val="24"/>
                <w:lang w:val="fr-FR" w:bidi="en-US"/>
              </w:rPr>
              <w:t xml:space="preserve">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12</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w:t>
            </w:r>
            <w:r w:rsidR="007064FC" w:rsidRPr="00E1372C">
              <w:rPr>
                <w:sz w:val="18"/>
                <w:szCs w:val="24"/>
                <w:lang w:val="fr-FR" w:bidi="en-US"/>
              </w:rPr>
              <w:t> %</w:t>
            </w:r>
          </w:p>
        </w:tc>
      </w:tr>
      <w:tr w:rsidR="00A55A0E" w:rsidRPr="00E1372C" w:rsidTr="002406E0">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 xml:space="preserve">Oshikoto </w:t>
            </w:r>
          </w:p>
        </w:tc>
        <w:tc>
          <w:tcPr>
            <w:tcW w:w="1418"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19</w:t>
            </w:r>
          </w:p>
        </w:tc>
        <w:tc>
          <w:tcPr>
            <w:tcW w:w="1487"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w:t>
            </w:r>
            <w:r w:rsidR="00F85280" w:rsidRPr="00E1372C">
              <w:rPr>
                <w:sz w:val="18"/>
                <w:szCs w:val="24"/>
                <w:lang w:val="fr-FR" w:bidi="en-US"/>
              </w:rPr>
              <w:t>,</w:t>
            </w:r>
            <w:r w:rsidRPr="00E1372C">
              <w:rPr>
                <w:sz w:val="18"/>
                <w:szCs w:val="24"/>
                <w:lang w:val="fr-FR" w:bidi="en-US"/>
              </w:rPr>
              <w:t>1</w:t>
            </w:r>
            <w:r w:rsidR="007064FC" w:rsidRPr="00E1372C">
              <w:rPr>
                <w:sz w:val="18"/>
                <w:szCs w:val="24"/>
                <w:lang w:val="fr-FR" w:bidi="en-US"/>
              </w:rPr>
              <w:t> %</w:t>
            </w:r>
            <w:r w:rsidRPr="00E1372C">
              <w:rPr>
                <w:sz w:val="18"/>
                <w:szCs w:val="24"/>
                <w:lang w:val="fr-FR" w:bidi="en-US"/>
              </w:rPr>
              <w:t xml:space="preserve"> </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w:t>
            </w:r>
          </w:p>
        </w:tc>
        <w:tc>
          <w:tcPr>
            <w:tcW w:w="1382"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w:t>
            </w:r>
            <w:r w:rsidR="007064FC" w:rsidRPr="00E1372C">
              <w:rPr>
                <w:sz w:val="18"/>
                <w:szCs w:val="24"/>
                <w:lang w:val="fr-FR" w:bidi="en-US"/>
              </w:rPr>
              <w:t> %</w:t>
            </w:r>
          </w:p>
        </w:tc>
      </w:tr>
      <w:tr w:rsidR="00A55A0E" w:rsidRPr="00E1372C" w:rsidTr="002406E0">
        <w:trPr>
          <w:trHeight w:val="240"/>
        </w:trPr>
        <w:tc>
          <w:tcPr>
            <w:tcW w:w="1701" w:type="dxa"/>
            <w:tcBorders>
              <w:bottom w:val="single" w:sz="4" w:space="0" w:color="auto"/>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Otjozondjupa</w:t>
            </w:r>
          </w:p>
        </w:tc>
        <w:tc>
          <w:tcPr>
            <w:tcW w:w="1418"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w:t>
            </w:r>
          </w:p>
        </w:tc>
        <w:tc>
          <w:tcPr>
            <w:tcW w:w="1487"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r w:rsidR="00F85280" w:rsidRPr="00E1372C">
              <w:rPr>
                <w:sz w:val="18"/>
                <w:szCs w:val="24"/>
                <w:lang w:val="fr-FR" w:bidi="en-US"/>
              </w:rPr>
              <w:t>,</w:t>
            </w:r>
            <w:r w:rsidRPr="00E1372C">
              <w:rPr>
                <w:sz w:val="18"/>
                <w:szCs w:val="24"/>
                <w:lang w:val="fr-FR" w:bidi="en-US"/>
              </w:rPr>
              <w:t>8</w:t>
            </w:r>
            <w:r w:rsidR="007064FC" w:rsidRPr="00E1372C">
              <w:rPr>
                <w:sz w:val="18"/>
                <w:szCs w:val="24"/>
                <w:lang w:val="fr-FR" w:bidi="en-US"/>
              </w:rPr>
              <w:t> %</w:t>
            </w:r>
            <w:r w:rsidRPr="00E1372C">
              <w:rPr>
                <w:sz w:val="18"/>
                <w:szCs w:val="24"/>
                <w:lang w:val="fr-FR" w:bidi="en-US"/>
              </w:rPr>
              <w:t xml:space="preserve"> </w:t>
            </w:r>
          </w:p>
        </w:tc>
        <w:tc>
          <w:tcPr>
            <w:tcW w:w="1382"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p>
        </w:tc>
        <w:tc>
          <w:tcPr>
            <w:tcW w:w="1382"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064FC" w:rsidRPr="00E1372C">
              <w:rPr>
                <w:sz w:val="18"/>
                <w:szCs w:val="24"/>
                <w:lang w:val="fr-FR" w:bidi="en-US"/>
              </w:rPr>
              <w:t> %</w:t>
            </w:r>
          </w:p>
        </w:tc>
      </w:tr>
      <w:tr w:rsidR="00A55A0E" w:rsidRPr="00E1372C" w:rsidTr="002406E0">
        <w:trPr>
          <w:trHeight w:val="240"/>
        </w:trPr>
        <w:tc>
          <w:tcPr>
            <w:tcW w:w="1701" w:type="dxa"/>
            <w:tcBorders>
              <w:top w:val="single" w:sz="4" w:space="0" w:color="auto"/>
              <w:bottom w:val="single" w:sz="12" w:space="0" w:color="auto"/>
            </w:tcBorders>
            <w:shd w:val="clear" w:color="auto" w:fill="auto"/>
          </w:tcPr>
          <w:p w:rsidR="00A55A0E" w:rsidRPr="00E1372C" w:rsidRDefault="00A55A0E" w:rsidP="00DE4096">
            <w:pPr>
              <w:suppressAutoHyphens w:val="0"/>
              <w:spacing w:before="80" w:after="80" w:line="220" w:lineRule="exact"/>
              <w:ind w:left="283"/>
              <w:rPr>
                <w:b/>
                <w:bCs/>
                <w:sz w:val="18"/>
                <w:szCs w:val="24"/>
                <w:lang w:val="fr-FR" w:bidi="en-US"/>
              </w:rPr>
            </w:pPr>
            <w:r w:rsidRPr="00E1372C">
              <w:rPr>
                <w:b/>
                <w:bCs/>
                <w:sz w:val="18"/>
                <w:szCs w:val="24"/>
                <w:lang w:val="fr-FR" w:bidi="en-US"/>
              </w:rPr>
              <w:t>Namibi</w:t>
            </w:r>
            <w:r w:rsidR="00FA3042" w:rsidRPr="00E1372C">
              <w:rPr>
                <w:b/>
                <w:bCs/>
                <w:sz w:val="18"/>
                <w:szCs w:val="24"/>
                <w:lang w:val="fr-FR" w:bidi="en-US"/>
              </w:rPr>
              <w:t>e</w:t>
            </w:r>
          </w:p>
        </w:tc>
        <w:tc>
          <w:tcPr>
            <w:tcW w:w="1418" w:type="dxa"/>
            <w:tcBorders>
              <w:top w:val="single" w:sz="4" w:space="0" w:color="auto"/>
              <w:bottom w:val="single" w:sz="12" w:space="0" w:color="auto"/>
            </w:tcBorders>
            <w:shd w:val="clear" w:color="auto" w:fill="auto"/>
            <w:vAlign w:val="bottom"/>
          </w:tcPr>
          <w:p w:rsidR="00A55A0E" w:rsidRPr="00E1372C" w:rsidRDefault="00A55A0E" w:rsidP="00DE4096">
            <w:pPr>
              <w:suppressAutoHyphens w:val="0"/>
              <w:spacing w:before="80" w:after="80" w:line="220" w:lineRule="exact"/>
              <w:jc w:val="right"/>
              <w:rPr>
                <w:b/>
                <w:bCs/>
                <w:sz w:val="18"/>
                <w:szCs w:val="24"/>
                <w:lang w:val="fr-FR" w:bidi="en-US"/>
              </w:rPr>
            </w:pPr>
            <w:r w:rsidRPr="00E1372C">
              <w:rPr>
                <w:b/>
                <w:bCs/>
                <w:sz w:val="18"/>
                <w:szCs w:val="24"/>
                <w:lang w:val="fr-FR" w:bidi="en-US"/>
              </w:rPr>
              <w:t>612</w:t>
            </w:r>
          </w:p>
        </w:tc>
        <w:tc>
          <w:tcPr>
            <w:tcW w:w="1487" w:type="dxa"/>
            <w:tcBorders>
              <w:top w:val="single" w:sz="4" w:space="0" w:color="auto"/>
              <w:bottom w:val="single" w:sz="12" w:space="0" w:color="auto"/>
            </w:tcBorders>
            <w:shd w:val="clear" w:color="auto" w:fill="auto"/>
            <w:vAlign w:val="bottom"/>
          </w:tcPr>
          <w:p w:rsidR="00A55A0E" w:rsidRPr="00E1372C" w:rsidRDefault="00A55A0E" w:rsidP="00DE4096">
            <w:pPr>
              <w:suppressAutoHyphens w:val="0"/>
              <w:spacing w:before="80" w:after="80" w:line="220" w:lineRule="exact"/>
              <w:jc w:val="right"/>
              <w:rPr>
                <w:b/>
                <w:bCs/>
                <w:sz w:val="18"/>
                <w:szCs w:val="24"/>
                <w:lang w:val="fr-FR" w:bidi="en-US"/>
              </w:rPr>
            </w:pPr>
            <w:r w:rsidRPr="00E1372C">
              <w:rPr>
                <w:b/>
                <w:bCs/>
                <w:sz w:val="18"/>
                <w:szCs w:val="24"/>
                <w:lang w:val="fr-FR" w:bidi="en-US"/>
              </w:rPr>
              <w:t>100</w:t>
            </w:r>
            <w:r w:rsidR="007064FC" w:rsidRPr="00E1372C">
              <w:rPr>
                <w:b/>
                <w:bCs/>
                <w:sz w:val="18"/>
                <w:szCs w:val="24"/>
                <w:lang w:val="fr-FR" w:bidi="en-US"/>
              </w:rPr>
              <w:t> %</w:t>
            </w:r>
            <w:r w:rsidRPr="00E1372C">
              <w:rPr>
                <w:b/>
                <w:bCs/>
                <w:sz w:val="18"/>
                <w:szCs w:val="24"/>
                <w:lang w:val="fr-FR" w:bidi="en-US"/>
              </w:rPr>
              <w:t xml:space="preserve"> </w:t>
            </w:r>
          </w:p>
        </w:tc>
        <w:tc>
          <w:tcPr>
            <w:tcW w:w="1382" w:type="dxa"/>
            <w:tcBorders>
              <w:top w:val="single" w:sz="4" w:space="0" w:color="auto"/>
              <w:bottom w:val="single" w:sz="12" w:space="0" w:color="auto"/>
            </w:tcBorders>
            <w:shd w:val="clear" w:color="auto" w:fill="auto"/>
            <w:vAlign w:val="bottom"/>
          </w:tcPr>
          <w:p w:rsidR="00A55A0E" w:rsidRPr="00E1372C" w:rsidRDefault="00A55A0E" w:rsidP="00DE4096">
            <w:pPr>
              <w:suppressAutoHyphens w:val="0"/>
              <w:spacing w:before="80" w:after="80" w:line="220" w:lineRule="exact"/>
              <w:jc w:val="right"/>
              <w:rPr>
                <w:b/>
                <w:bCs/>
                <w:sz w:val="18"/>
                <w:szCs w:val="24"/>
                <w:lang w:val="fr-FR" w:bidi="en-US"/>
              </w:rPr>
            </w:pPr>
            <w:r w:rsidRPr="00E1372C">
              <w:rPr>
                <w:b/>
                <w:bCs/>
                <w:sz w:val="18"/>
                <w:szCs w:val="24"/>
                <w:lang w:val="fr-FR" w:bidi="en-US"/>
              </w:rPr>
              <w:t>181</w:t>
            </w:r>
          </w:p>
        </w:tc>
        <w:tc>
          <w:tcPr>
            <w:tcW w:w="1382" w:type="dxa"/>
            <w:tcBorders>
              <w:top w:val="single" w:sz="4" w:space="0" w:color="auto"/>
              <w:bottom w:val="single" w:sz="12" w:space="0" w:color="auto"/>
            </w:tcBorders>
            <w:shd w:val="clear" w:color="auto" w:fill="auto"/>
            <w:vAlign w:val="bottom"/>
          </w:tcPr>
          <w:p w:rsidR="00A55A0E" w:rsidRPr="00E1372C" w:rsidRDefault="00A55A0E" w:rsidP="00DE4096">
            <w:pPr>
              <w:suppressAutoHyphens w:val="0"/>
              <w:spacing w:before="80" w:after="80" w:line="220" w:lineRule="exact"/>
              <w:jc w:val="right"/>
              <w:rPr>
                <w:b/>
                <w:bCs/>
                <w:sz w:val="18"/>
                <w:szCs w:val="24"/>
                <w:lang w:val="fr-FR" w:bidi="en-US"/>
              </w:rPr>
            </w:pPr>
            <w:r w:rsidRPr="00E1372C">
              <w:rPr>
                <w:b/>
                <w:bCs/>
                <w:sz w:val="18"/>
                <w:szCs w:val="24"/>
                <w:lang w:val="fr-FR" w:bidi="en-US"/>
              </w:rPr>
              <w:t>100</w:t>
            </w:r>
            <w:r w:rsidR="007064FC" w:rsidRPr="00E1372C">
              <w:rPr>
                <w:b/>
                <w:bCs/>
                <w:sz w:val="18"/>
                <w:szCs w:val="24"/>
                <w:lang w:val="fr-FR" w:bidi="en-US"/>
              </w:rPr>
              <w:t> %</w:t>
            </w:r>
          </w:p>
        </w:tc>
      </w:tr>
    </w:tbl>
    <w:p w:rsidR="00FA3042" w:rsidRPr="00E1372C" w:rsidRDefault="007A1757" w:rsidP="007A1757">
      <w:pPr>
        <w:pStyle w:val="SingleTxtG"/>
        <w:spacing w:before="240"/>
        <w:rPr>
          <w:b/>
          <w:lang w:val="fr-FR" w:bidi="en-US"/>
        </w:rPr>
      </w:pPr>
      <w:r w:rsidRPr="00E1372C">
        <w:rPr>
          <w:lang w:val="fr-FR" w:bidi="en-US"/>
        </w:rPr>
        <w:t>348.</w:t>
      </w:r>
      <w:r w:rsidRPr="00E1372C">
        <w:rPr>
          <w:lang w:val="fr-FR" w:bidi="en-US"/>
        </w:rPr>
        <w:tab/>
      </w:r>
      <w:r w:rsidR="00FA3042" w:rsidRPr="00E1372C">
        <w:rPr>
          <w:lang w:val="fr-FR" w:bidi="en-US"/>
        </w:rPr>
        <w:t>Diverses stratégies sont utilisées pour réduire la morbidité et la mortalité paludéennes</w:t>
      </w:r>
      <w:r w:rsidR="00AE017E" w:rsidRPr="00E1372C">
        <w:rPr>
          <w:lang w:val="fr-FR" w:bidi="en-US"/>
        </w:rPr>
        <w:t>:</w:t>
      </w:r>
      <w:r w:rsidR="00FA3042" w:rsidRPr="00E1372C">
        <w:rPr>
          <w:lang w:val="fr-FR" w:bidi="en-US"/>
        </w:rPr>
        <w:t xml:space="preserve"> diagnostic précoce, application prompte du traitement, formation du personnel, extension des pulvérisations d</w:t>
      </w:r>
      <w:r w:rsidR="00731F09" w:rsidRPr="00E1372C">
        <w:rPr>
          <w:lang w:val="fr-FR" w:bidi="en-US"/>
        </w:rPr>
        <w:t>’</w:t>
      </w:r>
      <w:r w:rsidR="00FA3042" w:rsidRPr="00E1372C">
        <w:rPr>
          <w:lang w:val="fr-FR" w:bidi="en-US"/>
        </w:rPr>
        <w:t>insecticides sur 86,9</w:t>
      </w:r>
      <w:r w:rsidR="007064FC" w:rsidRPr="00E1372C">
        <w:rPr>
          <w:lang w:val="fr-FR" w:bidi="en-US"/>
        </w:rPr>
        <w:t> %</w:t>
      </w:r>
      <w:r w:rsidR="00FA3042" w:rsidRPr="00E1372C">
        <w:rPr>
          <w:lang w:val="fr-FR" w:bidi="en-US"/>
        </w:rPr>
        <w:t xml:space="preserve"> du territoire et distribution de moustiquaires </w:t>
      </w:r>
      <w:r w:rsidR="001F2D6B" w:rsidRPr="00E1372C">
        <w:rPr>
          <w:lang w:val="fr-FR" w:bidi="en-US"/>
        </w:rPr>
        <w:t>pour les</w:t>
      </w:r>
      <w:r w:rsidR="00FA3042" w:rsidRPr="00E1372C">
        <w:rPr>
          <w:lang w:val="fr-FR" w:bidi="en-US"/>
        </w:rPr>
        <w:t xml:space="preserve"> femmes enceintes et </w:t>
      </w:r>
      <w:r w:rsidR="001F2D6B" w:rsidRPr="00E1372C">
        <w:rPr>
          <w:lang w:val="fr-FR" w:bidi="en-US"/>
        </w:rPr>
        <w:t>les</w:t>
      </w:r>
      <w:r w:rsidR="00FA3042" w:rsidRPr="00E1372C">
        <w:rPr>
          <w:lang w:val="fr-FR" w:bidi="en-US"/>
        </w:rPr>
        <w:t xml:space="preserve"> enfants de moins de 5 ans (68</w:t>
      </w:r>
      <w:r w:rsidR="007064FC" w:rsidRPr="00E1372C">
        <w:rPr>
          <w:lang w:val="fr-FR" w:bidi="en-US"/>
        </w:rPr>
        <w:t> %</w:t>
      </w:r>
      <w:r w:rsidR="00FA3042" w:rsidRPr="00E1372C">
        <w:rPr>
          <w:lang w:val="fr-FR" w:bidi="en-US"/>
        </w:rPr>
        <w:t>).</w:t>
      </w:r>
    </w:p>
    <w:p w:rsidR="00A55A0E" w:rsidRPr="00E1372C" w:rsidRDefault="00DE4096" w:rsidP="00A55A0E">
      <w:pPr>
        <w:pStyle w:val="H23G"/>
        <w:rPr>
          <w:lang w:val="fr-FR" w:bidi="en-US"/>
        </w:rPr>
      </w:pPr>
      <w:r w:rsidRPr="00E1372C">
        <w:rPr>
          <w:lang w:val="fr-FR" w:bidi="en-US"/>
        </w:rPr>
        <w:tab/>
        <w:t>e)</w:t>
      </w:r>
      <w:r w:rsidR="00A55A0E" w:rsidRPr="00E1372C">
        <w:rPr>
          <w:lang w:val="fr-FR" w:bidi="en-US"/>
        </w:rPr>
        <w:tab/>
        <w:t>Tuberculos</w:t>
      </w:r>
      <w:r w:rsidR="00FA3042" w:rsidRPr="00E1372C">
        <w:rPr>
          <w:lang w:val="fr-FR" w:bidi="en-US"/>
        </w:rPr>
        <w:t>e</w:t>
      </w:r>
    </w:p>
    <w:p w:rsidR="00FA3042" w:rsidRPr="00E1372C" w:rsidRDefault="007A1757" w:rsidP="007A1757">
      <w:pPr>
        <w:pStyle w:val="SingleTxtG"/>
        <w:rPr>
          <w:lang w:val="fr-FR" w:bidi="en-US"/>
        </w:rPr>
      </w:pPr>
      <w:r w:rsidRPr="00E1372C">
        <w:rPr>
          <w:lang w:val="fr-FR" w:bidi="en-US"/>
        </w:rPr>
        <w:t>349.</w:t>
      </w:r>
      <w:r w:rsidRPr="00E1372C">
        <w:rPr>
          <w:lang w:val="fr-FR" w:bidi="en-US"/>
        </w:rPr>
        <w:tab/>
      </w:r>
      <w:r w:rsidR="00FA3042" w:rsidRPr="00E1372C">
        <w:rPr>
          <w:lang w:val="fr-FR" w:bidi="en-US"/>
        </w:rPr>
        <w:t>La résistance des tuberculeux aux médicaments est déjà un problème majeur. Compte tenu du fait que la tuberculose augmente parallèlement au VIH/</w:t>
      </w:r>
      <w:r w:rsidR="00B277C4" w:rsidRPr="00E1372C">
        <w:rPr>
          <w:lang w:val="fr-FR" w:bidi="en-US"/>
        </w:rPr>
        <w:t>sida</w:t>
      </w:r>
      <w:r w:rsidR="00FA3042" w:rsidRPr="00E1372C">
        <w:rPr>
          <w:lang w:val="fr-FR" w:bidi="en-US"/>
        </w:rPr>
        <w:t>, il s</w:t>
      </w:r>
      <w:r w:rsidR="00731F09" w:rsidRPr="00E1372C">
        <w:rPr>
          <w:lang w:val="fr-FR" w:bidi="en-US"/>
        </w:rPr>
        <w:t>’</w:t>
      </w:r>
      <w:r w:rsidR="00FA3042" w:rsidRPr="00E1372C">
        <w:rPr>
          <w:lang w:val="fr-FR" w:bidi="en-US"/>
        </w:rPr>
        <w:t>impose d</w:t>
      </w:r>
      <w:r w:rsidR="00731F09" w:rsidRPr="00E1372C">
        <w:rPr>
          <w:lang w:val="fr-FR" w:bidi="en-US"/>
        </w:rPr>
        <w:t>’</w:t>
      </w:r>
      <w:r w:rsidR="00FA3042" w:rsidRPr="00E1372C">
        <w:rPr>
          <w:lang w:val="fr-FR" w:bidi="en-US"/>
        </w:rPr>
        <w:t>adopter de nouveaux modes de traitement.</w:t>
      </w:r>
    </w:p>
    <w:p w:rsidR="00FA3042" w:rsidRPr="00E1372C" w:rsidRDefault="007A1757" w:rsidP="007A1757">
      <w:pPr>
        <w:pStyle w:val="SingleTxtG"/>
        <w:rPr>
          <w:lang w:val="fr-FR" w:bidi="en-US"/>
        </w:rPr>
      </w:pPr>
      <w:r w:rsidRPr="00E1372C">
        <w:rPr>
          <w:lang w:val="fr-FR" w:bidi="en-US"/>
        </w:rPr>
        <w:t>350.</w:t>
      </w:r>
      <w:r w:rsidRPr="00E1372C">
        <w:rPr>
          <w:lang w:val="fr-FR" w:bidi="en-US"/>
        </w:rPr>
        <w:tab/>
      </w:r>
      <w:r w:rsidR="00FA3042" w:rsidRPr="00E1372C">
        <w:rPr>
          <w:lang w:val="fr-FR" w:bidi="en-US"/>
        </w:rPr>
        <w:t xml:space="preserve">La Namibie a signalé </w:t>
      </w:r>
      <w:r w:rsidR="00A55A0E" w:rsidRPr="00E1372C">
        <w:rPr>
          <w:lang w:val="fr-FR" w:bidi="en-US"/>
        </w:rPr>
        <w:t>15</w:t>
      </w:r>
      <w:r w:rsidR="00FA3042" w:rsidRPr="00E1372C">
        <w:rPr>
          <w:lang w:val="fr-FR" w:bidi="en-US"/>
        </w:rPr>
        <w:t> </w:t>
      </w:r>
      <w:r w:rsidR="00A55A0E" w:rsidRPr="00E1372C">
        <w:rPr>
          <w:lang w:val="fr-FR" w:bidi="en-US"/>
        </w:rPr>
        <w:t>244</w:t>
      </w:r>
      <w:r w:rsidR="00FA3042" w:rsidRPr="00E1372C">
        <w:rPr>
          <w:lang w:val="fr-FR" w:bidi="en-US"/>
        </w:rPr>
        <w:t> cas de toutes les formes de tuberculose en 2007, soit 722 cas déclarés pour 100 000 habitants. Une nette tendance à la baisse a été constatée tant dans les taux de déclarations de cas que dans les chiffres absolus de cas signalés depuis 2005. La séropositivité demeure le principal vecteur de l</w:t>
      </w:r>
      <w:r w:rsidR="00731F09" w:rsidRPr="00E1372C">
        <w:rPr>
          <w:lang w:val="fr-FR" w:bidi="en-US"/>
        </w:rPr>
        <w:t>’</w:t>
      </w:r>
      <w:r w:rsidR="00FA3042" w:rsidRPr="00E1372C">
        <w:rPr>
          <w:lang w:val="fr-FR" w:bidi="en-US"/>
        </w:rPr>
        <w:t>épidémie actuelle de tuberculose</w:t>
      </w:r>
      <w:r w:rsidR="00AE017E" w:rsidRPr="00E1372C">
        <w:rPr>
          <w:lang w:val="fr-FR" w:bidi="en-US"/>
        </w:rPr>
        <w:t>:</w:t>
      </w:r>
      <w:r w:rsidR="00FA3042" w:rsidRPr="00E1372C">
        <w:rPr>
          <w:lang w:val="fr-FR" w:bidi="en-US"/>
        </w:rPr>
        <w:t xml:space="preserve"> 59</w:t>
      </w:r>
      <w:r w:rsidR="007064FC" w:rsidRPr="00E1372C">
        <w:rPr>
          <w:lang w:val="fr-FR" w:bidi="en-US"/>
        </w:rPr>
        <w:t> %</w:t>
      </w:r>
      <w:r w:rsidR="00FA3042" w:rsidRPr="00E1372C">
        <w:rPr>
          <w:lang w:val="fr-FR" w:bidi="en-US"/>
        </w:rPr>
        <w:t xml:space="preserve"> des tuberculeux s</w:t>
      </w:r>
      <w:r w:rsidR="00731F09" w:rsidRPr="00E1372C">
        <w:rPr>
          <w:lang w:val="fr-FR" w:bidi="en-US"/>
        </w:rPr>
        <w:t>’</w:t>
      </w:r>
      <w:r w:rsidR="00FA3042" w:rsidRPr="00E1372C">
        <w:rPr>
          <w:lang w:val="fr-FR" w:bidi="en-US"/>
        </w:rPr>
        <w:t xml:space="preserve">étant soumis au </w:t>
      </w:r>
      <w:r w:rsidR="00EA2073" w:rsidRPr="00E1372C">
        <w:rPr>
          <w:lang w:val="fr-FR" w:bidi="en-US"/>
        </w:rPr>
        <w:t xml:space="preserve">test de </w:t>
      </w:r>
      <w:r w:rsidR="00FA3042" w:rsidRPr="00E1372C">
        <w:rPr>
          <w:lang w:val="fr-FR" w:bidi="en-US"/>
        </w:rPr>
        <w:t>dépistage du VIH étaient séropositifs.</w:t>
      </w:r>
    </w:p>
    <w:p w:rsidR="00C4577A" w:rsidRPr="00E1372C" w:rsidRDefault="007A1757" w:rsidP="00DE4096">
      <w:pPr>
        <w:pStyle w:val="SingleTxtG"/>
        <w:rPr>
          <w:lang w:val="fr-FR" w:bidi="en-US"/>
        </w:rPr>
      </w:pPr>
      <w:r w:rsidRPr="00E1372C">
        <w:rPr>
          <w:lang w:val="fr-FR" w:bidi="en-US"/>
        </w:rPr>
        <w:t>351.</w:t>
      </w:r>
      <w:r w:rsidRPr="00E1372C">
        <w:rPr>
          <w:lang w:val="fr-FR" w:bidi="en-US"/>
        </w:rPr>
        <w:tab/>
      </w:r>
      <w:r w:rsidR="00FA3042" w:rsidRPr="00E1372C">
        <w:rPr>
          <w:lang w:val="fr-FR" w:bidi="en-US"/>
        </w:rPr>
        <w:t xml:space="preserve">Les régions de </w:t>
      </w:r>
      <w:r w:rsidR="00A55A0E" w:rsidRPr="00E1372C">
        <w:rPr>
          <w:lang w:val="fr-FR" w:bidi="en-US"/>
        </w:rPr>
        <w:t>Hardap</w:t>
      </w:r>
      <w:r w:rsidR="00F85280" w:rsidRPr="00E1372C">
        <w:rPr>
          <w:lang w:val="fr-FR" w:bidi="en-US"/>
        </w:rPr>
        <w:t>,</w:t>
      </w:r>
      <w:r w:rsidR="00A55A0E" w:rsidRPr="00E1372C">
        <w:rPr>
          <w:lang w:val="fr-FR" w:bidi="en-US"/>
        </w:rPr>
        <w:t xml:space="preserve"> </w:t>
      </w:r>
      <w:r w:rsidR="00FA3042" w:rsidRPr="00E1372C">
        <w:rPr>
          <w:lang w:val="fr-FR" w:bidi="en-US"/>
        </w:rPr>
        <w:t>d</w:t>
      </w:r>
      <w:r w:rsidR="00731F09" w:rsidRPr="00E1372C">
        <w:rPr>
          <w:lang w:val="fr-FR" w:bidi="en-US"/>
        </w:rPr>
        <w:t>’</w:t>
      </w:r>
      <w:r w:rsidR="00A55A0E" w:rsidRPr="00E1372C">
        <w:rPr>
          <w:lang w:val="fr-FR" w:bidi="en-US"/>
        </w:rPr>
        <w:t xml:space="preserve">Erongo </w:t>
      </w:r>
      <w:r w:rsidR="00FA3042" w:rsidRPr="00E1372C">
        <w:rPr>
          <w:lang w:val="fr-FR" w:bidi="en-US"/>
        </w:rPr>
        <w:t>et de</w:t>
      </w:r>
      <w:r w:rsidR="00A55A0E" w:rsidRPr="00E1372C">
        <w:rPr>
          <w:lang w:val="fr-FR" w:bidi="en-US"/>
        </w:rPr>
        <w:t xml:space="preserve"> Karas </w:t>
      </w:r>
      <w:r w:rsidR="00FA3042" w:rsidRPr="00E1372C">
        <w:rPr>
          <w:lang w:val="fr-FR" w:bidi="en-US"/>
        </w:rPr>
        <w:t>ont enregistré des taux particulièrement élevés de déclarations durant la période examinée, soit respectivement 1 294, 1 228 et 1 100 pour 100 000 habitants.</w:t>
      </w:r>
      <w:bookmarkStart w:id="14" w:name="_Toc258399491"/>
      <w:r w:rsidR="00FA3042" w:rsidRPr="00E1372C">
        <w:rPr>
          <w:lang w:val="fr-FR" w:bidi="en-US"/>
        </w:rPr>
        <w:t xml:space="preserve"> Elles ont également occupé les trois premières places en 2005</w:t>
      </w:r>
      <w:r w:rsidR="00702C2B" w:rsidRPr="00E1372C">
        <w:rPr>
          <w:lang w:val="fr-FR" w:bidi="en-US"/>
        </w:rPr>
        <w:t>/</w:t>
      </w:r>
      <w:r w:rsidR="00FA3042" w:rsidRPr="00E1372C">
        <w:rPr>
          <w:lang w:val="fr-FR" w:bidi="en-US"/>
        </w:rPr>
        <w:t>06, mais ont toutes accusé d</w:t>
      </w:r>
      <w:r w:rsidR="00731F09" w:rsidRPr="00E1372C">
        <w:rPr>
          <w:lang w:val="fr-FR" w:bidi="en-US"/>
        </w:rPr>
        <w:t>’</w:t>
      </w:r>
      <w:r w:rsidR="00FA3042" w:rsidRPr="00E1372C">
        <w:rPr>
          <w:lang w:val="fr-FR" w:bidi="en-US"/>
        </w:rPr>
        <w:t>importantes baisses de ces taux. Le tableau ci-dessous présente les taux de déclarations de cas par région.</w:t>
      </w:r>
    </w:p>
    <w:p w:rsidR="00A55A0E" w:rsidRPr="00E1372C" w:rsidRDefault="00C4577A" w:rsidP="00DE4096">
      <w:pPr>
        <w:pStyle w:val="H23G"/>
        <w:rPr>
          <w:lang w:val="fr-FR" w:bidi="en-US"/>
        </w:rPr>
      </w:pPr>
      <w:r w:rsidRPr="00E1372C">
        <w:rPr>
          <w:b w:val="0"/>
          <w:lang w:val="fr-FR" w:bidi="en-US"/>
        </w:rPr>
        <w:tab/>
      </w:r>
      <w:r w:rsidRPr="00E1372C">
        <w:rPr>
          <w:b w:val="0"/>
          <w:lang w:val="fr-FR" w:bidi="en-US"/>
        </w:rPr>
        <w:tab/>
      </w:r>
      <w:r w:rsidR="00DE4096" w:rsidRPr="00E1372C">
        <w:rPr>
          <w:b w:val="0"/>
          <w:lang w:val="fr-FR" w:bidi="en-US"/>
        </w:rPr>
        <w:t>Tableau 4</w:t>
      </w:r>
      <w:r w:rsidR="00DE4096" w:rsidRPr="00E1372C">
        <w:rPr>
          <w:bCs/>
          <w:lang w:val="fr-FR" w:bidi="en-US"/>
        </w:rPr>
        <w:br/>
      </w:r>
      <w:r w:rsidR="00A55A0E" w:rsidRPr="00E1372C">
        <w:rPr>
          <w:lang w:val="fr-FR" w:bidi="en-US"/>
        </w:rPr>
        <w:t>Compar</w:t>
      </w:r>
      <w:r w:rsidR="00FA3042" w:rsidRPr="00E1372C">
        <w:rPr>
          <w:lang w:val="fr-FR" w:bidi="en-US"/>
        </w:rPr>
        <w:t>a</w:t>
      </w:r>
      <w:r w:rsidR="00A55A0E" w:rsidRPr="00E1372C">
        <w:rPr>
          <w:lang w:val="fr-FR" w:bidi="en-US"/>
        </w:rPr>
        <w:t xml:space="preserve">ison </w:t>
      </w:r>
      <w:r w:rsidR="00FA3042" w:rsidRPr="00E1372C">
        <w:rPr>
          <w:lang w:val="fr-FR" w:bidi="en-US"/>
        </w:rPr>
        <w:t>des déclarations de cas de tuberculose par région, pour les exercices 2006</w:t>
      </w:r>
      <w:r w:rsidR="00CE6D0A" w:rsidRPr="00E1372C">
        <w:rPr>
          <w:lang w:val="fr-FR" w:bidi="en-US"/>
        </w:rPr>
        <w:t>/</w:t>
      </w:r>
      <w:r w:rsidR="00FA3042" w:rsidRPr="00E1372C">
        <w:rPr>
          <w:lang w:val="fr-FR" w:bidi="en-US"/>
        </w:rPr>
        <w:t>07 et 2007</w:t>
      </w:r>
      <w:r w:rsidR="00CE6D0A" w:rsidRPr="00E1372C">
        <w:rPr>
          <w:lang w:val="fr-FR" w:bidi="en-US"/>
        </w:rPr>
        <w:t>/</w:t>
      </w:r>
      <w:r w:rsidR="00FA3042" w:rsidRPr="00E1372C">
        <w:rPr>
          <w:lang w:val="fr-FR" w:bidi="en-US"/>
        </w:rPr>
        <w:t>08, Namibie</w:t>
      </w:r>
      <w:bookmarkEnd w:id="14"/>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72"/>
        <w:gridCol w:w="1589"/>
        <w:gridCol w:w="1134"/>
        <w:gridCol w:w="1701"/>
        <w:gridCol w:w="1258"/>
        <w:gridCol w:w="17"/>
      </w:tblGrid>
      <w:tr w:rsidR="00A55A0E" w:rsidRPr="00E1372C" w:rsidTr="00A67A45">
        <w:trPr>
          <w:gridAfter w:val="1"/>
          <w:wAfter w:w="17" w:type="dxa"/>
          <w:tblHeader/>
        </w:trPr>
        <w:tc>
          <w:tcPr>
            <w:tcW w:w="1672" w:type="dxa"/>
            <w:vMerge w:val="restart"/>
            <w:tcBorders>
              <w:top w:val="single" w:sz="4" w:space="0" w:color="auto"/>
              <w:bottom w:val="single" w:sz="12" w:space="0" w:color="auto"/>
            </w:tcBorders>
            <w:shd w:val="clear" w:color="auto" w:fill="auto"/>
            <w:vAlign w:val="bottom"/>
          </w:tcPr>
          <w:p w:rsidR="00A55A0E" w:rsidRPr="00E1372C" w:rsidRDefault="00FA3042" w:rsidP="00A55A0E">
            <w:pPr>
              <w:suppressAutoHyphens w:val="0"/>
              <w:spacing w:before="80" w:after="80" w:line="200" w:lineRule="exact"/>
              <w:rPr>
                <w:i/>
                <w:sz w:val="16"/>
                <w:szCs w:val="16"/>
                <w:lang w:val="fr-FR" w:bidi="en-US"/>
              </w:rPr>
            </w:pPr>
            <w:r w:rsidRPr="00E1372C">
              <w:rPr>
                <w:i/>
                <w:sz w:val="16"/>
                <w:szCs w:val="16"/>
                <w:lang w:val="fr-FR" w:bidi="en-US"/>
              </w:rPr>
              <w:t>Région</w:t>
            </w:r>
          </w:p>
        </w:tc>
        <w:tc>
          <w:tcPr>
            <w:tcW w:w="2723" w:type="dxa"/>
            <w:gridSpan w:val="2"/>
            <w:tcBorders>
              <w:top w:val="single" w:sz="4" w:space="0" w:color="auto"/>
              <w:bottom w:val="single" w:sz="4" w:space="0" w:color="auto"/>
              <w:right w:val="single" w:sz="24" w:space="0" w:color="FFFFFF"/>
            </w:tcBorders>
            <w:shd w:val="clear" w:color="auto" w:fill="auto"/>
            <w:vAlign w:val="bottom"/>
          </w:tcPr>
          <w:p w:rsidR="00A55A0E" w:rsidRPr="00E1372C" w:rsidRDefault="00A55A0E" w:rsidP="00A55A0E">
            <w:pPr>
              <w:suppressAutoHyphens w:val="0"/>
              <w:spacing w:before="80" w:after="80" w:line="200" w:lineRule="exact"/>
              <w:jc w:val="center"/>
              <w:rPr>
                <w:i/>
                <w:sz w:val="16"/>
                <w:szCs w:val="16"/>
                <w:lang w:val="fr-FR" w:bidi="en-US"/>
              </w:rPr>
            </w:pPr>
            <w:r w:rsidRPr="00E1372C">
              <w:rPr>
                <w:i/>
                <w:sz w:val="16"/>
                <w:szCs w:val="16"/>
                <w:lang w:val="fr-FR" w:bidi="en-US"/>
              </w:rPr>
              <w:t>2006/07</w:t>
            </w:r>
          </w:p>
        </w:tc>
        <w:tc>
          <w:tcPr>
            <w:tcW w:w="2959" w:type="dxa"/>
            <w:gridSpan w:val="2"/>
            <w:tcBorders>
              <w:top w:val="single" w:sz="4" w:space="0" w:color="auto"/>
              <w:left w:val="single" w:sz="24" w:space="0" w:color="FFFFFF"/>
              <w:bottom w:val="single" w:sz="4" w:space="0" w:color="auto"/>
            </w:tcBorders>
            <w:shd w:val="clear" w:color="auto" w:fill="auto"/>
            <w:vAlign w:val="bottom"/>
          </w:tcPr>
          <w:p w:rsidR="00A55A0E" w:rsidRPr="00E1372C" w:rsidRDefault="00A55A0E" w:rsidP="00A55A0E">
            <w:pPr>
              <w:suppressAutoHyphens w:val="0"/>
              <w:spacing w:before="80" w:after="80" w:line="200" w:lineRule="exact"/>
              <w:jc w:val="center"/>
              <w:rPr>
                <w:i/>
                <w:sz w:val="16"/>
                <w:szCs w:val="16"/>
                <w:lang w:val="fr-FR" w:bidi="en-US"/>
              </w:rPr>
            </w:pPr>
            <w:r w:rsidRPr="00E1372C">
              <w:rPr>
                <w:i/>
                <w:sz w:val="16"/>
                <w:szCs w:val="16"/>
                <w:lang w:val="fr-FR" w:bidi="en-US"/>
              </w:rPr>
              <w:t>2007/08</w:t>
            </w:r>
          </w:p>
        </w:tc>
      </w:tr>
      <w:tr w:rsidR="00A55A0E" w:rsidRPr="00E1372C" w:rsidTr="004866D1">
        <w:trPr>
          <w:tblHeader/>
        </w:trPr>
        <w:tc>
          <w:tcPr>
            <w:tcW w:w="1672" w:type="dxa"/>
            <w:vMerge/>
            <w:tcBorders>
              <w:bottom w:val="single" w:sz="12" w:space="0" w:color="auto"/>
            </w:tcBorders>
            <w:shd w:val="clear" w:color="auto" w:fill="auto"/>
            <w:vAlign w:val="bottom"/>
          </w:tcPr>
          <w:p w:rsidR="00A55A0E" w:rsidRPr="00E1372C" w:rsidRDefault="00A55A0E" w:rsidP="00A55A0E">
            <w:pPr>
              <w:suppressAutoHyphens w:val="0"/>
              <w:spacing w:before="80" w:after="80" w:line="200" w:lineRule="exact"/>
              <w:rPr>
                <w:i/>
                <w:sz w:val="16"/>
                <w:szCs w:val="16"/>
                <w:lang w:val="fr-FR" w:bidi="en-US"/>
              </w:rPr>
            </w:pPr>
          </w:p>
        </w:tc>
        <w:tc>
          <w:tcPr>
            <w:tcW w:w="1589" w:type="dxa"/>
            <w:tcBorders>
              <w:top w:val="nil"/>
              <w:bottom w:val="single" w:sz="12" w:space="0" w:color="auto"/>
            </w:tcBorders>
            <w:shd w:val="clear" w:color="auto" w:fill="auto"/>
            <w:vAlign w:val="bottom"/>
          </w:tcPr>
          <w:p w:rsidR="00A55A0E" w:rsidRPr="00E1372C" w:rsidRDefault="00FA3042" w:rsidP="00FA3042">
            <w:pPr>
              <w:suppressAutoHyphens w:val="0"/>
              <w:spacing w:before="80" w:after="80" w:line="200" w:lineRule="exact"/>
              <w:jc w:val="right"/>
              <w:rPr>
                <w:i/>
                <w:sz w:val="16"/>
                <w:szCs w:val="16"/>
                <w:lang w:val="fr-FR" w:bidi="en-US"/>
              </w:rPr>
            </w:pPr>
            <w:r w:rsidRPr="00E1372C">
              <w:rPr>
                <w:i/>
                <w:sz w:val="16"/>
                <w:szCs w:val="16"/>
                <w:lang w:val="fr-FR" w:bidi="en-US"/>
              </w:rPr>
              <w:t>Nombre de cas pour 100 000 habitants</w:t>
            </w:r>
          </w:p>
        </w:tc>
        <w:tc>
          <w:tcPr>
            <w:tcW w:w="1134" w:type="dxa"/>
            <w:tcBorders>
              <w:top w:val="nil"/>
              <w:bottom w:val="single" w:sz="12" w:space="0" w:color="auto"/>
              <w:right w:val="single" w:sz="24" w:space="0" w:color="FFFFFF"/>
            </w:tcBorders>
            <w:shd w:val="clear" w:color="auto" w:fill="auto"/>
            <w:vAlign w:val="bottom"/>
          </w:tcPr>
          <w:p w:rsidR="00A55A0E" w:rsidRPr="00E1372C" w:rsidRDefault="00FA3042" w:rsidP="00296135">
            <w:pPr>
              <w:suppressAutoHyphens w:val="0"/>
              <w:spacing w:before="80" w:after="80" w:line="200" w:lineRule="exact"/>
              <w:jc w:val="right"/>
              <w:rPr>
                <w:i/>
                <w:sz w:val="16"/>
                <w:szCs w:val="16"/>
                <w:lang w:val="fr-FR" w:bidi="en-US"/>
              </w:rPr>
            </w:pPr>
            <w:r w:rsidRPr="00E1372C">
              <w:rPr>
                <w:i/>
                <w:sz w:val="16"/>
                <w:szCs w:val="16"/>
                <w:lang w:val="fr-FR" w:bidi="en-US"/>
              </w:rPr>
              <w:t>Classement</w:t>
            </w:r>
          </w:p>
        </w:tc>
        <w:tc>
          <w:tcPr>
            <w:tcW w:w="1701" w:type="dxa"/>
            <w:tcBorders>
              <w:top w:val="nil"/>
              <w:left w:val="single" w:sz="24" w:space="0" w:color="FFFFFF"/>
              <w:bottom w:val="single" w:sz="12" w:space="0" w:color="auto"/>
            </w:tcBorders>
            <w:shd w:val="clear" w:color="auto" w:fill="auto"/>
            <w:vAlign w:val="bottom"/>
          </w:tcPr>
          <w:p w:rsidR="00A55A0E" w:rsidRPr="00E1372C" w:rsidRDefault="00296135" w:rsidP="00A55A0E">
            <w:pPr>
              <w:suppressAutoHyphens w:val="0"/>
              <w:spacing w:before="80" w:after="80" w:line="200" w:lineRule="exact"/>
              <w:jc w:val="right"/>
              <w:rPr>
                <w:i/>
                <w:sz w:val="16"/>
                <w:szCs w:val="16"/>
                <w:lang w:val="fr-FR" w:bidi="en-US"/>
              </w:rPr>
            </w:pPr>
            <w:r w:rsidRPr="00E1372C">
              <w:rPr>
                <w:i/>
                <w:sz w:val="16"/>
                <w:szCs w:val="16"/>
                <w:lang w:val="fr-FR" w:bidi="en-US"/>
              </w:rPr>
              <w:t>Nombre de cas pour 100 000 habitants</w:t>
            </w:r>
          </w:p>
        </w:tc>
        <w:tc>
          <w:tcPr>
            <w:tcW w:w="1275" w:type="dxa"/>
            <w:gridSpan w:val="2"/>
            <w:tcBorders>
              <w:top w:val="nil"/>
              <w:bottom w:val="single" w:sz="12" w:space="0" w:color="auto"/>
            </w:tcBorders>
            <w:shd w:val="clear" w:color="auto" w:fill="auto"/>
            <w:vAlign w:val="bottom"/>
          </w:tcPr>
          <w:p w:rsidR="00A55A0E" w:rsidRPr="00E1372C" w:rsidRDefault="00296135" w:rsidP="00A55A0E">
            <w:pPr>
              <w:suppressAutoHyphens w:val="0"/>
              <w:spacing w:before="80" w:after="80" w:line="200" w:lineRule="exact"/>
              <w:jc w:val="right"/>
              <w:rPr>
                <w:i/>
                <w:sz w:val="16"/>
                <w:szCs w:val="16"/>
                <w:lang w:val="fr-FR" w:bidi="en-US"/>
              </w:rPr>
            </w:pPr>
            <w:r w:rsidRPr="00E1372C">
              <w:rPr>
                <w:i/>
                <w:sz w:val="16"/>
                <w:szCs w:val="16"/>
                <w:lang w:val="fr-FR" w:bidi="en-US"/>
              </w:rPr>
              <w:t>Classement</w:t>
            </w:r>
          </w:p>
        </w:tc>
      </w:tr>
      <w:tr w:rsidR="00A55A0E" w:rsidRPr="00E1372C" w:rsidTr="004866D1">
        <w:trPr>
          <w:trHeight w:val="240"/>
        </w:trPr>
        <w:tc>
          <w:tcPr>
            <w:tcW w:w="1672" w:type="dxa"/>
            <w:tcBorders>
              <w:top w:val="single" w:sz="12" w:space="0" w:color="auto"/>
              <w:bottom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Hardap</w:t>
            </w:r>
          </w:p>
        </w:tc>
        <w:tc>
          <w:tcPr>
            <w:tcW w:w="1589" w:type="dxa"/>
            <w:tcBorders>
              <w:top w:val="single" w:sz="12" w:space="0" w:color="auto"/>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8784B" w:rsidRPr="00E1372C">
              <w:rPr>
                <w:sz w:val="18"/>
                <w:szCs w:val="24"/>
                <w:lang w:val="fr-FR" w:bidi="en-US"/>
              </w:rPr>
              <w:t> </w:t>
            </w:r>
            <w:r w:rsidRPr="00E1372C">
              <w:rPr>
                <w:sz w:val="18"/>
                <w:szCs w:val="24"/>
                <w:lang w:val="fr-FR" w:bidi="en-US"/>
              </w:rPr>
              <w:t>251</w:t>
            </w:r>
          </w:p>
        </w:tc>
        <w:tc>
          <w:tcPr>
            <w:tcW w:w="1134" w:type="dxa"/>
            <w:tcBorders>
              <w:top w:val="single" w:sz="12" w:space="0" w:color="auto"/>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w:t>
            </w:r>
          </w:p>
        </w:tc>
        <w:tc>
          <w:tcPr>
            <w:tcW w:w="1701" w:type="dxa"/>
            <w:tcBorders>
              <w:top w:val="single" w:sz="12" w:space="0" w:color="auto"/>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8784B" w:rsidRPr="00E1372C">
              <w:rPr>
                <w:sz w:val="18"/>
                <w:szCs w:val="24"/>
                <w:lang w:val="fr-FR" w:bidi="en-US"/>
              </w:rPr>
              <w:t> </w:t>
            </w:r>
            <w:r w:rsidRPr="00E1372C">
              <w:rPr>
                <w:sz w:val="18"/>
                <w:szCs w:val="24"/>
                <w:lang w:val="fr-FR" w:bidi="en-US"/>
              </w:rPr>
              <w:t>294</w:t>
            </w:r>
          </w:p>
        </w:tc>
        <w:tc>
          <w:tcPr>
            <w:tcW w:w="1275" w:type="dxa"/>
            <w:gridSpan w:val="2"/>
            <w:tcBorders>
              <w:top w:val="single" w:sz="12" w:space="0" w:color="auto"/>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p>
        </w:tc>
      </w:tr>
      <w:tr w:rsidR="00A55A0E" w:rsidRPr="00E1372C" w:rsidTr="004866D1">
        <w:trPr>
          <w:trHeight w:val="240"/>
        </w:trPr>
        <w:tc>
          <w:tcPr>
            <w:tcW w:w="1672" w:type="dxa"/>
            <w:tcBorders>
              <w:top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Erongo</w:t>
            </w:r>
          </w:p>
        </w:tc>
        <w:tc>
          <w:tcPr>
            <w:tcW w:w="1589"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8784B" w:rsidRPr="00E1372C">
              <w:rPr>
                <w:sz w:val="18"/>
                <w:szCs w:val="24"/>
                <w:lang w:val="fr-FR" w:bidi="en-US"/>
              </w:rPr>
              <w:t> </w:t>
            </w:r>
            <w:r w:rsidRPr="00E1372C">
              <w:rPr>
                <w:sz w:val="18"/>
                <w:szCs w:val="24"/>
                <w:lang w:val="fr-FR" w:bidi="en-US"/>
              </w:rPr>
              <w:t>360</w:t>
            </w:r>
          </w:p>
        </w:tc>
        <w:tc>
          <w:tcPr>
            <w:tcW w:w="1134"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p>
        </w:tc>
        <w:tc>
          <w:tcPr>
            <w:tcW w:w="1701"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8784B" w:rsidRPr="00E1372C">
              <w:rPr>
                <w:sz w:val="18"/>
                <w:szCs w:val="24"/>
                <w:lang w:val="fr-FR" w:bidi="en-US"/>
              </w:rPr>
              <w:t> </w:t>
            </w:r>
            <w:r w:rsidRPr="00E1372C">
              <w:rPr>
                <w:sz w:val="18"/>
                <w:szCs w:val="24"/>
                <w:lang w:val="fr-FR" w:bidi="en-US"/>
              </w:rPr>
              <w:t>228</w:t>
            </w:r>
          </w:p>
        </w:tc>
        <w:tc>
          <w:tcPr>
            <w:tcW w:w="1275" w:type="dxa"/>
            <w:gridSpan w:val="2"/>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w:t>
            </w:r>
          </w:p>
        </w:tc>
      </w:tr>
      <w:tr w:rsidR="00A55A0E" w:rsidRPr="00E1372C" w:rsidTr="004866D1">
        <w:trPr>
          <w:trHeight w:val="240"/>
        </w:trPr>
        <w:tc>
          <w:tcPr>
            <w:tcW w:w="1672"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Karas</w:t>
            </w:r>
          </w:p>
        </w:tc>
        <w:tc>
          <w:tcPr>
            <w:tcW w:w="1589"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8784B" w:rsidRPr="00E1372C">
              <w:rPr>
                <w:sz w:val="18"/>
                <w:szCs w:val="24"/>
                <w:lang w:val="fr-FR" w:bidi="en-US"/>
              </w:rPr>
              <w:t> </w:t>
            </w:r>
            <w:r w:rsidRPr="00E1372C">
              <w:rPr>
                <w:sz w:val="18"/>
                <w:szCs w:val="24"/>
                <w:lang w:val="fr-FR" w:bidi="en-US"/>
              </w:rPr>
              <w:t>132</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w:t>
            </w:r>
          </w:p>
        </w:tc>
        <w:tc>
          <w:tcPr>
            <w:tcW w:w="1701"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8784B" w:rsidRPr="00E1372C">
              <w:rPr>
                <w:sz w:val="18"/>
                <w:szCs w:val="24"/>
                <w:lang w:val="fr-FR" w:bidi="en-US"/>
              </w:rPr>
              <w:t> </w:t>
            </w:r>
            <w:r w:rsidRPr="00E1372C">
              <w:rPr>
                <w:sz w:val="18"/>
                <w:szCs w:val="24"/>
                <w:lang w:val="fr-FR" w:bidi="en-US"/>
              </w:rPr>
              <w:t>100</w:t>
            </w:r>
          </w:p>
        </w:tc>
        <w:tc>
          <w:tcPr>
            <w:tcW w:w="1275" w:type="dxa"/>
            <w:gridSpan w:val="2"/>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w:t>
            </w:r>
          </w:p>
        </w:tc>
      </w:tr>
      <w:tr w:rsidR="00A55A0E" w:rsidRPr="00E1372C" w:rsidTr="004866D1">
        <w:trPr>
          <w:trHeight w:val="240"/>
        </w:trPr>
        <w:tc>
          <w:tcPr>
            <w:tcW w:w="1672"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Oshikoto</w:t>
            </w:r>
          </w:p>
        </w:tc>
        <w:tc>
          <w:tcPr>
            <w:tcW w:w="1589"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r w:rsidR="0078784B" w:rsidRPr="00E1372C">
              <w:rPr>
                <w:sz w:val="18"/>
                <w:szCs w:val="24"/>
                <w:lang w:val="fr-FR" w:bidi="en-US"/>
              </w:rPr>
              <w:t> </w:t>
            </w:r>
            <w:r w:rsidRPr="00E1372C">
              <w:rPr>
                <w:sz w:val="18"/>
                <w:szCs w:val="24"/>
                <w:lang w:val="fr-FR" w:bidi="en-US"/>
              </w:rPr>
              <w:t>038</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w:t>
            </w:r>
          </w:p>
        </w:tc>
        <w:tc>
          <w:tcPr>
            <w:tcW w:w="1701"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830</w:t>
            </w:r>
          </w:p>
        </w:tc>
        <w:tc>
          <w:tcPr>
            <w:tcW w:w="1275" w:type="dxa"/>
            <w:gridSpan w:val="2"/>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w:t>
            </w:r>
          </w:p>
        </w:tc>
      </w:tr>
      <w:tr w:rsidR="00A55A0E" w:rsidRPr="00E1372C" w:rsidTr="004866D1">
        <w:trPr>
          <w:trHeight w:val="240"/>
        </w:trPr>
        <w:tc>
          <w:tcPr>
            <w:tcW w:w="1672"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Caprivi</w:t>
            </w:r>
          </w:p>
        </w:tc>
        <w:tc>
          <w:tcPr>
            <w:tcW w:w="1589"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786</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w:t>
            </w:r>
          </w:p>
        </w:tc>
        <w:tc>
          <w:tcPr>
            <w:tcW w:w="1701"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801</w:t>
            </w:r>
          </w:p>
        </w:tc>
        <w:tc>
          <w:tcPr>
            <w:tcW w:w="1275" w:type="dxa"/>
            <w:gridSpan w:val="2"/>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w:t>
            </w:r>
          </w:p>
        </w:tc>
      </w:tr>
      <w:tr w:rsidR="00A55A0E" w:rsidRPr="00E1372C" w:rsidTr="004866D1">
        <w:trPr>
          <w:trHeight w:val="240"/>
        </w:trPr>
        <w:tc>
          <w:tcPr>
            <w:tcW w:w="1672"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Khomas</w:t>
            </w:r>
          </w:p>
        </w:tc>
        <w:tc>
          <w:tcPr>
            <w:tcW w:w="1589"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859</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w:t>
            </w:r>
          </w:p>
        </w:tc>
        <w:tc>
          <w:tcPr>
            <w:tcW w:w="1701"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781</w:t>
            </w:r>
          </w:p>
        </w:tc>
        <w:tc>
          <w:tcPr>
            <w:tcW w:w="1275" w:type="dxa"/>
            <w:gridSpan w:val="2"/>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w:t>
            </w:r>
          </w:p>
        </w:tc>
      </w:tr>
      <w:tr w:rsidR="00A55A0E" w:rsidRPr="00E1372C" w:rsidTr="004866D1">
        <w:trPr>
          <w:trHeight w:val="240"/>
        </w:trPr>
        <w:tc>
          <w:tcPr>
            <w:tcW w:w="1672"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Oshana</w:t>
            </w:r>
          </w:p>
        </w:tc>
        <w:tc>
          <w:tcPr>
            <w:tcW w:w="1589"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830</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w:t>
            </w:r>
          </w:p>
        </w:tc>
        <w:tc>
          <w:tcPr>
            <w:tcW w:w="1701"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703</w:t>
            </w:r>
          </w:p>
        </w:tc>
        <w:tc>
          <w:tcPr>
            <w:tcW w:w="1275" w:type="dxa"/>
            <w:gridSpan w:val="2"/>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w:t>
            </w:r>
          </w:p>
        </w:tc>
      </w:tr>
      <w:tr w:rsidR="00A55A0E" w:rsidRPr="00E1372C" w:rsidTr="004866D1">
        <w:trPr>
          <w:trHeight w:val="240"/>
        </w:trPr>
        <w:tc>
          <w:tcPr>
            <w:tcW w:w="1672"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Otjozondjupa</w:t>
            </w:r>
          </w:p>
        </w:tc>
        <w:tc>
          <w:tcPr>
            <w:tcW w:w="1589"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751</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8</w:t>
            </w:r>
          </w:p>
        </w:tc>
        <w:tc>
          <w:tcPr>
            <w:tcW w:w="1701"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689</w:t>
            </w:r>
          </w:p>
        </w:tc>
        <w:tc>
          <w:tcPr>
            <w:tcW w:w="1275" w:type="dxa"/>
            <w:gridSpan w:val="2"/>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8</w:t>
            </w:r>
          </w:p>
        </w:tc>
      </w:tr>
      <w:tr w:rsidR="00A55A0E" w:rsidRPr="00E1372C" w:rsidTr="004866D1">
        <w:trPr>
          <w:trHeight w:val="240"/>
        </w:trPr>
        <w:tc>
          <w:tcPr>
            <w:tcW w:w="1672" w:type="dxa"/>
            <w:tcBorders>
              <w:bottom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Omaheke</w:t>
            </w:r>
          </w:p>
        </w:tc>
        <w:tc>
          <w:tcPr>
            <w:tcW w:w="1589" w:type="dxa"/>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643</w:t>
            </w:r>
          </w:p>
        </w:tc>
        <w:tc>
          <w:tcPr>
            <w:tcW w:w="1134" w:type="dxa"/>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9</w:t>
            </w:r>
          </w:p>
        </w:tc>
        <w:tc>
          <w:tcPr>
            <w:tcW w:w="1701" w:type="dxa"/>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641</w:t>
            </w:r>
          </w:p>
        </w:tc>
        <w:tc>
          <w:tcPr>
            <w:tcW w:w="1275" w:type="dxa"/>
            <w:gridSpan w:val="2"/>
            <w:tcBorders>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9</w:t>
            </w:r>
          </w:p>
        </w:tc>
      </w:tr>
      <w:tr w:rsidR="00A55A0E" w:rsidRPr="00E1372C" w:rsidTr="004866D1">
        <w:trPr>
          <w:trHeight w:val="240"/>
        </w:trPr>
        <w:tc>
          <w:tcPr>
            <w:tcW w:w="1672" w:type="dxa"/>
            <w:tcBorders>
              <w:top w:val="nil"/>
              <w:bottom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Kavango</w:t>
            </w:r>
          </w:p>
        </w:tc>
        <w:tc>
          <w:tcPr>
            <w:tcW w:w="1589" w:type="dxa"/>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641</w:t>
            </w:r>
          </w:p>
        </w:tc>
        <w:tc>
          <w:tcPr>
            <w:tcW w:w="1134" w:type="dxa"/>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10</w:t>
            </w:r>
          </w:p>
        </w:tc>
        <w:tc>
          <w:tcPr>
            <w:tcW w:w="1701" w:type="dxa"/>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615</w:t>
            </w:r>
          </w:p>
        </w:tc>
        <w:tc>
          <w:tcPr>
            <w:tcW w:w="1275" w:type="dxa"/>
            <w:gridSpan w:val="2"/>
            <w:tcBorders>
              <w:top w:val="nil"/>
              <w:bottom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10</w:t>
            </w:r>
          </w:p>
        </w:tc>
      </w:tr>
      <w:tr w:rsidR="00A55A0E" w:rsidRPr="00E1372C" w:rsidTr="004866D1">
        <w:trPr>
          <w:trHeight w:val="240"/>
        </w:trPr>
        <w:tc>
          <w:tcPr>
            <w:tcW w:w="1672" w:type="dxa"/>
            <w:tcBorders>
              <w:top w:val="nil"/>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Ohangwena</w:t>
            </w:r>
          </w:p>
        </w:tc>
        <w:tc>
          <w:tcPr>
            <w:tcW w:w="1589"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434</w:t>
            </w:r>
          </w:p>
        </w:tc>
        <w:tc>
          <w:tcPr>
            <w:tcW w:w="1134"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12</w:t>
            </w:r>
          </w:p>
        </w:tc>
        <w:tc>
          <w:tcPr>
            <w:tcW w:w="1701" w:type="dxa"/>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539</w:t>
            </w:r>
          </w:p>
        </w:tc>
        <w:tc>
          <w:tcPr>
            <w:tcW w:w="1275" w:type="dxa"/>
            <w:gridSpan w:val="2"/>
            <w:tcBorders>
              <w:top w:val="nil"/>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11</w:t>
            </w:r>
          </w:p>
        </w:tc>
      </w:tr>
      <w:tr w:rsidR="00A55A0E" w:rsidRPr="00E1372C" w:rsidTr="004866D1">
        <w:trPr>
          <w:trHeight w:val="240"/>
        </w:trPr>
        <w:tc>
          <w:tcPr>
            <w:tcW w:w="1672"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Omusati</w:t>
            </w:r>
          </w:p>
        </w:tc>
        <w:tc>
          <w:tcPr>
            <w:tcW w:w="1589"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505</w:t>
            </w:r>
          </w:p>
        </w:tc>
        <w:tc>
          <w:tcPr>
            <w:tcW w:w="113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11</w:t>
            </w:r>
          </w:p>
        </w:tc>
        <w:tc>
          <w:tcPr>
            <w:tcW w:w="1701"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516</w:t>
            </w:r>
          </w:p>
        </w:tc>
        <w:tc>
          <w:tcPr>
            <w:tcW w:w="1275" w:type="dxa"/>
            <w:gridSpan w:val="2"/>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12</w:t>
            </w:r>
          </w:p>
        </w:tc>
      </w:tr>
      <w:tr w:rsidR="00A55A0E" w:rsidRPr="00E1372C" w:rsidTr="004866D1">
        <w:trPr>
          <w:trHeight w:val="240"/>
        </w:trPr>
        <w:tc>
          <w:tcPr>
            <w:tcW w:w="1672" w:type="dxa"/>
            <w:tcBorders>
              <w:bottom w:val="single" w:sz="4" w:space="0" w:color="auto"/>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Kunene</w:t>
            </w:r>
          </w:p>
        </w:tc>
        <w:tc>
          <w:tcPr>
            <w:tcW w:w="1589"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351</w:t>
            </w:r>
          </w:p>
        </w:tc>
        <w:tc>
          <w:tcPr>
            <w:tcW w:w="1134"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13</w:t>
            </w:r>
          </w:p>
        </w:tc>
        <w:tc>
          <w:tcPr>
            <w:tcW w:w="1701"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329</w:t>
            </w:r>
          </w:p>
        </w:tc>
        <w:tc>
          <w:tcPr>
            <w:tcW w:w="1275" w:type="dxa"/>
            <w:gridSpan w:val="2"/>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13</w:t>
            </w:r>
          </w:p>
        </w:tc>
      </w:tr>
      <w:tr w:rsidR="00A55A0E" w:rsidRPr="00E1372C" w:rsidTr="004866D1">
        <w:trPr>
          <w:trHeight w:val="240"/>
        </w:trPr>
        <w:tc>
          <w:tcPr>
            <w:tcW w:w="1672" w:type="dxa"/>
            <w:tcBorders>
              <w:top w:val="single" w:sz="4" w:space="0" w:color="auto"/>
              <w:bottom w:val="single" w:sz="12" w:space="0" w:color="auto"/>
            </w:tcBorders>
            <w:shd w:val="clear" w:color="auto" w:fill="auto"/>
          </w:tcPr>
          <w:p w:rsidR="00A55A0E" w:rsidRPr="00E1372C" w:rsidRDefault="00A55A0E" w:rsidP="00A67A45">
            <w:pPr>
              <w:suppressAutoHyphens w:val="0"/>
              <w:spacing w:before="80" w:after="80" w:line="220" w:lineRule="exact"/>
              <w:ind w:left="283"/>
              <w:rPr>
                <w:b/>
                <w:bCs/>
                <w:sz w:val="18"/>
                <w:szCs w:val="24"/>
                <w:lang w:val="fr-FR" w:bidi="en-US"/>
              </w:rPr>
            </w:pPr>
            <w:r w:rsidRPr="00E1372C">
              <w:rPr>
                <w:b/>
                <w:bCs/>
                <w:sz w:val="18"/>
                <w:szCs w:val="24"/>
                <w:lang w:val="fr-FR" w:bidi="en-US"/>
              </w:rPr>
              <w:t>Namibi</w:t>
            </w:r>
            <w:r w:rsidR="00296135" w:rsidRPr="00E1372C">
              <w:rPr>
                <w:b/>
                <w:bCs/>
                <w:sz w:val="18"/>
                <w:szCs w:val="24"/>
                <w:lang w:val="fr-FR" w:bidi="en-US"/>
              </w:rPr>
              <w:t>e</w:t>
            </w:r>
          </w:p>
        </w:tc>
        <w:tc>
          <w:tcPr>
            <w:tcW w:w="1589" w:type="dxa"/>
            <w:tcBorders>
              <w:top w:val="single" w:sz="4" w:space="0" w:color="auto"/>
              <w:bottom w:val="single" w:sz="12" w:space="0" w:color="auto"/>
            </w:tcBorders>
            <w:shd w:val="clear" w:color="auto" w:fill="auto"/>
            <w:vAlign w:val="bottom"/>
          </w:tcPr>
          <w:p w:rsidR="00A55A0E" w:rsidRPr="00E1372C" w:rsidRDefault="00A55A0E" w:rsidP="00A67A45">
            <w:pPr>
              <w:suppressAutoHyphens w:val="0"/>
              <w:spacing w:before="80" w:after="80" w:line="220" w:lineRule="exact"/>
              <w:jc w:val="right"/>
              <w:rPr>
                <w:b/>
                <w:bCs/>
                <w:sz w:val="18"/>
                <w:szCs w:val="24"/>
                <w:lang w:val="fr-FR" w:bidi="en-US"/>
              </w:rPr>
            </w:pPr>
            <w:r w:rsidRPr="00E1372C">
              <w:rPr>
                <w:b/>
                <w:bCs/>
                <w:sz w:val="18"/>
                <w:szCs w:val="24"/>
                <w:lang w:val="fr-FR" w:bidi="en-US"/>
              </w:rPr>
              <w:t>814</w:t>
            </w:r>
          </w:p>
        </w:tc>
        <w:tc>
          <w:tcPr>
            <w:tcW w:w="1134" w:type="dxa"/>
            <w:tcBorders>
              <w:top w:val="single" w:sz="4" w:space="0" w:color="auto"/>
              <w:bottom w:val="single" w:sz="12" w:space="0" w:color="auto"/>
            </w:tcBorders>
            <w:shd w:val="clear" w:color="auto" w:fill="auto"/>
            <w:vAlign w:val="bottom"/>
          </w:tcPr>
          <w:p w:rsidR="00A55A0E" w:rsidRPr="00E1372C" w:rsidRDefault="0078784B" w:rsidP="00A67A45">
            <w:pPr>
              <w:suppressAutoHyphens w:val="0"/>
              <w:spacing w:before="80" w:after="80" w:line="220" w:lineRule="exact"/>
              <w:jc w:val="right"/>
              <w:rPr>
                <w:b/>
                <w:bCs/>
                <w:sz w:val="18"/>
                <w:szCs w:val="24"/>
                <w:lang w:val="fr-FR" w:bidi="en-US"/>
              </w:rPr>
            </w:pPr>
            <w:r w:rsidRPr="00E1372C">
              <w:rPr>
                <w:b/>
                <w:bCs/>
                <w:sz w:val="18"/>
                <w:szCs w:val="24"/>
                <w:lang w:val="fr-FR" w:bidi="en-US"/>
              </w:rPr>
              <w:t>Global</w:t>
            </w:r>
          </w:p>
        </w:tc>
        <w:tc>
          <w:tcPr>
            <w:tcW w:w="1701" w:type="dxa"/>
            <w:tcBorders>
              <w:top w:val="single" w:sz="4" w:space="0" w:color="auto"/>
              <w:bottom w:val="single" w:sz="12" w:space="0" w:color="auto"/>
            </w:tcBorders>
            <w:shd w:val="clear" w:color="auto" w:fill="auto"/>
            <w:vAlign w:val="bottom"/>
          </w:tcPr>
          <w:p w:rsidR="00A55A0E" w:rsidRPr="00E1372C" w:rsidRDefault="00A55A0E" w:rsidP="00A67A45">
            <w:pPr>
              <w:suppressAutoHyphens w:val="0"/>
              <w:spacing w:before="80" w:after="80" w:line="220" w:lineRule="exact"/>
              <w:jc w:val="right"/>
              <w:rPr>
                <w:b/>
                <w:bCs/>
                <w:sz w:val="18"/>
                <w:szCs w:val="24"/>
                <w:lang w:val="fr-FR" w:bidi="en-US"/>
              </w:rPr>
            </w:pPr>
            <w:r w:rsidRPr="00E1372C">
              <w:rPr>
                <w:b/>
                <w:bCs/>
                <w:sz w:val="18"/>
                <w:szCs w:val="24"/>
                <w:lang w:val="fr-FR" w:bidi="en-US"/>
              </w:rPr>
              <w:t>722</w:t>
            </w:r>
          </w:p>
        </w:tc>
        <w:tc>
          <w:tcPr>
            <w:tcW w:w="1275" w:type="dxa"/>
            <w:gridSpan w:val="2"/>
            <w:tcBorders>
              <w:top w:val="single" w:sz="4" w:space="0" w:color="auto"/>
              <w:bottom w:val="single" w:sz="12" w:space="0" w:color="auto"/>
            </w:tcBorders>
            <w:shd w:val="clear" w:color="auto" w:fill="auto"/>
            <w:vAlign w:val="bottom"/>
          </w:tcPr>
          <w:p w:rsidR="00A55A0E" w:rsidRPr="00E1372C" w:rsidRDefault="00EA2073" w:rsidP="00A67A45">
            <w:pPr>
              <w:suppressAutoHyphens w:val="0"/>
              <w:spacing w:before="80" w:after="80" w:line="220" w:lineRule="exact"/>
              <w:jc w:val="right"/>
              <w:rPr>
                <w:b/>
                <w:bCs/>
                <w:sz w:val="18"/>
                <w:szCs w:val="24"/>
                <w:lang w:val="fr-FR" w:bidi="en-US"/>
              </w:rPr>
            </w:pPr>
            <w:r w:rsidRPr="00E1372C">
              <w:rPr>
                <w:b/>
                <w:bCs/>
                <w:sz w:val="18"/>
                <w:szCs w:val="24"/>
                <w:lang w:val="fr-FR" w:bidi="en-US"/>
              </w:rPr>
              <w:t>Global</w:t>
            </w:r>
          </w:p>
        </w:tc>
      </w:tr>
    </w:tbl>
    <w:p w:rsidR="00296135" w:rsidRPr="00E1372C" w:rsidRDefault="007A1757" w:rsidP="007A1757">
      <w:pPr>
        <w:pStyle w:val="SingleTxtG"/>
        <w:spacing w:before="240"/>
        <w:rPr>
          <w:b/>
          <w:lang w:val="fr-FR" w:bidi="en-US"/>
        </w:rPr>
      </w:pPr>
      <w:r w:rsidRPr="00E1372C">
        <w:rPr>
          <w:lang w:val="fr-FR" w:bidi="en-US"/>
        </w:rPr>
        <w:t>352.</w:t>
      </w:r>
      <w:r w:rsidRPr="00E1372C">
        <w:rPr>
          <w:lang w:val="fr-FR" w:bidi="en-US"/>
        </w:rPr>
        <w:tab/>
      </w:r>
      <w:r w:rsidR="00296135" w:rsidRPr="00E1372C">
        <w:rPr>
          <w:lang w:val="fr-FR" w:bidi="en-US"/>
        </w:rPr>
        <w:t>Le taux de réussite du traitement dans les nouveaux cas de tuberculose pulmonaire à frottis d</w:t>
      </w:r>
      <w:r w:rsidR="00731F09" w:rsidRPr="00E1372C">
        <w:rPr>
          <w:lang w:val="fr-FR" w:bidi="en-US"/>
        </w:rPr>
        <w:t>’</w:t>
      </w:r>
      <w:r w:rsidR="00296135" w:rsidRPr="00E1372C">
        <w:rPr>
          <w:lang w:val="fr-FR" w:bidi="en-US"/>
        </w:rPr>
        <w:t>expectoration positif – 76</w:t>
      </w:r>
      <w:r w:rsidR="007064FC" w:rsidRPr="00E1372C">
        <w:rPr>
          <w:lang w:val="fr-FR" w:bidi="en-US"/>
        </w:rPr>
        <w:t> %</w:t>
      </w:r>
      <w:r w:rsidR="00296135" w:rsidRPr="00E1372C">
        <w:rPr>
          <w:lang w:val="fr-FR" w:bidi="en-US"/>
        </w:rPr>
        <w:t> – est inférieur au taux fixé de 85</w:t>
      </w:r>
      <w:r w:rsidR="007064FC" w:rsidRPr="00E1372C">
        <w:rPr>
          <w:lang w:val="fr-FR" w:bidi="en-US"/>
        </w:rPr>
        <w:t> %</w:t>
      </w:r>
      <w:r w:rsidR="00296135" w:rsidRPr="00E1372C">
        <w:rPr>
          <w:lang w:val="fr-FR" w:bidi="en-US"/>
        </w:rPr>
        <w:t xml:space="preserve"> à l</w:t>
      </w:r>
      <w:r w:rsidR="00731F09" w:rsidRPr="00E1372C">
        <w:rPr>
          <w:lang w:val="fr-FR" w:bidi="en-US"/>
        </w:rPr>
        <w:t>’</w:t>
      </w:r>
      <w:r w:rsidR="00296135" w:rsidRPr="00E1372C">
        <w:rPr>
          <w:lang w:val="fr-FR" w:bidi="en-US"/>
        </w:rPr>
        <w:t>échelle nationale et mondiale. Il a pâti de la négligence des patients, des décès, des transferts et des échecs thérapeutiques. De plus, le Ministère s</w:t>
      </w:r>
      <w:r w:rsidR="00731F09" w:rsidRPr="00E1372C">
        <w:rPr>
          <w:lang w:val="fr-FR" w:bidi="en-US"/>
        </w:rPr>
        <w:t>’</w:t>
      </w:r>
      <w:r w:rsidR="00296135" w:rsidRPr="00E1372C">
        <w:rPr>
          <w:lang w:val="fr-FR" w:bidi="en-US"/>
        </w:rPr>
        <w:t>est heurté au problème de la tuberculose polypharmacorésistante qui représente un nouvel obstacle à la réussite du traitement (voir le tableau ci-dessous). Le pays a également signalé cinq cas de tuberculose extrêmement résistante durant la même période.</w:t>
      </w:r>
    </w:p>
    <w:p w:rsidR="00A55A0E" w:rsidRPr="00E1372C" w:rsidRDefault="00A55A0E" w:rsidP="00A67A45">
      <w:pPr>
        <w:pStyle w:val="H23G"/>
        <w:rPr>
          <w:lang w:val="fr-FR" w:bidi="en-US"/>
        </w:rPr>
      </w:pPr>
      <w:bookmarkStart w:id="15" w:name="_Toc258399492"/>
      <w:r w:rsidRPr="00E1372C">
        <w:rPr>
          <w:b w:val="0"/>
          <w:lang w:val="fr-FR" w:bidi="en-US"/>
        </w:rPr>
        <w:tab/>
      </w:r>
      <w:r w:rsidRPr="00E1372C">
        <w:rPr>
          <w:b w:val="0"/>
          <w:lang w:val="fr-FR" w:bidi="en-US"/>
        </w:rPr>
        <w:tab/>
        <w:t>Table</w:t>
      </w:r>
      <w:r w:rsidR="00296135" w:rsidRPr="00E1372C">
        <w:rPr>
          <w:b w:val="0"/>
          <w:lang w:val="fr-FR" w:bidi="en-US"/>
        </w:rPr>
        <w:t>au</w:t>
      </w:r>
      <w:r w:rsidRPr="00E1372C">
        <w:rPr>
          <w:b w:val="0"/>
          <w:lang w:val="fr-FR" w:bidi="en-US"/>
        </w:rPr>
        <w:t xml:space="preserve"> </w:t>
      </w:r>
      <w:r w:rsidR="00A67A45" w:rsidRPr="00E1372C">
        <w:rPr>
          <w:b w:val="0"/>
          <w:lang w:val="fr-FR" w:bidi="en-US"/>
        </w:rPr>
        <w:t>5</w:t>
      </w:r>
      <w:r w:rsidRPr="00E1372C">
        <w:rPr>
          <w:lang w:val="fr-FR" w:bidi="en-US"/>
        </w:rPr>
        <w:br/>
        <w:t>N</w:t>
      </w:r>
      <w:r w:rsidR="00296135" w:rsidRPr="00E1372C">
        <w:rPr>
          <w:lang w:val="fr-FR" w:bidi="en-US"/>
        </w:rPr>
        <w:t xml:space="preserve">ombre de cas de tuberculose polypharmacorésistante et de tuberculose extrêmement résistante par région, </w:t>
      </w:r>
      <w:r w:rsidRPr="00E1372C">
        <w:rPr>
          <w:lang w:val="fr-FR" w:bidi="en-US"/>
        </w:rPr>
        <w:t>2007</w:t>
      </w:r>
      <w:r w:rsidR="00E96BDA" w:rsidRPr="00E1372C">
        <w:rPr>
          <w:lang w:val="fr-FR" w:bidi="en-US"/>
        </w:rPr>
        <w:t>/</w:t>
      </w:r>
      <w:r w:rsidRPr="00E1372C">
        <w:rPr>
          <w:lang w:val="fr-FR" w:bidi="en-US"/>
        </w:rPr>
        <w:t>08</w:t>
      </w:r>
      <w:bookmarkEnd w:id="15"/>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2694"/>
        <w:gridCol w:w="2975"/>
      </w:tblGrid>
      <w:tr w:rsidR="00A55A0E" w:rsidRPr="00E1372C" w:rsidTr="00A67A45">
        <w:trPr>
          <w:trHeight w:val="240"/>
          <w:tblHeader/>
        </w:trPr>
        <w:tc>
          <w:tcPr>
            <w:tcW w:w="1701" w:type="dxa"/>
            <w:vMerge w:val="restart"/>
            <w:tcBorders>
              <w:top w:val="single" w:sz="4" w:space="0" w:color="auto"/>
              <w:bottom w:val="single" w:sz="12" w:space="0" w:color="auto"/>
            </w:tcBorders>
            <w:shd w:val="clear" w:color="auto" w:fill="auto"/>
            <w:vAlign w:val="bottom"/>
          </w:tcPr>
          <w:p w:rsidR="00A55A0E" w:rsidRPr="00E1372C" w:rsidRDefault="00296135" w:rsidP="00A55A0E">
            <w:pPr>
              <w:suppressAutoHyphens w:val="0"/>
              <w:spacing w:before="80" w:after="80" w:line="200" w:lineRule="exact"/>
              <w:rPr>
                <w:i/>
                <w:sz w:val="16"/>
                <w:szCs w:val="16"/>
                <w:lang w:val="fr-FR" w:bidi="en-US"/>
              </w:rPr>
            </w:pPr>
            <w:r w:rsidRPr="00E1372C">
              <w:rPr>
                <w:i/>
                <w:sz w:val="16"/>
                <w:szCs w:val="16"/>
                <w:lang w:val="fr-FR" w:bidi="en-US"/>
              </w:rPr>
              <w:t>Région</w:t>
            </w:r>
          </w:p>
        </w:tc>
        <w:tc>
          <w:tcPr>
            <w:tcW w:w="5669" w:type="dxa"/>
            <w:gridSpan w:val="2"/>
            <w:tcBorders>
              <w:top w:val="single" w:sz="4" w:space="0" w:color="auto"/>
              <w:bottom w:val="single" w:sz="4" w:space="0" w:color="auto"/>
            </w:tcBorders>
            <w:shd w:val="clear" w:color="auto" w:fill="auto"/>
            <w:vAlign w:val="bottom"/>
          </w:tcPr>
          <w:p w:rsidR="00A55A0E" w:rsidRPr="00E1372C" w:rsidRDefault="00923431" w:rsidP="00923431">
            <w:pPr>
              <w:suppressAutoHyphens w:val="0"/>
              <w:spacing w:before="80" w:after="80" w:line="200" w:lineRule="exact"/>
              <w:jc w:val="center"/>
              <w:rPr>
                <w:i/>
                <w:sz w:val="16"/>
                <w:szCs w:val="16"/>
                <w:lang w:val="fr-FR" w:bidi="en-US"/>
              </w:rPr>
            </w:pPr>
            <w:r w:rsidRPr="00E1372C">
              <w:rPr>
                <w:i/>
                <w:sz w:val="16"/>
                <w:szCs w:val="16"/>
                <w:lang w:val="fr-FR" w:bidi="en-US"/>
              </w:rPr>
              <w:t>Nombre de cas enregistrés</w:t>
            </w:r>
          </w:p>
        </w:tc>
      </w:tr>
      <w:tr w:rsidR="00A55A0E" w:rsidRPr="00E1372C" w:rsidTr="00A67A45">
        <w:trPr>
          <w:trHeight w:val="240"/>
          <w:tblHeader/>
        </w:trPr>
        <w:tc>
          <w:tcPr>
            <w:tcW w:w="1701" w:type="dxa"/>
            <w:vMerge/>
            <w:tcBorders>
              <w:top w:val="single" w:sz="12" w:space="0" w:color="auto"/>
              <w:bottom w:val="single" w:sz="12" w:space="0" w:color="auto"/>
            </w:tcBorders>
            <w:shd w:val="clear" w:color="auto" w:fill="auto"/>
            <w:vAlign w:val="bottom"/>
          </w:tcPr>
          <w:p w:rsidR="00A55A0E" w:rsidRPr="00E1372C" w:rsidRDefault="00A55A0E" w:rsidP="00A55A0E">
            <w:pPr>
              <w:suppressAutoHyphens w:val="0"/>
              <w:spacing w:before="80" w:after="80" w:line="200" w:lineRule="exact"/>
              <w:rPr>
                <w:i/>
                <w:sz w:val="16"/>
                <w:szCs w:val="16"/>
                <w:lang w:val="fr-FR" w:bidi="en-US"/>
              </w:rPr>
            </w:pPr>
          </w:p>
        </w:tc>
        <w:tc>
          <w:tcPr>
            <w:tcW w:w="2694" w:type="dxa"/>
            <w:tcBorders>
              <w:top w:val="single" w:sz="4" w:space="0" w:color="auto"/>
              <w:bottom w:val="single" w:sz="12" w:space="0" w:color="auto"/>
            </w:tcBorders>
            <w:shd w:val="clear" w:color="auto" w:fill="auto"/>
            <w:vAlign w:val="bottom"/>
          </w:tcPr>
          <w:p w:rsidR="00A55A0E" w:rsidRPr="00E1372C" w:rsidRDefault="00705A8B" w:rsidP="00705A8B">
            <w:pPr>
              <w:suppressAutoHyphens w:val="0"/>
              <w:spacing w:before="80" w:after="80" w:line="200" w:lineRule="exact"/>
              <w:jc w:val="right"/>
              <w:rPr>
                <w:i/>
                <w:sz w:val="16"/>
                <w:szCs w:val="16"/>
                <w:lang w:val="fr-FR" w:bidi="en-US"/>
              </w:rPr>
            </w:pPr>
            <w:r w:rsidRPr="00E1372C">
              <w:rPr>
                <w:i/>
                <w:sz w:val="16"/>
                <w:szCs w:val="16"/>
                <w:lang w:val="fr-FR" w:bidi="en-US"/>
              </w:rPr>
              <w:t>Tuberculose polypharmacorésistante</w:t>
            </w:r>
          </w:p>
        </w:tc>
        <w:tc>
          <w:tcPr>
            <w:tcW w:w="2975" w:type="dxa"/>
            <w:tcBorders>
              <w:top w:val="single" w:sz="4" w:space="0" w:color="auto"/>
              <w:bottom w:val="single" w:sz="12" w:space="0" w:color="auto"/>
            </w:tcBorders>
            <w:shd w:val="clear" w:color="auto" w:fill="auto"/>
            <w:vAlign w:val="bottom"/>
          </w:tcPr>
          <w:p w:rsidR="00A55A0E" w:rsidRPr="00E1372C" w:rsidRDefault="00705A8B" w:rsidP="00705A8B">
            <w:pPr>
              <w:suppressAutoHyphens w:val="0"/>
              <w:spacing w:before="80" w:after="80" w:line="200" w:lineRule="exact"/>
              <w:jc w:val="right"/>
              <w:rPr>
                <w:i/>
                <w:sz w:val="16"/>
                <w:szCs w:val="16"/>
                <w:lang w:val="fr-FR" w:bidi="en-US"/>
              </w:rPr>
            </w:pPr>
            <w:r w:rsidRPr="00E1372C">
              <w:rPr>
                <w:i/>
                <w:sz w:val="16"/>
                <w:szCs w:val="16"/>
                <w:lang w:val="fr-FR" w:bidi="en-US"/>
              </w:rPr>
              <w:t>Tuberculose extrêmement résistante</w:t>
            </w:r>
          </w:p>
        </w:tc>
      </w:tr>
      <w:tr w:rsidR="00A55A0E" w:rsidRPr="00E1372C" w:rsidTr="00A67A45">
        <w:trPr>
          <w:trHeight w:val="240"/>
        </w:trPr>
        <w:tc>
          <w:tcPr>
            <w:tcW w:w="1701" w:type="dxa"/>
            <w:tcBorders>
              <w:top w:val="single" w:sz="12" w:space="0" w:color="auto"/>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Caprivi</w:t>
            </w:r>
          </w:p>
        </w:tc>
        <w:tc>
          <w:tcPr>
            <w:tcW w:w="2694"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13</w:t>
            </w:r>
          </w:p>
        </w:tc>
        <w:tc>
          <w:tcPr>
            <w:tcW w:w="2975" w:type="dxa"/>
            <w:tcBorders>
              <w:top w:val="single" w:sz="12"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Erongo</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32</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Hardap</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15</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Karas</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15</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Kavango</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45</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Khomas</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31</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Kunene</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5</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Ohangwena</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15</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Omaheke</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4</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Omusati</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30</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1</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Oshana</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w:t>
            </w:r>
          </w:p>
        </w:tc>
      </w:tr>
      <w:tr w:rsidR="00A55A0E" w:rsidRPr="00E1372C" w:rsidTr="00A67A45">
        <w:trPr>
          <w:trHeight w:val="240"/>
        </w:trPr>
        <w:tc>
          <w:tcPr>
            <w:tcW w:w="1701" w:type="dxa"/>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Oshikoto</w:t>
            </w:r>
          </w:p>
        </w:tc>
        <w:tc>
          <w:tcPr>
            <w:tcW w:w="2694"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27</w:t>
            </w:r>
          </w:p>
        </w:tc>
        <w:tc>
          <w:tcPr>
            <w:tcW w:w="2975" w:type="dxa"/>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w:t>
            </w:r>
          </w:p>
        </w:tc>
      </w:tr>
      <w:tr w:rsidR="00A55A0E" w:rsidRPr="00E1372C" w:rsidTr="00A67A45">
        <w:trPr>
          <w:trHeight w:val="240"/>
        </w:trPr>
        <w:tc>
          <w:tcPr>
            <w:tcW w:w="1701" w:type="dxa"/>
            <w:tcBorders>
              <w:bottom w:val="single" w:sz="4" w:space="0" w:color="auto"/>
            </w:tcBorders>
            <w:shd w:val="clear" w:color="auto" w:fill="auto"/>
          </w:tcPr>
          <w:p w:rsidR="00A55A0E" w:rsidRPr="00E1372C" w:rsidRDefault="00A55A0E" w:rsidP="00A55A0E">
            <w:pPr>
              <w:suppressAutoHyphens w:val="0"/>
              <w:spacing w:before="40" w:after="40" w:line="220" w:lineRule="exact"/>
              <w:rPr>
                <w:sz w:val="18"/>
                <w:szCs w:val="24"/>
                <w:lang w:val="fr-FR" w:bidi="en-US"/>
              </w:rPr>
            </w:pPr>
            <w:r w:rsidRPr="00E1372C">
              <w:rPr>
                <w:sz w:val="18"/>
                <w:szCs w:val="24"/>
                <w:lang w:val="fr-FR" w:bidi="en-US"/>
              </w:rPr>
              <w:t>Otjozondjupa</w:t>
            </w:r>
          </w:p>
        </w:tc>
        <w:tc>
          <w:tcPr>
            <w:tcW w:w="2694"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22</w:t>
            </w:r>
          </w:p>
        </w:tc>
        <w:tc>
          <w:tcPr>
            <w:tcW w:w="2975" w:type="dxa"/>
            <w:tcBorders>
              <w:bottom w:val="single" w:sz="4" w:space="0" w:color="auto"/>
            </w:tcBorders>
            <w:shd w:val="clear" w:color="auto" w:fill="auto"/>
            <w:vAlign w:val="bottom"/>
          </w:tcPr>
          <w:p w:rsidR="00A55A0E" w:rsidRPr="00E1372C" w:rsidRDefault="00A55A0E" w:rsidP="00A55A0E">
            <w:pPr>
              <w:suppressAutoHyphens w:val="0"/>
              <w:spacing w:before="40" w:after="40" w:line="220" w:lineRule="exact"/>
              <w:jc w:val="right"/>
              <w:rPr>
                <w:sz w:val="18"/>
                <w:szCs w:val="24"/>
                <w:lang w:val="fr-FR" w:bidi="en-US"/>
              </w:rPr>
            </w:pPr>
            <w:r w:rsidRPr="00E1372C">
              <w:rPr>
                <w:sz w:val="18"/>
                <w:szCs w:val="24"/>
                <w:lang w:val="fr-FR" w:bidi="en-US"/>
              </w:rPr>
              <w:t>0</w:t>
            </w:r>
          </w:p>
        </w:tc>
      </w:tr>
      <w:tr w:rsidR="00A55A0E" w:rsidRPr="00E1372C" w:rsidTr="00A67A45">
        <w:trPr>
          <w:trHeight w:val="240"/>
        </w:trPr>
        <w:tc>
          <w:tcPr>
            <w:tcW w:w="1701" w:type="dxa"/>
            <w:tcBorders>
              <w:top w:val="single" w:sz="4" w:space="0" w:color="auto"/>
              <w:bottom w:val="single" w:sz="12" w:space="0" w:color="auto"/>
            </w:tcBorders>
            <w:shd w:val="clear" w:color="auto" w:fill="auto"/>
          </w:tcPr>
          <w:p w:rsidR="00A55A0E" w:rsidRPr="00E1372C" w:rsidRDefault="00A55A0E" w:rsidP="00A67A45">
            <w:pPr>
              <w:suppressAutoHyphens w:val="0"/>
              <w:spacing w:before="80" w:after="80" w:line="220" w:lineRule="exact"/>
              <w:ind w:left="283"/>
              <w:rPr>
                <w:b/>
                <w:bCs/>
                <w:sz w:val="18"/>
                <w:szCs w:val="24"/>
                <w:lang w:val="fr-FR" w:bidi="en-US"/>
              </w:rPr>
            </w:pPr>
            <w:r w:rsidRPr="00E1372C">
              <w:rPr>
                <w:b/>
                <w:bCs/>
                <w:sz w:val="18"/>
                <w:szCs w:val="24"/>
                <w:lang w:val="fr-FR" w:bidi="en-US"/>
              </w:rPr>
              <w:t>Namibi</w:t>
            </w:r>
            <w:r w:rsidR="00923431" w:rsidRPr="00E1372C">
              <w:rPr>
                <w:b/>
                <w:bCs/>
                <w:sz w:val="18"/>
                <w:szCs w:val="24"/>
                <w:lang w:val="fr-FR" w:bidi="en-US"/>
              </w:rPr>
              <w:t>e</w:t>
            </w:r>
          </w:p>
        </w:tc>
        <w:tc>
          <w:tcPr>
            <w:tcW w:w="2694" w:type="dxa"/>
            <w:tcBorders>
              <w:top w:val="single" w:sz="4" w:space="0" w:color="auto"/>
              <w:bottom w:val="single" w:sz="12" w:space="0" w:color="auto"/>
            </w:tcBorders>
            <w:shd w:val="clear" w:color="auto" w:fill="auto"/>
            <w:vAlign w:val="bottom"/>
          </w:tcPr>
          <w:p w:rsidR="00A55A0E" w:rsidRPr="00E1372C" w:rsidRDefault="00A55A0E" w:rsidP="00A67A45">
            <w:pPr>
              <w:suppressAutoHyphens w:val="0"/>
              <w:spacing w:before="80" w:after="80" w:line="220" w:lineRule="exact"/>
              <w:jc w:val="right"/>
              <w:rPr>
                <w:b/>
                <w:bCs/>
                <w:sz w:val="18"/>
                <w:szCs w:val="24"/>
                <w:lang w:val="fr-FR" w:bidi="en-US"/>
              </w:rPr>
            </w:pPr>
            <w:r w:rsidRPr="00E1372C">
              <w:rPr>
                <w:b/>
                <w:bCs/>
                <w:sz w:val="18"/>
                <w:szCs w:val="24"/>
                <w:lang w:val="fr-FR" w:bidi="en-US"/>
              </w:rPr>
              <w:t>254</w:t>
            </w:r>
          </w:p>
        </w:tc>
        <w:tc>
          <w:tcPr>
            <w:tcW w:w="2975" w:type="dxa"/>
            <w:tcBorders>
              <w:top w:val="single" w:sz="4" w:space="0" w:color="auto"/>
              <w:bottom w:val="single" w:sz="12" w:space="0" w:color="auto"/>
            </w:tcBorders>
            <w:shd w:val="clear" w:color="auto" w:fill="auto"/>
            <w:vAlign w:val="bottom"/>
          </w:tcPr>
          <w:p w:rsidR="00A55A0E" w:rsidRPr="00E1372C" w:rsidRDefault="00A55A0E" w:rsidP="00A67A45">
            <w:pPr>
              <w:suppressAutoHyphens w:val="0"/>
              <w:spacing w:before="80" w:after="80" w:line="220" w:lineRule="exact"/>
              <w:jc w:val="right"/>
              <w:rPr>
                <w:b/>
                <w:bCs/>
                <w:sz w:val="18"/>
                <w:szCs w:val="24"/>
                <w:lang w:val="fr-FR" w:bidi="en-US"/>
              </w:rPr>
            </w:pPr>
            <w:r w:rsidRPr="00E1372C">
              <w:rPr>
                <w:b/>
                <w:bCs/>
                <w:sz w:val="18"/>
                <w:szCs w:val="24"/>
                <w:lang w:val="fr-FR" w:bidi="en-US"/>
              </w:rPr>
              <w:t>6</w:t>
            </w:r>
          </w:p>
        </w:tc>
      </w:tr>
    </w:tbl>
    <w:p w:rsidR="00923431" w:rsidRPr="00E1372C" w:rsidRDefault="007A1757" w:rsidP="007A1757">
      <w:pPr>
        <w:pStyle w:val="SingleTxtG"/>
        <w:spacing w:before="240"/>
        <w:rPr>
          <w:lang w:val="fr-FR" w:bidi="en-US"/>
        </w:rPr>
      </w:pPr>
      <w:r w:rsidRPr="00E1372C">
        <w:rPr>
          <w:lang w:val="fr-FR" w:bidi="en-US"/>
        </w:rPr>
        <w:t>353.</w:t>
      </w:r>
      <w:r w:rsidRPr="00E1372C">
        <w:rPr>
          <w:lang w:val="fr-FR" w:bidi="en-US"/>
        </w:rPr>
        <w:tab/>
      </w:r>
      <w:r w:rsidR="00923431" w:rsidRPr="00E1372C">
        <w:rPr>
          <w:lang w:val="fr-FR" w:bidi="en-US"/>
        </w:rPr>
        <w:t xml:space="preserve">Sensibilisation et mobilisation sociale, lancement de la méthode Combi </w:t>
      </w:r>
      <w:r w:rsidR="00E96BDA" w:rsidRPr="00E1372C">
        <w:rPr>
          <w:lang w:val="fr-FR" w:bidi="en-US"/>
        </w:rPr>
        <w:t xml:space="preserve">(messages encourageant un changement de comportement) </w:t>
      </w:r>
      <w:r w:rsidR="00923431" w:rsidRPr="00E1372C">
        <w:rPr>
          <w:lang w:val="fr-FR" w:bidi="en-US"/>
        </w:rPr>
        <w:t>et extension du réseau de laboratoires qui effectuent le diagnostic et assurent un approvisionnement ininterrompu en médicaments antituberculeux sont les stratégies mises en œuvre par le programme de lutte contre la tuberculose.</w:t>
      </w:r>
    </w:p>
    <w:p w:rsidR="00A55A0E" w:rsidRPr="00E1372C" w:rsidRDefault="00A67A45" w:rsidP="00A67A45">
      <w:pPr>
        <w:pStyle w:val="H23G"/>
        <w:rPr>
          <w:lang w:val="fr-FR" w:bidi="en-US"/>
        </w:rPr>
      </w:pPr>
      <w:r w:rsidRPr="00E1372C">
        <w:rPr>
          <w:lang w:val="fr-FR" w:bidi="en-US"/>
        </w:rPr>
        <w:tab/>
        <w:t>f)</w:t>
      </w:r>
      <w:r w:rsidR="00A55A0E" w:rsidRPr="00E1372C">
        <w:rPr>
          <w:lang w:val="fr-FR" w:bidi="en-US"/>
        </w:rPr>
        <w:tab/>
      </w:r>
      <w:r w:rsidR="00923431" w:rsidRPr="00E1372C">
        <w:rPr>
          <w:lang w:val="fr-FR" w:bidi="en-US"/>
        </w:rPr>
        <w:t>Soins infirmiers</w:t>
      </w:r>
    </w:p>
    <w:p w:rsidR="00923431" w:rsidRPr="00E1372C" w:rsidRDefault="007A1757" w:rsidP="007A1757">
      <w:pPr>
        <w:pStyle w:val="SingleTxtG"/>
        <w:rPr>
          <w:lang w:val="fr-FR" w:bidi="en-US"/>
        </w:rPr>
      </w:pPr>
      <w:r w:rsidRPr="00E1372C">
        <w:rPr>
          <w:lang w:val="fr-FR" w:bidi="en-US"/>
        </w:rPr>
        <w:t>354.</w:t>
      </w:r>
      <w:r w:rsidRPr="00E1372C">
        <w:rPr>
          <w:lang w:val="fr-FR" w:bidi="en-US"/>
        </w:rPr>
        <w:tab/>
      </w:r>
      <w:r w:rsidR="00923431" w:rsidRPr="00E1372C">
        <w:rPr>
          <w:lang w:val="fr-FR" w:bidi="en-US"/>
        </w:rPr>
        <w:t xml:space="preserve">Les soins infirmiers appellent un suivi particulier, qui doit porter sur la formation professionnelle continue de tout le personnel infirmier </w:t>
      </w:r>
      <w:r w:rsidR="00EA2073" w:rsidRPr="00E1372C">
        <w:rPr>
          <w:lang w:val="fr-FR" w:bidi="en-US"/>
        </w:rPr>
        <w:t>en vue</w:t>
      </w:r>
      <w:r w:rsidR="00923431" w:rsidRPr="00E1372C">
        <w:rPr>
          <w:lang w:val="fr-FR" w:bidi="en-US"/>
        </w:rPr>
        <w:t xml:space="preserve"> de régler le problème des </w:t>
      </w:r>
      <w:r w:rsidR="00EA2073" w:rsidRPr="00E1372C">
        <w:rPr>
          <w:lang w:val="fr-FR" w:bidi="en-US"/>
        </w:rPr>
        <w:t>opposition</w:t>
      </w:r>
      <w:r w:rsidR="00923431" w:rsidRPr="00E1372C">
        <w:rPr>
          <w:lang w:val="fr-FR" w:bidi="en-US"/>
        </w:rPr>
        <w:t xml:space="preserve">s </w:t>
      </w:r>
      <w:r w:rsidR="00EA2073" w:rsidRPr="00E1372C">
        <w:rPr>
          <w:lang w:val="fr-FR" w:bidi="en-US"/>
        </w:rPr>
        <w:t xml:space="preserve">manifestées </w:t>
      </w:r>
      <w:r w:rsidR="00923431" w:rsidRPr="00E1372C">
        <w:rPr>
          <w:lang w:val="fr-FR" w:bidi="en-US"/>
        </w:rPr>
        <w:t xml:space="preserve">par ce personnel, </w:t>
      </w:r>
      <w:r w:rsidR="00EA2073" w:rsidRPr="00E1372C">
        <w:rPr>
          <w:lang w:val="fr-FR" w:bidi="en-US"/>
        </w:rPr>
        <w:t>notam</w:t>
      </w:r>
      <w:r w:rsidR="00923431" w:rsidRPr="00E1372C">
        <w:rPr>
          <w:lang w:val="fr-FR" w:bidi="en-US"/>
        </w:rPr>
        <w:t>ment en matière de normes de soins.</w:t>
      </w:r>
    </w:p>
    <w:p w:rsidR="00A55A0E" w:rsidRPr="00E1372C" w:rsidRDefault="00A67A45" w:rsidP="00A67A45">
      <w:pPr>
        <w:pStyle w:val="H23G"/>
        <w:rPr>
          <w:lang w:val="fr-FR" w:bidi="en-US"/>
        </w:rPr>
      </w:pPr>
      <w:r w:rsidRPr="00E1372C">
        <w:rPr>
          <w:lang w:val="fr-FR" w:bidi="en-US"/>
        </w:rPr>
        <w:tab/>
        <w:t>g)</w:t>
      </w:r>
      <w:r w:rsidR="00A55A0E" w:rsidRPr="00E1372C">
        <w:rPr>
          <w:lang w:val="fr-FR" w:bidi="en-US"/>
        </w:rPr>
        <w:tab/>
      </w:r>
      <w:r w:rsidR="00923431" w:rsidRPr="00E1372C">
        <w:rPr>
          <w:lang w:val="fr-FR" w:bidi="en-US"/>
        </w:rPr>
        <w:t>Formulation des orientations</w:t>
      </w:r>
    </w:p>
    <w:p w:rsidR="00A55A0E" w:rsidRPr="00E1372C" w:rsidRDefault="007A1757" w:rsidP="007A1757">
      <w:pPr>
        <w:pStyle w:val="SingleTxtG"/>
        <w:rPr>
          <w:lang w:val="fr-FR" w:bidi="en-US"/>
        </w:rPr>
      </w:pPr>
      <w:r w:rsidRPr="00E1372C">
        <w:rPr>
          <w:lang w:val="fr-FR" w:bidi="en-US"/>
        </w:rPr>
        <w:t>355.</w:t>
      </w:r>
      <w:r w:rsidRPr="00E1372C">
        <w:rPr>
          <w:lang w:val="fr-FR" w:bidi="en-US"/>
        </w:rPr>
        <w:tab/>
      </w:r>
      <w:r w:rsidR="00923431" w:rsidRPr="00E1372C">
        <w:rPr>
          <w:lang w:val="fr-FR" w:bidi="en-US"/>
        </w:rPr>
        <w:t>Le Ministère vise à mettre au point des lois, des directives régissant les interventions au titre du programme, plus particulièrement concernant le VIH/</w:t>
      </w:r>
      <w:r w:rsidR="00B277C4" w:rsidRPr="00E1372C">
        <w:rPr>
          <w:lang w:val="fr-FR" w:bidi="en-US"/>
        </w:rPr>
        <w:t>sida</w:t>
      </w:r>
      <w:r w:rsidR="00923431" w:rsidRPr="00E1372C">
        <w:rPr>
          <w:lang w:val="fr-FR" w:bidi="en-US"/>
        </w:rPr>
        <w:t>, le paludisme, la tuberculose et la qualité de l</w:t>
      </w:r>
      <w:r w:rsidR="00731F09" w:rsidRPr="00E1372C">
        <w:rPr>
          <w:lang w:val="fr-FR" w:bidi="en-US"/>
        </w:rPr>
        <w:t>’</w:t>
      </w:r>
      <w:r w:rsidR="00923431" w:rsidRPr="00E1372C">
        <w:rPr>
          <w:lang w:val="fr-FR" w:bidi="en-US"/>
        </w:rPr>
        <w:t>environnement.</w:t>
      </w:r>
    </w:p>
    <w:p w:rsidR="00A55A0E" w:rsidRPr="00E1372C" w:rsidRDefault="00A67A45" w:rsidP="00A67A45">
      <w:pPr>
        <w:pStyle w:val="H23G"/>
        <w:rPr>
          <w:lang w:val="fr-FR" w:bidi="en-US"/>
        </w:rPr>
      </w:pPr>
      <w:r w:rsidRPr="00E1372C">
        <w:rPr>
          <w:lang w:val="fr-FR" w:bidi="en-US"/>
        </w:rPr>
        <w:tab/>
        <w:t>h)</w:t>
      </w:r>
      <w:r w:rsidR="00A55A0E" w:rsidRPr="00E1372C">
        <w:rPr>
          <w:lang w:val="fr-FR" w:bidi="en-US"/>
        </w:rPr>
        <w:tab/>
      </w:r>
      <w:r w:rsidR="00923431" w:rsidRPr="00E1372C">
        <w:rPr>
          <w:lang w:val="fr-FR" w:bidi="en-US"/>
        </w:rPr>
        <w:t>Enregistrement des naissances</w:t>
      </w:r>
    </w:p>
    <w:p w:rsidR="00A55A0E" w:rsidRPr="00E1372C" w:rsidRDefault="007A1757" w:rsidP="007A1757">
      <w:pPr>
        <w:pStyle w:val="SingleTxtG"/>
        <w:rPr>
          <w:lang w:val="fr-FR" w:bidi="en-US"/>
        </w:rPr>
      </w:pPr>
      <w:r w:rsidRPr="00E1372C">
        <w:rPr>
          <w:lang w:val="fr-FR" w:bidi="en-US"/>
        </w:rPr>
        <w:t>356.</w:t>
      </w:r>
      <w:r w:rsidRPr="00E1372C">
        <w:rPr>
          <w:lang w:val="fr-FR" w:bidi="en-US"/>
        </w:rPr>
        <w:tab/>
      </w:r>
      <w:r w:rsidR="00923431" w:rsidRPr="00E1372C">
        <w:rPr>
          <w:lang w:val="fr-FR"/>
        </w:rPr>
        <w:t>La Namibie est un des premiers pays africains à avoir ratifié la Convention relative aux droits de l</w:t>
      </w:r>
      <w:r w:rsidR="00731F09" w:rsidRPr="00E1372C">
        <w:rPr>
          <w:lang w:val="fr-FR"/>
        </w:rPr>
        <w:t>’</w:t>
      </w:r>
      <w:r w:rsidR="00923431" w:rsidRPr="00E1372C">
        <w:rPr>
          <w:lang w:val="fr-FR"/>
        </w:rPr>
        <w:t>enfant, qui dispose que tous les enfants ont le droit d</w:t>
      </w:r>
      <w:r w:rsidR="00731F09" w:rsidRPr="00E1372C">
        <w:rPr>
          <w:lang w:val="fr-FR"/>
        </w:rPr>
        <w:t>’</w:t>
      </w:r>
      <w:r w:rsidR="00923431" w:rsidRPr="00E1372C">
        <w:rPr>
          <w:lang w:val="fr-FR"/>
        </w:rPr>
        <w:t>être enregistrés aussitôt leur naissance. Le Ministère des affaires intérieures et de l</w:t>
      </w:r>
      <w:r w:rsidR="00731F09" w:rsidRPr="00E1372C">
        <w:rPr>
          <w:lang w:val="fr-FR"/>
        </w:rPr>
        <w:t>’</w:t>
      </w:r>
      <w:r w:rsidR="00923431" w:rsidRPr="00E1372C">
        <w:rPr>
          <w:lang w:val="fr-FR"/>
        </w:rPr>
        <w:t>immigration</w:t>
      </w:r>
      <w:r w:rsidR="00705A8B" w:rsidRPr="00E1372C">
        <w:rPr>
          <w:lang w:val="fr-FR"/>
        </w:rPr>
        <w:t>, avec le concours du Ministère de la justice,</w:t>
      </w:r>
      <w:r w:rsidR="00923431" w:rsidRPr="00E1372C">
        <w:rPr>
          <w:lang w:val="fr-FR"/>
        </w:rPr>
        <w:t xml:space="preserve"> est responsable de l</w:t>
      </w:r>
      <w:r w:rsidR="00731F09" w:rsidRPr="00E1372C">
        <w:rPr>
          <w:lang w:val="fr-FR"/>
        </w:rPr>
        <w:t>’</w:t>
      </w:r>
      <w:r w:rsidR="00923431" w:rsidRPr="00E1372C">
        <w:rPr>
          <w:lang w:val="fr-FR"/>
        </w:rPr>
        <w:t xml:space="preserve">enregistrement normal des naissances et de la délivrance des </w:t>
      </w:r>
      <w:r w:rsidR="00512095" w:rsidRPr="00E1372C">
        <w:rPr>
          <w:lang w:val="fr-FR"/>
        </w:rPr>
        <w:t>acte</w:t>
      </w:r>
      <w:r w:rsidR="00923431" w:rsidRPr="00E1372C">
        <w:rPr>
          <w:lang w:val="fr-FR"/>
        </w:rPr>
        <w:t>s de naissance des nouveau-nés et des autres citoyens. Dans un avenir proche, il envisage, en collaboration avec le Ministère de la santé et des services sociaux, de créer des services d</w:t>
      </w:r>
      <w:r w:rsidR="00731F09" w:rsidRPr="00E1372C">
        <w:rPr>
          <w:lang w:val="fr-FR"/>
        </w:rPr>
        <w:t>’</w:t>
      </w:r>
      <w:r w:rsidR="00923431" w:rsidRPr="00E1372C">
        <w:rPr>
          <w:lang w:val="fr-FR"/>
        </w:rPr>
        <w:t xml:space="preserve">enregistrement des naissances partout dans le pays, en particulier dans les hôpitaux. Depuis fin septembre 2008, tous les bébés nés à Windhoek, </w:t>
      </w:r>
      <w:r w:rsidR="00F45D05" w:rsidRPr="00E1372C">
        <w:rPr>
          <w:lang w:val="fr-FR"/>
        </w:rPr>
        <w:t>à l</w:t>
      </w:r>
      <w:r w:rsidR="00731F09" w:rsidRPr="00E1372C">
        <w:rPr>
          <w:lang w:val="fr-FR"/>
        </w:rPr>
        <w:t>’</w:t>
      </w:r>
      <w:r w:rsidR="00F45D05" w:rsidRPr="00E1372C">
        <w:rPr>
          <w:lang w:val="fr-FR"/>
        </w:rPr>
        <w:t>hôpital</w:t>
      </w:r>
      <w:r w:rsidR="00923431" w:rsidRPr="00E1372C">
        <w:rPr>
          <w:lang w:val="fr-FR" w:bidi="en-US"/>
        </w:rPr>
        <w:t xml:space="preserve"> </w:t>
      </w:r>
      <w:r w:rsidR="00270BD1" w:rsidRPr="00E1372C">
        <w:rPr>
          <w:lang w:val="fr-FR" w:bidi="en-US"/>
        </w:rPr>
        <w:t xml:space="preserve">de </w:t>
      </w:r>
      <w:r w:rsidR="00923431" w:rsidRPr="00E1372C">
        <w:rPr>
          <w:lang w:val="fr-FR" w:bidi="en-US"/>
        </w:rPr>
        <w:t>Katutura,</w:t>
      </w:r>
      <w:r w:rsidR="00923431" w:rsidRPr="00E1372C">
        <w:rPr>
          <w:lang w:val="fr-FR"/>
        </w:rPr>
        <w:t xml:space="preserve"> sont enregistrés immédiatement et un </w:t>
      </w:r>
      <w:r w:rsidR="00512095" w:rsidRPr="00E1372C">
        <w:rPr>
          <w:lang w:val="fr-FR"/>
        </w:rPr>
        <w:t>acte</w:t>
      </w:r>
      <w:r w:rsidR="00923431" w:rsidRPr="00E1372C">
        <w:rPr>
          <w:lang w:val="fr-FR"/>
        </w:rPr>
        <w:t xml:space="preserve"> de naissance leur est délivré.</w:t>
      </w:r>
      <w:r w:rsidR="00A55A0E" w:rsidRPr="00E1372C">
        <w:rPr>
          <w:lang w:val="fr-FR" w:bidi="en-US"/>
        </w:rPr>
        <w:t xml:space="preserve"> </w:t>
      </w:r>
    </w:p>
    <w:p w:rsidR="00A55A0E" w:rsidRPr="00E1372C" w:rsidRDefault="00A67A45" w:rsidP="00A67A45">
      <w:pPr>
        <w:pStyle w:val="H23G"/>
        <w:rPr>
          <w:lang w:val="fr-FR" w:bidi="en-US"/>
        </w:rPr>
      </w:pPr>
      <w:r w:rsidRPr="00E1372C">
        <w:rPr>
          <w:lang w:val="fr-FR" w:bidi="en-US"/>
        </w:rPr>
        <w:tab/>
        <w:t>i)</w:t>
      </w:r>
      <w:r w:rsidR="00A55A0E" w:rsidRPr="00E1372C">
        <w:rPr>
          <w:lang w:val="fr-FR" w:bidi="en-US"/>
        </w:rPr>
        <w:tab/>
      </w:r>
      <w:r w:rsidR="00923431" w:rsidRPr="00E1372C">
        <w:rPr>
          <w:lang w:val="fr-FR" w:bidi="en-US"/>
        </w:rPr>
        <w:t>Renforcement des capacités</w:t>
      </w:r>
    </w:p>
    <w:p w:rsidR="00923431" w:rsidRPr="00E1372C" w:rsidRDefault="007A1757" w:rsidP="007A1757">
      <w:pPr>
        <w:pStyle w:val="SingleTxtG"/>
        <w:rPr>
          <w:lang w:val="fr-FR" w:bidi="en-US"/>
        </w:rPr>
      </w:pPr>
      <w:r w:rsidRPr="00E1372C">
        <w:rPr>
          <w:lang w:val="fr-FR" w:bidi="en-US"/>
        </w:rPr>
        <w:t>357.</w:t>
      </w:r>
      <w:r w:rsidRPr="00E1372C">
        <w:rPr>
          <w:lang w:val="fr-FR" w:bidi="en-US"/>
        </w:rPr>
        <w:tab/>
      </w:r>
      <w:r w:rsidR="00923431" w:rsidRPr="00E1372C">
        <w:rPr>
          <w:lang w:val="fr-FR" w:bidi="en-US"/>
        </w:rPr>
        <w:t>Le Ministère de la santé et des services sociaux va accroître les interventions en matière de renforcement des capacités. Il s</w:t>
      </w:r>
      <w:r w:rsidR="00731F09" w:rsidRPr="00E1372C">
        <w:rPr>
          <w:lang w:val="fr-FR" w:bidi="en-US"/>
        </w:rPr>
        <w:t>’</w:t>
      </w:r>
      <w:r w:rsidR="00923431" w:rsidRPr="00E1372C">
        <w:rPr>
          <w:lang w:val="fr-FR" w:bidi="en-US"/>
        </w:rPr>
        <w:t>agira d</w:t>
      </w:r>
      <w:r w:rsidR="00731F09" w:rsidRPr="00E1372C">
        <w:rPr>
          <w:lang w:val="fr-FR" w:bidi="en-US"/>
        </w:rPr>
        <w:t>’</w:t>
      </w:r>
      <w:r w:rsidR="00923431" w:rsidRPr="00E1372C">
        <w:rPr>
          <w:lang w:val="fr-FR" w:bidi="en-US"/>
        </w:rPr>
        <w:t xml:space="preserve">assurer la formation </w:t>
      </w:r>
      <w:r w:rsidR="00F45D05" w:rsidRPr="00E1372C">
        <w:rPr>
          <w:lang w:val="fr-FR" w:bidi="en-US"/>
        </w:rPr>
        <w:t>d</w:t>
      </w:r>
      <w:r w:rsidR="00923431" w:rsidRPr="00E1372C">
        <w:rPr>
          <w:lang w:val="fr-FR" w:bidi="en-US"/>
        </w:rPr>
        <w:t>e l</w:t>
      </w:r>
      <w:r w:rsidR="00731F09" w:rsidRPr="00E1372C">
        <w:rPr>
          <w:lang w:val="fr-FR" w:bidi="en-US"/>
        </w:rPr>
        <w:t>’</w:t>
      </w:r>
      <w:r w:rsidR="00923431" w:rsidRPr="00E1372C">
        <w:rPr>
          <w:lang w:val="fr-FR" w:bidi="en-US"/>
        </w:rPr>
        <w:t>effectif requis de personnel, notamment le personnel technique indispensable – médecins, dentistes et pharmaciens, ainsi qu</w:t>
      </w:r>
      <w:r w:rsidR="00F45D05" w:rsidRPr="00E1372C">
        <w:rPr>
          <w:lang w:val="fr-FR" w:bidi="en-US"/>
        </w:rPr>
        <w:t>e</w:t>
      </w:r>
      <w:r w:rsidR="00923431" w:rsidRPr="00E1372C">
        <w:rPr>
          <w:lang w:val="fr-FR" w:bidi="en-US"/>
        </w:rPr>
        <w:t xml:space="preserve"> la technologie médicale</w:t>
      </w:r>
      <w:r w:rsidR="00B767A1" w:rsidRPr="00E1372C">
        <w:rPr>
          <w:lang w:val="fr-FR" w:bidi="en-US"/>
        </w:rPr>
        <w:t>.</w:t>
      </w:r>
    </w:p>
    <w:p w:rsidR="00A55A0E" w:rsidRPr="00E1372C" w:rsidRDefault="00A55A0E" w:rsidP="00A55A0E">
      <w:pPr>
        <w:pStyle w:val="H23G"/>
        <w:rPr>
          <w:lang w:val="fr-FR" w:bidi="en-US"/>
        </w:rPr>
      </w:pPr>
      <w:r w:rsidRPr="00E1372C">
        <w:rPr>
          <w:lang w:val="fr-FR" w:bidi="en-US"/>
        </w:rPr>
        <w:tab/>
        <w:t>j.</w:t>
      </w:r>
      <w:r w:rsidRPr="00E1372C">
        <w:rPr>
          <w:lang w:val="fr-FR" w:bidi="en-US"/>
        </w:rPr>
        <w:tab/>
      </w:r>
      <w:r w:rsidR="00B767A1" w:rsidRPr="00E1372C">
        <w:rPr>
          <w:lang w:val="fr-FR" w:bidi="en-US"/>
        </w:rPr>
        <w:t>Aménagement et construction de structures</w:t>
      </w:r>
    </w:p>
    <w:p w:rsidR="00A55A0E" w:rsidRPr="00E1372C" w:rsidRDefault="007A1757" w:rsidP="007A1757">
      <w:pPr>
        <w:pStyle w:val="SingleTxtG"/>
        <w:rPr>
          <w:lang w:val="fr-FR" w:bidi="en-US"/>
        </w:rPr>
      </w:pPr>
      <w:r w:rsidRPr="00E1372C">
        <w:rPr>
          <w:lang w:val="fr-FR" w:bidi="en-US"/>
        </w:rPr>
        <w:t>358.</w:t>
      </w:r>
      <w:r w:rsidRPr="00E1372C">
        <w:rPr>
          <w:lang w:val="fr-FR" w:bidi="en-US"/>
        </w:rPr>
        <w:tab/>
      </w:r>
      <w:r w:rsidR="00B767A1" w:rsidRPr="00E1372C">
        <w:rPr>
          <w:lang w:val="fr-FR" w:bidi="en-US"/>
        </w:rPr>
        <w:t>L</w:t>
      </w:r>
      <w:r w:rsidR="00731F09" w:rsidRPr="00E1372C">
        <w:rPr>
          <w:lang w:val="fr-FR" w:bidi="en-US"/>
        </w:rPr>
        <w:t>’</w:t>
      </w:r>
      <w:r w:rsidR="00B767A1" w:rsidRPr="00E1372C">
        <w:rPr>
          <w:lang w:val="fr-FR" w:bidi="en-US"/>
        </w:rPr>
        <w:t>attention portera sur la construction et la rénovation ou l</w:t>
      </w:r>
      <w:r w:rsidR="00731F09" w:rsidRPr="00E1372C">
        <w:rPr>
          <w:lang w:val="fr-FR" w:bidi="en-US"/>
        </w:rPr>
        <w:t>’</w:t>
      </w:r>
      <w:r w:rsidR="00B767A1" w:rsidRPr="00E1372C">
        <w:rPr>
          <w:lang w:val="fr-FR" w:bidi="en-US"/>
        </w:rPr>
        <w:t>amélioration d</w:t>
      </w:r>
      <w:r w:rsidR="00731F09" w:rsidRPr="00E1372C">
        <w:rPr>
          <w:lang w:val="fr-FR" w:bidi="en-US"/>
        </w:rPr>
        <w:t>’</w:t>
      </w:r>
      <w:r w:rsidR="00B767A1" w:rsidRPr="00E1372C">
        <w:rPr>
          <w:lang w:val="fr-FR" w:bidi="en-US"/>
        </w:rPr>
        <w:t>installations dans des secteurs dé</w:t>
      </w:r>
      <w:r w:rsidR="00F45D05" w:rsidRPr="00E1372C">
        <w:rPr>
          <w:lang w:val="fr-FR" w:bidi="en-US"/>
        </w:rPr>
        <w:t>muni</w:t>
      </w:r>
      <w:r w:rsidR="00B767A1" w:rsidRPr="00E1372C">
        <w:rPr>
          <w:lang w:val="fr-FR" w:bidi="en-US"/>
        </w:rPr>
        <w:t>s, comme il ressort de l</w:t>
      </w:r>
      <w:r w:rsidR="00731F09" w:rsidRPr="00E1372C">
        <w:rPr>
          <w:lang w:val="fr-FR" w:bidi="en-US"/>
        </w:rPr>
        <w:t>’</w:t>
      </w:r>
      <w:r w:rsidR="00B767A1" w:rsidRPr="00E1372C">
        <w:rPr>
          <w:lang w:val="fr-FR" w:bidi="en-US"/>
        </w:rPr>
        <w:t>analyse continue effectuée au titre des activités d</w:t>
      </w:r>
      <w:r w:rsidR="00731F09" w:rsidRPr="00E1372C">
        <w:rPr>
          <w:lang w:val="fr-FR" w:bidi="en-US"/>
        </w:rPr>
        <w:t>’</w:t>
      </w:r>
      <w:r w:rsidR="00B767A1" w:rsidRPr="00E1372C">
        <w:rPr>
          <w:lang w:val="fr-FR" w:bidi="en-US"/>
        </w:rPr>
        <w:t>aménagement de structure</w:t>
      </w:r>
      <w:r w:rsidR="00F45D05" w:rsidRPr="00E1372C">
        <w:rPr>
          <w:lang w:val="fr-FR" w:bidi="en-US"/>
        </w:rPr>
        <w:t>s</w:t>
      </w:r>
      <w:r w:rsidR="00A55A0E" w:rsidRPr="00E1372C">
        <w:rPr>
          <w:lang w:val="fr-FR" w:bidi="en-US"/>
        </w:rPr>
        <w:t>.</w:t>
      </w:r>
    </w:p>
    <w:p w:rsidR="00A55A0E" w:rsidRPr="00E1372C" w:rsidRDefault="00A67A45" w:rsidP="00A67A45">
      <w:pPr>
        <w:pStyle w:val="H1G"/>
        <w:rPr>
          <w:lang w:val="fr-FR" w:bidi="en-US"/>
        </w:rPr>
      </w:pPr>
      <w:r w:rsidRPr="00E1372C">
        <w:rPr>
          <w:lang w:val="fr-FR" w:bidi="en-US"/>
        </w:rPr>
        <w:tab/>
      </w:r>
      <w:r w:rsidRPr="00E1372C">
        <w:rPr>
          <w:lang w:val="fr-FR" w:bidi="en-US"/>
        </w:rPr>
        <w:tab/>
      </w:r>
      <w:r w:rsidR="00A55A0E" w:rsidRPr="00E1372C">
        <w:rPr>
          <w:lang w:val="fr-FR" w:bidi="en-US"/>
        </w:rPr>
        <w:t>Article</w:t>
      </w:r>
      <w:r w:rsidR="00B767A1" w:rsidRPr="00E1372C">
        <w:rPr>
          <w:lang w:val="fr-FR" w:bidi="en-US"/>
        </w:rPr>
        <w:t> </w:t>
      </w:r>
      <w:r w:rsidRPr="00E1372C">
        <w:rPr>
          <w:lang w:val="fr-FR" w:bidi="en-US"/>
        </w:rPr>
        <w:t>13</w:t>
      </w:r>
      <w:r w:rsidRPr="00E1372C">
        <w:rPr>
          <w:lang w:val="fr-FR" w:bidi="en-US"/>
        </w:rPr>
        <w:br/>
        <w:t>Éducation</w:t>
      </w:r>
    </w:p>
    <w:p w:rsidR="00A55A0E" w:rsidRPr="00E1372C" w:rsidRDefault="00A55A0E" w:rsidP="00A67A45">
      <w:pPr>
        <w:pStyle w:val="H23G"/>
        <w:rPr>
          <w:lang w:val="fr-FR" w:bidi="en-US"/>
        </w:rPr>
      </w:pPr>
      <w:r w:rsidRPr="00E1372C">
        <w:rPr>
          <w:lang w:val="fr-FR" w:bidi="en-US"/>
        </w:rPr>
        <w:tab/>
      </w:r>
      <w:r w:rsidRPr="00E1372C">
        <w:rPr>
          <w:lang w:val="fr-FR" w:bidi="en-US"/>
        </w:rPr>
        <w:tab/>
      </w:r>
      <w:r w:rsidR="008A3B2B" w:rsidRPr="00E1372C">
        <w:rPr>
          <w:lang w:val="fr-FR" w:bidi="en-US"/>
        </w:rPr>
        <w:t>La</w:t>
      </w:r>
      <w:r w:rsidRPr="00E1372C">
        <w:rPr>
          <w:lang w:val="fr-FR" w:bidi="en-US"/>
        </w:rPr>
        <w:t xml:space="preserve"> Constitution </w:t>
      </w:r>
      <w:r w:rsidR="008A3B2B" w:rsidRPr="00E1372C">
        <w:rPr>
          <w:lang w:val="fr-FR" w:bidi="en-US"/>
        </w:rPr>
        <w:t>et la loi de 2001 relative à l</w:t>
      </w:r>
      <w:r w:rsidR="00731F09" w:rsidRPr="00E1372C">
        <w:rPr>
          <w:lang w:val="fr-FR" w:bidi="en-US"/>
        </w:rPr>
        <w:t>’</w:t>
      </w:r>
      <w:r w:rsidR="00512095" w:rsidRPr="00E1372C">
        <w:rPr>
          <w:lang w:val="fr-FR" w:bidi="en-US"/>
        </w:rPr>
        <w:t>enseignement</w:t>
      </w:r>
    </w:p>
    <w:p w:rsidR="00A55A0E" w:rsidRPr="00E1372C" w:rsidRDefault="007A1757" w:rsidP="007A1757">
      <w:pPr>
        <w:pStyle w:val="SingleTxtG"/>
        <w:rPr>
          <w:lang w:val="fr-FR" w:bidi="en-US"/>
        </w:rPr>
      </w:pPr>
      <w:r w:rsidRPr="00E1372C">
        <w:rPr>
          <w:lang w:val="fr-FR" w:bidi="en-US"/>
        </w:rPr>
        <w:t>359.</w:t>
      </w:r>
      <w:r w:rsidRPr="00E1372C">
        <w:rPr>
          <w:lang w:val="fr-FR" w:bidi="en-US"/>
        </w:rPr>
        <w:tab/>
      </w:r>
      <w:r w:rsidR="00B14948" w:rsidRPr="00E1372C">
        <w:rPr>
          <w:lang w:val="fr-FR" w:bidi="en-US"/>
        </w:rPr>
        <w:t>L</w:t>
      </w:r>
      <w:r w:rsidR="00731F09" w:rsidRPr="00E1372C">
        <w:rPr>
          <w:lang w:val="fr-FR" w:bidi="en-US"/>
        </w:rPr>
        <w:t>’</w:t>
      </w:r>
      <w:r w:rsidR="00B14948" w:rsidRPr="00E1372C">
        <w:rPr>
          <w:lang w:val="fr-FR" w:bidi="en-US"/>
        </w:rPr>
        <w:t>article 20</w:t>
      </w:r>
      <w:r w:rsidR="00B14948" w:rsidRPr="00E1372C">
        <w:rPr>
          <w:lang w:val="fr-FR"/>
        </w:rPr>
        <w:t xml:space="preserve"> de la Constitution dispose que tous les habitants ont droit à l</w:t>
      </w:r>
      <w:r w:rsidR="00731F09" w:rsidRPr="00E1372C">
        <w:rPr>
          <w:lang w:val="fr-FR"/>
        </w:rPr>
        <w:t>’</w:t>
      </w:r>
      <w:r w:rsidR="00B14948" w:rsidRPr="00E1372C">
        <w:rPr>
          <w:lang w:val="fr-FR"/>
        </w:rPr>
        <w:t>éducation. Il prévoit en outre que l</w:t>
      </w:r>
      <w:r w:rsidR="00731F09" w:rsidRPr="00E1372C">
        <w:rPr>
          <w:lang w:val="fr-FR"/>
        </w:rPr>
        <w:t>’</w:t>
      </w:r>
      <w:r w:rsidR="00B14948" w:rsidRPr="00E1372C">
        <w:rPr>
          <w:lang w:val="fr-FR"/>
        </w:rPr>
        <w:t>enseignement primaire est obligatoire et dispensé gratuitement dans les écoles publiques. En 2001, le Parlement a adopté la loi n</w:t>
      </w:r>
      <w:r w:rsidR="00B277C4" w:rsidRPr="00E1372C">
        <w:rPr>
          <w:vertAlign w:val="superscript"/>
          <w:lang w:val="fr-FR"/>
        </w:rPr>
        <w:t>o</w:t>
      </w:r>
      <w:r w:rsidR="00B14948" w:rsidRPr="00E1372C">
        <w:rPr>
          <w:lang w:val="fr-FR"/>
        </w:rPr>
        <w:t> 16 relative à l</w:t>
      </w:r>
      <w:r w:rsidR="00731F09" w:rsidRPr="00E1372C">
        <w:rPr>
          <w:lang w:val="fr-FR"/>
        </w:rPr>
        <w:t>’</w:t>
      </w:r>
      <w:r w:rsidR="00512095" w:rsidRPr="00E1372C">
        <w:rPr>
          <w:lang w:val="fr-FR"/>
        </w:rPr>
        <w:t>enseignement</w:t>
      </w:r>
      <w:r w:rsidR="00B14948" w:rsidRPr="00E1372C">
        <w:rPr>
          <w:lang w:val="fr-FR"/>
        </w:rPr>
        <w:t xml:space="preserve"> pour donner effet à la Constitution et aux autres instruments relatifs aux droits de l</w:t>
      </w:r>
      <w:r w:rsidR="00731F09" w:rsidRPr="00E1372C">
        <w:rPr>
          <w:lang w:val="fr-FR"/>
        </w:rPr>
        <w:t>’</w:t>
      </w:r>
      <w:r w:rsidR="00B14948" w:rsidRPr="00E1372C">
        <w:rPr>
          <w:lang w:val="fr-FR"/>
        </w:rPr>
        <w:t>homme.</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360.</w:t>
      </w:r>
      <w:r w:rsidRPr="00E1372C">
        <w:rPr>
          <w:lang w:val="fr-FR" w:bidi="en-US"/>
        </w:rPr>
        <w:tab/>
      </w:r>
      <w:r w:rsidR="00B14948" w:rsidRPr="00E1372C">
        <w:rPr>
          <w:lang w:val="fr-FR"/>
        </w:rPr>
        <w:t>Peu après l</w:t>
      </w:r>
      <w:r w:rsidR="00731F09" w:rsidRPr="00E1372C">
        <w:rPr>
          <w:lang w:val="fr-FR"/>
        </w:rPr>
        <w:t>’</w:t>
      </w:r>
      <w:r w:rsidR="00B14948" w:rsidRPr="00E1372C">
        <w:rPr>
          <w:lang w:val="fr-FR"/>
        </w:rPr>
        <w:t>indépendance</w:t>
      </w:r>
      <w:r w:rsidR="00F45D05" w:rsidRPr="00E1372C">
        <w:rPr>
          <w:lang w:val="fr-FR"/>
        </w:rPr>
        <w:t xml:space="preserve"> en 1990</w:t>
      </w:r>
      <w:r w:rsidR="00B14948" w:rsidRPr="00E1372C">
        <w:rPr>
          <w:lang w:val="fr-FR"/>
        </w:rPr>
        <w:t xml:space="preserve">, la ségrégation a été supprimée dans toutes les écoles, conformément à la Constitution et à la loi </w:t>
      </w:r>
      <w:r w:rsidR="00F45D05" w:rsidRPr="00E1372C">
        <w:rPr>
          <w:lang w:val="fr-FR"/>
        </w:rPr>
        <w:t>n</w:t>
      </w:r>
      <w:r w:rsidR="00B277C4" w:rsidRPr="00E1372C">
        <w:rPr>
          <w:vertAlign w:val="superscript"/>
          <w:lang w:val="fr-FR"/>
        </w:rPr>
        <w:t>o</w:t>
      </w:r>
      <w:r w:rsidR="00F3232B" w:rsidRPr="00E1372C">
        <w:rPr>
          <w:lang w:val="fr-FR"/>
        </w:rPr>
        <w:t> </w:t>
      </w:r>
      <w:r w:rsidR="00F45D05" w:rsidRPr="00E1372C">
        <w:rPr>
          <w:lang w:val="fr-FR"/>
        </w:rPr>
        <w:t>16 de 2001 relative à</w:t>
      </w:r>
      <w:r w:rsidR="00B14948" w:rsidRPr="00E1372C">
        <w:rPr>
          <w:lang w:val="fr-FR"/>
        </w:rPr>
        <w:t xml:space="preserve"> l</w:t>
      </w:r>
      <w:r w:rsidR="00731F09" w:rsidRPr="00E1372C">
        <w:rPr>
          <w:lang w:val="fr-FR"/>
        </w:rPr>
        <w:t>’</w:t>
      </w:r>
      <w:r w:rsidR="00512095" w:rsidRPr="00E1372C">
        <w:rPr>
          <w:lang w:val="fr-FR"/>
        </w:rPr>
        <w:t>enseignement</w:t>
      </w:r>
      <w:r w:rsidR="00B14948" w:rsidRPr="00E1372C">
        <w:rPr>
          <w:lang w:val="fr-FR"/>
        </w:rPr>
        <w:t xml:space="preserve">. La classification des écoles en fonction des différents groupes raciaux a disparu. Toutes les écoles publiques </w:t>
      </w:r>
      <w:r w:rsidR="00F45D05" w:rsidRPr="00E1372C">
        <w:rPr>
          <w:lang w:val="fr-FR"/>
        </w:rPr>
        <w:t xml:space="preserve">et privées </w:t>
      </w:r>
      <w:r w:rsidR="00B14948" w:rsidRPr="00E1372C">
        <w:rPr>
          <w:lang w:val="fr-FR"/>
        </w:rPr>
        <w:t>sont à présent ouvertes à tous les Namibiens sans distinction de race, de couleur, de religion ou d</w:t>
      </w:r>
      <w:r w:rsidR="00731F09" w:rsidRPr="00E1372C">
        <w:rPr>
          <w:lang w:val="fr-FR"/>
        </w:rPr>
        <w:t>’</w:t>
      </w:r>
      <w:r w:rsidR="00B14948" w:rsidRPr="00E1372C">
        <w:rPr>
          <w:lang w:val="fr-FR"/>
        </w:rPr>
        <w:t xml:space="preserve">origine ethnique. </w:t>
      </w:r>
      <w:r w:rsidR="00F45D05" w:rsidRPr="00E1372C">
        <w:rPr>
          <w:lang w:val="fr-FR"/>
        </w:rPr>
        <w:t>Le Ministère de l</w:t>
      </w:r>
      <w:r w:rsidR="00731F09" w:rsidRPr="00E1372C">
        <w:rPr>
          <w:lang w:val="fr-FR"/>
        </w:rPr>
        <w:t>’</w:t>
      </w:r>
      <w:r w:rsidR="00F45D05" w:rsidRPr="00E1372C">
        <w:rPr>
          <w:lang w:val="fr-FR"/>
        </w:rPr>
        <w:t>éducation a mis en place la Direction de l</w:t>
      </w:r>
      <w:r w:rsidR="00731F09" w:rsidRPr="00E1372C">
        <w:rPr>
          <w:lang w:val="fr-FR"/>
        </w:rPr>
        <w:t>’</w:t>
      </w:r>
      <w:r w:rsidR="00F45D05" w:rsidRPr="00E1372C">
        <w:rPr>
          <w:lang w:val="fr-FR"/>
        </w:rPr>
        <w:t xml:space="preserve">enseignement pour adultes et de la formation continue afin de satisfaire aux besoins éducatifs des adultes et des jeunes non scolarisés. </w:t>
      </w:r>
      <w:r w:rsidR="00B14948" w:rsidRPr="00E1372C">
        <w:rPr>
          <w:lang w:val="fr-FR"/>
        </w:rPr>
        <w:t>Le pays compte plus de 1 700 écoles et environ 20 333 enseignants pour 570 623 élèves qui se sont inscrits en 2007</w:t>
      </w:r>
      <w:r w:rsidR="009C0B40" w:rsidRPr="00E1372C">
        <w:rPr>
          <w:lang w:val="fr-FR"/>
        </w:rPr>
        <w:t>, mais de nombreux enfants ne sont pas scolarisés</w:t>
      </w:r>
      <w:r w:rsidR="00B14948" w:rsidRPr="00E1372C">
        <w:rPr>
          <w:lang w:val="fr-FR"/>
        </w:rPr>
        <w:t>. L</w:t>
      </w:r>
      <w:r w:rsidR="00731F09" w:rsidRPr="00E1372C">
        <w:rPr>
          <w:lang w:val="fr-FR"/>
        </w:rPr>
        <w:t>’</w:t>
      </w:r>
      <w:r w:rsidR="00B14948" w:rsidRPr="00E1372C">
        <w:rPr>
          <w:lang w:val="fr-FR"/>
        </w:rPr>
        <w:t>Université de Namibie (UNAM) et l</w:t>
      </w:r>
      <w:r w:rsidR="00731F09" w:rsidRPr="00E1372C">
        <w:rPr>
          <w:lang w:val="fr-FR"/>
        </w:rPr>
        <w:t>’</w:t>
      </w:r>
      <w:r w:rsidR="00B14948" w:rsidRPr="00E1372C">
        <w:rPr>
          <w:lang w:val="fr-FR"/>
        </w:rPr>
        <w:t>École polytechnique dispensent un enseignement supérieur. En 2011, l</w:t>
      </w:r>
      <w:r w:rsidR="00731F09" w:rsidRPr="00E1372C">
        <w:rPr>
          <w:lang w:val="fr-FR"/>
        </w:rPr>
        <w:t>’</w:t>
      </w:r>
      <w:r w:rsidR="00B14948" w:rsidRPr="00E1372C">
        <w:rPr>
          <w:lang w:val="fr-FR"/>
        </w:rPr>
        <w:t>UNAM est au seizième rang des 100 meilleures universités africaines. Ces deux institutions ont créé des centres dans toutes les grandes villes. En outre, il existe cinq campus universitaires, quatre centres de formation professionnelle et trois collèges agricoles dans le pays. Les élèves des écoles publiques secondaires et les étudiants des établissements d</w:t>
      </w:r>
      <w:r w:rsidR="00731F09" w:rsidRPr="00E1372C">
        <w:rPr>
          <w:lang w:val="fr-FR"/>
        </w:rPr>
        <w:t>’</w:t>
      </w:r>
      <w:r w:rsidR="00B14948" w:rsidRPr="00E1372C">
        <w:rPr>
          <w:lang w:val="fr-FR"/>
        </w:rPr>
        <w:t>enseignement supérieur ont le droit d</w:t>
      </w:r>
      <w:r w:rsidR="00731F09" w:rsidRPr="00E1372C">
        <w:rPr>
          <w:lang w:val="fr-FR"/>
        </w:rPr>
        <w:t>’</w:t>
      </w:r>
      <w:r w:rsidR="00B14948" w:rsidRPr="00E1372C">
        <w:rPr>
          <w:lang w:val="fr-FR"/>
        </w:rPr>
        <w:t>élire leurs conseils représentatifs</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361.</w:t>
      </w:r>
      <w:r w:rsidRPr="00E1372C">
        <w:rPr>
          <w:lang w:val="fr-FR" w:bidi="en-US"/>
        </w:rPr>
        <w:tab/>
      </w:r>
      <w:r w:rsidR="00B14948" w:rsidRPr="00E1372C">
        <w:rPr>
          <w:lang w:val="fr-FR"/>
        </w:rPr>
        <w:t>Dans le domaine éducatif, la Namibie dépense plus par habitant que la plupart des pays en développement, mais les résultats scolaires correspondant aux investissements consentis n</w:t>
      </w:r>
      <w:r w:rsidR="00731F09" w:rsidRPr="00E1372C">
        <w:rPr>
          <w:lang w:val="fr-FR"/>
        </w:rPr>
        <w:t>’</w:t>
      </w:r>
      <w:r w:rsidR="00B14948" w:rsidRPr="00E1372C">
        <w:rPr>
          <w:lang w:val="fr-FR"/>
        </w:rPr>
        <w:t>ont pas encore été atteints. Plusieurs études ont montré l</w:t>
      </w:r>
      <w:r w:rsidR="00731F09" w:rsidRPr="00E1372C">
        <w:rPr>
          <w:lang w:val="fr-FR"/>
        </w:rPr>
        <w:t>’</w:t>
      </w:r>
      <w:r w:rsidR="00B14948" w:rsidRPr="00E1372C">
        <w:rPr>
          <w:lang w:val="fr-FR"/>
        </w:rPr>
        <w:t>importance du capital humain pour la prospérité future du pays, d</w:t>
      </w:r>
      <w:r w:rsidR="00731F09" w:rsidRPr="00E1372C">
        <w:rPr>
          <w:lang w:val="fr-FR"/>
        </w:rPr>
        <w:t>’</w:t>
      </w:r>
      <w:r w:rsidR="00B14948" w:rsidRPr="00E1372C">
        <w:rPr>
          <w:lang w:val="fr-FR"/>
        </w:rPr>
        <w:t>autant plus que l</w:t>
      </w:r>
      <w:r w:rsidR="00731F09" w:rsidRPr="00E1372C">
        <w:rPr>
          <w:lang w:val="fr-FR"/>
        </w:rPr>
        <w:t>’</w:t>
      </w:r>
      <w:r w:rsidR="00B14948" w:rsidRPr="00E1372C">
        <w:rPr>
          <w:lang w:val="fr-FR"/>
        </w:rPr>
        <w:t>industrie fondée sur la connaissance devient plus dominante à mesure que le pays s</w:t>
      </w:r>
      <w:r w:rsidR="00731F09" w:rsidRPr="00E1372C">
        <w:rPr>
          <w:lang w:val="fr-FR"/>
        </w:rPr>
        <w:t>’</w:t>
      </w:r>
      <w:r w:rsidR="00B14948" w:rsidRPr="00E1372C">
        <w:rPr>
          <w:lang w:val="fr-FR"/>
        </w:rPr>
        <w:t>engage dans la Vision 2030</w:t>
      </w:r>
      <w:r w:rsidR="00A55A0E" w:rsidRPr="00E1372C">
        <w:rPr>
          <w:lang w:val="fr-FR" w:bidi="en-US"/>
        </w:rPr>
        <w:t xml:space="preserve">. </w:t>
      </w:r>
    </w:p>
    <w:p w:rsidR="00A55A0E" w:rsidRPr="00E1372C" w:rsidRDefault="007A1757" w:rsidP="007A1757">
      <w:pPr>
        <w:pStyle w:val="SingleTxtG"/>
        <w:rPr>
          <w:lang w:val="fr-FR" w:bidi="en-US"/>
        </w:rPr>
      </w:pPr>
      <w:r w:rsidRPr="00E1372C">
        <w:rPr>
          <w:lang w:val="fr-FR" w:bidi="en-US"/>
        </w:rPr>
        <w:t>362.</w:t>
      </w:r>
      <w:r w:rsidRPr="00E1372C">
        <w:rPr>
          <w:lang w:val="fr-FR" w:bidi="en-US"/>
        </w:rPr>
        <w:tab/>
      </w:r>
      <w:r w:rsidR="00B14948" w:rsidRPr="00E1372C">
        <w:rPr>
          <w:lang w:val="fr-FR"/>
        </w:rPr>
        <w:t>Il y a des écoles publiques dans toutes les grandes villes du pays, et plusieurs écoles privées dans les principaux centres. Environ 80</w:t>
      </w:r>
      <w:r w:rsidR="00731F09" w:rsidRPr="00E1372C">
        <w:rPr>
          <w:lang w:val="fr-FR"/>
        </w:rPr>
        <w:t xml:space="preserve"> </w:t>
      </w:r>
      <w:r w:rsidR="007064FC" w:rsidRPr="00E1372C">
        <w:rPr>
          <w:lang w:val="fr-FR"/>
        </w:rPr>
        <w:t>%</w:t>
      </w:r>
      <w:r w:rsidR="00B14948" w:rsidRPr="00E1372C">
        <w:rPr>
          <w:lang w:val="fr-FR"/>
        </w:rPr>
        <w:t xml:space="preserve"> de la population âgée de 15 ans et plus sont alphabétisés et 65</w:t>
      </w:r>
      <w:r w:rsidR="00731F09" w:rsidRPr="00E1372C">
        <w:rPr>
          <w:lang w:val="fr-FR"/>
        </w:rPr>
        <w:t xml:space="preserve"> </w:t>
      </w:r>
      <w:r w:rsidR="007064FC" w:rsidRPr="00E1372C">
        <w:rPr>
          <w:lang w:val="fr-FR"/>
        </w:rPr>
        <w:t>%</w:t>
      </w:r>
      <w:r w:rsidR="004866D1" w:rsidRPr="00E1372C">
        <w:rPr>
          <w:lang w:val="fr-FR"/>
        </w:rPr>
        <w:t xml:space="preserve"> des personnes âgées de </w:t>
      </w:r>
      <w:r w:rsidR="00B14948" w:rsidRPr="00E1372C">
        <w:rPr>
          <w:lang w:val="fr-FR"/>
        </w:rPr>
        <w:t>6 à 24 ans sont ins</w:t>
      </w:r>
      <w:r w:rsidR="004866D1" w:rsidRPr="00E1372C">
        <w:rPr>
          <w:lang w:val="fr-FR"/>
        </w:rPr>
        <w:t xml:space="preserve">crites dans des écoles. Quelque </w:t>
      </w:r>
      <w:r w:rsidR="00B14948" w:rsidRPr="00E1372C">
        <w:rPr>
          <w:lang w:val="fr-FR"/>
        </w:rPr>
        <w:t>42</w:t>
      </w:r>
      <w:r w:rsidR="00731F09" w:rsidRPr="00E1372C">
        <w:rPr>
          <w:lang w:val="fr-FR"/>
        </w:rPr>
        <w:t xml:space="preserve"> </w:t>
      </w:r>
      <w:r w:rsidR="007064FC" w:rsidRPr="00E1372C">
        <w:rPr>
          <w:lang w:val="fr-FR"/>
        </w:rPr>
        <w:t>%</w:t>
      </w:r>
      <w:r w:rsidR="00B14948" w:rsidRPr="00E1372C">
        <w:rPr>
          <w:lang w:val="fr-FR"/>
        </w:rPr>
        <w:t xml:space="preserve"> de la population âgée de 15 ans et plus ont achevé leurs études primaires et 15</w:t>
      </w:r>
      <w:r w:rsidR="00731F09" w:rsidRPr="00E1372C">
        <w:rPr>
          <w:lang w:val="fr-FR"/>
        </w:rPr>
        <w:t xml:space="preserve"> </w:t>
      </w:r>
      <w:r w:rsidR="007064FC" w:rsidRPr="00E1372C">
        <w:rPr>
          <w:lang w:val="fr-FR"/>
        </w:rPr>
        <w:t>%</w:t>
      </w:r>
      <w:r w:rsidR="00B14948" w:rsidRPr="00E1372C">
        <w:rPr>
          <w:lang w:val="fr-FR"/>
        </w:rPr>
        <w:t xml:space="preserve"> leurs études secondaires</w:t>
      </w:r>
      <w:r w:rsidR="00A55A0E" w:rsidRPr="00E1372C">
        <w:rPr>
          <w:lang w:val="fr-FR" w:bidi="en-US"/>
        </w:rPr>
        <w:t xml:space="preserve">. </w:t>
      </w:r>
    </w:p>
    <w:p w:rsidR="00A55A0E" w:rsidRPr="00E1372C" w:rsidRDefault="00F3232B" w:rsidP="00F3232B">
      <w:pPr>
        <w:pStyle w:val="H23G"/>
        <w:rPr>
          <w:lang w:val="fr-FR" w:bidi="en-US"/>
        </w:rPr>
      </w:pPr>
      <w:bookmarkStart w:id="16" w:name="_Toc191394093"/>
      <w:r w:rsidRPr="00E1372C">
        <w:rPr>
          <w:lang w:val="fr-FR" w:bidi="en-US"/>
        </w:rPr>
        <w:tab/>
      </w:r>
      <w:r w:rsidRPr="00E1372C">
        <w:rPr>
          <w:lang w:val="fr-FR" w:bidi="en-US"/>
        </w:rPr>
        <w:tab/>
      </w:r>
      <w:r w:rsidR="00B14948" w:rsidRPr="00E1372C">
        <w:rPr>
          <w:lang w:val="fr-FR" w:bidi="en-US"/>
        </w:rPr>
        <w:t>Droit à l</w:t>
      </w:r>
      <w:r w:rsidR="00731F09" w:rsidRPr="00E1372C">
        <w:rPr>
          <w:lang w:val="fr-FR" w:bidi="en-US"/>
        </w:rPr>
        <w:t>’</w:t>
      </w:r>
      <w:r w:rsidR="00B14948" w:rsidRPr="00E1372C">
        <w:rPr>
          <w:lang w:val="fr-FR" w:bidi="en-US"/>
        </w:rPr>
        <w:t>éducation</w:t>
      </w:r>
    </w:p>
    <w:p w:rsidR="00B14948" w:rsidRPr="00E1372C" w:rsidRDefault="007A1757" w:rsidP="007A1757">
      <w:pPr>
        <w:pStyle w:val="SingleTxtG"/>
        <w:rPr>
          <w:lang w:val="fr-FR" w:bidi="en-US"/>
        </w:rPr>
      </w:pPr>
      <w:r w:rsidRPr="00E1372C">
        <w:rPr>
          <w:lang w:val="fr-FR" w:bidi="en-US"/>
        </w:rPr>
        <w:t>363.</w:t>
      </w:r>
      <w:r w:rsidRPr="00E1372C">
        <w:rPr>
          <w:lang w:val="fr-FR" w:bidi="en-US"/>
        </w:rPr>
        <w:tab/>
      </w:r>
      <w:r w:rsidR="00B14948" w:rsidRPr="00E1372C">
        <w:rPr>
          <w:lang w:val="fr-FR" w:bidi="en-US"/>
        </w:rPr>
        <w:t>Le programme d</w:t>
      </w:r>
      <w:r w:rsidR="00731F09" w:rsidRPr="00E1372C">
        <w:rPr>
          <w:lang w:val="fr-FR" w:bidi="en-US"/>
        </w:rPr>
        <w:t>’</w:t>
      </w:r>
      <w:r w:rsidR="00B14948" w:rsidRPr="00E1372C">
        <w:rPr>
          <w:lang w:val="fr-FR" w:bidi="en-US"/>
        </w:rPr>
        <w:t xml:space="preserve">études </w:t>
      </w:r>
      <w:r w:rsidR="00336CF8" w:rsidRPr="00E1372C">
        <w:rPr>
          <w:lang w:val="fr-FR" w:bidi="en-US"/>
        </w:rPr>
        <w:t>s</w:t>
      </w:r>
      <w:r w:rsidR="00731F09" w:rsidRPr="00E1372C">
        <w:rPr>
          <w:lang w:val="fr-FR" w:bidi="en-US"/>
        </w:rPr>
        <w:t>’</w:t>
      </w:r>
      <w:r w:rsidR="00336CF8" w:rsidRPr="00E1372C">
        <w:rPr>
          <w:lang w:val="fr-FR" w:bidi="en-US"/>
        </w:rPr>
        <w:t>appuie</w:t>
      </w:r>
      <w:r w:rsidR="00B14948" w:rsidRPr="00E1372C">
        <w:rPr>
          <w:lang w:val="fr-FR" w:bidi="en-US"/>
        </w:rPr>
        <w:t xml:space="preserve"> sur la Constitution et la loi relative à l</w:t>
      </w:r>
      <w:r w:rsidR="00731F09" w:rsidRPr="00E1372C">
        <w:rPr>
          <w:lang w:val="fr-FR" w:bidi="en-US"/>
        </w:rPr>
        <w:t>’</w:t>
      </w:r>
      <w:r w:rsidR="00E96BDA" w:rsidRPr="00E1372C">
        <w:rPr>
          <w:lang w:val="fr-FR" w:bidi="en-US"/>
        </w:rPr>
        <w:t>enseignement</w:t>
      </w:r>
      <w:r w:rsidR="00B14948" w:rsidRPr="00E1372C">
        <w:rPr>
          <w:lang w:val="fr-FR" w:bidi="en-US"/>
        </w:rPr>
        <w:t>. L</w:t>
      </w:r>
      <w:r w:rsidR="00731F09" w:rsidRPr="00E1372C">
        <w:rPr>
          <w:lang w:val="fr-FR" w:bidi="en-US"/>
        </w:rPr>
        <w:t>’</w:t>
      </w:r>
      <w:r w:rsidR="00B14948" w:rsidRPr="00E1372C">
        <w:rPr>
          <w:lang w:val="fr-FR" w:bidi="en-US"/>
        </w:rPr>
        <w:t>article 20 de La Constitution dispose que l</w:t>
      </w:r>
      <w:r w:rsidR="00731F09" w:rsidRPr="00E1372C">
        <w:rPr>
          <w:lang w:val="fr-FR" w:bidi="en-US"/>
        </w:rPr>
        <w:t>’</w:t>
      </w:r>
      <w:r w:rsidR="00B14948" w:rsidRPr="00E1372C">
        <w:rPr>
          <w:lang w:val="fr-FR" w:bidi="en-US"/>
        </w:rPr>
        <w:t>éducation est un droit pour tous et qu</w:t>
      </w:r>
      <w:r w:rsidR="00731F09" w:rsidRPr="00E1372C">
        <w:rPr>
          <w:lang w:val="fr-FR" w:bidi="en-US"/>
        </w:rPr>
        <w:t>’</w:t>
      </w:r>
      <w:r w:rsidR="00B14948" w:rsidRPr="00E1372C">
        <w:rPr>
          <w:lang w:val="fr-FR" w:bidi="en-US"/>
        </w:rPr>
        <w:t>il incombe au Gouvernement d</w:t>
      </w:r>
      <w:r w:rsidR="00731F09" w:rsidRPr="00E1372C">
        <w:rPr>
          <w:lang w:val="fr-FR" w:bidi="en-US"/>
        </w:rPr>
        <w:t>’</w:t>
      </w:r>
      <w:r w:rsidR="00B14948" w:rsidRPr="00E1372C">
        <w:rPr>
          <w:lang w:val="fr-FR" w:bidi="en-US"/>
        </w:rPr>
        <w:t>offrir des possibilités de formation. La loi définit l</w:t>
      </w:r>
      <w:r w:rsidR="00731F09" w:rsidRPr="00E1372C">
        <w:rPr>
          <w:lang w:val="fr-FR" w:bidi="en-US"/>
        </w:rPr>
        <w:t>’</w:t>
      </w:r>
      <w:r w:rsidR="00B14948" w:rsidRPr="00E1372C">
        <w:rPr>
          <w:lang w:val="fr-FR" w:bidi="en-US"/>
        </w:rPr>
        <w:t>enseignement primaire (1</w:t>
      </w:r>
      <w:r w:rsidR="00B14948" w:rsidRPr="00E1372C">
        <w:rPr>
          <w:vertAlign w:val="superscript"/>
          <w:lang w:val="fr-FR" w:bidi="en-US"/>
        </w:rPr>
        <w:t>re</w:t>
      </w:r>
      <w:r w:rsidR="00B14948" w:rsidRPr="00E1372C">
        <w:rPr>
          <w:lang w:val="fr-FR" w:bidi="en-US"/>
        </w:rPr>
        <w:t xml:space="preserve"> à 12</w:t>
      </w:r>
      <w:r w:rsidR="00B14948" w:rsidRPr="00E1372C">
        <w:rPr>
          <w:vertAlign w:val="superscript"/>
          <w:lang w:val="fr-FR" w:bidi="en-US"/>
        </w:rPr>
        <w:t>e</w:t>
      </w:r>
      <w:r w:rsidR="00B14948" w:rsidRPr="00E1372C">
        <w:rPr>
          <w:lang w:val="fr-FR" w:bidi="en-US"/>
        </w:rPr>
        <w:t> années) et</w:t>
      </w:r>
      <w:r w:rsidR="00336CF8" w:rsidRPr="00E1372C">
        <w:rPr>
          <w:lang w:val="fr-FR" w:bidi="en-US"/>
        </w:rPr>
        <w:t>,</w:t>
      </w:r>
      <w:r w:rsidR="00B14948" w:rsidRPr="00E1372C">
        <w:rPr>
          <w:lang w:val="fr-FR" w:bidi="en-US"/>
        </w:rPr>
        <w:t xml:space="preserve"> au titre de la disposition constitutionnelle</w:t>
      </w:r>
      <w:r w:rsidR="00336CF8" w:rsidRPr="00E1372C">
        <w:rPr>
          <w:lang w:val="fr-FR" w:bidi="en-US"/>
        </w:rPr>
        <w:t>,</w:t>
      </w:r>
      <w:r w:rsidR="00B14948" w:rsidRPr="00E1372C">
        <w:rPr>
          <w:lang w:val="fr-FR" w:bidi="en-US"/>
        </w:rPr>
        <w:t xml:space="preserve"> le programme fixe les principes et les résultats d</w:t>
      </w:r>
      <w:r w:rsidR="00731F09" w:rsidRPr="00E1372C">
        <w:rPr>
          <w:lang w:val="fr-FR" w:bidi="en-US"/>
        </w:rPr>
        <w:t>’</w:t>
      </w:r>
      <w:r w:rsidR="00B14948" w:rsidRPr="00E1372C">
        <w:rPr>
          <w:lang w:val="fr-FR" w:bidi="en-US"/>
        </w:rPr>
        <w:t>apprentissage escomptés dans l</w:t>
      </w:r>
      <w:r w:rsidR="00731F09" w:rsidRPr="00E1372C">
        <w:rPr>
          <w:lang w:val="fr-FR" w:bidi="en-US"/>
        </w:rPr>
        <w:t>’</w:t>
      </w:r>
      <w:r w:rsidR="00B14948" w:rsidRPr="00E1372C">
        <w:rPr>
          <w:lang w:val="fr-FR" w:bidi="en-US"/>
        </w:rPr>
        <w:t>enseignement primaire.</w:t>
      </w:r>
    </w:p>
    <w:p w:rsidR="00A55A0E" w:rsidRPr="00E1372C" w:rsidRDefault="007A1757" w:rsidP="007A1757">
      <w:pPr>
        <w:pStyle w:val="SingleTxtG"/>
        <w:rPr>
          <w:lang w:val="fr-FR" w:bidi="en-US"/>
        </w:rPr>
      </w:pPr>
      <w:r w:rsidRPr="00E1372C">
        <w:rPr>
          <w:lang w:val="fr-FR" w:bidi="en-US"/>
        </w:rPr>
        <w:t>364.</w:t>
      </w:r>
      <w:r w:rsidRPr="00E1372C">
        <w:rPr>
          <w:lang w:val="fr-FR" w:bidi="en-US"/>
        </w:rPr>
        <w:tab/>
      </w:r>
      <w:r w:rsidR="00CB318A" w:rsidRPr="00E1372C">
        <w:rPr>
          <w:lang w:val="fr-FR" w:bidi="en-US"/>
        </w:rPr>
        <w:t>La Constitution dispose que l</w:t>
      </w:r>
      <w:r w:rsidR="00731F09" w:rsidRPr="00E1372C">
        <w:rPr>
          <w:lang w:val="fr-FR" w:bidi="en-US"/>
        </w:rPr>
        <w:t>’</w:t>
      </w:r>
      <w:r w:rsidR="00CB318A" w:rsidRPr="00E1372C">
        <w:rPr>
          <w:lang w:val="fr-FR" w:bidi="en-US"/>
        </w:rPr>
        <w:t>enseignement primaire est obligatoire et gratuit dès la première année scolaire lorsque l</w:t>
      </w:r>
      <w:r w:rsidR="00731F09" w:rsidRPr="00E1372C">
        <w:rPr>
          <w:lang w:val="fr-FR" w:bidi="en-US"/>
        </w:rPr>
        <w:t>’</w:t>
      </w:r>
      <w:r w:rsidR="00CB318A" w:rsidRPr="00E1372C">
        <w:rPr>
          <w:lang w:val="fr-FR" w:bidi="en-US"/>
        </w:rPr>
        <w:t>enfant a atteint 7 ans jusqu</w:t>
      </w:r>
      <w:r w:rsidR="00731F09" w:rsidRPr="00E1372C">
        <w:rPr>
          <w:lang w:val="fr-FR" w:bidi="en-US"/>
        </w:rPr>
        <w:t>’</w:t>
      </w:r>
      <w:r w:rsidR="00CB318A" w:rsidRPr="00E1372C">
        <w:rPr>
          <w:lang w:val="fr-FR" w:bidi="en-US"/>
        </w:rPr>
        <w:t>à la dernière année lorsqu</w:t>
      </w:r>
      <w:r w:rsidR="00731F09" w:rsidRPr="00E1372C">
        <w:rPr>
          <w:lang w:val="fr-FR" w:bidi="en-US"/>
        </w:rPr>
        <w:t>’</w:t>
      </w:r>
      <w:r w:rsidR="00CB318A" w:rsidRPr="00E1372C">
        <w:rPr>
          <w:lang w:val="fr-FR" w:bidi="en-US"/>
        </w:rPr>
        <w:t>il a 16 ans, ou avant s</w:t>
      </w:r>
      <w:r w:rsidR="00731F09" w:rsidRPr="00E1372C">
        <w:rPr>
          <w:lang w:val="fr-FR" w:bidi="en-US"/>
        </w:rPr>
        <w:t>’</w:t>
      </w:r>
      <w:r w:rsidR="00CB318A" w:rsidRPr="00E1372C">
        <w:rPr>
          <w:lang w:val="fr-FR" w:bidi="en-US"/>
        </w:rPr>
        <w:t>il a terminé le cycle primaire. Selon la loi n</w:t>
      </w:r>
      <w:r w:rsidR="00B277C4" w:rsidRPr="00E1372C">
        <w:rPr>
          <w:vertAlign w:val="superscript"/>
          <w:lang w:val="fr-FR" w:bidi="en-US"/>
        </w:rPr>
        <w:t>o</w:t>
      </w:r>
      <w:r w:rsidR="00CB318A" w:rsidRPr="00E1372C">
        <w:rPr>
          <w:lang w:val="fr-FR" w:bidi="en-US"/>
        </w:rPr>
        <w:t xml:space="preserve"> 16 </w:t>
      </w:r>
      <w:r w:rsidR="00336CF8" w:rsidRPr="00E1372C">
        <w:rPr>
          <w:lang w:val="fr-FR" w:bidi="en-US"/>
        </w:rPr>
        <w:t xml:space="preserve">de 2001 </w:t>
      </w:r>
      <w:r w:rsidR="00CB318A" w:rsidRPr="00E1372C">
        <w:rPr>
          <w:lang w:val="fr-FR" w:bidi="en-US"/>
        </w:rPr>
        <w:t>relative à l</w:t>
      </w:r>
      <w:r w:rsidR="00731F09" w:rsidRPr="00E1372C">
        <w:rPr>
          <w:lang w:val="fr-FR" w:bidi="en-US"/>
        </w:rPr>
        <w:t>’</w:t>
      </w:r>
      <w:r w:rsidR="00CB318A" w:rsidRPr="00E1372C">
        <w:rPr>
          <w:lang w:val="fr-FR" w:bidi="en-US"/>
        </w:rPr>
        <w:t>éducation, l</w:t>
      </w:r>
      <w:r w:rsidR="00731F09" w:rsidRPr="00E1372C">
        <w:rPr>
          <w:lang w:val="fr-FR" w:bidi="en-US"/>
        </w:rPr>
        <w:t>’</w:t>
      </w:r>
      <w:r w:rsidR="00CB318A" w:rsidRPr="00E1372C">
        <w:rPr>
          <w:lang w:val="fr-FR" w:bidi="en-US"/>
        </w:rPr>
        <w:t>enseignement primaire gratuit est prolongé jusqu</w:t>
      </w:r>
      <w:r w:rsidR="00731F09" w:rsidRPr="00E1372C">
        <w:rPr>
          <w:lang w:val="fr-FR" w:bidi="en-US"/>
        </w:rPr>
        <w:t>’</w:t>
      </w:r>
      <w:r w:rsidR="00CB318A" w:rsidRPr="00E1372C">
        <w:rPr>
          <w:lang w:val="fr-FR" w:bidi="en-US"/>
        </w:rPr>
        <w:t>à la 12</w:t>
      </w:r>
      <w:r w:rsidR="00CB318A" w:rsidRPr="00E1372C">
        <w:rPr>
          <w:vertAlign w:val="superscript"/>
          <w:lang w:val="fr-FR" w:bidi="en-US"/>
        </w:rPr>
        <w:t>e</w:t>
      </w:r>
      <w:r w:rsidR="00CB318A" w:rsidRPr="00E1372C">
        <w:rPr>
          <w:lang w:val="fr-FR" w:bidi="en-US"/>
        </w:rPr>
        <w:t> année, mais il n</w:t>
      </w:r>
      <w:r w:rsidR="00731F09" w:rsidRPr="00E1372C">
        <w:rPr>
          <w:lang w:val="fr-FR" w:bidi="en-US"/>
        </w:rPr>
        <w:t>’</w:t>
      </w:r>
      <w:r w:rsidR="00CB318A" w:rsidRPr="00E1372C">
        <w:rPr>
          <w:lang w:val="fr-FR" w:bidi="en-US"/>
        </w:rPr>
        <w:t>est pas obligatoire au-delà des limites fixées par la Constitution. Le règlement d</w:t>
      </w:r>
      <w:r w:rsidR="00731F09" w:rsidRPr="00E1372C">
        <w:rPr>
          <w:lang w:val="fr-FR" w:bidi="en-US"/>
        </w:rPr>
        <w:t>’</w:t>
      </w:r>
      <w:r w:rsidR="00CB318A" w:rsidRPr="00E1372C">
        <w:rPr>
          <w:lang w:val="fr-FR" w:bidi="en-US"/>
        </w:rPr>
        <w:t>application de ladite loi dispose que les élèves qui atteignent 6 ans avant le 31 décembre seront admis à l</w:t>
      </w:r>
      <w:r w:rsidR="00731F09" w:rsidRPr="00E1372C">
        <w:rPr>
          <w:lang w:val="fr-FR" w:bidi="en-US"/>
        </w:rPr>
        <w:t>’</w:t>
      </w:r>
      <w:r w:rsidR="00CB318A" w:rsidRPr="00E1372C">
        <w:rPr>
          <w:lang w:val="fr-FR" w:bidi="en-US"/>
        </w:rPr>
        <w:t>école l</w:t>
      </w:r>
      <w:r w:rsidR="00731F09" w:rsidRPr="00E1372C">
        <w:rPr>
          <w:lang w:val="fr-FR" w:bidi="en-US"/>
        </w:rPr>
        <w:t>’</w:t>
      </w:r>
      <w:r w:rsidR="00CB318A" w:rsidRPr="00E1372C">
        <w:rPr>
          <w:lang w:val="fr-FR" w:bidi="en-US"/>
        </w:rPr>
        <w:t>année suivante. Dans les cas d</w:t>
      </w:r>
      <w:r w:rsidR="00731F09" w:rsidRPr="00E1372C">
        <w:rPr>
          <w:lang w:val="fr-FR" w:bidi="en-US"/>
        </w:rPr>
        <w:t>’</w:t>
      </w:r>
      <w:r w:rsidR="00CB318A" w:rsidRPr="00E1372C">
        <w:rPr>
          <w:lang w:val="fr-FR" w:bidi="en-US"/>
        </w:rPr>
        <w:t>un dépassement de la limite d</w:t>
      </w:r>
      <w:r w:rsidR="00731F09" w:rsidRPr="00E1372C">
        <w:rPr>
          <w:lang w:val="fr-FR" w:bidi="en-US"/>
        </w:rPr>
        <w:t>’</w:t>
      </w:r>
      <w:r w:rsidR="00CB318A" w:rsidRPr="00E1372C">
        <w:rPr>
          <w:lang w:val="fr-FR" w:bidi="en-US"/>
        </w:rPr>
        <w:t>âge, une autorisation doit être obtenue du directeur général de l</w:t>
      </w:r>
      <w:r w:rsidR="00731F09" w:rsidRPr="00E1372C">
        <w:rPr>
          <w:lang w:val="fr-FR" w:bidi="en-US"/>
        </w:rPr>
        <w:t>’</w:t>
      </w:r>
      <w:r w:rsidR="00CB318A" w:rsidRPr="00E1372C">
        <w:rPr>
          <w:lang w:val="fr-FR" w:bidi="en-US"/>
        </w:rPr>
        <w:t xml:space="preserve">enseignement </w:t>
      </w:r>
      <w:r w:rsidR="00336CF8" w:rsidRPr="00E1372C">
        <w:rPr>
          <w:lang w:val="fr-FR" w:bidi="en-US"/>
        </w:rPr>
        <w:t>pour</w:t>
      </w:r>
      <w:r w:rsidR="00CB318A" w:rsidRPr="00E1372C">
        <w:rPr>
          <w:lang w:val="fr-FR" w:bidi="en-US"/>
        </w:rPr>
        <w:t xml:space="preserve"> les élèves </w:t>
      </w:r>
      <w:r w:rsidR="00336CF8" w:rsidRPr="00E1372C">
        <w:rPr>
          <w:lang w:val="fr-FR" w:bidi="en-US"/>
        </w:rPr>
        <w:t>âgés de</w:t>
      </w:r>
      <w:r w:rsidR="00CB318A" w:rsidRPr="00E1372C">
        <w:rPr>
          <w:lang w:val="fr-FR" w:bidi="en-US"/>
        </w:rPr>
        <w:t xml:space="preserve"> 10 ans ou plus avant le 31 janvier de l</w:t>
      </w:r>
      <w:r w:rsidR="00731F09" w:rsidRPr="00E1372C">
        <w:rPr>
          <w:lang w:val="fr-FR" w:bidi="en-US"/>
        </w:rPr>
        <w:t>’</w:t>
      </w:r>
      <w:r w:rsidR="00CB318A" w:rsidRPr="00E1372C">
        <w:rPr>
          <w:lang w:val="fr-FR" w:bidi="en-US"/>
        </w:rPr>
        <w:t>année où ils doivent commencer. Par gratuité dans le cadre de l</w:t>
      </w:r>
      <w:r w:rsidR="00731F09" w:rsidRPr="00E1372C">
        <w:rPr>
          <w:lang w:val="fr-FR" w:bidi="en-US"/>
        </w:rPr>
        <w:t>’</w:t>
      </w:r>
      <w:r w:rsidR="00CB318A" w:rsidRPr="00E1372C">
        <w:rPr>
          <w:lang w:val="fr-FR" w:bidi="en-US"/>
        </w:rPr>
        <w:t>enseignement primaire, il faut entendre qu</w:t>
      </w:r>
      <w:r w:rsidR="00731F09" w:rsidRPr="00E1372C">
        <w:rPr>
          <w:lang w:val="fr-FR" w:bidi="en-US"/>
        </w:rPr>
        <w:t>’</w:t>
      </w:r>
      <w:r w:rsidR="00CB318A" w:rsidRPr="00E1372C">
        <w:rPr>
          <w:lang w:val="fr-FR" w:bidi="en-US"/>
        </w:rPr>
        <w:t>aucun frais n</w:t>
      </w:r>
      <w:r w:rsidR="00731F09" w:rsidRPr="00E1372C">
        <w:rPr>
          <w:lang w:val="fr-FR" w:bidi="en-US"/>
        </w:rPr>
        <w:t>’</w:t>
      </w:r>
      <w:r w:rsidR="00CB318A" w:rsidRPr="00E1372C">
        <w:rPr>
          <w:lang w:val="fr-FR" w:bidi="en-US"/>
        </w:rPr>
        <w:t>est prélevé pour l</w:t>
      </w:r>
      <w:r w:rsidR="004D369B" w:rsidRPr="00E1372C">
        <w:rPr>
          <w:lang w:val="fr-FR" w:bidi="en-US"/>
        </w:rPr>
        <w:t>a scolarisation, les</w:t>
      </w:r>
      <w:r w:rsidR="00CB318A" w:rsidRPr="00E1372C">
        <w:rPr>
          <w:lang w:val="fr-FR" w:bidi="en-US"/>
        </w:rPr>
        <w:t xml:space="preserve"> cours, ou les manuels scolaires. Pour les 10</w:t>
      </w:r>
      <w:r w:rsidR="00CB318A" w:rsidRPr="00E1372C">
        <w:rPr>
          <w:vertAlign w:val="superscript"/>
          <w:lang w:val="fr-FR" w:bidi="en-US"/>
        </w:rPr>
        <w:t>e</w:t>
      </w:r>
      <w:r w:rsidR="00CB318A" w:rsidRPr="00E1372C">
        <w:rPr>
          <w:lang w:val="fr-FR" w:bidi="en-US"/>
        </w:rPr>
        <w:t xml:space="preserve"> à 12</w:t>
      </w:r>
      <w:r w:rsidR="00CB318A" w:rsidRPr="00E1372C">
        <w:rPr>
          <w:vertAlign w:val="superscript"/>
          <w:lang w:val="fr-FR" w:bidi="en-US"/>
        </w:rPr>
        <w:t>e</w:t>
      </w:r>
      <w:r w:rsidR="00CB318A" w:rsidRPr="00E1372C">
        <w:rPr>
          <w:lang w:val="fr-FR" w:bidi="en-US"/>
        </w:rPr>
        <w:t> années, une taxe d</w:t>
      </w:r>
      <w:r w:rsidR="00731F09" w:rsidRPr="00E1372C">
        <w:rPr>
          <w:lang w:val="fr-FR" w:bidi="en-US"/>
        </w:rPr>
        <w:t>’</w:t>
      </w:r>
      <w:r w:rsidR="00CB318A" w:rsidRPr="00E1372C">
        <w:rPr>
          <w:lang w:val="fr-FR" w:bidi="en-US"/>
        </w:rPr>
        <w:t>inscription aux examens est exigée. À la suite d</w:t>
      </w:r>
      <w:r w:rsidR="00731F09" w:rsidRPr="00E1372C">
        <w:rPr>
          <w:lang w:val="fr-FR" w:bidi="en-US"/>
        </w:rPr>
        <w:t>’</w:t>
      </w:r>
      <w:r w:rsidR="00CB318A" w:rsidRPr="00E1372C">
        <w:rPr>
          <w:lang w:val="fr-FR" w:bidi="en-US"/>
        </w:rPr>
        <w:t xml:space="preserve">une décision ministérielle en 2013, les parents ne sont plus tenus de fournir le matériel scolaire – stylos, crayons et cahiers – ni </w:t>
      </w:r>
      <w:r w:rsidR="00336CF8" w:rsidRPr="00E1372C">
        <w:rPr>
          <w:lang w:val="fr-FR" w:bidi="en-US"/>
        </w:rPr>
        <w:t xml:space="preserve">de </w:t>
      </w:r>
      <w:r w:rsidR="00CB318A" w:rsidRPr="00E1372C">
        <w:rPr>
          <w:lang w:val="fr-FR" w:bidi="en-US"/>
        </w:rPr>
        <w:t>contribuer au fonds de développement de l</w:t>
      </w:r>
      <w:r w:rsidR="00731F09" w:rsidRPr="00E1372C">
        <w:rPr>
          <w:lang w:val="fr-FR" w:bidi="en-US"/>
        </w:rPr>
        <w:t>’</w:t>
      </w:r>
      <w:r w:rsidR="00CB318A" w:rsidRPr="00E1372C">
        <w:rPr>
          <w:lang w:val="fr-FR" w:bidi="en-US"/>
        </w:rPr>
        <w:t>école. Cette décision</w:t>
      </w:r>
      <w:r w:rsidR="00336CF8" w:rsidRPr="00E1372C">
        <w:rPr>
          <w:lang w:val="fr-FR" w:bidi="en-US"/>
        </w:rPr>
        <w:t>,</w:t>
      </w:r>
      <w:r w:rsidR="00CB318A" w:rsidRPr="00E1372C">
        <w:rPr>
          <w:lang w:val="fr-FR" w:bidi="en-US"/>
        </w:rPr>
        <w:t xml:space="preserve"> qui permet d</w:t>
      </w:r>
      <w:r w:rsidR="00731F09" w:rsidRPr="00E1372C">
        <w:rPr>
          <w:lang w:val="fr-FR" w:bidi="en-US"/>
        </w:rPr>
        <w:t>’</w:t>
      </w:r>
      <w:r w:rsidR="00CB318A" w:rsidRPr="00E1372C">
        <w:rPr>
          <w:lang w:val="fr-FR" w:bidi="en-US"/>
        </w:rPr>
        <w:t>assurer la scolarisation de tous les enfants namibiens</w:t>
      </w:r>
      <w:r w:rsidR="00336CF8" w:rsidRPr="00E1372C">
        <w:rPr>
          <w:lang w:val="fr-FR" w:bidi="en-US"/>
        </w:rPr>
        <w:t>,</w:t>
      </w:r>
      <w:r w:rsidR="00CB318A" w:rsidRPr="00E1372C">
        <w:rPr>
          <w:lang w:val="fr-FR" w:bidi="en-US"/>
        </w:rPr>
        <w:t xml:space="preserve"> a été bien accueillie. Le Ministère a également pris l</w:t>
      </w:r>
      <w:r w:rsidR="00731F09" w:rsidRPr="00E1372C">
        <w:rPr>
          <w:lang w:val="fr-FR" w:bidi="en-US"/>
        </w:rPr>
        <w:t>’</w:t>
      </w:r>
      <w:r w:rsidR="00CB318A" w:rsidRPr="00E1372C">
        <w:rPr>
          <w:lang w:val="fr-FR" w:bidi="en-US"/>
        </w:rPr>
        <w:t>initiative louable d</w:t>
      </w:r>
      <w:r w:rsidR="00731F09" w:rsidRPr="00E1372C">
        <w:rPr>
          <w:lang w:val="fr-FR" w:bidi="en-US"/>
        </w:rPr>
        <w:t>’</w:t>
      </w:r>
      <w:r w:rsidR="00CB318A" w:rsidRPr="00E1372C">
        <w:rPr>
          <w:lang w:val="fr-FR" w:bidi="en-US"/>
        </w:rPr>
        <w:t xml:space="preserve">instaurer des écoles mobiles pour les </w:t>
      </w:r>
      <w:r w:rsidR="00A55A0E" w:rsidRPr="00E1372C">
        <w:rPr>
          <w:rFonts w:ascii="New times roman" w:hAnsi="New times roman" w:cs="Calibri"/>
          <w:lang w:val="fr-FR" w:bidi="en-US"/>
        </w:rPr>
        <w:t>Himbas</w:t>
      </w:r>
      <w:r w:rsidR="00F85280" w:rsidRPr="00E1372C">
        <w:rPr>
          <w:rFonts w:ascii="New times roman" w:hAnsi="New times roman" w:cs="Calibri"/>
          <w:lang w:val="fr-FR" w:bidi="en-US"/>
        </w:rPr>
        <w:t>,</w:t>
      </w:r>
      <w:r w:rsidR="00A55A0E" w:rsidRPr="00E1372C">
        <w:rPr>
          <w:rFonts w:ascii="New times roman" w:hAnsi="New times roman" w:cs="Calibri"/>
          <w:lang w:val="fr-FR" w:bidi="en-US"/>
        </w:rPr>
        <w:t xml:space="preserve"> </w:t>
      </w:r>
      <w:r w:rsidR="00CB318A" w:rsidRPr="00E1372C">
        <w:rPr>
          <w:rFonts w:ascii="New times roman" w:hAnsi="New times roman" w:cs="Calibri"/>
          <w:lang w:val="fr-FR" w:bidi="en-US"/>
        </w:rPr>
        <w:t>des écoles satellites pour les San (correspondant à leur mode de vie nomade) et un programme national de repas scolaires pour les communautés pauvres.</w:t>
      </w:r>
    </w:p>
    <w:p w:rsidR="00A55A0E" w:rsidRPr="00E1372C" w:rsidRDefault="007A1757" w:rsidP="007A1757">
      <w:pPr>
        <w:pStyle w:val="SingleTxtG"/>
        <w:rPr>
          <w:lang w:val="fr-FR" w:bidi="en-US"/>
        </w:rPr>
      </w:pPr>
      <w:r w:rsidRPr="00E1372C">
        <w:rPr>
          <w:lang w:val="fr-FR" w:bidi="en-US"/>
        </w:rPr>
        <w:t>365.</w:t>
      </w:r>
      <w:r w:rsidRPr="00E1372C">
        <w:rPr>
          <w:lang w:val="fr-FR" w:bidi="en-US"/>
        </w:rPr>
        <w:tab/>
      </w:r>
      <w:r w:rsidR="00CB318A" w:rsidRPr="00E1372C">
        <w:rPr>
          <w:lang w:val="fr-FR" w:bidi="en-US"/>
        </w:rPr>
        <w:t>L</w:t>
      </w:r>
      <w:r w:rsidR="00731F09" w:rsidRPr="00E1372C">
        <w:rPr>
          <w:lang w:val="fr-FR" w:bidi="en-US"/>
        </w:rPr>
        <w:t>’</w:t>
      </w:r>
      <w:r w:rsidR="00CB318A" w:rsidRPr="00E1372C">
        <w:rPr>
          <w:lang w:val="fr-FR" w:bidi="en-US"/>
        </w:rPr>
        <w:t>enseignement primaire est subdivisé en cinq étapes</w:t>
      </w:r>
      <w:r w:rsidR="00AE017E" w:rsidRPr="00E1372C">
        <w:rPr>
          <w:lang w:val="fr-FR" w:bidi="en-US"/>
        </w:rPr>
        <w:t>:</w:t>
      </w:r>
      <w:r w:rsidR="00CB318A" w:rsidRPr="00E1372C">
        <w:rPr>
          <w:lang w:val="fr-FR" w:bidi="en-US"/>
        </w:rPr>
        <w:t xml:space="preserve"> préprimaire, classes primaires du premier cycle (1</w:t>
      </w:r>
      <w:r w:rsidR="00CB318A" w:rsidRPr="00E1372C">
        <w:rPr>
          <w:vertAlign w:val="superscript"/>
          <w:lang w:val="fr-FR" w:bidi="en-US"/>
        </w:rPr>
        <w:t>re</w:t>
      </w:r>
      <w:r w:rsidR="00CB318A" w:rsidRPr="00E1372C">
        <w:rPr>
          <w:lang w:val="fr-FR" w:bidi="en-US"/>
        </w:rPr>
        <w:t xml:space="preserve"> à 4</w:t>
      </w:r>
      <w:r w:rsidR="00CB318A" w:rsidRPr="00E1372C">
        <w:rPr>
          <w:vertAlign w:val="superscript"/>
          <w:lang w:val="fr-FR" w:bidi="en-US"/>
        </w:rPr>
        <w:t>e</w:t>
      </w:r>
      <w:r w:rsidR="004866D1" w:rsidRPr="00E1372C">
        <w:rPr>
          <w:lang w:val="fr-FR" w:bidi="en-US"/>
        </w:rPr>
        <w:t xml:space="preserve"> </w:t>
      </w:r>
      <w:r w:rsidR="00CB318A" w:rsidRPr="00E1372C">
        <w:rPr>
          <w:lang w:val="fr-FR" w:bidi="en-US"/>
        </w:rPr>
        <w:t>années), classes primaires du second cycle (5</w:t>
      </w:r>
      <w:r w:rsidR="00CB318A" w:rsidRPr="00E1372C">
        <w:rPr>
          <w:vertAlign w:val="superscript"/>
          <w:lang w:val="fr-FR" w:bidi="en-US"/>
        </w:rPr>
        <w:t>e</w:t>
      </w:r>
      <w:r w:rsidR="00CB318A" w:rsidRPr="00E1372C">
        <w:rPr>
          <w:lang w:val="fr-FR" w:bidi="en-US"/>
        </w:rPr>
        <w:t xml:space="preserve"> à 7</w:t>
      </w:r>
      <w:r w:rsidR="00CB318A" w:rsidRPr="00E1372C">
        <w:rPr>
          <w:vertAlign w:val="superscript"/>
          <w:lang w:val="fr-FR" w:bidi="en-US"/>
        </w:rPr>
        <w:t>e</w:t>
      </w:r>
      <w:r w:rsidR="004866D1" w:rsidRPr="00E1372C">
        <w:rPr>
          <w:lang w:val="fr-FR" w:bidi="en-US"/>
        </w:rPr>
        <w:t xml:space="preserve"> </w:t>
      </w:r>
      <w:r w:rsidR="00CB318A" w:rsidRPr="00E1372C">
        <w:rPr>
          <w:lang w:val="fr-FR" w:bidi="en-US"/>
        </w:rPr>
        <w:t>années), classes secondaires du premier cycle (8</w:t>
      </w:r>
      <w:r w:rsidR="00CB318A" w:rsidRPr="00E1372C">
        <w:rPr>
          <w:vertAlign w:val="superscript"/>
          <w:lang w:val="fr-FR" w:bidi="en-US"/>
        </w:rPr>
        <w:t>e</w:t>
      </w:r>
      <w:r w:rsidR="00CB318A" w:rsidRPr="00E1372C">
        <w:rPr>
          <w:lang w:val="fr-FR" w:bidi="en-US"/>
        </w:rPr>
        <w:t xml:space="preserve"> à 10</w:t>
      </w:r>
      <w:r w:rsidR="00CB318A" w:rsidRPr="00E1372C">
        <w:rPr>
          <w:vertAlign w:val="superscript"/>
          <w:lang w:val="fr-FR" w:bidi="en-US"/>
        </w:rPr>
        <w:t>e</w:t>
      </w:r>
      <w:r w:rsidR="004866D1" w:rsidRPr="00E1372C">
        <w:rPr>
          <w:lang w:val="fr-FR" w:bidi="en-US"/>
        </w:rPr>
        <w:t xml:space="preserve"> </w:t>
      </w:r>
      <w:r w:rsidR="00CB318A" w:rsidRPr="00E1372C">
        <w:rPr>
          <w:lang w:val="fr-FR" w:bidi="en-US"/>
        </w:rPr>
        <w:t>années) et classes secondaires du second cycle (11</w:t>
      </w:r>
      <w:r w:rsidR="00CB318A" w:rsidRPr="00E1372C">
        <w:rPr>
          <w:vertAlign w:val="superscript"/>
          <w:lang w:val="fr-FR" w:bidi="en-US"/>
        </w:rPr>
        <w:t>e</w:t>
      </w:r>
      <w:r w:rsidR="00CB318A" w:rsidRPr="00E1372C">
        <w:rPr>
          <w:lang w:val="fr-FR" w:bidi="en-US"/>
        </w:rPr>
        <w:t xml:space="preserve"> et 12</w:t>
      </w:r>
      <w:r w:rsidR="00CB318A" w:rsidRPr="00E1372C">
        <w:rPr>
          <w:vertAlign w:val="superscript"/>
          <w:lang w:val="fr-FR" w:bidi="en-US"/>
        </w:rPr>
        <w:t>e</w:t>
      </w:r>
      <w:r w:rsidR="00CB318A" w:rsidRPr="00E1372C">
        <w:rPr>
          <w:lang w:val="fr-FR" w:bidi="en-US"/>
        </w:rPr>
        <w:t> années).</w:t>
      </w:r>
      <w:r w:rsidR="00A55A0E" w:rsidRPr="00E1372C">
        <w:rPr>
          <w:lang w:val="fr-FR" w:bidi="en-US"/>
        </w:rPr>
        <w:t xml:space="preserve"> </w:t>
      </w:r>
    </w:p>
    <w:p w:rsidR="00CB318A" w:rsidRPr="00E1372C" w:rsidRDefault="007A1757" w:rsidP="007A1757">
      <w:pPr>
        <w:pStyle w:val="SingleTxtG"/>
        <w:rPr>
          <w:lang w:val="fr-FR" w:bidi="en-US"/>
        </w:rPr>
      </w:pPr>
      <w:r w:rsidRPr="00E1372C">
        <w:rPr>
          <w:lang w:val="fr-FR" w:bidi="en-US"/>
        </w:rPr>
        <w:t>366.</w:t>
      </w:r>
      <w:r w:rsidRPr="00E1372C">
        <w:rPr>
          <w:lang w:val="fr-FR" w:bidi="en-US"/>
        </w:rPr>
        <w:tab/>
      </w:r>
      <w:r w:rsidR="00CB318A" w:rsidRPr="00E1372C">
        <w:rPr>
          <w:lang w:val="fr-FR" w:bidi="en-US"/>
        </w:rPr>
        <w:t>L</w:t>
      </w:r>
      <w:r w:rsidR="00731F09" w:rsidRPr="00E1372C">
        <w:rPr>
          <w:lang w:val="fr-FR" w:bidi="en-US"/>
        </w:rPr>
        <w:t>’</w:t>
      </w:r>
      <w:r w:rsidR="00CB318A" w:rsidRPr="00E1372C">
        <w:rPr>
          <w:lang w:val="fr-FR" w:bidi="en-US"/>
        </w:rPr>
        <w:t>enseignement primaire s</w:t>
      </w:r>
      <w:r w:rsidR="00731F09" w:rsidRPr="00E1372C">
        <w:rPr>
          <w:lang w:val="fr-FR" w:bidi="en-US"/>
        </w:rPr>
        <w:t>’</w:t>
      </w:r>
      <w:r w:rsidR="00CB318A" w:rsidRPr="00E1372C">
        <w:rPr>
          <w:lang w:val="fr-FR" w:bidi="en-US"/>
        </w:rPr>
        <w:t>adresse à tous les élèves dès le préprimaire jusqu</w:t>
      </w:r>
      <w:r w:rsidR="00731F09" w:rsidRPr="00E1372C">
        <w:rPr>
          <w:lang w:val="fr-FR" w:bidi="en-US"/>
        </w:rPr>
        <w:t>’</w:t>
      </w:r>
      <w:r w:rsidR="00CB318A" w:rsidRPr="00E1372C">
        <w:rPr>
          <w:lang w:val="fr-FR" w:bidi="en-US"/>
        </w:rPr>
        <w:t>à la 10</w:t>
      </w:r>
      <w:r w:rsidR="00CB318A" w:rsidRPr="00E1372C">
        <w:rPr>
          <w:vertAlign w:val="superscript"/>
          <w:lang w:val="fr-FR" w:bidi="en-US"/>
        </w:rPr>
        <w:t>e</w:t>
      </w:r>
      <w:r w:rsidR="00CB318A" w:rsidRPr="00E1372C">
        <w:rPr>
          <w:lang w:val="fr-FR" w:bidi="en-US"/>
        </w:rPr>
        <w:t> année</w:t>
      </w:r>
      <w:r w:rsidR="00336CF8" w:rsidRPr="00E1372C">
        <w:rPr>
          <w:lang w:val="fr-FR" w:bidi="en-US"/>
        </w:rPr>
        <w:t xml:space="preserve"> et</w:t>
      </w:r>
      <w:r w:rsidR="00CB318A" w:rsidRPr="00E1372C">
        <w:rPr>
          <w:lang w:val="fr-FR" w:bidi="en-US"/>
        </w:rPr>
        <w:t xml:space="preserve"> différentes possibilités s</w:t>
      </w:r>
      <w:r w:rsidR="00731F09" w:rsidRPr="00E1372C">
        <w:rPr>
          <w:lang w:val="fr-FR" w:bidi="en-US"/>
        </w:rPr>
        <w:t>’</w:t>
      </w:r>
      <w:r w:rsidR="00CB318A" w:rsidRPr="00E1372C">
        <w:rPr>
          <w:lang w:val="fr-FR" w:bidi="en-US"/>
        </w:rPr>
        <w:t>offrent ensuite</w:t>
      </w:r>
      <w:r w:rsidR="00AE017E" w:rsidRPr="00E1372C">
        <w:rPr>
          <w:lang w:val="fr-FR" w:bidi="en-US"/>
        </w:rPr>
        <w:t>:</w:t>
      </w:r>
      <w:r w:rsidR="00CB318A" w:rsidRPr="00E1372C">
        <w:rPr>
          <w:lang w:val="fr-FR" w:bidi="en-US"/>
        </w:rPr>
        <w:t xml:space="preserve"> passage à l</w:t>
      </w:r>
      <w:r w:rsidR="00731F09" w:rsidRPr="00E1372C">
        <w:rPr>
          <w:lang w:val="fr-FR" w:bidi="en-US"/>
        </w:rPr>
        <w:t>’</w:t>
      </w:r>
      <w:r w:rsidR="00CB318A" w:rsidRPr="00E1372C">
        <w:rPr>
          <w:lang w:val="fr-FR" w:bidi="en-US"/>
        </w:rPr>
        <w:t>enseignement secondaire du second cycle, l</w:t>
      </w:r>
      <w:r w:rsidR="00731F09" w:rsidRPr="00E1372C">
        <w:rPr>
          <w:lang w:val="fr-FR" w:bidi="en-US"/>
        </w:rPr>
        <w:t>’</w:t>
      </w:r>
      <w:r w:rsidR="00CB318A" w:rsidRPr="00E1372C">
        <w:rPr>
          <w:lang w:val="fr-FR" w:bidi="en-US"/>
        </w:rPr>
        <w:t>enseignement et la formation professionnels, intég</w:t>
      </w:r>
      <w:r w:rsidR="00336CF8" w:rsidRPr="00E1372C">
        <w:rPr>
          <w:lang w:val="fr-FR" w:bidi="en-US"/>
        </w:rPr>
        <w:t xml:space="preserve">ration du marché du travail ou </w:t>
      </w:r>
      <w:r w:rsidR="00CB318A" w:rsidRPr="00E1372C">
        <w:rPr>
          <w:lang w:val="fr-FR" w:bidi="en-US"/>
        </w:rPr>
        <w:t>enseignement à distance. Dans l</w:t>
      </w:r>
      <w:r w:rsidR="00731F09" w:rsidRPr="00E1372C">
        <w:rPr>
          <w:lang w:val="fr-FR" w:bidi="en-US"/>
        </w:rPr>
        <w:t>’</w:t>
      </w:r>
      <w:r w:rsidR="00CB318A" w:rsidRPr="00E1372C">
        <w:rPr>
          <w:lang w:val="fr-FR" w:bidi="en-US"/>
        </w:rPr>
        <w:t>enseignement primaire, le programme prévoit une formation relative au VIH/</w:t>
      </w:r>
      <w:r w:rsidR="00B277C4" w:rsidRPr="00E1372C">
        <w:rPr>
          <w:lang w:val="fr-FR" w:bidi="en-US"/>
        </w:rPr>
        <w:t>sida</w:t>
      </w:r>
      <w:r w:rsidR="00CB318A" w:rsidRPr="00E1372C">
        <w:rPr>
          <w:lang w:val="fr-FR" w:bidi="en-US"/>
        </w:rPr>
        <w:t>, à la santé et la prévoyance, aux droits de l</w:t>
      </w:r>
      <w:r w:rsidR="00731F09" w:rsidRPr="00E1372C">
        <w:rPr>
          <w:lang w:val="fr-FR" w:bidi="en-US"/>
        </w:rPr>
        <w:t>’</w:t>
      </w:r>
      <w:r w:rsidR="00CB318A" w:rsidRPr="00E1372C">
        <w:rPr>
          <w:lang w:val="fr-FR" w:bidi="en-US"/>
        </w:rPr>
        <w:t>homme et à la démocratie, aux technologies de l</w:t>
      </w:r>
      <w:r w:rsidR="00731F09" w:rsidRPr="00E1372C">
        <w:rPr>
          <w:lang w:val="fr-FR" w:bidi="en-US"/>
        </w:rPr>
        <w:t>’</w:t>
      </w:r>
      <w:r w:rsidR="00CB318A" w:rsidRPr="00E1372C">
        <w:rPr>
          <w:lang w:val="fr-FR" w:bidi="en-US"/>
        </w:rPr>
        <w:t>information et des communications (TIC) et à l</w:t>
      </w:r>
      <w:r w:rsidR="00731F09" w:rsidRPr="00E1372C">
        <w:rPr>
          <w:lang w:val="fr-FR" w:bidi="en-US"/>
        </w:rPr>
        <w:t>’</w:t>
      </w:r>
      <w:r w:rsidR="00CB318A" w:rsidRPr="00E1372C">
        <w:rPr>
          <w:lang w:val="fr-FR" w:bidi="en-US"/>
        </w:rPr>
        <w:t>environnement. Chacune de ces questions aborde les risques et</w:t>
      </w:r>
      <w:r w:rsidR="004D369B" w:rsidRPr="00E1372C">
        <w:rPr>
          <w:lang w:val="fr-FR" w:bidi="en-US"/>
        </w:rPr>
        <w:t xml:space="preserve"> les</w:t>
      </w:r>
      <w:r w:rsidR="00CB318A" w:rsidRPr="00E1372C">
        <w:rPr>
          <w:lang w:val="fr-FR" w:bidi="en-US"/>
        </w:rPr>
        <w:t xml:space="preserve"> enjeux particuliers de la société namibienne.</w:t>
      </w:r>
    </w:p>
    <w:p w:rsidR="00A55A0E" w:rsidRPr="00E1372C" w:rsidRDefault="00A55A0E" w:rsidP="00F3232B">
      <w:pPr>
        <w:pStyle w:val="H23G"/>
        <w:rPr>
          <w:lang w:val="fr-FR" w:bidi="en-US"/>
        </w:rPr>
      </w:pPr>
      <w:r w:rsidRPr="00E1372C">
        <w:rPr>
          <w:lang w:val="fr-FR" w:bidi="en-US"/>
        </w:rPr>
        <w:tab/>
      </w:r>
      <w:r w:rsidRPr="00E1372C">
        <w:rPr>
          <w:lang w:val="fr-FR" w:bidi="en-US"/>
        </w:rPr>
        <w:tab/>
        <w:t xml:space="preserve">Structure </w:t>
      </w:r>
      <w:r w:rsidR="00CB318A" w:rsidRPr="00E1372C">
        <w:rPr>
          <w:lang w:val="fr-FR" w:bidi="en-US"/>
        </w:rPr>
        <w:t>et matières de l</w:t>
      </w:r>
      <w:r w:rsidR="00731F09" w:rsidRPr="00E1372C">
        <w:rPr>
          <w:lang w:val="fr-FR" w:bidi="en-US"/>
        </w:rPr>
        <w:t>’</w:t>
      </w:r>
      <w:r w:rsidR="00CB318A" w:rsidRPr="00E1372C">
        <w:rPr>
          <w:lang w:val="fr-FR" w:bidi="en-US"/>
        </w:rPr>
        <w:t>enseignement primaire</w:t>
      </w:r>
    </w:p>
    <w:p w:rsidR="00CB318A" w:rsidRPr="00E1372C" w:rsidRDefault="007A1757" w:rsidP="007A1757">
      <w:pPr>
        <w:pStyle w:val="SingleTxtG"/>
        <w:rPr>
          <w:lang w:val="fr-FR" w:bidi="en-US"/>
        </w:rPr>
      </w:pPr>
      <w:r w:rsidRPr="00E1372C">
        <w:rPr>
          <w:lang w:val="fr-FR" w:bidi="en-US"/>
        </w:rPr>
        <w:t>367.</w:t>
      </w:r>
      <w:r w:rsidRPr="00E1372C">
        <w:rPr>
          <w:lang w:val="fr-FR" w:bidi="en-US"/>
        </w:rPr>
        <w:tab/>
      </w:r>
      <w:r w:rsidR="00CB318A" w:rsidRPr="00E1372C">
        <w:rPr>
          <w:lang w:val="fr-FR" w:bidi="en-US"/>
        </w:rPr>
        <w:t>Le Programme national de l</w:t>
      </w:r>
      <w:r w:rsidR="00731F09" w:rsidRPr="00E1372C">
        <w:rPr>
          <w:lang w:val="fr-FR" w:bidi="en-US"/>
        </w:rPr>
        <w:t>’</w:t>
      </w:r>
      <w:r w:rsidR="00CB318A" w:rsidRPr="00E1372C">
        <w:rPr>
          <w:lang w:val="fr-FR" w:bidi="en-US"/>
        </w:rPr>
        <w:t>enseignement primaire s</w:t>
      </w:r>
      <w:r w:rsidR="00731F09" w:rsidRPr="00E1372C">
        <w:rPr>
          <w:lang w:val="fr-FR" w:bidi="en-US"/>
        </w:rPr>
        <w:t>’</w:t>
      </w:r>
      <w:r w:rsidR="00CB318A" w:rsidRPr="00E1372C">
        <w:rPr>
          <w:lang w:val="fr-FR" w:bidi="en-US"/>
        </w:rPr>
        <w:t>inspire des données d</w:t>
      </w:r>
      <w:r w:rsidR="00731F09" w:rsidRPr="00E1372C">
        <w:rPr>
          <w:lang w:val="fr-FR" w:bidi="en-US"/>
        </w:rPr>
        <w:t>’</w:t>
      </w:r>
      <w:r w:rsidR="00CB318A" w:rsidRPr="00E1372C">
        <w:rPr>
          <w:lang w:val="fr-FR" w:bidi="en-US"/>
        </w:rPr>
        <w:t>expérience</w:t>
      </w:r>
      <w:r w:rsidR="00EE0745" w:rsidRPr="00E1372C">
        <w:rPr>
          <w:lang w:val="fr-FR" w:bidi="en-US"/>
        </w:rPr>
        <w:t xml:space="preserve"> et des résultats du premier cycle des programmes e</w:t>
      </w:r>
      <w:r w:rsidR="004866D1" w:rsidRPr="00E1372C">
        <w:rPr>
          <w:lang w:val="fr-FR" w:bidi="en-US"/>
        </w:rPr>
        <w:t xml:space="preserve">t cours adoptés dans les années </w:t>
      </w:r>
      <w:r w:rsidR="00EE0745" w:rsidRPr="00E1372C">
        <w:rPr>
          <w:lang w:val="fr-FR" w:bidi="en-US"/>
        </w:rPr>
        <w:t>90</w:t>
      </w:r>
      <w:r w:rsidR="00AE017E" w:rsidRPr="00E1372C">
        <w:rPr>
          <w:lang w:val="fr-FR" w:bidi="en-US"/>
        </w:rPr>
        <w:t>:</w:t>
      </w:r>
      <w:r w:rsidR="00EE0745" w:rsidRPr="00E1372C">
        <w:rPr>
          <w:lang w:val="fr-FR" w:bidi="en-US"/>
        </w:rPr>
        <w:t xml:space="preserve"> programmes respectivement de l</w:t>
      </w:r>
      <w:r w:rsidR="00731F09" w:rsidRPr="00E1372C">
        <w:rPr>
          <w:lang w:val="fr-FR" w:bidi="en-US"/>
        </w:rPr>
        <w:t>’</w:t>
      </w:r>
      <w:r w:rsidR="00EE0745" w:rsidRPr="00E1372C">
        <w:rPr>
          <w:lang w:val="fr-FR" w:bidi="en-US"/>
        </w:rPr>
        <w:t>enseignement primaire (1</w:t>
      </w:r>
      <w:r w:rsidR="00EE0745" w:rsidRPr="00E1372C">
        <w:rPr>
          <w:vertAlign w:val="superscript"/>
          <w:lang w:val="fr-FR" w:bidi="en-US"/>
        </w:rPr>
        <w:t>re</w:t>
      </w:r>
      <w:r w:rsidR="00EE0745" w:rsidRPr="00E1372C">
        <w:rPr>
          <w:lang w:val="fr-FR" w:bidi="en-US"/>
        </w:rPr>
        <w:t xml:space="preserve"> à 10</w:t>
      </w:r>
      <w:r w:rsidR="00EE0745" w:rsidRPr="00E1372C">
        <w:rPr>
          <w:vertAlign w:val="superscript"/>
          <w:lang w:val="fr-FR" w:bidi="en-US"/>
        </w:rPr>
        <w:t>e</w:t>
      </w:r>
      <w:r w:rsidR="004866D1" w:rsidRPr="00E1372C">
        <w:rPr>
          <w:lang w:val="fr-FR" w:bidi="en-US"/>
        </w:rPr>
        <w:t xml:space="preserve"> </w:t>
      </w:r>
      <w:r w:rsidR="00EE0745" w:rsidRPr="00E1372C">
        <w:rPr>
          <w:lang w:val="fr-FR" w:bidi="en-US"/>
        </w:rPr>
        <w:t>années), de l</w:t>
      </w:r>
      <w:r w:rsidR="00731F09" w:rsidRPr="00E1372C">
        <w:rPr>
          <w:lang w:val="fr-FR" w:bidi="en-US"/>
        </w:rPr>
        <w:t>’</w:t>
      </w:r>
      <w:r w:rsidR="00EE0745" w:rsidRPr="00E1372C">
        <w:rPr>
          <w:lang w:val="fr-FR" w:bidi="en-US"/>
        </w:rPr>
        <w:t>enseignement secondaire du second cycle et de l</w:t>
      </w:r>
      <w:r w:rsidR="00731F09" w:rsidRPr="00E1372C">
        <w:rPr>
          <w:lang w:val="fr-FR" w:bidi="en-US"/>
        </w:rPr>
        <w:t>’</w:t>
      </w:r>
      <w:r w:rsidR="00EE0745" w:rsidRPr="00E1372C">
        <w:rPr>
          <w:lang w:val="fr-FR" w:bidi="en-US"/>
        </w:rPr>
        <w:t>enseignement aux élèves ayant des besoins particuliers. Le Programme national reprend le principe établi dans la Constitution de la République de Namibie (1990), le</w:t>
      </w:r>
      <w:r w:rsidR="00AE017E" w:rsidRPr="00E1372C">
        <w:rPr>
          <w:lang w:val="fr-FR" w:bidi="en-US"/>
        </w:rPr>
        <w:t xml:space="preserve"> </w:t>
      </w:r>
      <w:r w:rsidR="004D369B" w:rsidRPr="00E1372C">
        <w:rPr>
          <w:lang w:val="fr-FR" w:bidi="en-US"/>
        </w:rPr>
        <w:t>mandat po</w:t>
      </w:r>
      <w:r w:rsidR="00EE0745" w:rsidRPr="00E1372C">
        <w:rPr>
          <w:lang w:val="fr-FR" w:bidi="en-US"/>
        </w:rPr>
        <w:t xml:space="preserve">ur le développement </w:t>
      </w:r>
      <w:r w:rsidR="00AE017E" w:rsidRPr="00E1372C">
        <w:rPr>
          <w:lang w:val="fr-FR" w:bidi="en-US"/>
        </w:rPr>
        <w:t>«</w:t>
      </w:r>
      <w:r w:rsidR="004866D1" w:rsidRPr="00E1372C">
        <w:rPr>
          <w:lang w:val="fr-FR" w:bidi="en-US"/>
        </w:rPr>
        <w:t xml:space="preserve">Éducation pour tous </w:t>
      </w:r>
      <w:r w:rsidR="00EE0745" w:rsidRPr="00E1372C">
        <w:rPr>
          <w:lang w:val="fr-FR" w:bidi="en-US"/>
        </w:rPr>
        <w:t>(1993)</w:t>
      </w:r>
      <w:r w:rsidR="00AE017E" w:rsidRPr="00E1372C">
        <w:rPr>
          <w:lang w:val="fr-FR" w:bidi="en-US"/>
        </w:rPr>
        <w:t>»</w:t>
      </w:r>
      <w:r w:rsidR="00EE0745" w:rsidRPr="00E1372C">
        <w:rPr>
          <w:lang w:val="fr-FR" w:bidi="en-US"/>
        </w:rPr>
        <w:t xml:space="preserve"> et puise essentiellement dans le rapport de la Commission présidentielle sur l</w:t>
      </w:r>
      <w:r w:rsidR="00731F09" w:rsidRPr="00E1372C">
        <w:rPr>
          <w:lang w:val="fr-FR" w:bidi="en-US"/>
        </w:rPr>
        <w:t>’</w:t>
      </w:r>
      <w:r w:rsidR="00EE0745" w:rsidRPr="00E1372C">
        <w:rPr>
          <w:lang w:val="fr-FR" w:bidi="en-US"/>
        </w:rPr>
        <w:t>éducation, la culture et la formation (1999), la loi relative à l</w:t>
      </w:r>
      <w:r w:rsidR="00731F09" w:rsidRPr="00E1372C">
        <w:rPr>
          <w:lang w:val="fr-FR" w:bidi="en-US"/>
        </w:rPr>
        <w:t>’</w:t>
      </w:r>
      <w:r w:rsidR="004D369B" w:rsidRPr="00E1372C">
        <w:rPr>
          <w:lang w:val="fr-FR" w:bidi="en-US"/>
        </w:rPr>
        <w:t>enseignement</w:t>
      </w:r>
      <w:r w:rsidR="00EE0745" w:rsidRPr="00E1372C">
        <w:rPr>
          <w:lang w:val="fr-FR" w:bidi="en-US"/>
        </w:rPr>
        <w:t xml:space="preserve"> (2001), la politique linguistique dans les écoles en Namibie (1996), le document de travail sur la politique linguistique dans les écoles en Namibie (2003), la politique éducative en matière de TIC, l</w:t>
      </w:r>
      <w:r w:rsidR="00731F09" w:rsidRPr="00E1372C">
        <w:rPr>
          <w:lang w:val="fr-FR" w:bidi="en-US"/>
        </w:rPr>
        <w:t>’</w:t>
      </w:r>
      <w:r w:rsidR="00EE0745" w:rsidRPr="00E1372C">
        <w:rPr>
          <w:lang w:val="fr-FR" w:bidi="en-US"/>
        </w:rPr>
        <w:t>éducation favorable aux élèves dans le contexte namibien</w:t>
      </w:r>
      <w:r w:rsidR="00AE017E" w:rsidRPr="00E1372C">
        <w:rPr>
          <w:lang w:val="fr-FR" w:bidi="en-US"/>
        </w:rPr>
        <w:t>:</w:t>
      </w:r>
      <w:r w:rsidR="00EE0745" w:rsidRPr="00E1372C">
        <w:rPr>
          <w:lang w:val="fr-FR" w:bidi="en-US"/>
        </w:rPr>
        <w:t xml:space="preserve"> un cadre conceptuel (2003), la politique de l</w:t>
      </w:r>
      <w:r w:rsidR="00731F09" w:rsidRPr="00E1372C">
        <w:rPr>
          <w:lang w:val="fr-FR" w:bidi="en-US"/>
        </w:rPr>
        <w:t>’</w:t>
      </w:r>
      <w:r w:rsidR="00EE0745" w:rsidRPr="00E1372C">
        <w:rPr>
          <w:lang w:val="fr-FR" w:bidi="en-US"/>
        </w:rPr>
        <w:t>enseignement spécialisé (2005), l</w:t>
      </w:r>
      <w:r w:rsidR="004D369B" w:rsidRPr="00E1372C">
        <w:rPr>
          <w:lang w:val="fr-FR" w:bidi="en-US"/>
        </w:rPr>
        <w:t>a valorisation</w:t>
      </w:r>
      <w:r w:rsidR="00EE0745" w:rsidRPr="00E1372C">
        <w:rPr>
          <w:lang w:val="fr-FR" w:bidi="en-US"/>
        </w:rPr>
        <w:t xml:space="preserve"> du capital humain et des connaissances pour </w:t>
      </w:r>
      <w:r w:rsidR="00176C5C" w:rsidRPr="00E1372C">
        <w:rPr>
          <w:lang w:val="fr-FR" w:bidi="en-US"/>
        </w:rPr>
        <w:t>une</w:t>
      </w:r>
      <w:r w:rsidR="00EE0745" w:rsidRPr="00E1372C">
        <w:rPr>
          <w:lang w:val="fr-FR" w:bidi="en-US"/>
        </w:rPr>
        <w:t xml:space="preserve"> croissance économique équitable, ainsi que des examens et réformes de programmes et de cours par l</w:t>
      </w:r>
      <w:r w:rsidR="00731F09" w:rsidRPr="00E1372C">
        <w:rPr>
          <w:lang w:val="fr-FR" w:bidi="en-US"/>
        </w:rPr>
        <w:t>’</w:t>
      </w:r>
      <w:r w:rsidR="00EE0745" w:rsidRPr="00E1372C">
        <w:rPr>
          <w:lang w:val="fr-FR" w:bidi="en-US"/>
        </w:rPr>
        <w:t>Institut national du développement de l</w:t>
      </w:r>
      <w:r w:rsidR="00731F09" w:rsidRPr="00E1372C">
        <w:rPr>
          <w:lang w:val="fr-FR" w:bidi="en-US"/>
        </w:rPr>
        <w:t>’</w:t>
      </w:r>
      <w:r w:rsidR="00EE0745" w:rsidRPr="00E1372C">
        <w:rPr>
          <w:lang w:val="fr-FR" w:bidi="en-US"/>
        </w:rPr>
        <w:t>enseignement depuis 2002 et autres rapports de recherche, de suivi et d</w:t>
      </w:r>
      <w:r w:rsidR="00731F09" w:rsidRPr="00E1372C">
        <w:rPr>
          <w:lang w:val="fr-FR" w:bidi="en-US"/>
        </w:rPr>
        <w:t>’</w:t>
      </w:r>
      <w:r w:rsidR="00EE0745" w:rsidRPr="00E1372C">
        <w:rPr>
          <w:lang w:val="fr-FR" w:bidi="en-US"/>
        </w:rPr>
        <w:t>évaluation.</w:t>
      </w:r>
    </w:p>
    <w:p w:rsidR="00A55A0E" w:rsidRPr="00E1372C" w:rsidRDefault="007A1757" w:rsidP="007A1757">
      <w:pPr>
        <w:pStyle w:val="SingleTxtG"/>
        <w:rPr>
          <w:lang w:val="fr-FR" w:bidi="en-US"/>
        </w:rPr>
      </w:pPr>
      <w:r w:rsidRPr="00E1372C">
        <w:rPr>
          <w:lang w:val="fr-FR" w:bidi="en-US"/>
        </w:rPr>
        <w:t>368.</w:t>
      </w:r>
      <w:r w:rsidRPr="00E1372C">
        <w:rPr>
          <w:lang w:val="fr-FR" w:bidi="en-US"/>
        </w:rPr>
        <w:tab/>
      </w:r>
      <w:r w:rsidR="00EE0745" w:rsidRPr="00E1372C">
        <w:rPr>
          <w:lang w:val="fr-FR" w:bidi="en-US"/>
        </w:rPr>
        <w:t>Le Programme national tient compte des changements dans la société namibienne et de nouveaux enjeux comme la mondialisation et le VIH/</w:t>
      </w:r>
      <w:r w:rsidR="00B277C4" w:rsidRPr="00E1372C">
        <w:rPr>
          <w:lang w:val="fr-FR" w:bidi="en-US"/>
        </w:rPr>
        <w:t>sida</w:t>
      </w:r>
      <w:r w:rsidR="00EE0745" w:rsidRPr="00E1372C">
        <w:rPr>
          <w:lang w:val="fr-FR" w:bidi="en-US"/>
        </w:rPr>
        <w:t>. Il doit permettre d</w:t>
      </w:r>
      <w:r w:rsidR="00731F09" w:rsidRPr="00E1372C">
        <w:rPr>
          <w:lang w:val="fr-FR" w:bidi="en-US"/>
        </w:rPr>
        <w:t>’</w:t>
      </w:r>
      <w:r w:rsidR="00EE0745" w:rsidRPr="00E1372C">
        <w:rPr>
          <w:lang w:val="fr-FR" w:bidi="en-US"/>
        </w:rPr>
        <w:t xml:space="preserve">aider à atteindre les objectifs de développement national fixés dans les </w:t>
      </w:r>
      <w:r w:rsidR="00176C5C" w:rsidRPr="00E1372C">
        <w:rPr>
          <w:lang w:val="fr-FR" w:bidi="en-US"/>
        </w:rPr>
        <w:t>deuxième</w:t>
      </w:r>
      <w:r w:rsidR="00EE0745" w:rsidRPr="00E1372C">
        <w:rPr>
          <w:lang w:val="fr-FR" w:bidi="en-US"/>
        </w:rPr>
        <w:t xml:space="preserve"> et </w:t>
      </w:r>
      <w:r w:rsidR="00176C5C" w:rsidRPr="00E1372C">
        <w:rPr>
          <w:lang w:val="fr-FR" w:bidi="en-US"/>
        </w:rPr>
        <w:t>troisième p</w:t>
      </w:r>
      <w:r w:rsidR="00EE0745" w:rsidRPr="00E1372C">
        <w:rPr>
          <w:lang w:val="fr-FR" w:bidi="en-US"/>
        </w:rPr>
        <w:t xml:space="preserve">rogrammes de développement national, le </w:t>
      </w:r>
      <w:r w:rsidR="00176C5C" w:rsidRPr="00E1372C">
        <w:rPr>
          <w:lang w:val="fr-FR" w:bidi="en-US"/>
        </w:rPr>
        <w:t>p</w:t>
      </w:r>
      <w:r w:rsidR="00EE0745" w:rsidRPr="00E1372C">
        <w:rPr>
          <w:lang w:val="fr-FR" w:bidi="en-US"/>
        </w:rPr>
        <w:t>rogramme d</w:t>
      </w:r>
      <w:r w:rsidR="00731F09" w:rsidRPr="00E1372C">
        <w:rPr>
          <w:lang w:val="fr-FR" w:bidi="en-US"/>
        </w:rPr>
        <w:t>’</w:t>
      </w:r>
      <w:r w:rsidR="00EE0745" w:rsidRPr="00E1372C">
        <w:rPr>
          <w:lang w:val="fr-FR" w:bidi="en-US"/>
        </w:rPr>
        <w:t>amélioration du secteur de l</w:t>
      </w:r>
      <w:r w:rsidR="00731F09" w:rsidRPr="00E1372C">
        <w:rPr>
          <w:lang w:val="fr-FR" w:bidi="en-US"/>
        </w:rPr>
        <w:t>’</w:t>
      </w:r>
      <w:r w:rsidR="00EE0745" w:rsidRPr="00E1372C">
        <w:rPr>
          <w:lang w:val="fr-FR" w:bidi="en-US"/>
        </w:rPr>
        <w:t xml:space="preserve">enseignement et la formation (2006) et la perspective à long terme de la </w:t>
      </w:r>
      <w:r w:rsidR="00A55A0E" w:rsidRPr="00E1372C">
        <w:rPr>
          <w:i/>
          <w:lang w:val="fr-FR" w:bidi="en-US"/>
        </w:rPr>
        <w:t>Namibia Vision 2030</w:t>
      </w:r>
      <w:r w:rsidR="00EE0745" w:rsidRPr="00E1372C">
        <w:rPr>
          <w:lang w:val="fr-FR" w:bidi="en-US"/>
        </w:rPr>
        <w:t xml:space="preserve"> (2005)</w:t>
      </w:r>
      <w:r w:rsidR="00A55A0E" w:rsidRPr="00E1372C">
        <w:rPr>
          <w:lang w:val="fr-FR" w:bidi="en-US"/>
        </w:rPr>
        <w:t>.</w:t>
      </w:r>
      <w:r w:rsidR="00EE0745" w:rsidRPr="00E1372C">
        <w:rPr>
          <w:lang w:val="fr-FR" w:bidi="en-US"/>
        </w:rPr>
        <w:t xml:space="preserve"> Ce programme a été conç</w:t>
      </w:r>
      <w:r w:rsidR="004D0F34" w:rsidRPr="00E1372C">
        <w:rPr>
          <w:lang w:val="fr-FR" w:bidi="en-US"/>
        </w:rPr>
        <w:t>u pour orienter l</w:t>
      </w:r>
      <w:r w:rsidR="00731F09" w:rsidRPr="00E1372C">
        <w:rPr>
          <w:lang w:val="fr-FR" w:bidi="en-US"/>
        </w:rPr>
        <w:t>’</w:t>
      </w:r>
      <w:r w:rsidR="004D0F34" w:rsidRPr="00E1372C">
        <w:rPr>
          <w:lang w:val="fr-FR" w:bidi="en-US"/>
        </w:rPr>
        <w:t xml:space="preserve">enseignement primaire vers la réalisation de la </w:t>
      </w:r>
      <w:r w:rsidR="004D0F34" w:rsidRPr="00E1372C">
        <w:rPr>
          <w:i/>
          <w:lang w:val="fr-FR" w:bidi="en-US"/>
        </w:rPr>
        <w:t>Namibia Vision 2030</w:t>
      </w:r>
      <w:r w:rsidR="004D0F34" w:rsidRPr="00E1372C">
        <w:rPr>
          <w:lang w:val="fr-FR" w:bidi="en-US"/>
        </w:rPr>
        <w:t>. Il assure également la continuité des principes fondateurs du système éducatif namibien décrit dans le</w:t>
      </w:r>
      <w:r w:rsidR="00AE017E" w:rsidRPr="00E1372C">
        <w:rPr>
          <w:lang w:val="fr-FR" w:bidi="en-US"/>
        </w:rPr>
        <w:t xml:space="preserve"> </w:t>
      </w:r>
      <w:r w:rsidR="007D512E" w:rsidRPr="00E1372C">
        <w:rPr>
          <w:lang w:val="fr-FR" w:bidi="en-US"/>
        </w:rPr>
        <w:t>mandat po</w:t>
      </w:r>
      <w:r w:rsidR="004D0F34" w:rsidRPr="00E1372C">
        <w:rPr>
          <w:lang w:val="fr-FR" w:bidi="en-US"/>
        </w:rPr>
        <w:t xml:space="preserve">ur le développement </w:t>
      </w:r>
      <w:r w:rsidR="00AE017E" w:rsidRPr="00E1372C">
        <w:rPr>
          <w:lang w:val="fr-FR" w:bidi="en-US"/>
        </w:rPr>
        <w:t>«</w:t>
      </w:r>
      <w:r w:rsidR="004D0F34" w:rsidRPr="00E1372C">
        <w:rPr>
          <w:lang w:val="fr-FR" w:bidi="en-US"/>
        </w:rPr>
        <w:t>Éducation pour tous</w:t>
      </w:r>
      <w:r w:rsidR="00AE017E" w:rsidRPr="00E1372C">
        <w:rPr>
          <w:lang w:val="fr-FR" w:bidi="en-US"/>
        </w:rPr>
        <w:t>»</w:t>
      </w:r>
      <w:r w:rsidR="004D0F34" w:rsidRPr="00E1372C">
        <w:rPr>
          <w:lang w:val="fr-FR" w:bidi="en-US"/>
        </w:rPr>
        <w:t>. L</w:t>
      </w:r>
      <w:r w:rsidR="00731F09" w:rsidRPr="00E1372C">
        <w:rPr>
          <w:lang w:val="fr-FR" w:bidi="en-US"/>
        </w:rPr>
        <w:t>’</w:t>
      </w:r>
      <w:r w:rsidR="004D0F34" w:rsidRPr="00E1372C">
        <w:rPr>
          <w:lang w:val="fr-FR" w:bidi="en-US"/>
        </w:rPr>
        <w:t>objet, les buts, les compétences, les qualifications essentielles et les principaux domaines d</w:t>
      </w:r>
      <w:r w:rsidR="00731F09" w:rsidRPr="00E1372C">
        <w:rPr>
          <w:lang w:val="fr-FR" w:bidi="en-US"/>
        </w:rPr>
        <w:t>’</w:t>
      </w:r>
      <w:r w:rsidR="004D0F34" w:rsidRPr="00E1372C">
        <w:rPr>
          <w:lang w:val="fr-FR" w:bidi="en-US"/>
        </w:rPr>
        <w:t xml:space="preserve">apprentissage ont été définis par rapport à la </w:t>
      </w:r>
      <w:r w:rsidR="00A55A0E" w:rsidRPr="00E1372C">
        <w:rPr>
          <w:i/>
          <w:lang w:val="fr-FR" w:bidi="en-US"/>
        </w:rPr>
        <w:t>Namibia Vision 2030</w:t>
      </w:r>
      <w:r w:rsidR="00F85280" w:rsidRPr="00E1372C">
        <w:rPr>
          <w:lang w:val="fr-FR" w:bidi="en-US"/>
        </w:rPr>
        <w:t>,</w:t>
      </w:r>
      <w:r w:rsidR="00A55A0E" w:rsidRPr="00E1372C">
        <w:rPr>
          <w:lang w:val="fr-FR" w:bidi="en-US"/>
        </w:rPr>
        <w:t xml:space="preserve"> </w:t>
      </w:r>
      <w:r w:rsidR="004D0F34" w:rsidRPr="00E1372C">
        <w:rPr>
          <w:lang w:val="fr-FR" w:bidi="en-US"/>
        </w:rPr>
        <w:t>comme programme d</w:t>
      </w:r>
      <w:r w:rsidR="00731F09" w:rsidRPr="00E1372C">
        <w:rPr>
          <w:lang w:val="fr-FR" w:bidi="en-US"/>
        </w:rPr>
        <w:t>’</w:t>
      </w:r>
      <w:r w:rsidR="004D0F34" w:rsidRPr="00E1372C">
        <w:rPr>
          <w:lang w:val="fr-FR" w:bidi="en-US"/>
        </w:rPr>
        <w:t>avenir</w:t>
      </w:r>
      <w:r w:rsidR="00A55A0E" w:rsidRPr="00E1372C">
        <w:rPr>
          <w:lang w:val="fr-FR" w:bidi="en-US"/>
        </w:rPr>
        <w:t xml:space="preserve">. </w:t>
      </w:r>
    </w:p>
    <w:p w:rsidR="00A55A0E" w:rsidRPr="00E1372C" w:rsidRDefault="00F3232B" w:rsidP="00F3232B">
      <w:pPr>
        <w:pStyle w:val="H23G"/>
        <w:rPr>
          <w:lang w:val="fr-FR" w:bidi="en-US"/>
        </w:rPr>
      </w:pPr>
      <w:r w:rsidRPr="00E1372C">
        <w:rPr>
          <w:lang w:val="fr-FR" w:bidi="en-US"/>
        </w:rPr>
        <w:tab/>
      </w:r>
      <w:r w:rsidRPr="00E1372C">
        <w:rPr>
          <w:lang w:val="fr-FR" w:bidi="en-US"/>
        </w:rPr>
        <w:tab/>
      </w:r>
      <w:r w:rsidR="004D0F34" w:rsidRPr="00E1372C">
        <w:rPr>
          <w:lang w:val="fr-FR" w:bidi="en-US"/>
        </w:rPr>
        <w:t xml:space="preserve">Questions liées </w:t>
      </w:r>
      <w:r w:rsidR="00F31F87" w:rsidRPr="00E1372C">
        <w:rPr>
          <w:lang w:val="fr-FR" w:bidi="en-US"/>
        </w:rPr>
        <w:t>à l</w:t>
      </w:r>
      <w:r w:rsidR="00731F09" w:rsidRPr="00E1372C">
        <w:rPr>
          <w:lang w:val="fr-FR" w:bidi="en-US"/>
        </w:rPr>
        <w:t>’</w:t>
      </w:r>
      <w:r w:rsidR="00F31F87" w:rsidRPr="00E1372C">
        <w:rPr>
          <w:lang w:val="fr-FR" w:bidi="en-US"/>
        </w:rPr>
        <w:t>équité entre les</w:t>
      </w:r>
      <w:r w:rsidR="004D0F34" w:rsidRPr="00E1372C">
        <w:rPr>
          <w:lang w:val="fr-FR" w:bidi="en-US"/>
        </w:rPr>
        <w:t xml:space="preserve"> sexe</w:t>
      </w:r>
      <w:r w:rsidR="00F31F87" w:rsidRPr="00E1372C">
        <w:rPr>
          <w:lang w:val="fr-FR" w:bidi="en-US"/>
        </w:rPr>
        <w:t>s</w:t>
      </w:r>
      <w:r w:rsidR="00A55A0E" w:rsidRPr="00E1372C">
        <w:rPr>
          <w:lang w:val="fr-FR" w:bidi="en-US"/>
        </w:rPr>
        <w:t xml:space="preserve"> </w:t>
      </w:r>
    </w:p>
    <w:p w:rsidR="00B45E1B" w:rsidRPr="00E1372C" w:rsidRDefault="007A1757" w:rsidP="007A1757">
      <w:pPr>
        <w:pStyle w:val="SingleTxtG"/>
        <w:rPr>
          <w:lang w:val="fr-FR" w:bidi="en-US"/>
        </w:rPr>
      </w:pPr>
      <w:r w:rsidRPr="00E1372C">
        <w:rPr>
          <w:lang w:val="fr-FR" w:bidi="en-US"/>
        </w:rPr>
        <w:t>369.</w:t>
      </w:r>
      <w:r w:rsidRPr="00E1372C">
        <w:rPr>
          <w:lang w:val="fr-FR" w:bidi="en-US"/>
        </w:rPr>
        <w:tab/>
      </w:r>
      <w:r w:rsidR="00B45E1B" w:rsidRPr="00E1372C">
        <w:rPr>
          <w:lang w:val="fr-FR" w:bidi="en-US"/>
        </w:rPr>
        <w:t>L</w:t>
      </w:r>
      <w:r w:rsidR="00731F09" w:rsidRPr="00E1372C">
        <w:rPr>
          <w:lang w:val="fr-FR" w:bidi="en-US"/>
        </w:rPr>
        <w:t>’</w:t>
      </w:r>
      <w:r w:rsidR="00B45E1B" w:rsidRPr="00E1372C">
        <w:rPr>
          <w:lang w:val="fr-FR" w:bidi="en-US"/>
        </w:rPr>
        <w:t>équité entre hommes et femmes comporte de nombreux degrés et aspects. Toutes les matières à option doivent être offertes à tout élève indépendamment du sexe. Les critères d</w:t>
      </w:r>
      <w:r w:rsidR="00731F09" w:rsidRPr="00E1372C">
        <w:rPr>
          <w:lang w:val="fr-FR" w:bidi="en-US"/>
        </w:rPr>
        <w:t>’</w:t>
      </w:r>
      <w:r w:rsidR="00B45E1B" w:rsidRPr="00E1372C">
        <w:rPr>
          <w:lang w:val="fr-FR" w:bidi="en-US"/>
        </w:rPr>
        <w:t>orientation relatifs au choix des matières devraient être l</w:t>
      </w:r>
      <w:r w:rsidR="00731F09" w:rsidRPr="00E1372C">
        <w:rPr>
          <w:lang w:val="fr-FR" w:bidi="en-US"/>
        </w:rPr>
        <w:t>’</w:t>
      </w:r>
      <w:r w:rsidR="00B45E1B" w:rsidRPr="00E1372C">
        <w:rPr>
          <w:lang w:val="fr-FR" w:bidi="en-US"/>
        </w:rPr>
        <w:t>intérêt, l</w:t>
      </w:r>
      <w:r w:rsidR="00731F09" w:rsidRPr="00E1372C">
        <w:rPr>
          <w:lang w:val="fr-FR" w:bidi="en-US"/>
        </w:rPr>
        <w:t>’</w:t>
      </w:r>
      <w:r w:rsidR="00B45E1B" w:rsidRPr="00E1372C">
        <w:rPr>
          <w:lang w:val="fr-FR" w:bidi="en-US"/>
        </w:rPr>
        <w:t>aptitude et la capacité des élèves; les enseignants doivent cependant encourager les élèves à étudier des matières indépendamment des stéréotypes sexistes traditionnels et en faire valoir les avantages. De même, il faut débattre franchement de</w:t>
      </w:r>
      <w:r w:rsidR="007D512E" w:rsidRPr="00E1372C">
        <w:rPr>
          <w:lang w:val="fr-FR" w:bidi="en-US"/>
        </w:rPr>
        <w:t xml:space="preserve"> l</w:t>
      </w:r>
      <w:r w:rsidR="00731F09" w:rsidRPr="00E1372C">
        <w:rPr>
          <w:lang w:val="fr-FR" w:bidi="en-US"/>
        </w:rPr>
        <w:t>’</w:t>
      </w:r>
      <w:r w:rsidR="007D512E" w:rsidRPr="00E1372C">
        <w:rPr>
          <w:lang w:val="fr-FR" w:bidi="en-US"/>
        </w:rPr>
        <w:t>idée</w:t>
      </w:r>
      <w:r w:rsidR="00B45E1B" w:rsidRPr="00E1372C">
        <w:rPr>
          <w:lang w:val="fr-FR" w:bidi="en-US"/>
        </w:rPr>
        <w:t xml:space="preserve"> que les filles sont moins capables de réussir en mathématiques et en sciences naturelles et de cette </w:t>
      </w:r>
      <w:r w:rsidR="00F31F87" w:rsidRPr="00E1372C">
        <w:rPr>
          <w:lang w:val="fr-FR" w:bidi="en-US"/>
        </w:rPr>
        <w:t xml:space="preserve">même </w:t>
      </w:r>
      <w:r w:rsidR="00B45E1B" w:rsidRPr="00E1372C">
        <w:rPr>
          <w:lang w:val="fr-FR" w:bidi="en-US"/>
        </w:rPr>
        <w:t>impression qu</w:t>
      </w:r>
      <w:r w:rsidR="00731F09" w:rsidRPr="00E1372C">
        <w:rPr>
          <w:lang w:val="fr-FR" w:bidi="en-US"/>
        </w:rPr>
        <w:t>’</w:t>
      </w:r>
      <w:r w:rsidR="00B45E1B" w:rsidRPr="00E1372C">
        <w:rPr>
          <w:lang w:val="fr-FR" w:bidi="en-US"/>
        </w:rPr>
        <w:t>elles ressentent elles-mêmes.</w:t>
      </w:r>
    </w:p>
    <w:p w:rsidR="00B45E1B" w:rsidRPr="00E1372C" w:rsidRDefault="007A1757" w:rsidP="007A1757">
      <w:pPr>
        <w:pStyle w:val="SingleTxtG"/>
        <w:rPr>
          <w:lang w:val="fr-FR" w:bidi="en-US"/>
        </w:rPr>
      </w:pPr>
      <w:r w:rsidRPr="00E1372C">
        <w:rPr>
          <w:lang w:val="fr-FR" w:bidi="en-US"/>
        </w:rPr>
        <w:t>370.</w:t>
      </w:r>
      <w:r w:rsidRPr="00E1372C">
        <w:rPr>
          <w:lang w:val="fr-FR" w:bidi="en-US"/>
        </w:rPr>
        <w:tab/>
      </w:r>
      <w:r w:rsidR="00B45E1B" w:rsidRPr="00E1372C">
        <w:rPr>
          <w:lang w:val="fr-FR" w:bidi="en-US"/>
        </w:rPr>
        <w:t>Plus profondément, l</w:t>
      </w:r>
      <w:r w:rsidR="00731F09" w:rsidRPr="00E1372C">
        <w:rPr>
          <w:lang w:val="fr-FR" w:bidi="en-US"/>
        </w:rPr>
        <w:t>’</w:t>
      </w:r>
      <w:r w:rsidR="00B45E1B" w:rsidRPr="00E1372C">
        <w:rPr>
          <w:lang w:val="fr-FR" w:bidi="en-US"/>
        </w:rPr>
        <w:t>attitude d</w:t>
      </w:r>
      <w:r w:rsidR="007D512E" w:rsidRPr="00E1372C">
        <w:rPr>
          <w:lang w:val="fr-FR" w:bidi="en-US"/>
        </w:rPr>
        <w:t>e l</w:t>
      </w:r>
      <w:r w:rsidR="00731F09" w:rsidRPr="00E1372C">
        <w:rPr>
          <w:lang w:val="fr-FR" w:bidi="en-US"/>
        </w:rPr>
        <w:t>’</w:t>
      </w:r>
      <w:r w:rsidR="007D512E" w:rsidRPr="00E1372C">
        <w:rPr>
          <w:lang w:val="fr-FR" w:bidi="en-US"/>
        </w:rPr>
        <w:t>enseignant</w:t>
      </w:r>
      <w:r w:rsidR="00B45E1B" w:rsidRPr="00E1372C">
        <w:rPr>
          <w:lang w:val="fr-FR" w:bidi="en-US"/>
        </w:rPr>
        <w:t>, les différents résultats attendus des garçons et des filles et le comportement de la classe ont assurément un effet incitatif ou dissuasif sur les élèves. L</w:t>
      </w:r>
      <w:r w:rsidR="00731F09" w:rsidRPr="00E1372C">
        <w:rPr>
          <w:lang w:val="fr-FR" w:bidi="en-US"/>
        </w:rPr>
        <w:t>’</w:t>
      </w:r>
      <w:r w:rsidR="00F31F87" w:rsidRPr="00E1372C">
        <w:rPr>
          <w:lang w:val="fr-FR" w:bidi="en-US"/>
        </w:rPr>
        <w:t>enseignant</w:t>
      </w:r>
      <w:r w:rsidR="00B45E1B" w:rsidRPr="00E1372C">
        <w:rPr>
          <w:lang w:val="fr-FR" w:bidi="en-US"/>
        </w:rPr>
        <w:t xml:space="preserve"> peut adopter un comportement constructif en matière d</w:t>
      </w:r>
      <w:r w:rsidR="00731F09" w:rsidRPr="00E1372C">
        <w:rPr>
          <w:lang w:val="fr-FR" w:bidi="en-US"/>
        </w:rPr>
        <w:t>’</w:t>
      </w:r>
      <w:r w:rsidR="00B45E1B" w:rsidRPr="00E1372C">
        <w:rPr>
          <w:lang w:val="fr-FR" w:bidi="en-US"/>
        </w:rPr>
        <w:t>équité en veillant à l</w:t>
      </w:r>
      <w:r w:rsidR="00731F09" w:rsidRPr="00E1372C">
        <w:rPr>
          <w:lang w:val="fr-FR" w:bidi="en-US"/>
        </w:rPr>
        <w:t>’</w:t>
      </w:r>
      <w:r w:rsidR="00B45E1B" w:rsidRPr="00E1372C">
        <w:rPr>
          <w:lang w:val="fr-FR" w:bidi="en-US"/>
        </w:rPr>
        <w:t>attention qu</w:t>
      </w:r>
      <w:r w:rsidR="00731F09" w:rsidRPr="00E1372C">
        <w:rPr>
          <w:lang w:val="fr-FR" w:bidi="en-US"/>
        </w:rPr>
        <w:t>’</w:t>
      </w:r>
      <w:r w:rsidR="00B45E1B" w:rsidRPr="00E1372C">
        <w:rPr>
          <w:lang w:val="fr-FR" w:bidi="en-US"/>
        </w:rPr>
        <w:t>il porte – aux filles et aux garçons – et en sachant que filles et garçons peuvent réagir différemment devant certains types de comportement</w:t>
      </w:r>
      <w:r w:rsidR="00AE017E" w:rsidRPr="00E1372C">
        <w:rPr>
          <w:lang w:val="fr-FR" w:bidi="en-US"/>
        </w:rPr>
        <w:t>:</w:t>
      </w:r>
      <w:r w:rsidR="00B45E1B" w:rsidRPr="00E1372C">
        <w:rPr>
          <w:lang w:val="fr-FR" w:bidi="en-US"/>
        </w:rPr>
        <w:t xml:space="preserve"> commentaires désobligeants, expressions ironiques du visage, rudesse ou apparente indifférence. Les réactions et comportements stéréotypés des élèves entre eux, notamment ceux des garçons envers les filles, ont également une influence manifeste. Les enseignants doivent savoir à quel moment il est judicieux d</w:t>
      </w:r>
      <w:r w:rsidR="00731F09" w:rsidRPr="00E1372C">
        <w:rPr>
          <w:lang w:val="fr-FR" w:bidi="en-US"/>
        </w:rPr>
        <w:t>’</w:t>
      </w:r>
      <w:r w:rsidR="00B45E1B" w:rsidRPr="00E1372C">
        <w:rPr>
          <w:lang w:val="fr-FR" w:bidi="en-US"/>
        </w:rPr>
        <w:t xml:space="preserve">intervenir et </w:t>
      </w:r>
      <w:r w:rsidR="007D512E" w:rsidRPr="00E1372C">
        <w:rPr>
          <w:lang w:val="fr-FR" w:bidi="en-US"/>
        </w:rPr>
        <w:t xml:space="preserve">de </w:t>
      </w:r>
      <w:r w:rsidR="00B45E1B" w:rsidRPr="00E1372C">
        <w:rPr>
          <w:lang w:val="fr-FR" w:bidi="en-US"/>
        </w:rPr>
        <w:t>soulever les questions d</w:t>
      </w:r>
      <w:r w:rsidR="00731F09" w:rsidRPr="00E1372C">
        <w:rPr>
          <w:lang w:val="fr-FR" w:bidi="en-US"/>
        </w:rPr>
        <w:t>’</w:t>
      </w:r>
      <w:r w:rsidR="00B45E1B" w:rsidRPr="00E1372C">
        <w:rPr>
          <w:lang w:val="fr-FR" w:bidi="en-US"/>
        </w:rPr>
        <w:t>égalité entre les sexes suscitées par des comportements préjudiciables ou des situations conflictuelles.</w:t>
      </w:r>
    </w:p>
    <w:p w:rsidR="002B5F86" w:rsidRPr="00E1372C" w:rsidRDefault="007A1757" w:rsidP="007A1757">
      <w:pPr>
        <w:pStyle w:val="SingleTxtG"/>
        <w:rPr>
          <w:lang w:val="fr-FR" w:bidi="en-US"/>
        </w:rPr>
      </w:pPr>
      <w:r w:rsidRPr="00E1372C">
        <w:rPr>
          <w:lang w:val="fr-FR" w:bidi="en-US"/>
        </w:rPr>
        <w:t>371.</w:t>
      </w:r>
      <w:r w:rsidRPr="00E1372C">
        <w:rPr>
          <w:lang w:val="fr-FR" w:bidi="en-US"/>
        </w:rPr>
        <w:tab/>
      </w:r>
      <w:r w:rsidR="002B5F86" w:rsidRPr="00E1372C">
        <w:rPr>
          <w:lang w:val="fr-FR" w:bidi="en-US"/>
        </w:rPr>
        <w:t>Ces questions de parité devraient être abordées explicitement dans toutes les matières et les élèves encouragés à examiner les rôles et comportements sexistes stéréotypés, ainsi que la façon dont ils sont apparus et se sont perpétués, pour concevoir des modèles constructifs en matière d</w:t>
      </w:r>
      <w:r w:rsidR="00731F09" w:rsidRPr="00E1372C">
        <w:rPr>
          <w:lang w:val="fr-FR" w:bidi="en-US"/>
        </w:rPr>
        <w:t>’</w:t>
      </w:r>
      <w:r w:rsidR="002B5F86" w:rsidRPr="00E1372C">
        <w:rPr>
          <w:lang w:val="fr-FR" w:bidi="en-US"/>
        </w:rPr>
        <w:t>équité entre les sexes. L</w:t>
      </w:r>
      <w:r w:rsidR="00731F09" w:rsidRPr="00E1372C">
        <w:rPr>
          <w:lang w:val="fr-FR" w:bidi="en-US"/>
        </w:rPr>
        <w:t>’</w:t>
      </w:r>
      <w:r w:rsidR="002B5F86" w:rsidRPr="00E1372C">
        <w:rPr>
          <w:lang w:val="fr-FR" w:bidi="en-US"/>
        </w:rPr>
        <w:t>enseignement des différentes matières devrait permettre de souligner le concours que les femmes apportent et peuvent apporter dans des domaines pratiques où les hommes prédominaient et la valeur de la participation des hommes dans des domaines qui étaient l</w:t>
      </w:r>
      <w:r w:rsidR="00731F09" w:rsidRPr="00E1372C">
        <w:rPr>
          <w:lang w:val="fr-FR" w:bidi="en-US"/>
        </w:rPr>
        <w:t>’</w:t>
      </w:r>
      <w:r w:rsidR="002B5F86" w:rsidRPr="00E1372C">
        <w:rPr>
          <w:lang w:val="fr-FR" w:bidi="en-US"/>
        </w:rPr>
        <w:t xml:space="preserve">apanage des femmes. Les élèves doivent être aptes à </w:t>
      </w:r>
      <w:r w:rsidR="00F31F87" w:rsidRPr="00E1372C">
        <w:rPr>
          <w:lang w:val="fr-FR" w:bidi="en-US"/>
        </w:rPr>
        <w:t>remettre en question</w:t>
      </w:r>
      <w:r w:rsidR="002B5F86" w:rsidRPr="00E1372C">
        <w:rPr>
          <w:lang w:val="fr-FR" w:bidi="en-US"/>
        </w:rPr>
        <w:t xml:space="preserve"> et modifier leur propre comportement et ceux d</w:t>
      </w:r>
      <w:r w:rsidR="00731F09" w:rsidRPr="00E1372C">
        <w:rPr>
          <w:lang w:val="fr-FR" w:bidi="en-US"/>
        </w:rPr>
        <w:t>’</w:t>
      </w:r>
      <w:r w:rsidR="002B5F86" w:rsidRPr="00E1372C">
        <w:rPr>
          <w:lang w:val="fr-FR" w:bidi="en-US"/>
        </w:rPr>
        <w:t>autrui qui se traduisent par toute forme de contrainte ou violence, en particulier à l</w:t>
      </w:r>
      <w:r w:rsidR="00731F09" w:rsidRPr="00E1372C">
        <w:rPr>
          <w:lang w:val="fr-FR" w:bidi="en-US"/>
        </w:rPr>
        <w:t>’</w:t>
      </w:r>
      <w:r w:rsidR="002B5F86" w:rsidRPr="00E1372C">
        <w:rPr>
          <w:lang w:val="fr-FR" w:bidi="en-US"/>
        </w:rPr>
        <w:t>égard des filles et des femmes. Ils doivent comprendre l</w:t>
      </w:r>
      <w:r w:rsidR="00731F09" w:rsidRPr="00E1372C">
        <w:rPr>
          <w:lang w:val="fr-FR" w:bidi="en-US"/>
        </w:rPr>
        <w:t>’</w:t>
      </w:r>
      <w:r w:rsidR="002B5F86" w:rsidRPr="00E1372C">
        <w:rPr>
          <w:lang w:val="fr-FR" w:bidi="en-US"/>
        </w:rPr>
        <w:t xml:space="preserve">importance du respect mutuel et du partage équitable </w:t>
      </w:r>
      <w:r w:rsidR="007D512E" w:rsidRPr="00E1372C">
        <w:rPr>
          <w:lang w:val="fr-FR" w:bidi="en-US"/>
        </w:rPr>
        <w:t xml:space="preserve">de la responsabilité </w:t>
      </w:r>
      <w:r w:rsidR="002B5F86" w:rsidRPr="00E1372C">
        <w:rPr>
          <w:lang w:val="fr-FR" w:bidi="en-US"/>
        </w:rPr>
        <w:t>des tâches et des soins au foyer.</w:t>
      </w:r>
    </w:p>
    <w:p w:rsidR="00A55A0E" w:rsidRPr="00E1372C" w:rsidRDefault="00F3232B" w:rsidP="00F3232B">
      <w:pPr>
        <w:pStyle w:val="H23G"/>
        <w:rPr>
          <w:lang w:val="fr-FR" w:bidi="en-US"/>
        </w:rPr>
      </w:pPr>
      <w:bookmarkStart w:id="17" w:name="_Toc191394155"/>
      <w:r w:rsidRPr="00E1372C">
        <w:rPr>
          <w:lang w:val="fr-FR" w:bidi="en-US"/>
        </w:rPr>
        <w:tab/>
      </w:r>
      <w:r w:rsidRPr="00E1372C">
        <w:rPr>
          <w:lang w:val="fr-FR" w:bidi="en-US"/>
        </w:rPr>
        <w:tab/>
      </w:r>
      <w:r w:rsidR="00084C3D" w:rsidRPr="00E1372C">
        <w:rPr>
          <w:lang w:val="fr-FR" w:bidi="en-US"/>
        </w:rPr>
        <w:t>Éducation non exclusive</w:t>
      </w:r>
      <w:bookmarkEnd w:id="17"/>
    </w:p>
    <w:p w:rsidR="00084C3D" w:rsidRPr="00E1372C" w:rsidRDefault="007A1757" w:rsidP="007A1757">
      <w:pPr>
        <w:pStyle w:val="SingleTxtG"/>
        <w:rPr>
          <w:lang w:val="fr-FR" w:bidi="en-US"/>
        </w:rPr>
      </w:pPr>
      <w:r w:rsidRPr="00E1372C">
        <w:rPr>
          <w:lang w:val="fr-FR" w:bidi="en-US"/>
        </w:rPr>
        <w:t>372.</w:t>
      </w:r>
      <w:r w:rsidRPr="00E1372C">
        <w:rPr>
          <w:lang w:val="fr-FR" w:bidi="en-US"/>
        </w:rPr>
        <w:tab/>
      </w:r>
      <w:r w:rsidR="00084C3D" w:rsidRPr="00E1372C">
        <w:rPr>
          <w:lang w:val="fr-FR" w:bidi="en-US"/>
        </w:rPr>
        <w:t>Les classes namibiennes sont largement hétérogènes et accueillent des élèves présentant une déficience légère. La déficience n</w:t>
      </w:r>
      <w:r w:rsidR="00731F09" w:rsidRPr="00E1372C">
        <w:rPr>
          <w:lang w:val="fr-FR" w:bidi="en-US"/>
        </w:rPr>
        <w:t>’</w:t>
      </w:r>
      <w:r w:rsidR="00084C3D" w:rsidRPr="00E1372C">
        <w:rPr>
          <w:lang w:val="fr-FR" w:bidi="en-US"/>
        </w:rPr>
        <w:t>a pas nécessairement de conséquences sur l</w:t>
      </w:r>
      <w:r w:rsidR="00731F09" w:rsidRPr="00E1372C">
        <w:rPr>
          <w:lang w:val="fr-FR" w:bidi="en-US"/>
        </w:rPr>
        <w:t>’</w:t>
      </w:r>
      <w:r w:rsidR="00084C3D" w:rsidRPr="00E1372C">
        <w:rPr>
          <w:lang w:val="fr-FR" w:bidi="en-US"/>
        </w:rPr>
        <w:t>aptitude à apprendre –</w:t>
      </w:r>
      <w:r w:rsidR="00AE017E" w:rsidRPr="00E1372C">
        <w:rPr>
          <w:lang w:val="fr-FR" w:bidi="en-US"/>
        </w:rPr>
        <w:t xml:space="preserve"> </w:t>
      </w:r>
      <w:r w:rsidR="00084C3D" w:rsidRPr="00E1372C">
        <w:rPr>
          <w:lang w:val="fr-FR" w:bidi="en-US"/>
        </w:rPr>
        <w:t>élèves atteints de troubles physiques, visuels, auditifs ou de difficultés d</w:t>
      </w:r>
      <w:r w:rsidR="00731F09" w:rsidRPr="00E1372C">
        <w:rPr>
          <w:lang w:val="fr-FR" w:bidi="en-US"/>
        </w:rPr>
        <w:t>’</w:t>
      </w:r>
      <w:r w:rsidR="00084C3D" w:rsidRPr="00E1372C">
        <w:rPr>
          <w:lang w:val="fr-FR" w:bidi="en-US"/>
        </w:rPr>
        <w:t xml:space="preserve">élocution et de communication. </w:t>
      </w:r>
      <w:r w:rsidR="009A6A67" w:rsidRPr="00E1372C">
        <w:rPr>
          <w:lang w:val="fr-FR" w:bidi="en-US"/>
        </w:rPr>
        <w:t>C</w:t>
      </w:r>
      <w:r w:rsidR="00084C3D" w:rsidRPr="00E1372C">
        <w:rPr>
          <w:lang w:val="fr-FR" w:bidi="en-US"/>
        </w:rPr>
        <w:t xml:space="preserve">es particularités </w:t>
      </w:r>
      <w:r w:rsidR="009A6A67" w:rsidRPr="00E1372C">
        <w:rPr>
          <w:lang w:val="fr-FR" w:bidi="en-US"/>
        </w:rPr>
        <w:t>n</w:t>
      </w:r>
      <w:r w:rsidR="00731F09" w:rsidRPr="00E1372C">
        <w:rPr>
          <w:lang w:val="fr-FR" w:bidi="en-US"/>
        </w:rPr>
        <w:t>’</w:t>
      </w:r>
      <w:r w:rsidR="00084C3D" w:rsidRPr="00E1372C">
        <w:rPr>
          <w:lang w:val="fr-FR" w:bidi="en-US"/>
        </w:rPr>
        <w:t xml:space="preserve">exigent </w:t>
      </w:r>
      <w:r w:rsidR="009A6A67" w:rsidRPr="00E1372C">
        <w:rPr>
          <w:lang w:val="fr-FR" w:bidi="en-US"/>
        </w:rPr>
        <w:t>guère</w:t>
      </w:r>
      <w:r w:rsidR="00084C3D" w:rsidRPr="00E1372C">
        <w:rPr>
          <w:lang w:val="fr-FR" w:bidi="en-US"/>
        </w:rPr>
        <w:t xml:space="preserve"> de différenciation en matière d</w:t>
      </w:r>
      <w:r w:rsidR="00731F09" w:rsidRPr="00E1372C">
        <w:rPr>
          <w:lang w:val="fr-FR" w:bidi="en-US"/>
        </w:rPr>
        <w:t>’</w:t>
      </w:r>
      <w:r w:rsidR="00084C3D" w:rsidRPr="00E1372C">
        <w:rPr>
          <w:lang w:val="fr-FR" w:bidi="en-US"/>
        </w:rPr>
        <w:t>enseignement et d</w:t>
      </w:r>
      <w:r w:rsidR="00731F09" w:rsidRPr="00E1372C">
        <w:rPr>
          <w:lang w:val="fr-FR" w:bidi="en-US"/>
        </w:rPr>
        <w:t>’</w:t>
      </w:r>
      <w:r w:rsidR="00084C3D" w:rsidRPr="00E1372C">
        <w:rPr>
          <w:lang w:val="fr-FR" w:bidi="en-US"/>
        </w:rPr>
        <w:t>apprentissage; seule est nécessaire la fourniture d</w:t>
      </w:r>
      <w:r w:rsidR="00731F09" w:rsidRPr="00E1372C">
        <w:rPr>
          <w:lang w:val="fr-FR" w:bidi="en-US"/>
        </w:rPr>
        <w:t>’</w:t>
      </w:r>
      <w:r w:rsidR="00084C3D" w:rsidRPr="00E1372C">
        <w:rPr>
          <w:lang w:val="fr-FR" w:bidi="en-US"/>
        </w:rPr>
        <w:t xml:space="preserve">installations, de manuels et </w:t>
      </w:r>
      <w:r w:rsidR="009A6A67" w:rsidRPr="00E1372C">
        <w:rPr>
          <w:lang w:val="fr-FR" w:bidi="en-US"/>
        </w:rPr>
        <w:t>d</w:t>
      </w:r>
      <w:r w:rsidR="00731F09" w:rsidRPr="00E1372C">
        <w:rPr>
          <w:lang w:val="fr-FR" w:bidi="en-US"/>
        </w:rPr>
        <w:t>’</w:t>
      </w:r>
      <w:r w:rsidR="00084C3D" w:rsidRPr="00E1372C">
        <w:rPr>
          <w:lang w:val="fr-FR" w:bidi="en-US"/>
        </w:rPr>
        <w:t>auxiliaires pédagogiques. Des portes larges, des rampes et un mobilier approprié peuvent être installés. Ainsi, des livres à gros caractères peuvent être prévus pour les élèves à la vue faible, des livres sonores, des logiciels vocaux et une imprimante en braille pour les élèves atteints de déficience visuelle. Il est recommandé aux écoles accueillant des élèves atteints de déficience auditive d</w:t>
      </w:r>
      <w:r w:rsidR="00731F09" w:rsidRPr="00E1372C">
        <w:rPr>
          <w:lang w:val="fr-FR" w:bidi="en-US"/>
        </w:rPr>
        <w:t>’</w:t>
      </w:r>
      <w:r w:rsidR="00084C3D" w:rsidRPr="00E1372C">
        <w:rPr>
          <w:lang w:val="fr-FR" w:bidi="en-US"/>
        </w:rPr>
        <w:t>engager des interprètes.</w:t>
      </w:r>
    </w:p>
    <w:p w:rsidR="00A55A0E" w:rsidRPr="00E1372C" w:rsidRDefault="007A1757" w:rsidP="007A1757">
      <w:pPr>
        <w:pStyle w:val="SingleTxtG"/>
        <w:rPr>
          <w:lang w:val="fr-FR" w:bidi="en-US"/>
        </w:rPr>
      </w:pPr>
      <w:r w:rsidRPr="00E1372C">
        <w:rPr>
          <w:lang w:val="fr-FR" w:bidi="en-US"/>
        </w:rPr>
        <w:t>373.</w:t>
      </w:r>
      <w:r w:rsidRPr="00E1372C">
        <w:rPr>
          <w:lang w:val="fr-FR" w:bidi="en-US"/>
        </w:rPr>
        <w:tab/>
      </w:r>
      <w:r w:rsidR="00084C3D" w:rsidRPr="00E1372C">
        <w:rPr>
          <w:lang w:val="fr-FR" w:bidi="en-US"/>
        </w:rPr>
        <w:t>D</w:t>
      </w:r>
      <w:r w:rsidR="00731F09" w:rsidRPr="00E1372C">
        <w:rPr>
          <w:lang w:val="fr-FR" w:bidi="en-US"/>
        </w:rPr>
        <w:t>’</w:t>
      </w:r>
      <w:r w:rsidR="00084C3D" w:rsidRPr="00E1372C">
        <w:rPr>
          <w:lang w:val="fr-FR" w:bidi="en-US"/>
        </w:rPr>
        <w:t>autres formes de déficiences légères peuvent influer sur l</w:t>
      </w:r>
      <w:r w:rsidR="00731F09" w:rsidRPr="00E1372C">
        <w:rPr>
          <w:lang w:val="fr-FR" w:bidi="en-US"/>
        </w:rPr>
        <w:t>’</w:t>
      </w:r>
      <w:r w:rsidR="00084C3D" w:rsidRPr="00E1372C">
        <w:rPr>
          <w:lang w:val="fr-FR" w:bidi="en-US"/>
        </w:rPr>
        <w:t>aptitude des élèves à apprendre</w:t>
      </w:r>
      <w:r w:rsidR="00AE017E" w:rsidRPr="00E1372C">
        <w:rPr>
          <w:lang w:val="fr-FR" w:bidi="en-US"/>
        </w:rPr>
        <w:t>:</w:t>
      </w:r>
      <w:r w:rsidR="00084C3D" w:rsidRPr="00E1372C">
        <w:rPr>
          <w:lang w:val="fr-FR" w:bidi="en-US"/>
        </w:rPr>
        <w:t xml:space="preserve"> par exemple le trouble déficitaire de l</w:t>
      </w:r>
      <w:r w:rsidR="00731F09" w:rsidRPr="00E1372C">
        <w:rPr>
          <w:lang w:val="fr-FR" w:bidi="en-US"/>
        </w:rPr>
        <w:t>’</w:t>
      </w:r>
      <w:r w:rsidR="00084C3D" w:rsidRPr="00E1372C">
        <w:rPr>
          <w:lang w:val="fr-FR" w:bidi="en-US"/>
        </w:rPr>
        <w:t xml:space="preserve">attention, la déficience cognitive telle que le syndrome de </w:t>
      </w:r>
      <w:r w:rsidR="00A55A0E" w:rsidRPr="00E1372C">
        <w:rPr>
          <w:lang w:val="fr-FR" w:bidi="en-US"/>
        </w:rPr>
        <w:t>Down</w:t>
      </w:r>
      <w:r w:rsidR="00BC1BFA" w:rsidRPr="00E1372C">
        <w:rPr>
          <w:lang w:val="fr-FR" w:bidi="en-US"/>
        </w:rPr>
        <w:t>, les troubles causés par l</w:t>
      </w:r>
      <w:r w:rsidR="00731F09" w:rsidRPr="00E1372C">
        <w:rPr>
          <w:lang w:val="fr-FR" w:bidi="en-US"/>
        </w:rPr>
        <w:t>’</w:t>
      </w:r>
      <w:r w:rsidR="00BC1BFA" w:rsidRPr="00E1372C">
        <w:rPr>
          <w:lang w:val="fr-FR" w:bidi="en-US"/>
        </w:rPr>
        <w:t>alcoolisation fœtale et toutes formes atténuées de troubles du comportement socioaffectif. En l</w:t>
      </w:r>
      <w:r w:rsidR="00731F09" w:rsidRPr="00E1372C">
        <w:rPr>
          <w:lang w:val="fr-FR" w:bidi="en-US"/>
        </w:rPr>
        <w:t>’</w:t>
      </w:r>
      <w:r w:rsidR="00BC1BFA" w:rsidRPr="00E1372C">
        <w:rPr>
          <w:lang w:val="fr-FR" w:bidi="en-US"/>
        </w:rPr>
        <w:t>occurrence, un surcroît d</w:t>
      </w:r>
      <w:r w:rsidR="00731F09" w:rsidRPr="00E1372C">
        <w:rPr>
          <w:lang w:val="fr-FR" w:bidi="en-US"/>
        </w:rPr>
        <w:t>’</w:t>
      </w:r>
      <w:r w:rsidR="00BC1BFA" w:rsidRPr="00E1372C">
        <w:rPr>
          <w:lang w:val="fr-FR" w:bidi="en-US"/>
        </w:rPr>
        <w:t>attention doit être porté aux besoins, aptitudes et atouts particuliers de l</w:t>
      </w:r>
      <w:r w:rsidR="00731F09" w:rsidRPr="00E1372C">
        <w:rPr>
          <w:lang w:val="fr-FR" w:bidi="en-US"/>
        </w:rPr>
        <w:t>’</w:t>
      </w:r>
      <w:r w:rsidR="00BC1BFA" w:rsidRPr="00E1372C">
        <w:rPr>
          <w:lang w:val="fr-FR" w:bidi="en-US"/>
        </w:rPr>
        <w:t>élève, sous forme de méthodes pédagogiques appropriées et de documents spécialement adaptés. Progrès et résultats doivent être considérés en fonction de la situation initiale et du potentiel des élèves. Les élèves éprouvant des difficultés à apprendre ne termineront peut-être pas au même niveau que les autres, mais leurs résultats doivent être reconnus. Dans l</w:t>
      </w:r>
      <w:r w:rsidR="00731F09" w:rsidRPr="00E1372C">
        <w:rPr>
          <w:lang w:val="fr-FR" w:bidi="en-US"/>
        </w:rPr>
        <w:t>’</w:t>
      </w:r>
      <w:r w:rsidR="00BC1BFA" w:rsidRPr="00E1372C">
        <w:rPr>
          <w:lang w:val="fr-FR" w:bidi="en-US"/>
        </w:rPr>
        <w:t>enseignement non exclusif, il est primordial d</w:t>
      </w:r>
      <w:r w:rsidR="00731F09" w:rsidRPr="00E1372C">
        <w:rPr>
          <w:lang w:val="fr-FR" w:bidi="en-US"/>
        </w:rPr>
        <w:t>’</w:t>
      </w:r>
      <w:r w:rsidR="00BC1BFA" w:rsidRPr="00E1372C">
        <w:rPr>
          <w:lang w:val="fr-FR" w:bidi="en-US"/>
        </w:rPr>
        <w:t>accepter</w:t>
      </w:r>
      <w:r w:rsidR="003C5923" w:rsidRPr="00E1372C">
        <w:rPr>
          <w:lang w:val="fr-FR" w:bidi="en-US"/>
        </w:rPr>
        <w:t>, comme membres à part entière de la classe,</w:t>
      </w:r>
      <w:r w:rsidR="00BC1BFA" w:rsidRPr="00E1372C">
        <w:rPr>
          <w:lang w:val="fr-FR" w:bidi="en-US"/>
        </w:rPr>
        <w:t xml:space="preserve"> des élèves atteints de déficiences </w:t>
      </w:r>
      <w:r w:rsidR="001A54F9" w:rsidRPr="00E1372C">
        <w:rPr>
          <w:lang w:val="fr-FR" w:bidi="en-US"/>
        </w:rPr>
        <w:t>et dotés d</w:t>
      </w:r>
      <w:r w:rsidR="00731F09" w:rsidRPr="00E1372C">
        <w:rPr>
          <w:lang w:val="fr-FR" w:bidi="en-US"/>
        </w:rPr>
        <w:t>’</w:t>
      </w:r>
      <w:r w:rsidR="001A54F9" w:rsidRPr="00E1372C">
        <w:rPr>
          <w:lang w:val="fr-FR" w:bidi="en-US"/>
        </w:rPr>
        <w:t>aptitudes différentes</w:t>
      </w:r>
      <w:r w:rsidR="00BC1BFA" w:rsidRPr="00E1372C">
        <w:rPr>
          <w:lang w:val="fr-FR" w:bidi="en-US"/>
        </w:rPr>
        <w:t>. Ce principe devrait être respecté au même titre par tous les membres de la classe. Il faut savoir que les résultats de chaque élève dépendront de conditions propices à assurer la réussite</w:t>
      </w:r>
      <w:r w:rsidR="001A54F9" w:rsidRPr="00E1372C">
        <w:rPr>
          <w:lang w:val="fr-FR" w:bidi="en-US"/>
        </w:rPr>
        <w:t>,</w:t>
      </w:r>
      <w:r w:rsidR="00BC1BFA" w:rsidRPr="00E1372C">
        <w:rPr>
          <w:lang w:val="fr-FR" w:bidi="en-US"/>
        </w:rPr>
        <w:t xml:space="preserve"> étant entendu que tous sont égaux et que nul ne doit être abandonné. La société, bienveillante et cohérente, de la </w:t>
      </w:r>
      <w:r w:rsidR="00A55A0E" w:rsidRPr="00E1372C">
        <w:rPr>
          <w:i/>
          <w:lang w:val="fr-FR" w:bidi="en-US"/>
        </w:rPr>
        <w:t>Namibia Vision 2030</w:t>
      </w:r>
      <w:r w:rsidR="00A55A0E" w:rsidRPr="00E1372C">
        <w:rPr>
          <w:lang w:val="fr-FR" w:bidi="en-US"/>
        </w:rPr>
        <w:t xml:space="preserve"> </w:t>
      </w:r>
      <w:r w:rsidR="00BC1BFA" w:rsidRPr="00E1372C">
        <w:rPr>
          <w:lang w:val="fr-FR" w:bidi="en-US"/>
        </w:rPr>
        <w:t>commence en classe.</w:t>
      </w:r>
    </w:p>
    <w:p w:rsidR="00BC1BFA" w:rsidRPr="00E1372C" w:rsidRDefault="007A1757" w:rsidP="007A1757">
      <w:pPr>
        <w:pStyle w:val="SingleTxtG"/>
        <w:rPr>
          <w:lang w:val="fr-FR" w:bidi="en-US"/>
        </w:rPr>
      </w:pPr>
      <w:r w:rsidRPr="00E1372C">
        <w:rPr>
          <w:lang w:val="fr-FR" w:bidi="en-US"/>
        </w:rPr>
        <w:t>374.</w:t>
      </w:r>
      <w:r w:rsidRPr="00E1372C">
        <w:rPr>
          <w:lang w:val="fr-FR" w:bidi="en-US"/>
        </w:rPr>
        <w:tab/>
      </w:r>
      <w:r w:rsidR="00BC1BFA" w:rsidRPr="00E1372C">
        <w:rPr>
          <w:lang w:val="fr-FR" w:bidi="en-US"/>
        </w:rPr>
        <w:t>Dans les seuls cas où le degré de déficience ou de difficulté à apprendre est tel que l</w:t>
      </w:r>
      <w:r w:rsidR="00731F09" w:rsidRPr="00E1372C">
        <w:rPr>
          <w:lang w:val="fr-FR" w:bidi="en-US"/>
        </w:rPr>
        <w:t>’</w:t>
      </w:r>
      <w:r w:rsidR="00BC1BFA" w:rsidRPr="00E1372C">
        <w:rPr>
          <w:lang w:val="fr-FR" w:bidi="en-US"/>
        </w:rPr>
        <w:t>élève ne peut bénéficier d</w:t>
      </w:r>
      <w:r w:rsidR="00731F09" w:rsidRPr="00E1372C">
        <w:rPr>
          <w:lang w:val="fr-FR" w:bidi="en-US"/>
        </w:rPr>
        <w:t>’</w:t>
      </w:r>
      <w:r w:rsidR="00BC1BFA" w:rsidRPr="00E1372C">
        <w:rPr>
          <w:lang w:val="fr-FR" w:bidi="en-US"/>
        </w:rPr>
        <w:t>une pleine intégration, l</w:t>
      </w:r>
      <w:r w:rsidR="00731F09" w:rsidRPr="00E1372C">
        <w:rPr>
          <w:lang w:val="fr-FR" w:bidi="en-US"/>
        </w:rPr>
        <w:t>’</w:t>
      </w:r>
      <w:r w:rsidR="00BC1BFA" w:rsidRPr="00E1372C">
        <w:rPr>
          <w:lang w:val="fr-FR" w:bidi="en-US"/>
        </w:rPr>
        <w:t>enseignement doit se poursuivre au sein d</w:t>
      </w:r>
      <w:r w:rsidR="00731F09" w:rsidRPr="00E1372C">
        <w:rPr>
          <w:lang w:val="fr-FR" w:bidi="en-US"/>
        </w:rPr>
        <w:t>’</w:t>
      </w:r>
      <w:r w:rsidR="00BC1BFA" w:rsidRPr="00E1372C">
        <w:rPr>
          <w:lang w:val="fr-FR" w:bidi="en-US"/>
        </w:rPr>
        <w:t>un groupement selon les aptitudes. Ce service spécial vise à pourvoir aux besoins particuliers de ces élèves, tout en les préparant à leur pleine insertion sociale.</w:t>
      </w:r>
    </w:p>
    <w:p w:rsidR="00BC1BFA" w:rsidRPr="00E1372C" w:rsidRDefault="007A1757" w:rsidP="007A1757">
      <w:pPr>
        <w:pStyle w:val="SingleTxtG"/>
        <w:rPr>
          <w:lang w:val="fr-FR" w:bidi="en-US"/>
        </w:rPr>
      </w:pPr>
      <w:r w:rsidRPr="00E1372C">
        <w:rPr>
          <w:lang w:val="fr-FR" w:bidi="en-US"/>
        </w:rPr>
        <w:t>375.</w:t>
      </w:r>
      <w:r w:rsidRPr="00E1372C">
        <w:rPr>
          <w:lang w:val="fr-FR" w:bidi="en-US"/>
        </w:rPr>
        <w:tab/>
      </w:r>
      <w:r w:rsidR="00BC1BFA" w:rsidRPr="00E1372C">
        <w:rPr>
          <w:lang w:val="fr-FR" w:bidi="en-US"/>
        </w:rPr>
        <w:t>L</w:t>
      </w:r>
      <w:r w:rsidR="00731F09" w:rsidRPr="00E1372C">
        <w:rPr>
          <w:lang w:val="fr-FR" w:bidi="en-US"/>
        </w:rPr>
        <w:t>’</w:t>
      </w:r>
      <w:r w:rsidR="00BC1BFA" w:rsidRPr="00E1372C">
        <w:rPr>
          <w:lang w:val="fr-FR" w:bidi="en-US"/>
        </w:rPr>
        <w:t>éducation religieuse et morale est dispensée dans le cadre du programme scolaire de la 1</w:t>
      </w:r>
      <w:r w:rsidR="00BC1BFA" w:rsidRPr="00E1372C">
        <w:rPr>
          <w:vertAlign w:val="superscript"/>
          <w:lang w:val="fr-FR" w:bidi="en-US"/>
        </w:rPr>
        <w:t>re</w:t>
      </w:r>
      <w:r w:rsidR="00BC1BFA" w:rsidRPr="00E1372C">
        <w:rPr>
          <w:lang w:val="fr-FR" w:bidi="en-US"/>
        </w:rPr>
        <w:t xml:space="preserve"> à la 12</w:t>
      </w:r>
      <w:r w:rsidR="00BC1BFA" w:rsidRPr="00E1372C">
        <w:rPr>
          <w:vertAlign w:val="superscript"/>
          <w:lang w:val="fr-FR" w:bidi="en-US"/>
        </w:rPr>
        <w:t>e</w:t>
      </w:r>
      <w:r w:rsidR="00BA5B7D" w:rsidRPr="00E1372C">
        <w:rPr>
          <w:lang w:val="fr-FR" w:bidi="en-US"/>
        </w:rPr>
        <w:t xml:space="preserve"> </w:t>
      </w:r>
      <w:r w:rsidR="00BC1BFA" w:rsidRPr="00E1372C">
        <w:rPr>
          <w:lang w:val="fr-FR" w:bidi="en-US"/>
        </w:rPr>
        <w:t>année pour que la formation religieuse et morale des élèves corresponde aux convictions des parents et que les enfants soient élevés dans la religion choisie par ces derniers.</w:t>
      </w:r>
    </w:p>
    <w:p w:rsidR="00CD1CF2" w:rsidRPr="00E1372C" w:rsidRDefault="007A1757" w:rsidP="007A1757">
      <w:pPr>
        <w:pStyle w:val="SingleTxtG"/>
        <w:rPr>
          <w:lang w:val="fr-FR" w:bidi="en-US"/>
        </w:rPr>
      </w:pPr>
      <w:r w:rsidRPr="00E1372C">
        <w:rPr>
          <w:lang w:val="fr-FR" w:bidi="en-US"/>
        </w:rPr>
        <w:t>376.</w:t>
      </w:r>
      <w:r w:rsidRPr="00E1372C">
        <w:rPr>
          <w:lang w:val="fr-FR" w:bidi="en-US"/>
        </w:rPr>
        <w:tab/>
      </w:r>
      <w:r w:rsidR="00BC1BFA" w:rsidRPr="00E1372C">
        <w:rPr>
          <w:lang w:val="fr-FR" w:bidi="en-US"/>
        </w:rPr>
        <w:t xml:space="preserve">Les </w:t>
      </w:r>
      <w:r w:rsidR="00CD1CF2" w:rsidRPr="00E1372C">
        <w:rPr>
          <w:lang w:val="fr-FR" w:bidi="en-US"/>
        </w:rPr>
        <w:t>châtiments corporels ne sont pas autorisés au sens de la Constitution et de la loi</w:t>
      </w:r>
      <w:r w:rsidR="001A54F9" w:rsidRPr="00E1372C">
        <w:rPr>
          <w:lang w:val="fr-FR" w:bidi="en-US"/>
        </w:rPr>
        <w:t xml:space="preserve"> </w:t>
      </w:r>
      <w:r w:rsidR="00CD1CF2" w:rsidRPr="00E1372C">
        <w:rPr>
          <w:lang w:val="fr-FR" w:bidi="en-US"/>
        </w:rPr>
        <w:t>n</w:t>
      </w:r>
      <w:r w:rsidR="00B277C4" w:rsidRPr="00E1372C">
        <w:rPr>
          <w:vertAlign w:val="superscript"/>
          <w:lang w:val="fr-FR" w:bidi="en-US"/>
        </w:rPr>
        <w:t>o</w:t>
      </w:r>
      <w:r w:rsidR="00CD1CF2" w:rsidRPr="00E1372C">
        <w:rPr>
          <w:lang w:val="fr-FR" w:bidi="en-US"/>
        </w:rPr>
        <w:t> 16 de 2001 relative à l</w:t>
      </w:r>
      <w:r w:rsidR="00731F09" w:rsidRPr="00E1372C">
        <w:rPr>
          <w:lang w:val="fr-FR" w:bidi="en-US"/>
        </w:rPr>
        <w:t>’</w:t>
      </w:r>
      <w:r w:rsidR="003C5923" w:rsidRPr="00E1372C">
        <w:rPr>
          <w:lang w:val="fr-FR" w:bidi="en-US"/>
        </w:rPr>
        <w:t>enseignement</w:t>
      </w:r>
      <w:r w:rsidR="00AE017E" w:rsidRPr="00E1372C">
        <w:rPr>
          <w:lang w:val="fr-FR" w:bidi="en-US"/>
        </w:rPr>
        <w:t>:</w:t>
      </w:r>
      <w:r w:rsidR="00CD1CF2" w:rsidRPr="00E1372C">
        <w:rPr>
          <w:lang w:val="fr-FR" w:bidi="en-US"/>
        </w:rPr>
        <w:t xml:space="preserve"> toute sanction inhumaine, incompatible avec la dignité est abolie. Les enseignants qui recourent aux châtiments corporels s</w:t>
      </w:r>
      <w:r w:rsidR="00731F09" w:rsidRPr="00E1372C">
        <w:rPr>
          <w:lang w:val="fr-FR" w:bidi="en-US"/>
        </w:rPr>
        <w:t>’</w:t>
      </w:r>
      <w:r w:rsidR="00CD1CF2" w:rsidRPr="00E1372C">
        <w:rPr>
          <w:lang w:val="fr-FR" w:bidi="en-US"/>
        </w:rPr>
        <w:t>exposent à une action disciplinaire ou des poursuites pénales.</w:t>
      </w:r>
    </w:p>
    <w:p w:rsidR="00A55A0E" w:rsidRPr="00E1372C" w:rsidRDefault="00F3232B" w:rsidP="00F3232B">
      <w:pPr>
        <w:pStyle w:val="H23G"/>
        <w:rPr>
          <w:lang w:val="fr-FR" w:bidi="en-US"/>
        </w:rPr>
      </w:pPr>
      <w:r w:rsidRPr="00E1372C">
        <w:rPr>
          <w:lang w:val="fr-FR" w:bidi="en-US"/>
        </w:rPr>
        <w:tab/>
      </w:r>
      <w:r w:rsidRPr="00E1372C">
        <w:rPr>
          <w:lang w:val="fr-FR" w:bidi="en-US"/>
        </w:rPr>
        <w:tab/>
      </w:r>
      <w:r w:rsidR="00CD1CF2" w:rsidRPr="00E1372C">
        <w:rPr>
          <w:lang w:val="fr-FR" w:bidi="en-US"/>
        </w:rPr>
        <w:t>Développement de la petite enfance et enseignement préprimaire</w:t>
      </w:r>
      <w:bookmarkEnd w:id="16"/>
    </w:p>
    <w:p w:rsidR="00CD1CF2" w:rsidRPr="00E1372C" w:rsidRDefault="007A1757" w:rsidP="007A1757">
      <w:pPr>
        <w:pStyle w:val="SingleTxtG"/>
        <w:rPr>
          <w:lang w:val="fr-FR" w:bidi="en-US"/>
        </w:rPr>
      </w:pPr>
      <w:r w:rsidRPr="00E1372C">
        <w:rPr>
          <w:lang w:val="fr-FR" w:bidi="en-US"/>
        </w:rPr>
        <w:t>377.</w:t>
      </w:r>
      <w:r w:rsidRPr="00E1372C">
        <w:rPr>
          <w:lang w:val="fr-FR" w:bidi="en-US"/>
        </w:rPr>
        <w:tab/>
      </w:r>
      <w:r w:rsidR="00CD1CF2" w:rsidRPr="00E1372C">
        <w:rPr>
          <w:lang w:val="fr-FR" w:bidi="en-US"/>
        </w:rPr>
        <w:t>E</w:t>
      </w:r>
      <w:r w:rsidR="00A55A0E" w:rsidRPr="00E1372C">
        <w:rPr>
          <w:lang w:val="fr-FR" w:bidi="en-US"/>
        </w:rPr>
        <w:t xml:space="preserve">n </w:t>
      </w:r>
      <w:r w:rsidR="00CD1CF2" w:rsidRPr="00E1372C">
        <w:rPr>
          <w:lang w:val="fr-FR" w:bidi="en-US"/>
        </w:rPr>
        <w:t>octobre</w:t>
      </w:r>
      <w:r w:rsidR="00A55A0E" w:rsidRPr="00E1372C">
        <w:rPr>
          <w:lang w:val="fr-FR" w:bidi="en-US"/>
        </w:rPr>
        <w:t xml:space="preserve"> 2006</w:t>
      </w:r>
      <w:r w:rsidR="00F85280" w:rsidRPr="00E1372C">
        <w:rPr>
          <w:lang w:val="fr-FR" w:bidi="en-US"/>
        </w:rPr>
        <w:t>,</w:t>
      </w:r>
      <w:r w:rsidR="00A55A0E" w:rsidRPr="00E1372C">
        <w:rPr>
          <w:lang w:val="fr-FR" w:bidi="en-US"/>
        </w:rPr>
        <w:t xml:space="preserve"> </w:t>
      </w:r>
      <w:r w:rsidR="00CD1CF2" w:rsidRPr="00E1372C">
        <w:rPr>
          <w:lang w:val="fr-FR" w:bidi="en-US"/>
        </w:rPr>
        <w:t>le Conseil des ministres a adopté une décision visant à confier au Ministère de l</w:t>
      </w:r>
      <w:r w:rsidR="00731F09" w:rsidRPr="00E1372C">
        <w:rPr>
          <w:lang w:val="fr-FR" w:bidi="en-US"/>
        </w:rPr>
        <w:t>’</w:t>
      </w:r>
      <w:r w:rsidR="00CD1CF2" w:rsidRPr="00E1372C">
        <w:rPr>
          <w:lang w:val="fr-FR" w:bidi="en-US"/>
        </w:rPr>
        <w:t>éducation la responsabilité de l</w:t>
      </w:r>
      <w:r w:rsidR="00731F09" w:rsidRPr="00E1372C">
        <w:rPr>
          <w:lang w:val="fr-FR" w:bidi="en-US"/>
        </w:rPr>
        <w:t>’</w:t>
      </w:r>
      <w:r w:rsidR="00CD1CF2" w:rsidRPr="00E1372C">
        <w:rPr>
          <w:lang w:val="fr-FR" w:bidi="en-US"/>
        </w:rPr>
        <w:t>enseignement primaire qui relevait du Ministère de l</w:t>
      </w:r>
      <w:r w:rsidR="00731F09" w:rsidRPr="00E1372C">
        <w:rPr>
          <w:lang w:val="fr-FR" w:bidi="en-US"/>
        </w:rPr>
        <w:t>’</w:t>
      </w:r>
      <w:r w:rsidR="00CD1CF2" w:rsidRPr="00E1372C">
        <w:rPr>
          <w:lang w:val="fr-FR" w:bidi="en-US"/>
        </w:rPr>
        <w:t>égalité entre les sexes et de la protection de l</w:t>
      </w:r>
      <w:r w:rsidR="00731F09" w:rsidRPr="00E1372C">
        <w:rPr>
          <w:lang w:val="fr-FR" w:bidi="en-US"/>
        </w:rPr>
        <w:t>’</w:t>
      </w:r>
      <w:r w:rsidR="00CD1CF2" w:rsidRPr="00E1372C">
        <w:rPr>
          <w:lang w:val="fr-FR" w:bidi="en-US"/>
        </w:rPr>
        <w:t>enfance. En conséquence, les classes de la petite enfance (de 0 à 4 ans) demeurent sous l</w:t>
      </w:r>
      <w:r w:rsidR="00731F09" w:rsidRPr="00E1372C">
        <w:rPr>
          <w:lang w:val="fr-FR" w:bidi="en-US"/>
        </w:rPr>
        <w:t>’</w:t>
      </w:r>
      <w:r w:rsidR="00CD1CF2" w:rsidRPr="00E1372C">
        <w:rPr>
          <w:lang w:val="fr-FR" w:bidi="en-US"/>
        </w:rPr>
        <w:t>égide du Ministère de l</w:t>
      </w:r>
      <w:r w:rsidR="00731F09" w:rsidRPr="00E1372C">
        <w:rPr>
          <w:lang w:val="fr-FR" w:bidi="en-US"/>
        </w:rPr>
        <w:t>’</w:t>
      </w:r>
      <w:r w:rsidR="00CD1CF2" w:rsidRPr="00E1372C">
        <w:rPr>
          <w:lang w:val="fr-FR" w:bidi="en-US"/>
        </w:rPr>
        <w:t xml:space="preserve">égalité entre les sexes et </w:t>
      </w:r>
      <w:r w:rsidR="001A54F9" w:rsidRPr="00E1372C">
        <w:rPr>
          <w:lang w:val="fr-FR" w:bidi="en-US"/>
        </w:rPr>
        <w:t xml:space="preserve">de </w:t>
      </w:r>
      <w:r w:rsidR="00CD1CF2" w:rsidRPr="00E1372C">
        <w:rPr>
          <w:lang w:val="fr-FR" w:bidi="en-US"/>
        </w:rPr>
        <w:t>la protection de l</w:t>
      </w:r>
      <w:r w:rsidR="00731F09" w:rsidRPr="00E1372C">
        <w:rPr>
          <w:lang w:val="fr-FR" w:bidi="en-US"/>
        </w:rPr>
        <w:t>’</w:t>
      </w:r>
      <w:r w:rsidR="00CD1CF2" w:rsidRPr="00E1372C">
        <w:rPr>
          <w:lang w:val="fr-FR" w:bidi="en-US"/>
        </w:rPr>
        <w:t>enfance et l</w:t>
      </w:r>
      <w:r w:rsidR="00731F09" w:rsidRPr="00E1372C">
        <w:rPr>
          <w:lang w:val="fr-FR" w:bidi="en-US"/>
        </w:rPr>
        <w:t>’</w:t>
      </w:r>
      <w:r w:rsidR="00CD1CF2" w:rsidRPr="00E1372C">
        <w:rPr>
          <w:lang w:val="fr-FR" w:bidi="en-US"/>
        </w:rPr>
        <w:t>année sco</w:t>
      </w:r>
      <w:r w:rsidR="00F3232B" w:rsidRPr="00E1372C">
        <w:rPr>
          <w:lang w:val="fr-FR" w:bidi="en-US"/>
        </w:rPr>
        <w:t>laire préprimaire (enfants de 5 </w:t>
      </w:r>
      <w:r w:rsidR="00CD1CF2" w:rsidRPr="00E1372C">
        <w:rPr>
          <w:lang w:val="fr-FR" w:bidi="en-US"/>
        </w:rPr>
        <w:t>et 6 ans) relèvera de l</w:t>
      </w:r>
      <w:r w:rsidR="00731F09" w:rsidRPr="00E1372C">
        <w:rPr>
          <w:lang w:val="fr-FR" w:bidi="en-US"/>
        </w:rPr>
        <w:t>’</w:t>
      </w:r>
      <w:r w:rsidR="00CD1CF2" w:rsidRPr="00E1372C">
        <w:rPr>
          <w:lang w:val="fr-FR" w:bidi="en-US"/>
        </w:rPr>
        <w:t>enseignement primaire. La période préprimaire a pour objet</w:t>
      </w:r>
      <w:r w:rsidR="003C5923" w:rsidRPr="00E1372C">
        <w:rPr>
          <w:lang w:val="fr-FR" w:bidi="en-US"/>
        </w:rPr>
        <w:t xml:space="preserve"> d</w:t>
      </w:r>
      <w:r w:rsidR="00731F09" w:rsidRPr="00E1372C">
        <w:rPr>
          <w:lang w:val="fr-FR" w:bidi="en-US"/>
        </w:rPr>
        <w:t>’</w:t>
      </w:r>
      <w:r w:rsidR="003C5923" w:rsidRPr="00E1372C">
        <w:rPr>
          <w:lang w:val="fr-FR" w:bidi="en-US"/>
        </w:rPr>
        <w:t>assurer</w:t>
      </w:r>
      <w:r w:rsidR="00CD1CF2" w:rsidRPr="00E1372C">
        <w:rPr>
          <w:lang w:val="fr-FR" w:bidi="en-US"/>
        </w:rPr>
        <w:t xml:space="preserve"> de solides bases d</w:t>
      </w:r>
      <w:r w:rsidR="00731F09" w:rsidRPr="00E1372C">
        <w:rPr>
          <w:lang w:val="fr-FR" w:bidi="en-US"/>
        </w:rPr>
        <w:t>’</w:t>
      </w:r>
      <w:r w:rsidR="00CD1CF2" w:rsidRPr="00E1372C">
        <w:rPr>
          <w:lang w:val="fr-FR" w:bidi="en-US"/>
        </w:rPr>
        <w:t>apprentissage dans le système d</w:t>
      </w:r>
      <w:r w:rsidR="00731F09" w:rsidRPr="00E1372C">
        <w:rPr>
          <w:lang w:val="fr-FR" w:bidi="en-US"/>
        </w:rPr>
        <w:t>’</w:t>
      </w:r>
      <w:r w:rsidR="00CD1CF2" w:rsidRPr="00E1372C">
        <w:rPr>
          <w:lang w:val="fr-FR" w:bidi="en-US"/>
        </w:rPr>
        <w:t>enseignement structuré. Elle marque le début des bases d</w:t>
      </w:r>
      <w:r w:rsidR="00731F09" w:rsidRPr="00E1372C">
        <w:rPr>
          <w:lang w:val="fr-FR" w:bidi="en-US"/>
        </w:rPr>
        <w:t>’</w:t>
      </w:r>
      <w:r w:rsidR="00CD1CF2" w:rsidRPr="00E1372C">
        <w:rPr>
          <w:lang w:val="fr-FR" w:bidi="en-US"/>
        </w:rPr>
        <w:t>alphabétisation, de maîtrise du calcul, des compétences pratiques, ainsi que de la confiance en soi et l</w:t>
      </w:r>
      <w:r w:rsidR="00731F09" w:rsidRPr="00E1372C">
        <w:rPr>
          <w:lang w:val="fr-FR" w:bidi="en-US"/>
        </w:rPr>
        <w:t>’</w:t>
      </w:r>
      <w:r w:rsidR="00CD1CF2" w:rsidRPr="00E1372C">
        <w:rPr>
          <w:lang w:val="fr-FR" w:bidi="en-US"/>
        </w:rPr>
        <w:t>estime de soi par le développement personnel et social. L</w:t>
      </w:r>
      <w:r w:rsidR="00731F09" w:rsidRPr="00E1372C">
        <w:rPr>
          <w:lang w:val="fr-FR" w:bidi="en-US"/>
        </w:rPr>
        <w:t>’</w:t>
      </w:r>
      <w:r w:rsidR="003C5923" w:rsidRPr="00E1372C">
        <w:rPr>
          <w:lang w:val="fr-FR" w:bidi="en-US"/>
        </w:rPr>
        <w:t>acquisition de</w:t>
      </w:r>
      <w:r w:rsidR="00CD1CF2" w:rsidRPr="00E1372C">
        <w:rPr>
          <w:lang w:val="fr-FR" w:bidi="en-US"/>
        </w:rPr>
        <w:t xml:space="preserve"> bonnes bases durant cette année scolaire </w:t>
      </w:r>
      <w:r w:rsidR="003C5923" w:rsidRPr="00E1372C">
        <w:rPr>
          <w:lang w:val="fr-FR" w:bidi="en-US"/>
        </w:rPr>
        <w:t>donnera à</w:t>
      </w:r>
      <w:r w:rsidR="00CD1CF2" w:rsidRPr="00E1372C">
        <w:rPr>
          <w:lang w:val="fr-FR" w:bidi="en-US"/>
        </w:rPr>
        <w:t xml:space="preserve"> l</w:t>
      </w:r>
      <w:r w:rsidR="00731F09" w:rsidRPr="00E1372C">
        <w:rPr>
          <w:lang w:val="fr-FR" w:bidi="en-US"/>
        </w:rPr>
        <w:t>’</w:t>
      </w:r>
      <w:r w:rsidR="00CD1CF2" w:rsidRPr="00E1372C">
        <w:rPr>
          <w:lang w:val="fr-FR" w:bidi="en-US"/>
        </w:rPr>
        <w:t>élève</w:t>
      </w:r>
      <w:r w:rsidR="003C5923" w:rsidRPr="00E1372C">
        <w:rPr>
          <w:lang w:val="fr-FR" w:bidi="en-US"/>
        </w:rPr>
        <w:t xml:space="preserve"> les moyens de</w:t>
      </w:r>
      <w:r w:rsidR="00CD1CF2" w:rsidRPr="00E1372C">
        <w:rPr>
          <w:lang w:val="fr-FR" w:bidi="en-US"/>
        </w:rPr>
        <w:t xml:space="preserve"> poursuivre ses études.</w:t>
      </w:r>
    </w:p>
    <w:p w:rsidR="00A55A0E" w:rsidRPr="00E1372C" w:rsidRDefault="007A1757" w:rsidP="007A1757">
      <w:pPr>
        <w:pStyle w:val="SingleTxtG"/>
        <w:rPr>
          <w:b/>
          <w:lang w:val="fr-FR" w:bidi="en-US"/>
        </w:rPr>
      </w:pPr>
      <w:r w:rsidRPr="00E1372C">
        <w:rPr>
          <w:lang w:val="fr-FR" w:bidi="en-US"/>
        </w:rPr>
        <w:t>378.</w:t>
      </w:r>
      <w:r w:rsidRPr="00E1372C">
        <w:rPr>
          <w:lang w:val="fr-FR" w:bidi="en-US"/>
        </w:rPr>
        <w:tab/>
      </w:r>
      <w:r w:rsidR="001A54F9" w:rsidRPr="00E1372C">
        <w:rPr>
          <w:lang w:val="fr-FR" w:bidi="en-US"/>
        </w:rPr>
        <w:t>Des</w:t>
      </w:r>
      <w:r w:rsidR="00A55A0E" w:rsidRPr="00E1372C">
        <w:rPr>
          <w:lang w:val="fr-FR" w:bidi="en-US"/>
        </w:rPr>
        <w:t xml:space="preserve"> programmes </w:t>
      </w:r>
      <w:r w:rsidR="001A54F9" w:rsidRPr="00E1372C">
        <w:rPr>
          <w:lang w:val="fr-FR" w:bidi="en-US"/>
        </w:rPr>
        <w:t>de développement de la petite enfance et d</w:t>
      </w:r>
      <w:r w:rsidR="00731F09" w:rsidRPr="00E1372C">
        <w:rPr>
          <w:lang w:val="fr-FR" w:bidi="en-US"/>
        </w:rPr>
        <w:t>’</w:t>
      </w:r>
      <w:r w:rsidR="001A54F9" w:rsidRPr="00E1372C">
        <w:rPr>
          <w:lang w:val="fr-FR" w:bidi="en-US"/>
        </w:rPr>
        <w:t>enseignement préprimaire satisfaisants offrent des conditions propices à la formation générale des enfants, en les préparant à la scolarité classique</w:t>
      </w:r>
      <w:r w:rsidR="00A55A0E" w:rsidRPr="00E1372C">
        <w:rPr>
          <w:lang w:val="fr-FR" w:bidi="en-US"/>
        </w:rPr>
        <w:t xml:space="preserve">. </w:t>
      </w:r>
      <w:r w:rsidR="001A54F9" w:rsidRPr="00E1372C">
        <w:rPr>
          <w:lang w:val="fr-FR" w:bidi="en-US"/>
        </w:rPr>
        <w:t>L</w:t>
      </w:r>
      <w:r w:rsidR="00731F09" w:rsidRPr="00E1372C">
        <w:rPr>
          <w:lang w:val="fr-FR" w:bidi="en-US"/>
        </w:rPr>
        <w:t>’</w:t>
      </w:r>
      <w:r w:rsidR="001A54F9" w:rsidRPr="00E1372C">
        <w:rPr>
          <w:lang w:val="fr-FR" w:bidi="en-US"/>
        </w:rPr>
        <w:t>enseignement préprimaire u</w:t>
      </w:r>
      <w:r w:rsidR="00A55A0E" w:rsidRPr="00E1372C">
        <w:rPr>
          <w:lang w:val="fr-FR" w:bidi="en-US"/>
        </w:rPr>
        <w:t>nivers</w:t>
      </w:r>
      <w:r w:rsidR="001A54F9" w:rsidRPr="00E1372C">
        <w:rPr>
          <w:lang w:val="fr-FR" w:bidi="en-US"/>
        </w:rPr>
        <w:t>e</w:t>
      </w:r>
      <w:r w:rsidR="00A55A0E" w:rsidRPr="00E1372C">
        <w:rPr>
          <w:lang w:val="fr-FR" w:bidi="en-US"/>
        </w:rPr>
        <w:t>l</w:t>
      </w:r>
      <w:r w:rsidR="001A54F9" w:rsidRPr="00E1372C">
        <w:rPr>
          <w:lang w:val="fr-FR" w:bidi="en-US"/>
        </w:rPr>
        <w:t xml:space="preserve"> favorise l</w:t>
      </w:r>
      <w:r w:rsidR="00731F09" w:rsidRPr="00E1372C">
        <w:rPr>
          <w:lang w:val="fr-FR" w:bidi="en-US"/>
        </w:rPr>
        <w:t>’</w:t>
      </w:r>
      <w:r w:rsidR="001A54F9" w:rsidRPr="00E1372C">
        <w:rPr>
          <w:lang w:val="fr-FR" w:bidi="en-US"/>
        </w:rPr>
        <w:t>équité au moment d</w:t>
      </w:r>
      <w:r w:rsidR="00731F09" w:rsidRPr="00E1372C">
        <w:rPr>
          <w:lang w:val="fr-FR" w:bidi="en-US"/>
        </w:rPr>
        <w:t>’</w:t>
      </w:r>
      <w:r w:rsidR="001A54F9" w:rsidRPr="00E1372C">
        <w:rPr>
          <w:lang w:val="fr-FR" w:bidi="en-US"/>
        </w:rPr>
        <w:t>intégrer l</w:t>
      </w:r>
      <w:r w:rsidR="00731F09" w:rsidRPr="00E1372C">
        <w:rPr>
          <w:lang w:val="fr-FR" w:bidi="en-US"/>
        </w:rPr>
        <w:t>’</w:t>
      </w:r>
      <w:r w:rsidR="001A54F9" w:rsidRPr="00E1372C">
        <w:rPr>
          <w:lang w:val="fr-FR" w:bidi="en-US"/>
        </w:rPr>
        <w:t>enseignement primaire, en particulier pour les enfants ayant des difficultés</w:t>
      </w:r>
      <w:r w:rsidR="00A55A0E" w:rsidRPr="00E1372C">
        <w:rPr>
          <w:lang w:val="fr-FR" w:bidi="en-US"/>
        </w:rPr>
        <w:t xml:space="preserve">. </w:t>
      </w:r>
      <w:r w:rsidR="0036272E" w:rsidRPr="00E1372C">
        <w:rPr>
          <w:lang w:val="fr-FR" w:bidi="en-US"/>
        </w:rPr>
        <w:t>Il n</w:t>
      </w:r>
      <w:r w:rsidR="00731F09" w:rsidRPr="00E1372C">
        <w:rPr>
          <w:lang w:val="fr-FR" w:bidi="en-US"/>
        </w:rPr>
        <w:t>’</w:t>
      </w:r>
      <w:r w:rsidR="0036272E" w:rsidRPr="00E1372C">
        <w:rPr>
          <w:lang w:val="fr-FR" w:bidi="en-US"/>
        </w:rPr>
        <w:t>est pas encore une condition obligatoire pour l</w:t>
      </w:r>
      <w:r w:rsidR="00731F09" w:rsidRPr="00E1372C">
        <w:rPr>
          <w:lang w:val="fr-FR" w:bidi="en-US"/>
        </w:rPr>
        <w:t>’</w:t>
      </w:r>
      <w:r w:rsidR="0036272E" w:rsidRPr="00E1372C">
        <w:rPr>
          <w:lang w:val="fr-FR" w:bidi="en-US"/>
        </w:rPr>
        <w:t xml:space="preserve">admission </w:t>
      </w:r>
      <w:r w:rsidR="0039211B" w:rsidRPr="00E1372C">
        <w:rPr>
          <w:lang w:val="fr-FR" w:bidi="en-US"/>
        </w:rPr>
        <w:t>dans l</w:t>
      </w:r>
      <w:r w:rsidR="00731F09" w:rsidRPr="00E1372C">
        <w:rPr>
          <w:lang w:val="fr-FR" w:bidi="en-US"/>
        </w:rPr>
        <w:t>’</w:t>
      </w:r>
      <w:r w:rsidR="0039211B" w:rsidRPr="00E1372C">
        <w:rPr>
          <w:lang w:val="fr-FR" w:bidi="en-US"/>
        </w:rPr>
        <w:t xml:space="preserve">enseignement </w:t>
      </w:r>
      <w:r w:rsidR="0036272E" w:rsidRPr="00E1372C">
        <w:rPr>
          <w:lang w:val="fr-FR" w:bidi="en-US"/>
        </w:rPr>
        <w:t>primaire, mais il sera étendu dès que possible dans tout le pays. Les enfants qui ont suivi les programmes de développement de la petite enfance, voir</w:t>
      </w:r>
      <w:r w:rsidR="0039211B" w:rsidRPr="00E1372C">
        <w:rPr>
          <w:lang w:val="fr-FR" w:bidi="en-US"/>
        </w:rPr>
        <w:t>e</w:t>
      </w:r>
      <w:r w:rsidR="0036272E" w:rsidRPr="00E1372C">
        <w:rPr>
          <w:lang w:val="fr-FR" w:bidi="en-US"/>
        </w:rPr>
        <w:t xml:space="preserve"> l</w:t>
      </w:r>
      <w:r w:rsidR="00731F09" w:rsidRPr="00E1372C">
        <w:rPr>
          <w:lang w:val="fr-FR" w:bidi="en-US"/>
        </w:rPr>
        <w:t>’</w:t>
      </w:r>
      <w:r w:rsidR="0036272E" w:rsidRPr="00E1372C">
        <w:rPr>
          <w:lang w:val="fr-FR" w:bidi="en-US"/>
        </w:rPr>
        <w:t>enseignement préprimaire selon une pédagogie appropriée, progressent mieux dans l</w:t>
      </w:r>
      <w:r w:rsidR="00731F09" w:rsidRPr="00E1372C">
        <w:rPr>
          <w:lang w:val="fr-FR" w:bidi="en-US"/>
        </w:rPr>
        <w:t>’</w:t>
      </w:r>
      <w:r w:rsidR="0036272E" w:rsidRPr="00E1372C">
        <w:rPr>
          <w:lang w:val="fr-FR" w:bidi="en-US"/>
        </w:rPr>
        <w:t>enseignement primaire et obtiennent de meilleurs résultats. Toute pédagogie appropriée tient compte des élèves en associant jeux et apprentissage d</w:t>
      </w:r>
      <w:r w:rsidR="00731F09" w:rsidRPr="00E1372C">
        <w:rPr>
          <w:lang w:val="fr-FR" w:bidi="en-US"/>
        </w:rPr>
        <w:t>’</w:t>
      </w:r>
      <w:r w:rsidR="0036272E" w:rsidRPr="00E1372C">
        <w:rPr>
          <w:lang w:val="fr-FR" w:bidi="en-US"/>
        </w:rPr>
        <w:t>une manière tant libre que structurée.</w:t>
      </w:r>
    </w:p>
    <w:p w:rsidR="00A55A0E" w:rsidRPr="00E1372C" w:rsidRDefault="00F3232B" w:rsidP="00F3232B">
      <w:pPr>
        <w:pStyle w:val="H23G"/>
        <w:rPr>
          <w:lang w:val="fr-FR" w:bidi="en-US"/>
        </w:rPr>
      </w:pPr>
      <w:r w:rsidRPr="00E1372C">
        <w:rPr>
          <w:lang w:val="fr-FR" w:bidi="en-US"/>
        </w:rPr>
        <w:tab/>
      </w:r>
      <w:r w:rsidRPr="00E1372C">
        <w:rPr>
          <w:lang w:val="fr-FR" w:bidi="en-US"/>
        </w:rPr>
        <w:tab/>
      </w:r>
      <w:r w:rsidR="0036272E" w:rsidRPr="00E1372C">
        <w:rPr>
          <w:lang w:val="fr-FR" w:bidi="en-US"/>
        </w:rPr>
        <w:t>Droits de l</w:t>
      </w:r>
      <w:r w:rsidR="00731F09" w:rsidRPr="00E1372C">
        <w:rPr>
          <w:lang w:val="fr-FR" w:bidi="en-US"/>
        </w:rPr>
        <w:t>’</w:t>
      </w:r>
      <w:r w:rsidR="0036272E" w:rsidRPr="00E1372C">
        <w:rPr>
          <w:lang w:val="fr-FR" w:bidi="en-US"/>
        </w:rPr>
        <w:t>homme et éducation</w:t>
      </w:r>
    </w:p>
    <w:p w:rsidR="00504CA7" w:rsidRPr="00E1372C" w:rsidRDefault="007A1757" w:rsidP="007A1757">
      <w:pPr>
        <w:pStyle w:val="SingleTxtG"/>
        <w:rPr>
          <w:lang w:val="fr-FR" w:bidi="en-US"/>
        </w:rPr>
      </w:pPr>
      <w:r w:rsidRPr="00E1372C">
        <w:rPr>
          <w:lang w:val="fr-FR" w:bidi="en-US"/>
        </w:rPr>
        <w:t>379.</w:t>
      </w:r>
      <w:r w:rsidRPr="00E1372C">
        <w:rPr>
          <w:lang w:val="fr-FR" w:bidi="en-US"/>
        </w:rPr>
        <w:tab/>
      </w:r>
      <w:r w:rsidR="00504CA7" w:rsidRPr="00E1372C">
        <w:rPr>
          <w:lang w:val="fr-FR" w:bidi="en-US"/>
        </w:rPr>
        <w:t>Le Gouvernement reconnaît que l</w:t>
      </w:r>
      <w:r w:rsidR="00731F09" w:rsidRPr="00E1372C">
        <w:rPr>
          <w:lang w:val="fr-FR"/>
        </w:rPr>
        <w:t>’</w:t>
      </w:r>
      <w:r w:rsidR="00504CA7" w:rsidRPr="00E1372C">
        <w:rPr>
          <w:lang w:val="fr-FR"/>
        </w:rPr>
        <w:t>éducation est à la fois un droit fondamental en soi et une des clefs de l</w:t>
      </w:r>
      <w:r w:rsidR="00731F09" w:rsidRPr="00E1372C">
        <w:rPr>
          <w:lang w:val="fr-FR"/>
        </w:rPr>
        <w:t>’</w:t>
      </w:r>
      <w:r w:rsidR="00BA5B7D" w:rsidRPr="00E1372C">
        <w:rPr>
          <w:lang w:val="fr-FR"/>
        </w:rPr>
        <w:t xml:space="preserve">exercice des autres </w:t>
      </w:r>
      <w:r w:rsidR="00504CA7" w:rsidRPr="00E1372C">
        <w:rPr>
          <w:lang w:val="fr-FR"/>
        </w:rPr>
        <w:t>droits inhérents à la personne humaine. L</w:t>
      </w:r>
      <w:r w:rsidR="00731F09" w:rsidRPr="00E1372C">
        <w:rPr>
          <w:lang w:val="fr-FR"/>
        </w:rPr>
        <w:t>’</w:t>
      </w:r>
      <w:r w:rsidR="00504CA7" w:rsidRPr="00E1372C">
        <w:rPr>
          <w:lang w:val="fr-FR"/>
        </w:rPr>
        <w:t>éducation est un droit de l</w:t>
      </w:r>
      <w:r w:rsidR="00731F09" w:rsidRPr="00E1372C">
        <w:rPr>
          <w:lang w:val="fr-FR"/>
        </w:rPr>
        <w:t>’</w:t>
      </w:r>
      <w:r w:rsidR="00504CA7" w:rsidRPr="00E1372C">
        <w:rPr>
          <w:lang w:val="fr-FR"/>
        </w:rPr>
        <w:t>homme fondamental et ce droit est un principe essentiel dans la Constitution. Étant donné un passé historique de discrimination raciale, de ségrégation sous le régime de l</w:t>
      </w:r>
      <w:r w:rsidR="00731F09" w:rsidRPr="00E1372C">
        <w:rPr>
          <w:lang w:val="fr-FR"/>
        </w:rPr>
        <w:t>’</w:t>
      </w:r>
      <w:r w:rsidR="00504CA7" w:rsidRPr="00E1372C">
        <w:rPr>
          <w:lang w:val="fr-FR"/>
        </w:rPr>
        <w:t>apartheid et la guerre de libération, l</w:t>
      </w:r>
      <w:r w:rsidR="00731F09" w:rsidRPr="00E1372C">
        <w:rPr>
          <w:lang w:val="fr-FR"/>
        </w:rPr>
        <w:t>’</w:t>
      </w:r>
      <w:r w:rsidR="00504CA7" w:rsidRPr="00E1372C">
        <w:rPr>
          <w:lang w:val="fr-FR"/>
        </w:rPr>
        <w:t>enseignement des droits de l</w:t>
      </w:r>
      <w:r w:rsidR="00731F09" w:rsidRPr="00E1372C">
        <w:rPr>
          <w:lang w:val="fr-FR"/>
        </w:rPr>
        <w:t>’</w:t>
      </w:r>
      <w:r w:rsidR="00504CA7" w:rsidRPr="00E1372C">
        <w:rPr>
          <w:lang w:val="fr-FR"/>
        </w:rPr>
        <w:t>homme est inscrit dans les programmes scolaires de formation et d</w:t>
      </w:r>
      <w:r w:rsidR="00731F09" w:rsidRPr="00E1372C">
        <w:rPr>
          <w:lang w:val="fr-FR"/>
        </w:rPr>
        <w:t>’</w:t>
      </w:r>
      <w:r w:rsidR="00504CA7" w:rsidRPr="00E1372C">
        <w:rPr>
          <w:lang w:val="fr-FR"/>
        </w:rPr>
        <w:t>apprentissage. Grâce à ces programmes, la Namibie est convaincue que la nation ne sera plus jamais soumise aux conditions de déshumanisation telles qu</w:t>
      </w:r>
      <w:r w:rsidR="00731F09" w:rsidRPr="00E1372C">
        <w:rPr>
          <w:lang w:val="fr-FR"/>
        </w:rPr>
        <w:t>’</w:t>
      </w:r>
      <w:r w:rsidR="00504CA7" w:rsidRPr="00E1372C">
        <w:rPr>
          <w:lang w:val="fr-FR"/>
        </w:rPr>
        <w:t>imposées par l</w:t>
      </w:r>
      <w:r w:rsidR="00731F09" w:rsidRPr="00E1372C">
        <w:rPr>
          <w:lang w:val="fr-FR"/>
        </w:rPr>
        <w:t>’</w:t>
      </w:r>
      <w:r w:rsidR="00504CA7" w:rsidRPr="00E1372C">
        <w:rPr>
          <w:lang w:val="fr-FR"/>
        </w:rPr>
        <w:t>apartheid. Le Ministère compte notamment doter les citoyens de certaines connaissances et compétences professionnelles requises. Il cherche, par l</w:t>
      </w:r>
      <w:r w:rsidR="00731F09" w:rsidRPr="00E1372C">
        <w:rPr>
          <w:lang w:val="fr-FR"/>
        </w:rPr>
        <w:t>’</w:t>
      </w:r>
      <w:r w:rsidR="00504CA7" w:rsidRPr="00E1372C">
        <w:rPr>
          <w:lang w:val="fr-FR"/>
        </w:rPr>
        <w:t>élaboration et la promotion effective d</w:t>
      </w:r>
      <w:r w:rsidR="00731F09" w:rsidRPr="00E1372C">
        <w:rPr>
          <w:lang w:val="fr-FR"/>
        </w:rPr>
        <w:t>’</w:t>
      </w:r>
      <w:r w:rsidR="00504CA7" w:rsidRPr="00E1372C">
        <w:rPr>
          <w:lang w:val="fr-FR"/>
        </w:rPr>
        <w:t xml:space="preserve">orientations clairvoyantes, à établir et renforcer </w:t>
      </w:r>
      <w:r w:rsidR="0039211B" w:rsidRPr="00E1372C">
        <w:rPr>
          <w:lang w:val="fr-FR"/>
        </w:rPr>
        <w:t xml:space="preserve">tant </w:t>
      </w:r>
      <w:r w:rsidR="00504CA7" w:rsidRPr="00E1372C">
        <w:rPr>
          <w:lang w:val="fr-FR"/>
        </w:rPr>
        <w:t xml:space="preserve">des institutions nationales que la capacité du secteur à produire davantage de biens, de services et de valeur, </w:t>
      </w:r>
      <w:r w:rsidR="0039211B" w:rsidRPr="00E1372C">
        <w:rPr>
          <w:lang w:val="fr-FR"/>
        </w:rPr>
        <w:t xml:space="preserve">mais également </w:t>
      </w:r>
      <w:r w:rsidR="00504CA7" w:rsidRPr="00E1372C">
        <w:rPr>
          <w:lang w:val="fr-FR"/>
        </w:rPr>
        <w:t>à créer des postes et des possibilités d</w:t>
      </w:r>
      <w:r w:rsidR="00731F09" w:rsidRPr="00E1372C">
        <w:rPr>
          <w:lang w:val="fr-FR"/>
        </w:rPr>
        <w:t>’</w:t>
      </w:r>
      <w:r w:rsidR="00504CA7" w:rsidRPr="00E1372C">
        <w:rPr>
          <w:lang w:val="fr-FR"/>
        </w:rPr>
        <w:t>emploi pour tous les Namibiens.</w:t>
      </w:r>
    </w:p>
    <w:p w:rsidR="00504CA7" w:rsidRPr="00E1372C" w:rsidRDefault="007A1757" w:rsidP="007A1757">
      <w:pPr>
        <w:pStyle w:val="SingleTxtG"/>
        <w:rPr>
          <w:lang w:val="fr-FR" w:bidi="en-US"/>
        </w:rPr>
      </w:pPr>
      <w:r w:rsidRPr="00E1372C">
        <w:rPr>
          <w:lang w:val="fr-FR" w:bidi="en-US"/>
        </w:rPr>
        <w:t>380.</w:t>
      </w:r>
      <w:r w:rsidRPr="00E1372C">
        <w:rPr>
          <w:lang w:val="fr-FR" w:bidi="en-US"/>
        </w:rPr>
        <w:tab/>
      </w:r>
      <w:r w:rsidR="00504CA7" w:rsidRPr="00E1372C">
        <w:rPr>
          <w:lang w:val="fr-FR" w:bidi="en-US"/>
        </w:rPr>
        <w:t>L</w:t>
      </w:r>
      <w:r w:rsidR="00731F09" w:rsidRPr="00E1372C">
        <w:rPr>
          <w:lang w:val="fr-FR" w:bidi="en-US"/>
        </w:rPr>
        <w:t>’</w:t>
      </w:r>
      <w:r w:rsidR="00504CA7" w:rsidRPr="00E1372C">
        <w:rPr>
          <w:lang w:val="fr-FR" w:bidi="en-US"/>
        </w:rPr>
        <w:t>exercice formel et approprié du droit à l</w:t>
      </w:r>
      <w:r w:rsidR="00731F09" w:rsidRPr="00E1372C">
        <w:rPr>
          <w:lang w:val="fr-FR" w:bidi="en-US"/>
        </w:rPr>
        <w:t>’</w:t>
      </w:r>
      <w:r w:rsidR="00504CA7" w:rsidRPr="00E1372C">
        <w:rPr>
          <w:lang w:val="fr-FR" w:bidi="en-US"/>
        </w:rPr>
        <w:t>éducation dépend des conditions existant dans le pays; cette éducation et toutes ses formes à tous les degrés devront être accessibles, acceptables et adoptables. Le Gouvernement a pris et continue de prendre des mesures au titre de l</w:t>
      </w:r>
      <w:r w:rsidR="00731F09" w:rsidRPr="00E1372C">
        <w:rPr>
          <w:lang w:val="fr-FR" w:bidi="en-US"/>
        </w:rPr>
        <w:t>’</w:t>
      </w:r>
      <w:r w:rsidR="00504CA7" w:rsidRPr="00E1372C">
        <w:rPr>
          <w:lang w:val="fr-FR" w:bidi="en-US"/>
        </w:rPr>
        <w:t>assistance et la coopération internationales visant le plein exercice du droit à l</w:t>
      </w:r>
      <w:r w:rsidR="00731F09" w:rsidRPr="00E1372C">
        <w:rPr>
          <w:lang w:val="fr-FR" w:bidi="en-US"/>
        </w:rPr>
        <w:t>’</w:t>
      </w:r>
      <w:r w:rsidR="00504CA7" w:rsidRPr="00E1372C">
        <w:rPr>
          <w:lang w:val="fr-FR" w:bidi="en-US"/>
        </w:rPr>
        <w:t>éducation.</w:t>
      </w:r>
    </w:p>
    <w:p w:rsidR="00504CA7" w:rsidRPr="00E1372C" w:rsidRDefault="007A1757" w:rsidP="007A1757">
      <w:pPr>
        <w:pStyle w:val="SingleTxtG"/>
        <w:rPr>
          <w:lang w:val="fr-FR" w:bidi="en-US"/>
        </w:rPr>
      </w:pPr>
      <w:r w:rsidRPr="00E1372C">
        <w:rPr>
          <w:lang w:val="fr-FR" w:bidi="en-US"/>
        </w:rPr>
        <w:t>381.</w:t>
      </w:r>
      <w:r w:rsidRPr="00E1372C">
        <w:rPr>
          <w:lang w:val="fr-FR" w:bidi="en-US"/>
        </w:rPr>
        <w:tab/>
      </w:r>
      <w:r w:rsidR="00504CA7" w:rsidRPr="00E1372C">
        <w:rPr>
          <w:lang w:val="fr-FR" w:bidi="en-US"/>
        </w:rPr>
        <w:t>Depuis 1990, des programmes d</w:t>
      </w:r>
      <w:r w:rsidR="00731F09" w:rsidRPr="00E1372C">
        <w:rPr>
          <w:lang w:val="fr-FR" w:bidi="en-US"/>
        </w:rPr>
        <w:t>’</w:t>
      </w:r>
      <w:r w:rsidR="00504CA7" w:rsidRPr="00E1372C">
        <w:rPr>
          <w:lang w:val="fr-FR" w:bidi="en-US"/>
        </w:rPr>
        <w:t>aide des donateurs et des accords bilatéraux ont permis à la Namibie d</w:t>
      </w:r>
      <w:r w:rsidR="00731F09" w:rsidRPr="00E1372C">
        <w:rPr>
          <w:lang w:val="fr-FR" w:bidi="en-US"/>
        </w:rPr>
        <w:t>’</w:t>
      </w:r>
      <w:r w:rsidR="00504CA7" w:rsidRPr="00E1372C">
        <w:rPr>
          <w:lang w:val="fr-FR" w:bidi="en-US"/>
        </w:rPr>
        <w:t xml:space="preserve">offrir un accès quasi universel à tous les enfants, principalement en construisant de nouvelles écoles, en ajoutant des classes aux établissements existants, en remplaçant les </w:t>
      </w:r>
      <w:r w:rsidR="00270BD1" w:rsidRPr="00E1372C">
        <w:rPr>
          <w:lang w:val="fr-FR" w:bidi="en-US"/>
        </w:rPr>
        <w:t xml:space="preserve">salles de </w:t>
      </w:r>
      <w:r w:rsidR="00504CA7" w:rsidRPr="00E1372C">
        <w:rPr>
          <w:lang w:val="fr-FR" w:bidi="en-US"/>
        </w:rPr>
        <w:t xml:space="preserve">classe en </w:t>
      </w:r>
      <w:r w:rsidR="00EF263A" w:rsidRPr="00E1372C">
        <w:rPr>
          <w:lang w:val="fr-FR" w:bidi="en-US"/>
        </w:rPr>
        <w:t>torchis</w:t>
      </w:r>
      <w:r w:rsidR="00504CA7" w:rsidRPr="00E1372C">
        <w:rPr>
          <w:lang w:val="fr-FR" w:bidi="en-US"/>
        </w:rPr>
        <w:t xml:space="preserve"> par des structures permanent</w:t>
      </w:r>
      <w:r w:rsidR="00141B60" w:rsidRPr="00E1372C">
        <w:rPr>
          <w:lang w:val="fr-FR" w:bidi="en-US"/>
        </w:rPr>
        <w:t>e</w:t>
      </w:r>
      <w:r w:rsidR="00504CA7" w:rsidRPr="00E1372C">
        <w:rPr>
          <w:lang w:val="fr-FR" w:bidi="en-US"/>
        </w:rPr>
        <w:t xml:space="preserve">s </w:t>
      </w:r>
      <w:r w:rsidR="00141B60" w:rsidRPr="00E1372C">
        <w:rPr>
          <w:lang w:val="fr-FR" w:bidi="en-US"/>
        </w:rPr>
        <w:t>et en fournissant une assistance technique. Des donateurs ont également contribué notablement dans les domaines de l</w:t>
      </w:r>
      <w:r w:rsidR="00731F09" w:rsidRPr="00E1372C">
        <w:rPr>
          <w:lang w:val="fr-FR" w:bidi="en-US"/>
        </w:rPr>
        <w:t>’</w:t>
      </w:r>
      <w:r w:rsidR="00141B60" w:rsidRPr="00E1372C">
        <w:rPr>
          <w:lang w:val="fr-FR" w:bidi="en-US"/>
        </w:rPr>
        <w:t>alphabétisation, de l</w:t>
      </w:r>
      <w:r w:rsidR="00731F09" w:rsidRPr="00E1372C">
        <w:rPr>
          <w:lang w:val="fr-FR" w:bidi="en-US"/>
        </w:rPr>
        <w:t>’</w:t>
      </w:r>
      <w:r w:rsidR="00141B60" w:rsidRPr="00E1372C">
        <w:rPr>
          <w:lang w:val="fr-FR" w:bidi="en-US"/>
        </w:rPr>
        <w:t>éducation de base et de la mise en place du Collège national d</w:t>
      </w:r>
      <w:r w:rsidR="00731F09" w:rsidRPr="00E1372C">
        <w:rPr>
          <w:lang w:val="fr-FR" w:bidi="en-US"/>
        </w:rPr>
        <w:t>’</w:t>
      </w:r>
      <w:r w:rsidR="00141B60" w:rsidRPr="00E1372C">
        <w:rPr>
          <w:lang w:val="fr-FR" w:bidi="en-US"/>
        </w:rPr>
        <w:t>enseignement à distance.</w:t>
      </w:r>
    </w:p>
    <w:p w:rsidR="00141B60" w:rsidRPr="00E1372C" w:rsidRDefault="007A1757" w:rsidP="007A1757">
      <w:pPr>
        <w:pStyle w:val="SingleTxtG"/>
        <w:rPr>
          <w:lang w:val="fr-FR" w:bidi="en-US"/>
        </w:rPr>
      </w:pPr>
      <w:r w:rsidRPr="00E1372C">
        <w:rPr>
          <w:lang w:val="fr-FR" w:bidi="en-US"/>
        </w:rPr>
        <w:t>382.</w:t>
      </w:r>
      <w:r w:rsidRPr="00E1372C">
        <w:rPr>
          <w:lang w:val="fr-FR" w:bidi="en-US"/>
        </w:rPr>
        <w:tab/>
      </w:r>
      <w:r w:rsidR="00141B60" w:rsidRPr="00E1372C">
        <w:rPr>
          <w:lang w:val="fr-FR" w:bidi="en-US"/>
        </w:rPr>
        <w:t>Tout système éducatif démocratique s</w:t>
      </w:r>
      <w:r w:rsidR="00731F09" w:rsidRPr="00E1372C">
        <w:rPr>
          <w:lang w:val="fr-FR" w:bidi="en-US"/>
        </w:rPr>
        <w:t>’</w:t>
      </w:r>
      <w:r w:rsidR="00141B60" w:rsidRPr="00E1372C">
        <w:rPr>
          <w:lang w:val="fr-FR" w:bidi="en-US"/>
        </w:rPr>
        <w:t>articule autour d</w:t>
      </w:r>
      <w:r w:rsidR="00731F09" w:rsidRPr="00E1372C">
        <w:rPr>
          <w:lang w:val="fr-FR" w:bidi="en-US"/>
        </w:rPr>
        <w:t>’</w:t>
      </w:r>
      <w:r w:rsidR="00141B60" w:rsidRPr="00E1372C">
        <w:rPr>
          <w:lang w:val="fr-FR" w:bidi="en-US"/>
        </w:rPr>
        <w:t>une large participation à la prise de décisions et de la responsabilité des dirigeants et de ceux qui prennent part aux décisions. En Namibie, la participation démocratique en matière d</w:t>
      </w:r>
      <w:r w:rsidR="00731F09" w:rsidRPr="00E1372C">
        <w:rPr>
          <w:lang w:val="fr-FR" w:bidi="en-US"/>
        </w:rPr>
        <w:t>’</w:t>
      </w:r>
      <w:r w:rsidR="00141B60" w:rsidRPr="00E1372C">
        <w:rPr>
          <w:lang w:val="fr-FR" w:bidi="en-US"/>
        </w:rPr>
        <w:t>éducation s</w:t>
      </w:r>
      <w:r w:rsidR="00731F09" w:rsidRPr="00E1372C">
        <w:rPr>
          <w:lang w:val="fr-FR" w:bidi="en-US"/>
        </w:rPr>
        <w:t>’</w:t>
      </w:r>
      <w:r w:rsidR="00141B60" w:rsidRPr="00E1372C">
        <w:rPr>
          <w:lang w:val="fr-FR" w:bidi="en-US"/>
        </w:rPr>
        <w:t>est améliorée depuis l</w:t>
      </w:r>
      <w:r w:rsidR="00731F09" w:rsidRPr="00E1372C">
        <w:rPr>
          <w:lang w:val="fr-FR" w:bidi="en-US"/>
        </w:rPr>
        <w:t>’</w:t>
      </w:r>
      <w:r w:rsidR="00141B60" w:rsidRPr="00E1372C">
        <w:rPr>
          <w:lang w:val="fr-FR" w:bidi="en-US"/>
        </w:rPr>
        <w:t>indépendance. Le Ministère s</w:t>
      </w:r>
      <w:r w:rsidR="00731F09" w:rsidRPr="00E1372C">
        <w:rPr>
          <w:lang w:val="fr-FR" w:bidi="en-US"/>
        </w:rPr>
        <w:t>’</w:t>
      </w:r>
      <w:r w:rsidR="00141B60" w:rsidRPr="00E1372C">
        <w:rPr>
          <w:lang w:val="fr-FR" w:bidi="en-US"/>
        </w:rPr>
        <w:t xml:space="preserve">est employé, depuis 1991, à sensibiliser élèves, enseignants, parents et communautés à leur rôle et leurs responsabilités démocratiques dans ce domaine. En 1995, il a adopté une structure qui permet une plus grande participation démocratique. </w:t>
      </w:r>
    </w:p>
    <w:p w:rsidR="00141B60" w:rsidRPr="00E1372C" w:rsidRDefault="007A1757" w:rsidP="007A1757">
      <w:pPr>
        <w:pStyle w:val="SingleTxtG"/>
        <w:rPr>
          <w:lang w:val="fr-FR" w:bidi="en-US"/>
        </w:rPr>
      </w:pPr>
      <w:r w:rsidRPr="00E1372C">
        <w:rPr>
          <w:lang w:val="fr-FR" w:bidi="en-US"/>
        </w:rPr>
        <w:t>383.</w:t>
      </w:r>
      <w:r w:rsidRPr="00E1372C">
        <w:rPr>
          <w:lang w:val="fr-FR" w:bidi="en-US"/>
        </w:rPr>
        <w:tab/>
      </w:r>
      <w:r w:rsidR="00141B60" w:rsidRPr="00E1372C">
        <w:rPr>
          <w:lang w:val="fr-FR" w:bidi="en-US"/>
        </w:rPr>
        <w:t>Cette structure repose sur le Forum régional de l</w:t>
      </w:r>
      <w:r w:rsidR="00731F09" w:rsidRPr="00E1372C">
        <w:rPr>
          <w:lang w:val="fr-FR" w:bidi="en-US"/>
        </w:rPr>
        <w:t>’</w:t>
      </w:r>
      <w:r w:rsidR="00141B60" w:rsidRPr="00E1372C">
        <w:rPr>
          <w:lang w:val="fr-FR" w:bidi="en-US"/>
        </w:rPr>
        <w:t>éducation, composé de représentants de conseils scolaires, d</w:t>
      </w:r>
      <w:r w:rsidR="00731F09" w:rsidRPr="00E1372C">
        <w:rPr>
          <w:lang w:val="fr-FR" w:bidi="en-US"/>
        </w:rPr>
        <w:t>’</w:t>
      </w:r>
      <w:r w:rsidR="00141B60" w:rsidRPr="00E1372C">
        <w:rPr>
          <w:lang w:val="fr-FR" w:bidi="en-US"/>
        </w:rPr>
        <w:t>un représentant par circonscription ou inspection de l</w:t>
      </w:r>
      <w:r w:rsidR="00731F09" w:rsidRPr="00E1372C">
        <w:rPr>
          <w:lang w:val="fr-FR" w:bidi="en-US"/>
        </w:rPr>
        <w:t>’</w:t>
      </w:r>
      <w:r w:rsidR="00141B60" w:rsidRPr="00E1372C">
        <w:rPr>
          <w:lang w:val="fr-FR" w:bidi="en-US"/>
        </w:rPr>
        <w:t>éducation, de représentants des chefs communautaires, des églises, des travailleurs (syndicats), des syndicats d</w:t>
      </w:r>
      <w:r w:rsidR="00731F09" w:rsidRPr="00E1372C">
        <w:rPr>
          <w:lang w:val="fr-FR" w:bidi="en-US"/>
        </w:rPr>
        <w:t>’</w:t>
      </w:r>
      <w:r w:rsidR="00141B60" w:rsidRPr="00E1372C">
        <w:rPr>
          <w:lang w:val="fr-FR" w:bidi="en-US"/>
        </w:rPr>
        <w:t>enseignants et d</w:t>
      </w:r>
      <w:r w:rsidR="00731F09" w:rsidRPr="00E1372C">
        <w:rPr>
          <w:lang w:val="fr-FR" w:bidi="en-US"/>
        </w:rPr>
        <w:t>’</w:t>
      </w:r>
      <w:r w:rsidR="00141B60" w:rsidRPr="00E1372C">
        <w:rPr>
          <w:lang w:val="fr-FR" w:bidi="en-US"/>
        </w:rPr>
        <w:t>organisations d</w:t>
      </w:r>
      <w:r w:rsidR="00731F09" w:rsidRPr="00E1372C">
        <w:rPr>
          <w:lang w:val="fr-FR" w:bidi="en-US"/>
        </w:rPr>
        <w:t>’</w:t>
      </w:r>
      <w:r w:rsidR="00141B60" w:rsidRPr="00E1372C">
        <w:rPr>
          <w:lang w:val="fr-FR" w:bidi="en-US"/>
        </w:rPr>
        <w:t>étudiants.</w:t>
      </w:r>
    </w:p>
    <w:p w:rsidR="00141B60" w:rsidRPr="00E1372C" w:rsidRDefault="007A1757" w:rsidP="007A1757">
      <w:pPr>
        <w:pStyle w:val="SingleTxtG"/>
        <w:rPr>
          <w:lang w:val="fr-FR" w:bidi="en-US"/>
        </w:rPr>
      </w:pPr>
      <w:r w:rsidRPr="00E1372C">
        <w:rPr>
          <w:lang w:val="fr-FR" w:bidi="en-US"/>
        </w:rPr>
        <w:t>384.</w:t>
      </w:r>
      <w:r w:rsidRPr="00E1372C">
        <w:rPr>
          <w:lang w:val="fr-FR" w:bidi="en-US"/>
        </w:rPr>
        <w:tab/>
      </w:r>
      <w:r w:rsidR="00141B60" w:rsidRPr="00E1372C">
        <w:rPr>
          <w:lang w:val="fr-FR" w:bidi="en-US"/>
        </w:rPr>
        <w:t>Outre cet organe, les conseils scolaires sont composés d</w:t>
      </w:r>
      <w:r w:rsidR="00731F09" w:rsidRPr="00E1372C">
        <w:rPr>
          <w:lang w:val="fr-FR" w:bidi="en-US"/>
        </w:rPr>
        <w:t>’</w:t>
      </w:r>
      <w:r w:rsidR="00141B60" w:rsidRPr="00E1372C">
        <w:rPr>
          <w:lang w:val="fr-FR" w:bidi="en-US"/>
        </w:rPr>
        <w:t xml:space="preserve">un nombre égal de représentants du comité des parents </w:t>
      </w:r>
      <w:r w:rsidR="0039211B" w:rsidRPr="00E1372C">
        <w:rPr>
          <w:lang w:val="fr-FR" w:bidi="en-US"/>
        </w:rPr>
        <w:t>d</w:t>
      </w:r>
      <w:r w:rsidR="00731F09" w:rsidRPr="00E1372C">
        <w:rPr>
          <w:lang w:val="fr-FR" w:bidi="en-US"/>
        </w:rPr>
        <w:t>’</w:t>
      </w:r>
      <w:r w:rsidR="0039211B" w:rsidRPr="00E1372C">
        <w:rPr>
          <w:lang w:val="fr-FR" w:bidi="en-US"/>
        </w:rPr>
        <w:t xml:space="preserve">élèves </w:t>
      </w:r>
      <w:r w:rsidR="00141B60" w:rsidRPr="00E1372C">
        <w:rPr>
          <w:lang w:val="fr-FR" w:bidi="en-US"/>
        </w:rPr>
        <w:t>et du corps enseignant, de comités de gestion scolaire, de syndicats d</w:t>
      </w:r>
      <w:r w:rsidR="00731F09" w:rsidRPr="00E1372C">
        <w:rPr>
          <w:lang w:val="fr-FR" w:bidi="en-US"/>
        </w:rPr>
        <w:t>’</w:t>
      </w:r>
      <w:r w:rsidR="00141B60" w:rsidRPr="00E1372C">
        <w:rPr>
          <w:lang w:val="fr-FR" w:bidi="en-US"/>
        </w:rPr>
        <w:t>enseignants, d</w:t>
      </w:r>
      <w:r w:rsidR="00731F09" w:rsidRPr="00E1372C">
        <w:rPr>
          <w:lang w:val="fr-FR" w:bidi="en-US"/>
        </w:rPr>
        <w:t>’</w:t>
      </w:r>
      <w:r w:rsidR="00141B60" w:rsidRPr="00E1372C">
        <w:rPr>
          <w:lang w:val="fr-FR" w:bidi="en-US"/>
        </w:rPr>
        <w:t>organisations d</w:t>
      </w:r>
      <w:r w:rsidR="00731F09" w:rsidRPr="00E1372C">
        <w:rPr>
          <w:lang w:val="fr-FR" w:bidi="en-US"/>
        </w:rPr>
        <w:t>’</w:t>
      </w:r>
      <w:r w:rsidR="00141B60" w:rsidRPr="00E1372C">
        <w:rPr>
          <w:lang w:val="fr-FR" w:bidi="en-US"/>
        </w:rPr>
        <w:t xml:space="preserve">étudiants et de parents, qui tous ont un rôle actif dans les questions </w:t>
      </w:r>
      <w:r w:rsidR="0039211B" w:rsidRPr="00E1372C">
        <w:rPr>
          <w:lang w:val="fr-FR" w:bidi="en-US"/>
        </w:rPr>
        <w:t>pédagogiqu</w:t>
      </w:r>
      <w:r w:rsidR="00141B60" w:rsidRPr="00E1372C">
        <w:rPr>
          <w:lang w:val="fr-FR" w:bidi="en-US"/>
        </w:rPr>
        <w:t>es.</w:t>
      </w:r>
    </w:p>
    <w:p w:rsidR="00141B60" w:rsidRPr="00E1372C" w:rsidRDefault="007A1757" w:rsidP="007A1757">
      <w:pPr>
        <w:pStyle w:val="SingleTxtG"/>
        <w:rPr>
          <w:lang w:val="fr-FR" w:bidi="en-US"/>
        </w:rPr>
      </w:pPr>
      <w:r w:rsidRPr="00E1372C">
        <w:rPr>
          <w:lang w:val="fr-FR" w:bidi="en-US"/>
        </w:rPr>
        <w:t>385.</w:t>
      </w:r>
      <w:r w:rsidRPr="00E1372C">
        <w:rPr>
          <w:lang w:val="fr-FR" w:bidi="en-US"/>
        </w:rPr>
        <w:tab/>
      </w:r>
      <w:r w:rsidR="00141B60" w:rsidRPr="00E1372C">
        <w:rPr>
          <w:lang w:val="fr-FR" w:bidi="en-US"/>
        </w:rPr>
        <w:t>Le Ministère s</w:t>
      </w:r>
      <w:r w:rsidR="00731F09" w:rsidRPr="00E1372C">
        <w:rPr>
          <w:lang w:val="fr-FR" w:bidi="en-US"/>
        </w:rPr>
        <w:t>’</w:t>
      </w:r>
      <w:r w:rsidR="00141B60" w:rsidRPr="00E1372C">
        <w:rPr>
          <w:lang w:val="fr-FR" w:bidi="en-US"/>
        </w:rPr>
        <w:t>emploie à décentraliser certains de ses programmes et activités pour regrouper et améliorer les activités déjà décentralisées dans sept circonscriptions académiques. Cet exercice a pour objet de donner aux collectivités régionales et locales</w:t>
      </w:r>
      <w:r w:rsidR="001462B8" w:rsidRPr="00E1372C">
        <w:rPr>
          <w:lang w:val="fr-FR" w:bidi="en-US"/>
        </w:rPr>
        <w:t>,</w:t>
      </w:r>
      <w:r w:rsidR="00141B60" w:rsidRPr="00E1372C">
        <w:rPr>
          <w:lang w:val="fr-FR" w:bidi="en-US"/>
        </w:rPr>
        <w:t xml:space="preserve"> ainsi qu</w:t>
      </w:r>
      <w:r w:rsidR="00731F09" w:rsidRPr="00E1372C">
        <w:rPr>
          <w:lang w:val="fr-FR" w:bidi="en-US"/>
        </w:rPr>
        <w:t>’</w:t>
      </w:r>
      <w:r w:rsidR="00141B60" w:rsidRPr="00E1372C">
        <w:rPr>
          <w:lang w:val="fr-FR" w:bidi="en-US"/>
        </w:rPr>
        <w:t>à la population</w:t>
      </w:r>
      <w:r w:rsidR="001462B8" w:rsidRPr="00E1372C">
        <w:rPr>
          <w:lang w:val="fr-FR" w:bidi="en-US"/>
        </w:rPr>
        <w:t>,</w:t>
      </w:r>
      <w:r w:rsidR="00141B60" w:rsidRPr="00E1372C">
        <w:rPr>
          <w:lang w:val="fr-FR" w:bidi="en-US"/>
        </w:rPr>
        <w:t xml:space="preserve"> des pouvoirs de décision dans les sujets qui les concernent. Il importe d</w:t>
      </w:r>
      <w:r w:rsidR="00731F09" w:rsidRPr="00E1372C">
        <w:rPr>
          <w:lang w:val="fr-FR" w:bidi="en-US"/>
        </w:rPr>
        <w:t>’</w:t>
      </w:r>
      <w:r w:rsidR="00141B60" w:rsidRPr="00E1372C">
        <w:rPr>
          <w:lang w:val="fr-FR" w:bidi="en-US"/>
        </w:rPr>
        <w:t>étendre ce dispositif aux milieux scolaires.</w:t>
      </w:r>
    </w:p>
    <w:p w:rsidR="002D6991" w:rsidRPr="00E1372C" w:rsidRDefault="00F3232B" w:rsidP="00F3232B">
      <w:pPr>
        <w:pStyle w:val="H23G"/>
        <w:rPr>
          <w:lang w:val="fr-FR" w:bidi="en-US"/>
        </w:rPr>
      </w:pPr>
      <w:r w:rsidRPr="00E1372C">
        <w:rPr>
          <w:lang w:val="fr-FR" w:bidi="en-US"/>
        </w:rPr>
        <w:tab/>
      </w:r>
      <w:r w:rsidRPr="00E1372C">
        <w:rPr>
          <w:lang w:val="fr-FR" w:bidi="en-US"/>
        </w:rPr>
        <w:tab/>
      </w:r>
      <w:r w:rsidR="00141B60" w:rsidRPr="00E1372C">
        <w:rPr>
          <w:lang w:val="fr-FR" w:bidi="en-US"/>
        </w:rPr>
        <w:t>Groupes auparavant défavorisés</w:t>
      </w:r>
    </w:p>
    <w:p w:rsidR="002D6991" w:rsidRPr="00E1372C" w:rsidRDefault="007A1757" w:rsidP="007A1757">
      <w:pPr>
        <w:pStyle w:val="SingleTxtG"/>
        <w:rPr>
          <w:lang w:val="fr-FR" w:bidi="en-US"/>
        </w:rPr>
      </w:pPr>
      <w:r w:rsidRPr="00E1372C">
        <w:rPr>
          <w:lang w:val="fr-FR" w:bidi="en-US"/>
        </w:rPr>
        <w:t>386.</w:t>
      </w:r>
      <w:r w:rsidRPr="00E1372C">
        <w:rPr>
          <w:lang w:val="fr-FR" w:bidi="en-US"/>
        </w:rPr>
        <w:tab/>
      </w:r>
      <w:r w:rsidR="00141B60" w:rsidRPr="00E1372C">
        <w:rPr>
          <w:lang w:val="fr-FR" w:bidi="en-US"/>
        </w:rPr>
        <w:t xml:space="preserve">Dispenser </w:t>
      </w:r>
      <w:r w:rsidR="00361B48" w:rsidRPr="00E1372C">
        <w:rPr>
          <w:lang w:val="fr-FR" w:bidi="en-US"/>
        </w:rPr>
        <w:t>un enseignement aux enfants en âge scolaire et aux adultes non scolarisés va de pair avec la mise à disposition de salles de classe. Il s</w:t>
      </w:r>
      <w:r w:rsidR="00731F09" w:rsidRPr="00E1372C">
        <w:rPr>
          <w:lang w:val="fr-FR" w:bidi="en-US"/>
        </w:rPr>
        <w:t>’</w:t>
      </w:r>
      <w:r w:rsidR="00361B48" w:rsidRPr="00E1372C">
        <w:rPr>
          <w:lang w:val="fr-FR" w:bidi="en-US"/>
        </w:rPr>
        <w:t>ensuit ainsi la nécessité d</w:t>
      </w:r>
      <w:r w:rsidR="00731F09" w:rsidRPr="00E1372C">
        <w:rPr>
          <w:lang w:val="fr-FR" w:bidi="en-US"/>
        </w:rPr>
        <w:t>’</w:t>
      </w:r>
      <w:r w:rsidR="00361B48" w:rsidRPr="00E1372C">
        <w:rPr>
          <w:lang w:val="fr-FR" w:bidi="en-US"/>
        </w:rPr>
        <w:t>accroître le nombre d</w:t>
      </w:r>
      <w:r w:rsidR="00731F09" w:rsidRPr="00E1372C">
        <w:rPr>
          <w:lang w:val="fr-FR" w:bidi="en-US"/>
        </w:rPr>
        <w:t>’</w:t>
      </w:r>
      <w:r w:rsidR="00361B48" w:rsidRPr="00E1372C">
        <w:rPr>
          <w:lang w:val="fr-FR" w:bidi="en-US"/>
        </w:rPr>
        <w:t>écoles et de classes pour garantir un nombre suffisant de places à tous les Namibiens en âge scolaire. Les enfants ayant des retards scolaires constituent un groupe distinct et leurs besoins éducatifs diffèrent d</w:t>
      </w:r>
      <w:r w:rsidR="00731F09" w:rsidRPr="00E1372C">
        <w:rPr>
          <w:lang w:val="fr-FR" w:bidi="en-US"/>
        </w:rPr>
        <w:t>’</w:t>
      </w:r>
      <w:r w:rsidR="00361B48" w:rsidRPr="00E1372C">
        <w:rPr>
          <w:lang w:val="fr-FR" w:bidi="en-US"/>
        </w:rPr>
        <w:t>une communauté à l</w:t>
      </w:r>
      <w:r w:rsidR="00731F09" w:rsidRPr="00E1372C">
        <w:rPr>
          <w:lang w:val="fr-FR" w:bidi="en-US"/>
        </w:rPr>
        <w:t>’</w:t>
      </w:r>
      <w:r w:rsidR="00361B48" w:rsidRPr="00E1372C">
        <w:rPr>
          <w:lang w:val="fr-FR" w:bidi="en-US"/>
        </w:rPr>
        <w:t xml:space="preserve">autre. Ce groupe comprend des enfants de travailleurs agricoles, des communautés </w:t>
      </w:r>
      <w:r w:rsidR="00702C2B" w:rsidRPr="00E1372C">
        <w:rPr>
          <w:lang w:val="fr-FR" w:bidi="en-US"/>
        </w:rPr>
        <w:t>s</w:t>
      </w:r>
      <w:r w:rsidR="00361B48" w:rsidRPr="00E1372C">
        <w:rPr>
          <w:lang w:val="fr-FR" w:bidi="en-US"/>
        </w:rPr>
        <w:t xml:space="preserve">an et </w:t>
      </w:r>
      <w:r w:rsidR="00702C2B" w:rsidRPr="00E1372C">
        <w:rPr>
          <w:lang w:val="fr-FR" w:bidi="en-US"/>
        </w:rPr>
        <w:t>o</w:t>
      </w:r>
      <w:r w:rsidR="002D6991" w:rsidRPr="00E1372C">
        <w:rPr>
          <w:lang w:val="fr-FR" w:bidi="en-US"/>
        </w:rPr>
        <w:t>vahimba</w:t>
      </w:r>
      <w:r w:rsidR="00361B48" w:rsidRPr="00E1372C">
        <w:rPr>
          <w:lang w:val="fr-FR" w:bidi="en-US"/>
        </w:rPr>
        <w:t xml:space="preserve">, des enfants des rues et des enfants de bidonvilles. Pour la plupart, la pauvreté, </w:t>
      </w:r>
      <w:r w:rsidR="00E3308B" w:rsidRPr="00E1372C">
        <w:rPr>
          <w:lang w:val="fr-FR" w:bidi="en-US"/>
        </w:rPr>
        <w:t>voire</w:t>
      </w:r>
      <w:r w:rsidR="00361B48" w:rsidRPr="00E1372C">
        <w:rPr>
          <w:lang w:val="fr-FR" w:bidi="en-US"/>
        </w:rPr>
        <w:t xml:space="preserve"> les réactions de groupes non marginalisés, sont </w:t>
      </w:r>
      <w:r w:rsidR="00E3308B" w:rsidRPr="00E1372C">
        <w:rPr>
          <w:lang w:val="fr-FR" w:bidi="en-US"/>
        </w:rPr>
        <w:t xml:space="preserve">les </w:t>
      </w:r>
      <w:r w:rsidR="00361B48" w:rsidRPr="00E1372C">
        <w:rPr>
          <w:lang w:val="fr-FR" w:bidi="en-US"/>
        </w:rPr>
        <w:t>deux raisons</w:t>
      </w:r>
      <w:r w:rsidR="00E3308B" w:rsidRPr="00E1372C">
        <w:rPr>
          <w:lang w:val="fr-FR" w:bidi="en-US"/>
        </w:rPr>
        <w:t>,</w:t>
      </w:r>
      <w:r w:rsidR="00361B48" w:rsidRPr="00E1372C">
        <w:rPr>
          <w:lang w:val="fr-FR" w:bidi="en-US"/>
        </w:rPr>
        <w:t xml:space="preserve"> </w:t>
      </w:r>
      <w:r w:rsidR="001462B8" w:rsidRPr="00E1372C">
        <w:rPr>
          <w:lang w:val="fr-FR" w:bidi="en-US"/>
        </w:rPr>
        <w:t>invoquées couramment</w:t>
      </w:r>
      <w:r w:rsidR="00E3308B" w:rsidRPr="00E1372C">
        <w:rPr>
          <w:lang w:val="fr-FR" w:bidi="en-US"/>
        </w:rPr>
        <w:t>,</w:t>
      </w:r>
      <w:r w:rsidR="001462B8" w:rsidRPr="00E1372C">
        <w:rPr>
          <w:lang w:val="fr-FR" w:bidi="en-US"/>
        </w:rPr>
        <w:t xml:space="preserve"> </w:t>
      </w:r>
      <w:r w:rsidR="00361B48" w:rsidRPr="00E1372C">
        <w:rPr>
          <w:lang w:val="fr-FR" w:bidi="en-US"/>
        </w:rPr>
        <w:t>qui influe</w:t>
      </w:r>
      <w:r w:rsidR="00E3308B" w:rsidRPr="00E1372C">
        <w:rPr>
          <w:lang w:val="fr-FR" w:bidi="en-US"/>
        </w:rPr>
        <w:t>raie</w:t>
      </w:r>
      <w:r w:rsidR="00361B48" w:rsidRPr="00E1372C">
        <w:rPr>
          <w:lang w:val="fr-FR" w:bidi="en-US"/>
        </w:rPr>
        <w:t>nt sur leur éducation.</w:t>
      </w:r>
    </w:p>
    <w:p w:rsidR="002D6991" w:rsidRPr="00E1372C" w:rsidRDefault="007A1757" w:rsidP="00DF3E0E">
      <w:pPr>
        <w:pStyle w:val="SingleTxtG"/>
        <w:rPr>
          <w:lang w:val="fr-FR" w:bidi="en-US"/>
        </w:rPr>
      </w:pPr>
      <w:r w:rsidRPr="00E1372C">
        <w:rPr>
          <w:lang w:val="fr-FR" w:bidi="en-US"/>
        </w:rPr>
        <w:t>387.</w:t>
      </w:r>
      <w:r w:rsidRPr="00E1372C">
        <w:rPr>
          <w:lang w:val="fr-FR" w:bidi="en-US"/>
        </w:rPr>
        <w:tab/>
      </w:r>
      <w:r w:rsidR="00361B48" w:rsidRPr="00E1372C">
        <w:rPr>
          <w:lang w:val="fr-FR" w:bidi="en-US"/>
        </w:rPr>
        <w:t>En vue d</w:t>
      </w:r>
      <w:r w:rsidR="00731F09" w:rsidRPr="00E1372C">
        <w:rPr>
          <w:lang w:val="fr-FR" w:bidi="en-US"/>
        </w:rPr>
        <w:t>’</w:t>
      </w:r>
      <w:r w:rsidR="00361B48" w:rsidRPr="00E1372C">
        <w:rPr>
          <w:lang w:val="fr-FR" w:bidi="en-US"/>
        </w:rPr>
        <w:t>améliorer l</w:t>
      </w:r>
      <w:r w:rsidR="00731F09" w:rsidRPr="00E1372C">
        <w:rPr>
          <w:lang w:val="fr-FR" w:bidi="en-US"/>
        </w:rPr>
        <w:t>’</w:t>
      </w:r>
      <w:r w:rsidR="00361B48" w:rsidRPr="00E1372C">
        <w:rPr>
          <w:lang w:val="fr-FR" w:bidi="en-US"/>
        </w:rPr>
        <w:t>accès des enfants marginalisés</w:t>
      </w:r>
      <w:r w:rsidR="00BD00C9" w:rsidRPr="00E1372C">
        <w:rPr>
          <w:lang w:val="fr-FR" w:bidi="en-US"/>
        </w:rPr>
        <w:t xml:space="preserve"> à l</w:t>
      </w:r>
      <w:r w:rsidR="00731F09" w:rsidRPr="00E1372C">
        <w:rPr>
          <w:lang w:val="fr-FR" w:bidi="en-US"/>
        </w:rPr>
        <w:t>’</w:t>
      </w:r>
      <w:r w:rsidR="00BD00C9" w:rsidRPr="00E1372C">
        <w:rPr>
          <w:lang w:val="fr-FR" w:bidi="en-US"/>
        </w:rPr>
        <w:t>éducation</w:t>
      </w:r>
      <w:r w:rsidR="00361B48" w:rsidRPr="00E1372C">
        <w:rPr>
          <w:lang w:val="fr-FR" w:bidi="en-US"/>
        </w:rPr>
        <w:t xml:space="preserve">, le Ministère, en collaboration avec des </w:t>
      </w:r>
      <w:r w:rsidR="00BD00C9" w:rsidRPr="00E1372C">
        <w:rPr>
          <w:lang w:val="fr-FR" w:bidi="en-US"/>
        </w:rPr>
        <w:t>organisations non gouvernementales</w:t>
      </w:r>
      <w:r w:rsidR="00361B48" w:rsidRPr="00E1372C">
        <w:rPr>
          <w:lang w:val="fr-FR" w:bidi="en-US"/>
        </w:rPr>
        <w:t>, a adopté des programmes comme celui de l</w:t>
      </w:r>
      <w:r w:rsidR="00731F09" w:rsidRPr="00E1372C">
        <w:rPr>
          <w:lang w:val="fr-FR" w:bidi="en-US"/>
        </w:rPr>
        <w:t>’</w:t>
      </w:r>
      <w:r w:rsidR="00361B48" w:rsidRPr="00E1372C">
        <w:rPr>
          <w:lang w:val="fr-FR" w:bidi="en-US"/>
        </w:rPr>
        <w:t xml:space="preserve">école du village de </w:t>
      </w:r>
      <w:r w:rsidR="002D6991" w:rsidRPr="00E1372C">
        <w:rPr>
          <w:lang w:val="fr-FR" w:bidi="en-US"/>
        </w:rPr>
        <w:t xml:space="preserve">Nyae-Nyae </w:t>
      </w:r>
      <w:r w:rsidR="00361B48" w:rsidRPr="00E1372C">
        <w:rPr>
          <w:lang w:val="fr-FR" w:bidi="en-US"/>
        </w:rPr>
        <w:t>dans la région d</w:t>
      </w:r>
      <w:r w:rsidR="00731F09" w:rsidRPr="00E1372C">
        <w:rPr>
          <w:lang w:val="fr-FR" w:bidi="en-US"/>
        </w:rPr>
        <w:t>’</w:t>
      </w:r>
      <w:r w:rsidR="002D6991" w:rsidRPr="00E1372C">
        <w:rPr>
          <w:lang w:val="fr-FR" w:bidi="en-US"/>
        </w:rPr>
        <w:t>Otjozondjupa</w:t>
      </w:r>
      <w:r w:rsidR="00361B48" w:rsidRPr="00E1372C">
        <w:rPr>
          <w:lang w:val="fr-FR" w:bidi="en-US"/>
        </w:rPr>
        <w:t>, où le programme de cours est ancré dans la communauté et l</w:t>
      </w:r>
      <w:r w:rsidR="00731F09" w:rsidRPr="00E1372C">
        <w:rPr>
          <w:lang w:val="fr-FR" w:bidi="en-US"/>
        </w:rPr>
        <w:t>’</w:t>
      </w:r>
      <w:r w:rsidR="00361B48" w:rsidRPr="00E1372C">
        <w:rPr>
          <w:lang w:val="fr-FR" w:bidi="en-US"/>
        </w:rPr>
        <w:t>instruction est dispensée en langue san.</w:t>
      </w:r>
      <w:r w:rsidR="00884CD7" w:rsidRPr="00E1372C">
        <w:rPr>
          <w:lang w:val="fr-FR" w:bidi="en-US"/>
        </w:rPr>
        <w:t xml:space="preserve"> Dans la région de </w:t>
      </w:r>
      <w:r w:rsidR="002D6991" w:rsidRPr="00E1372C">
        <w:rPr>
          <w:lang w:val="fr-FR" w:bidi="en-US"/>
        </w:rPr>
        <w:t>Kunene</w:t>
      </w:r>
      <w:r w:rsidR="00884CD7" w:rsidRPr="00E1372C">
        <w:rPr>
          <w:lang w:val="fr-FR" w:bidi="en-US"/>
        </w:rPr>
        <w:t>, le projet pilote d</w:t>
      </w:r>
      <w:r w:rsidR="00731F09" w:rsidRPr="00E1372C">
        <w:rPr>
          <w:lang w:val="fr-FR" w:bidi="en-US"/>
        </w:rPr>
        <w:t>’</w:t>
      </w:r>
      <w:r w:rsidR="00884CD7" w:rsidRPr="00E1372C">
        <w:rPr>
          <w:lang w:val="fr-FR" w:bidi="en-US"/>
        </w:rPr>
        <w:t>écoles mobiles a commencé. Le programme de repas scolaire bénéficie aux écoles rurales les plus démunies afin de maintenir les enfants des familles miséreuses à l</w:t>
      </w:r>
      <w:r w:rsidR="00731F09" w:rsidRPr="00E1372C">
        <w:rPr>
          <w:lang w:val="fr-FR" w:bidi="en-US"/>
        </w:rPr>
        <w:t>’</w:t>
      </w:r>
      <w:r w:rsidR="00884CD7" w:rsidRPr="00E1372C">
        <w:rPr>
          <w:lang w:val="fr-FR" w:bidi="en-US"/>
        </w:rPr>
        <w:t xml:space="preserve">école. La fourniture de </w:t>
      </w:r>
      <w:r w:rsidR="00DF3E0E" w:rsidRPr="00E1372C">
        <w:rPr>
          <w:lang w:val="fr-FR" w:bidi="en-US"/>
        </w:rPr>
        <w:t>12</w:t>
      </w:r>
      <w:r w:rsidR="00884CD7" w:rsidRPr="00E1372C">
        <w:rPr>
          <w:lang w:val="fr-FR" w:bidi="en-US"/>
        </w:rPr>
        <w:t xml:space="preserve"> unités scolaires mobiles destinées aux enfants </w:t>
      </w:r>
      <w:r w:rsidR="00BD00C9" w:rsidRPr="00E1372C">
        <w:rPr>
          <w:lang w:val="fr-FR" w:bidi="en-US"/>
        </w:rPr>
        <w:t>o</w:t>
      </w:r>
      <w:r w:rsidR="00884CD7" w:rsidRPr="00E1372C">
        <w:rPr>
          <w:lang w:val="fr-FR" w:bidi="en-US"/>
        </w:rPr>
        <w:t>vahimba dans la région de Kunene, à titre pilote, s</w:t>
      </w:r>
      <w:r w:rsidR="00731F09" w:rsidRPr="00E1372C">
        <w:rPr>
          <w:lang w:val="fr-FR" w:bidi="en-US"/>
        </w:rPr>
        <w:t>’</w:t>
      </w:r>
      <w:r w:rsidR="00884CD7" w:rsidRPr="00E1372C">
        <w:rPr>
          <w:lang w:val="fr-FR" w:bidi="en-US"/>
        </w:rPr>
        <w:t xml:space="preserve">est concrétisée; le parrainage de 20 élèves san par la </w:t>
      </w:r>
      <w:r w:rsidR="002D6991" w:rsidRPr="00E1372C">
        <w:rPr>
          <w:i/>
          <w:lang w:val="fr-FR" w:bidi="en-US"/>
        </w:rPr>
        <w:t>Royal Overseas League</w:t>
      </w:r>
      <w:r w:rsidR="002D6991" w:rsidRPr="00E1372C">
        <w:rPr>
          <w:lang w:val="fr-FR" w:bidi="en-US"/>
        </w:rPr>
        <w:t xml:space="preserve"> </w:t>
      </w:r>
      <w:r w:rsidR="00884CD7" w:rsidRPr="00E1372C">
        <w:rPr>
          <w:lang w:val="fr-FR" w:bidi="en-US"/>
        </w:rPr>
        <w:t xml:space="preserve">du Royaume-Uni a été mis en place, en vue de permettre à ces élèves de poursuivre leur scolarité primaire et secondaire et </w:t>
      </w:r>
      <w:r w:rsidR="00BD00C9" w:rsidRPr="00E1372C">
        <w:rPr>
          <w:lang w:val="fr-FR" w:bidi="en-US"/>
        </w:rPr>
        <w:t>d</w:t>
      </w:r>
      <w:r w:rsidR="00731F09" w:rsidRPr="00E1372C">
        <w:rPr>
          <w:lang w:val="fr-FR" w:bidi="en-US"/>
        </w:rPr>
        <w:t>’</w:t>
      </w:r>
      <w:r w:rsidR="00884CD7" w:rsidRPr="00E1372C">
        <w:rPr>
          <w:lang w:val="fr-FR" w:bidi="en-US"/>
        </w:rPr>
        <w:t>intégrer si possible l</w:t>
      </w:r>
      <w:r w:rsidR="00731F09" w:rsidRPr="00E1372C">
        <w:rPr>
          <w:lang w:val="fr-FR" w:bidi="en-US"/>
        </w:rPr>
        <w:t>’</w:t>
      </w:r>
      <w:r w:rsidR="00884CD7" w:rsidRPr="00E1372C">
        <w:rPr>
          <w:lang w:val="fr-FR" w:bidi="en-US"/>
        </w:rPr>
        <w:t>enseignement supérieur.</w:t>
      </w:r>
      <w:r w:rsidR="002D6991" w:rsidRPr="00E1372C">
        <w:rPr>
          <w:lang w:val="fr-FR" w:bidi="en-US"/>
        </w:rPr>
        <w:t xml:space="preserve"> </w:t>
      </w:r>
    </w:p>
    <w:p w:rsidR="007B51DE" w:rsidRPr="00E1372C" w:rsidRDefault="007A1757" w:rsidP="007A1757">
      <w:pPr>
        <w:pStyle w:val="SingleTxtG"/>
        <w:rPr>
          <w:lang w:val="fr-FR" w:bidi="en-US"/>
        </w:rPr>
      </w:pPr>
      <w:r w:rsidRPr="00E1372C">
        <w:rPr>
          <w:lang w:val="fr-FR" w:bidi="en-US"/>
        </w:rPr>
        <w:t>388.</w:t>
      </w:r>
      <w:r w:rsidRPr="00E1372C">
        <w:rPr>
          <w:lang w:val="fr-FR" w:bidi="en-US"/>
        </w:rPr>
        <w:tab/>
      </w:r>
      <w:r w:rsidR="007B51DE" w:rsidRPr="00E1372C">
        <w:rPr>
          <w:lang w:val="fr-FR" w:bidi="en-US"/>
        </w:rPr>
        <w:t xml:space="preserve">Le document directif intitulé </w:t>
      </w:r>
      <w:r w:rsidR="00AE017E" w:rsidRPr="00E1372C">
        <w:rPr>
          <w:lang w:val="fr-FR" w:bidi="en-US"/>
        </w:rPr>
        <w:t>«</w:t>
      </w:r>
      <w:r w:rsidR="007B51DE" w:rsidRPr="00E1372C">
        <w:rPr>
          <w:lang w:val="fr-FR" w:bidi="en-US"/>
        </w:rPr>
        <w:t>Grandes options pour les enfants ayant des retards scolaires</w:t>
      </w:r>
      <w:r w:rsidR="00AE017E" w:rsidRPr="00E1372C">
        <w:rPr>
          <w:lang w:val="fr-FR" w:bidi="en-US"/>
        </w:rPr>
        <w:t>»</w:t>
      </w:r>
      <w:r w:rsidR="007B51DE" w:rsidRPr="00E1372C">
        <w:rPr>
          <w:lang w:val="fr-FR" w:bidi="en-US"/>
        </w:rPr>
        <w:t xml:space="preserve"> a été achevé et entériné </w:t>
      </w:r>
      <w:r w:rsidR="00BD00C9" w:rsidRPr="00E1372C">
        <w:rPr>
          <w:lang w:val="fr-FR" w:bidi="en-US"/>
        </w:rPr>
        <w:t xml:space="preserve">par </w:t>
      </w:r>
      <w:r w:rsidR="007B51DE" w:rsidRPr="00E1372C">
        <w:rPr>
          <w:lang w:val="fr-FR" w:bidi="en-US"/>
        </w:rPr>
        <w:t>l</w:t>
      </w:r>
      <w:r w:rsidR="00731F09" w:rsidRPr="00E1372C">
        <w:rPr>
          <w:lang w:val="fr-FR" w:bidi="en-US"/>
        </w:rPr>
        <w:t>’</w:t>
      </w:r>
      <w:r w:rsidR="00702C2B" w:rsidRPr="00E1372C">
        <w:rPr>
          <w:lang w:val="fr-FR" w:bidi="en-US"/>
        </w:rPr>
        <w:t>é</w:t>
      </w:r>
      <w:r w:rsidR="007B51DE" w:rsidRPr="00E1372C">
        <w:rPr>
          <w:lang w:val="fr-FR" w:bidi="en-US"/>
        </w:rPr>
        <w:t>quipe</w:t>
      </w:r>
      <w:r w:rsidR="00BD00C9" w:rsidRPr="00E1372C">
        <w:rPr>
          <w:lang w:val="fr-FR" w:bidi="en-US"/>
        </w:rPr>
        <w:t xml:space="preserve"> de formation</w:t>
      </w:r>
      <w:r w:rsidR="007B51DE" w:rsidRPr="00E1372C">
        <w:rPr>
          <w:lang w:val="fr-FR" w:bidi="en-US"/>
        </w:rPr>
        <w:t xml:space="preserve"> de cadres dirigeants</w:t>
      </w:r>
      <w:r w:rsidR="002D6991" w:rsidRPr="00E1372C">
        <w:rPr>
          <w:lang w:val="fr-FR" w:bidi="en-US"/>
        </w:rPr>
        <w:t>;</w:t>
      </w:r>
      <w:r w:rsidR="007B51DE" w:rsidRPr="00E1372C">
        <w:rPr>
          <w:lang w:val="fr-FR" w:bidi="en-US"/>
        </w:rPr>
        <w:t xml:space="preserve"> cinq enseignants san de l</w:t>
      </w:r>
      <w:r w:rsidR="00731F09" w:rsidRPr="00E1372C">
        <w:rPr>
          <w:lang w:val="fr-FR" w:bidi="en-US"/>
        </w:rPr>
        <w:t>’</w:t>
      </w:r>
      <w:r w:rsidR="007B51DE" w:rsidRPr="00E1372C">
        <w:rPr>
          <w:lang w:val="fr-FR" w:bidi="en-US"/>
        </w:rPr>
        <w:t xml:space="preserve">école du village de </w:t>
      </w:r>
      <w:r w:rsidR="002D6991" w:rsidRPr="00E1372C">
        <w:rPr>
          <w:lang w:val="fr-FR" w:bidi="en-US"/>
        </w:rPr>
        <w:t>Nyae-Nyae</w:t>
      </w:r>
      <w:r w:rsidR="007B51DE" w:rsidRPr="00E1372C">
        <w:rPr>
          <w:lang w:val="fr-FR" w:bidi="en-US"/>
        </w:rPr>
        <w:t xml:space="preserve"> ont obtenu l</w:t>
      </w:r>
      <w:r w:rsidR="00731F09" w:rsidRPr="00E1372C">
        <w:rPr>
          <w:lang w:val="fr-FR" w:bidi="en-US"/>
        </w:rPr>
        <w:t>’</w:t>
      </w:r>
      <w:r w:rsidR="007B51DE" w:rsidRPr="00E1372C">
        <w:rPr>
          <w:lang w:val="fr-FR" w:bidi="en-US"/>
        </w:rPr>
        <w:t>équivalence de la dixième année en 1998 et</w:t>
      </w:r>
      <w:r w:rsidR="00BD00C9" w:rsidRPr="00E1372C">
        <w:rPr>
          <w:lang w:val="fr-FR" w:bidi="en-US"/>
        </w:rPr>
        <w:t>,</w:t>
      </w:r>
      <w:r w:rsidR="007B51DE" w:rsidRPr="00E1372C">
        <w:rPr>
          <w:lang w:val="fr-FR" w:bidi="en-US"/>
        </w:rPr>
        <w:t xml:space="preserve"> partant</w:t>
      </w:r>
      <w:r w:rsidR="00BD00C9" w:rsidRPr="00E1372C">
        <w:rPr>
          <w:lang w:val="fr-FR" w:bidi="en-US"/>
        </w:rPr>
        <w:t>,</w:t>
      </w:r>
      <w:r w:rsidR="007B51DE" w:rsidRPr="00E1372C">
        <w:rPr>
          <w:lang w:val="fr-FR" w:bidi="en-US"/>
        </w:rPr>
        <w:t xml:space="preserve"> ont été associés au programme de l</w:t>
      </w:r>
      <w:r w:rsidR="00731F09" w:rsidRPr="00E1372C">
        <w:rPr>
          <w:lang w:val="fr-FR" w:bidi="en-US"/>
        </w:rPr>
        <w:t>’</w:t>
      </w:r>
      <w:r w:rsidR="007B51DE" w:rsidRPr="00E1372C">
        <w:rPr>
          <w:lang w:val="fr-FR" w:bidi="en-US"/>
        </w:rPr>
        <w:t>ISC</w:t>
      </w:r>
      <w:r w:rsidR="00BD00C9" w:rsidRPr="00E1372C">
        <w:rPr>
          <w:lang w:val="fr-FR" w:bidi="en-US"/>
        </w:rPr>
        <w:t> </w:t>
      </w:r>
      <w:r w:rsidR="00E3308B" w:rsidRPr="00E1372C">
        <w:rPr>
          <w:lang w:val="fr-FR" w:bidi="en-US"/>
        </w:rPr>
        <w:t>(certificat d</w:t>
      </w:r>
      <w:r w:rsidR="00731F09" w:rsidRPr="00E1372C">
        <w:rPr>
          <w:lang w:val="fr-FR" w:bidi="en-US"/>
        </w:rPr>
        <w:t>’</w:t>
      </w:r>
      <w:r w:rsidR="00E3308B" w:rsidRPr="00E1372C">
        <w:rPr>
          <w:lang w:val="fr-FR" w:bidi="en-US"/>
        </w:rPr>
        <w:t>aptitudes pédagogiques)</w:t>
      </w:r>
      <w:r w:rsidR="00BD00C9" w:rsidRPr="00E1372C">
        <w:rPr>
          <w:lang w:val="fr-FR" w:bidi="en-US"/>
        </w:rPr>
        <w:t>;</w:t>
      </w:r>
      <w:r w:rsidR="007B51DE" w:rsidRPr="00E1372C">
        <w:rPr>
          <w:lang w:val="fr-FR" w:bidi="en-US"/>
        </w:rPr>
        <w:t xml:space="preserve"> un porte-parole de la condition des enfants ayant des retards scolaires a été désigné au sein de l</w:t>
      </w:r>
      <w:r w:rsidR="00731F09" w:rsidRPr="00E1372C">
        <w:rPr>
          <w:lang w:val="fr-FR" w:bidi="en-US"/>
        </w:rPr>
        <w:t>’</w:t>
      </w:r>
      <w:r w:rsidR="00702C2B" w:rsidRPr="00E1372C">
        <w:rPr>
          <w:lang w:val="fr-FR" w:bidi="en-US"/>
        </w:rPr>
        <w:t>é</w:t>
      </w:r>
      <w:r w:rsidR="007B51DE" w:rsidRPr="00E1372C">
        <w:rPr>
          <w:lang w:val="fr-FR" w:bidi="en-US"/>
        </w:rPr>
        <w:t>quipe spéciale intersectorielle, dont le secrétariat est installé à la direction du Programme élargi de vaccination.</w:t>
      </w:r>
    </w:p>
    <w:p w:rsidR="007B51DE" w:rsidRPr="00E1372C" w:rsidRDefault="007A1757" w:rsidP="007A1757">
      <w:pPr>
        <w:pStyle w:val="SingleTxtG"/>
        <w:rPr>
          <w:lang w:val="fr-FR" w:bidi="en-US"/>
        </w:rPr>
      </w:pPr>
      <w:r w:rsidRPr="00E1372C">
        <w:rPr>
          <w:lang w:val="fr-FR" w:bidi="en-US"/>
        </w:rPr>
        <w:t>389.</w:t>
      </w:r>
      <w:r w:rsidRPr="00E1372C">
        <w:rPr>
          <w:lang w:val="fr-FR" w:bidi="en-US"/>
        </w:rPr>
        <w:tab/>
      </w:r>
      <w:r w:rsidR="007B51DE" w:rsidRPr="00E1372C">
        <w:rPr>
          <w:lang w:val="fr-FR" w:bidi="en-US"/>
        </w:rPr>
        <w:t>Les écoles primaires sont décentralisées pour permettre aux enfants des zones rurales de s</w:t>
      </w:r>
      <w:r w:rsidR="00731F09" w:rsidRPr="00E1372C">
        <w:rPr>
          <w:lang w:val="fr-FR" w:bidi="en-US"/>
        </w:rPr>
        <w:t>’</w:t>
      </w:r>
      <w:r w:rsidR="007B51DE" w:rsidRPr="00E1372C">
        <w:rPr>
          <w:lang w:val="fr-FR" w:bidi="en-US"/>
        </w:rPr>
        <w:t>y rendre à pied. L</w:t>
      </w:r>
      <w:r w:rsidR="00731F09" w:rsidRPr="00E1372C">
        <w:rPr>
          <w:lang w:val="fr-FR" w:bidi="en-US"/>
        </w:rPr>
        <w:t>’</w:t>
      </w:r>
      <w:r w:rsidR="007B51DE" w:rsidRPr="00E1372C">
        <w:rPr>
          <w:lang w:val="fr-FR" w:bidi="en-US"/>
        </w:rPr>
        <w:t xml:space="preserve">enseignement primaire, </w:t>
      </w:r>
      <w:r w:rsidR="00702C2B" w:rsidRPr="00E1372C">
        <w:rPr>
          <w:lang w:val="fr-FR" w:bidi="en-US"/>
        </w:rPr>
        <w:t xml:space="preserve">qui commence </w:t>
      </w:r>
      <w:r w:rsidR="007B51DE" w:rsidRPr="00E1372C">
        <w:rPr>
          <w:lang w:val="fr-FR" w:bidi="en-US"/>
        </w:rPr>
        <w:t>dès l</w:t>
      </w:r>
      <w:r w:rsidR="00731F09" w:rsidRPr="00E1372C">
        <w:rPr>
          <w:lang w:val="fr-FR" w:bidi="en-US"/>
        </w:rPr>
        <w:t>’</w:t>
      </w:r>
      <w:r w:rsidR="007B51DE" w:rsidRPr="00E1372C">
        <w:rPr>
          <w:lang w:val="fr-FR" w:bidi="en-US"/>
        </w:rPr>
        <w:t>âge de 7 ans, compte sept années de scolarité. Le passage s</w:t>
      </w:r>
      <w:r w:rsidR="00731F09" w:rsidRPr="00E1372C">
        <w:rPr>
          <w:lang w:val="fr-FR" w:bidi="en-US"/>
        </w:rPr>
        <w:t>’</w:t>
      </w:r>
      <w:r w:rsidR="007B51DE" w:rsidRPr="00E1372C">
        <w:rPr>
          <w:lang w:val="fr-FR" w:bidi="en-US"/>
        </w:rPr>
        <w:t xml:space="preserve">effectue semi-automatiquement. </w:t>
      </w:r>
    </w:p>
    <w:p w:rsidR="002D6991" w:rsidRPr="00E1372C" w:rsidRDefault="007A1757" w:rsidP="007A1757">
      <w:pPr>
        <w:pStyle w:val="SingleTxtG"/>
        <w:rPr>
          <w:lang w:val="fr-FR" w:bidi="en-US"/>
        </w:rPr>
      </w:pPr>
      <w:r w:rsidRPr="00E1372C">
        <w:rPr>
          <w:lang w:val="fr-FR" w:bidi="en-US"/>
        </w:rPr>
        <w:t>390.</w:t>
      </w:r>
      <w:r w:rsidRPr="00E1372C">
        <w:rPr>
          <w:lang w:val="fr-FR" w:bidi="en-US"/>
        </w:rPr>
        <w:tab/>
      </w:r>
      <w:r w:rsidR="007B51DE" w:rsidRPr="00E1372C">
        <w:rPr>
          <w:lang w:val="fr-FR" w:bidi="en-US"/>
        </w:rPr>
        <w:t xml:space="preserve">Toutefois, </w:t>
      </w:r>
      <w:r w:rsidR="00E3308B" w:rsidRPr="00E1372C">
        <w:rPr>
          <w:lang w:val="fr-FR" w:bidi="en-US"/>
        </w:rPr>
        <w:t xml:space="preserve">il </w:t>
      </w:r>
      <w:r w:rsidR="007B51DE" w:rsidRPr="00E1372C">
        <w:rPr>
          <w:lang w:val="fr-FR" w:bidi="en-US"/>
        </w:rPr>
        <w:t>reste la tâche de construire davantage d</w:t>
      </w:r>
      <w:r w:rsidR="00731F09" w:rsidRPr="00E1372C">
        <w:rPr>
          <w:lang w:val="fr-FR" w:bidi="en-US"/>
        </w:rPr>
        <w:t>’</w:t>
      </w:r>
      <w:r w:rsidR="007B51DE" w:rsidRPr="00E1372C">
        <w:rPr>
          <w:lang w:val="fr-FR" w:bidi="en-US"/>
        </w:rPr>
        <w:t>écoles en raison du nombre élevé d</w:t>
      </w:r>
      <w:r w:rsidR="00731F09" w:rsidRPr="00E1372C">
        <w:rPr>
          <w:lang w:val="fr-FR" w:bidi="en-US"/>
        </w:rPr>
        <w:t>’</w:t>
      </w:r>
      <w:r w:rsidR="007B51DE" w:rsidRPr="00E1372C">
        <w:rPr>
          <w:lang w:val="fr-FR" w:bidi="en-US"/>
        </w:rPr>
        <w:t>enfants et de réduire les distances à parcourir. L</w:t>
      </w:r>
      <w:r w:rsidR="00731F09" w:rsidRPr="00E1372C">
        <w:rPr>
          <w:lang w:val="fr-FR" w:bidi="en-US"/>
        </w:rPr>
        <w:t>’</w:t>
      </w:r>
      <w:r w:rsidR="00BD00C9" w:rsidRPr="00E1372C">
        <w:rPr>
          <w:lang w:val="fr-FR" w:bidi="en-US"/>
        </w:rPr>
        <w:t>e</w:t>
      </w:r>
      <w:r w:rsidR="007B51DE" w:rsidRPr="00E1372C">
        <w:rPr>
          <w:lang w:val="fr-FR" w:bidi="en-US"/>
        </w:rPr>
        <w:t>nquête sur le revenu et les dépenses des ménages de 2003-2004 a montré que près de 46</w:t>
      </w:r>
      <w:r w:rsidR="007064FC" w:rsidRPr="00E1372C">
        <w:rPr>
          <w:lang w:val="fr-FR" w:bidi="en-US"/>
        </w:rPr>
        <w:t> %</w:t>
      </w:r>
      <w:r w:rsidR="007B51DE" w:rsidRPr="00E1372C">
        <w:rPr>
          <w:lang w:val="fr-FR" w:bidi="en-US"/>
        </w:rPr>
        <w:t xml:space="preserve"> des ménages en Namibie se trouvent à moins d</w:t>
      </w:r>
      <w:r w:rsidR="00731F09" w:rsidRPr="00E1372C">
        <w:rPr>
          <w:lang w:val="fr-FR" w:bidi="en-US"/>
        </w:rPr>
        <w:t>’</w:t>
      </w:r>
      <w:r w:rsidR="007B51DE" w:rsidRPr="00E1372C">
        <w:rPr>
          <w:lang w:val="fr-FR" w:bidi="en-US"/>
        </w:rPr>
        <w:t>un kilomètre de l</w:t>
      </w:r>
      <w:r w:rsidR="00731F09" w:rsidRPr="00E1372C">
        <w:rPr>
          <w:lang w:val="fr-FR" w:bidi="en-US"/>
        </w:rPr>
        <w:t>’</w:t>
      </w:r>
      <w:r w:rsidR="007B51DE" w:rsidRPr="00E1372C">
        <w:rPr>
          <w:lang w:val="fr-FR" w:bidi="en-US"/>
        </w:rPr>
        <w:t>école primaire la plus proche, 28</w:t>
      </w:r>
      <w:r w:rsidR="007064FC" w:rsidRPr="00E1372C">
        <w:rPr>
          <w:lang w:val="fr-FR" w:bidi="en-US"/>
        </w:rPr>
        <w:t> %</w:t>
      </w:r>
      <w:r w:rsidR="00BA5B7D" w:rsidRPr="00E1372C">
        <w:rPr>
          <w:lang w:val="fr-FR" w:bidi="en-US"/>
        </w:rPr>
        <w:t xml:space="preserve"> se situent entre 2 et 3 </w:t>
      </w:r>
      <w:r w:rsidR="007B51DE" w:rsidRPr="00E1372C">
        <w:rPr>
          <w:lang w:val="fr-FR" w:bidi="en-US"/>
        </w:rPr>
        <w:t>kilomètres et moins de 8</w:t>
      </w:r>
      <w:r w:rsidR="007064FC" w:rsidRPr="00E1372C">
        <w:rPr>
          <w:lang w:val="fr-FR" w:bidi="en-US"/>
        </w:rPr>
        <w:t> %</w:t>
      </w:r>
      <w:r w:rsidR="007B51DE" w:rsidRPr="00E1372C">
        <w:rPr>
          <w:lang w:val="fr-FR" w:bidi="en-US"/>
        </w:rPr>
        <w:t xml:space="preserve"> à plus de 21 kilomètres, principalement dans les régions d</w:t>
      </w:r>
      <w:r w:rsidR="00731F09" w:rsidRPr="00E1372C">
        <w:rPr>
          <w:lang w:val="fr-FR" w:bidi="en-US"/>
        </w:rPr>
        <w:t>’</w:t>
      </w:r>
      <w:r w:rsidR="002D6991" w:rsidRPr="00E1372C">
        <w:rPr>
          <w:lang w:val="fr-FR" w:bidi="en-US"/>
        </w:rPr>
        <w:t>Omaheke,</w:t>
      </w:r>
      <w:r w:rsidR="007B51DE" w:rsidRPr="00E1372C">
        <w:rPr>
          <w:lang w:val="fr-FR" w:bidi="en-US"/>
        </w:rPr>
        <w:t xml:space="preserve"> de</w:t>
      </w:r>
      <w:r w:rsidR="002D6991" w:rsidRPr="00E1372C">
        <w:rPr>
          <w:lang w:val="fr-FR" w:bidi="en-US"/>
        </w:rPr>
        <w:t xml:space="preserve"> Kunene </w:t>
      </w:r>
      <w:r w:rsidR="007B51DE" w:rsidRPr="00E1372C">
        <w:rPr>
          <w:lang w:val="fr-FR" w:bidi="en-US"/>
        </w:rPr>
        <w:t>et d</w:t>
      </w:r>
      <w:r w:rsidR="00731F09" w:rsidRPr="00E1372C">
        <w:rPr>
          <w:lang w:val="fr-FR" w:bidi="en-US"/>
        </w:rPr>
        <w:t>’</w:t>
      </w:r>
      <w:r w:rsidR="002D6991" w:rsidRPr="00E1372C">
        <w:rPr>
          <w:lang w:val="fr-FR" w:bidi="en-US"/>
        </w:rPr>
        <w:t xml:space="preserve">Otjozondjupa. </w:t>
      </w:r>
    </w:p>
    <w:p w:rsidR="002D6991" w:rsidRPr="00E1372C" w:rsidRDefault="007A1757" w:rsidP="007A1757">
      <w:pPr>
        <w:pStyle w:val="SingleTxtG"/>
        <w:rPr>
          <w:lang w:val="fr-FR" w:bidi="en-US"/>
        </w:rPr>
      </w:pPr>
      <w:r w:rsidRPr="00E1372C">
        <w:rPr>
          <w:lang w:val="fr-FR" w:bidi="en-US"/>
        </w:rPr>
        <w:t>391.</w:t>
      </w:r>
      <w:r w:rsidRPr="00E1372C">
        <w:rPr>
          <w:lang w:val="fr-FR" w:bidi="en-US"/>
        </w:rPr>
        <w:tab/>
      </w:r>
      <w:r w:rsidR="00CE3C33" w:rsidRPr="00E1372C">
        <w:rPr>
          <w:lang w:val="fr-FR" w:bidi="en-US"/>
        </w:rPr>
        <w:t>Dans les zones urbaines, 44</w:t>
      </w:r>
      <w:r w:rsidR="007064FC" w:rsidRPr="00E1372C">
        <w:rPr>
          <w:lang w:val="fr-FR" w:bidi="en-US"/>
        </w:rPr>
        <w:t> %</w:t>
      </w:r>
      <w:r w:rsidR="00CE3C33" w:rsidRPr="00E1372C">
        <w:rPr>
          <w:lang w:val="fr-FR" w:bidi="en-US"/>
        </w:rPr>
        <w:t xml:space="preserve"> des ménages se trouvent à moins d</w:t>
      </w:r>
      <w:r w:rsidR="00731F09" w:rsidRPr="00E1372C">
        <w:rPr>
          <w:lang w:val="fr-FR" w:bidi="en-US"/>
        </w:rPr>
        <w:t>’</w:t>
      </w:r>
      <w:r w:rsidR="00CE3C33" w:rsidRPr="00E1372C">
        <w:rPr>
          <w:lang w:val="fr-FR" w:bidi="en-US"/>
        </w:rPr>
        <w:t>un kilomètre d</w:t>
      </w:r>
      <w:r w:rsidR="00731F09" w:rsidRPr="00E1372C">
        <w:rPr>
          <w:lang w:val="fr-FR" w:bidi="en-US"/>
        </w:rPr>
        <w:t>’</w:t>
      </w:r>
      <w:r w:rsidR="00CE3C33" w:rsidRPr="00E1372C">
        <w:rPr>
          <w:lang w:val="fr-FR" w:bidi="en-US"/>
        </w:rPr>
        <w:t>un établissement secondaire, par rapport à 5</w:t>
      </w:r>
      <w:r w:rsidR="007064FC" w:rsidRPr="00E1372C">
        <w:rPr>
          <w:lang w:val="fr-FR" w:bidi="en-US"/>
        </w:rPr>
        <w:t> %</w:t>
      </w:r>
      <w:r w:rsidR="00CE3C33" w:rsidRPr="00E1372C">
        <w:rPr>
          <w:lang w:val="fr-FR" w:bidi="en-US"/>
        </w:rPr>
        <w:t xml:space="preserve"> à peine des ménages ruraux. Quelque 65</w:t>
      </w:r>
      <w:r w:rsidR="007064FC" w:rsidRPr="00E1372C">
        <w:rPr>
          <w:lang w:val="fr-FR" w:bidi="en-US"/>
        </w:rPr>
        <w:t> %</w:t>
      </w:r>
      <w:r w:rsidR="00CE3C33" w:rsidRPr="00E1372C">
        <w:rPr>
          <w:lang w:val="fr-FR" w:bidi="en-US"/>
        </w:rPr>
        <w:t xml:space="preserve"> des </w:t>
      </w:r>
      <w:r w:rsidR="00BA5B7D" w:rsidRPr="00E1372C">
        <w:rPr>
          <w:lang w:val="fr-FR" w:bidi="en-US"/>
        </w:rPr>
        <w:t xml:space="preserve">ménages ruraux se trouvent à 11 </w:t>
      </w:r>
      <w:r w:rsidR="00CE3C33" w:rsidRPr="00E1372C">
        <w:rPr>
          <w:lang w:val="fr-FR" w:bidi="en-US"/>
        </w:rPr>
        <w:t>kilomètres ou plus de l</w:t>
      </w:r>
      <w:r w:rsidR="00731F09" w:rsidRPr="00E1372C">
        <w:rPr>
          <w:lang w:val="fr-FR" w:bidi="en-US"/>
        </w:rPr>
        <w:t>’</w:t>
      </w:r>
      <w:r w:rsidR="00CE3C33" w:rsidRPr="00E1372C">
        <w:rPr>
          <w:lang w:val="fr-FR" w:bidi="en-US"/>
        </w:rPr>
        <w:t>établissement le plus proche et 25</w:t>
      </w:r>
      <w:r w:rsidR="007064FC" w:rsidRPr="00E1372C">
        <w:rPr>
          <w:lang w:val="fr-FR" w:bidi="en-US"/>
        </w:rPr>
        <w:t> %</w:t>
      </w:r>
      <w:r w:rsidR="00CE3C33" w:rsidRPr="00E1372C">
        <w:rPr>
          <w:lang w:val="fr-FR" w:bidi="en-US"/>
        </w:rPr>
        <w:t xml:space="preserve"> à plus de 50 kilomètres, principalement dans les régions d</w:t>
      </w:r>
      <w:r w:rsidR="00731F09" w:rsidRPr="00E1372C">
        <w:rPr>
          <w:lang w:val="fr-FR" w:bidi="en-US"/>
        </w:rPr>
        <w:t>’</w:t>
      </w:r>
      <w:r w:rsidR="002D6991" w:rsidRPr="00E1372C">
        <w:rPr>
          <w:lang w:val="fr-FR" w:bidi="en-US"/>
        </w:rPr>
        <w:t xml:space="preserve">Omaheke </w:t>
      </w:r>
      <w:r w:rsidR="00CE3C33" w:rsidRPr="00E1372C">
        <w:rPr>
          <w:lang w:val="fr-FR" w:bidi="en-US"/>
        </w:rPr>
        <w:t>et de</w:t>
      </w:r>
      <w:r w:rsidR="002D6991" w:rsidRPr="00E1372C">
        <w:rPr>
          <w:lang w:val="fr-FR" w:bidi="en-US"/>
        </w:rPr>
        <w:t xml:space="preserve"> Kunene. </w:t>
      </w:r>
    </w:p>
    <w:p w:rsidR="002D6991" w:rsidRPr="00E1372C" w:rsidRDefault="00F3232B" w:rsidP="00F3232B">
      <w:pPr>
        <w:pStyle w:val="H23G"/>
        <w:rPr>
          <w:lang w:val="fr-FR" w:bidi="en-US"/>
        </w:rPr>
      </w:pPr>
      <w:r w:rsidRPr="00E1372C">
        <w:rPr>
          <w:lang w:val="fr-FR" w:bidi="en-US"/>
        </w:rPr>
        <w:tab/>
      </w:r>
      <w:r w:rsidRPr="00E1372C">
        <w:rPr>
          <w:lang w:val="fr-FR" w:bidi="en-US"/>
        </w:rPr>
        <w:tab/>
      </w:r>
      <w:r w:rsidR="00CE3C33" w:rsidRPr="00E1372C">
        <w:rPr>
          <w:lang w:val="fr-FR" w:bidi="en-US"/>
        </w:rPr>
        <w:t>Enseignement primaire</w:t>
      </w:r>
    </w:p>
    <w:p w:rsidR="00CE3C33" w:rsidRPr="00E1372C" w:rsidRDefault="007A1757" w:rsidP="007A1757">
      <w:pPr>
        <w:pStyle w:val="SingleTxtG"/>
        <w:rPr>
          <w:lang w:val="fr-FR" w:bidi="en-US"/>
        </w:rPr>
      </w:pPr>
      <w:r w:rsidRPr="00E1372C">
        <w:rPr>
          <w:lang w:val="fr-FR" w:bidi="en-US"/>
        </w:rPr>
        <w:t>392.</w:t>
      </w:r>
      <w:r w:rsidRPr="00E1372C">
        <w:rPr>
          <w:lang w:val="fr-FR" w:bidi="en-US"/>
        </w:rPr>
        <w:tab/>
      </w:r>
      <w:r w:rsidR="00CE3C33" w:rsidRPr="00E1372C">
        <w:rPr>
          <w:lang w:val="fr-FR" w:bidi="en-US"/>
        </w:rPr>
        <w:t>Le Gouvernement s</w:t>
      </w:r>
      <w:r w:rsidR="00731F09" w:rsidRPr="00E1372C">
        <w:rPr>
          <w:lang w:val="fr-FR" w:bidi="en-US"/>
        </w:rPr>
        <w:t>’</w:t>
      </w:r>
      <w:r w:rsidR="00CE3C33" w:rsidRPr="00E1372C">
        <w:rPr>
          <w:lang w:val="fr-FR" w:bidi="en-US"/>
        </w:rPr>
        <w:t>attache à dispenser un enseignement primaire universel à toute la nation. Il cherche à donner à chaque citoyen les mêmes possibilités d</w:t>
      </w:r>
      <w:r w:rsidR="00731F09" w:rsidRPr="00E1372C">
        <w:rPr>
          <w:lang w:val="fr-FR" w:bidi="en-US"/>
        </w:rPr>
        <w:t>’</w:t>
      </w:r>
      <w:r w:rsidR="00CE3C33" w:rsidRPr="00E1372C">
        <w:rPr>
          <w:lang w:val="fr-FR" w:bidi="en-US"/>
        </w:rPr>
        <w:t>achever la scolarité primaire ou de rester scolarisé jusqu</w:t>
      </w:r>
      <w:r w:rsidR="00731F09" w:rsidRPr="00E1372C">
        <w:rPr>
          <w:lang w:val="fr-FR" w:bidi="en-US"/>
        </w:rPr>
        <w:t>’</w:t>
      </w:r>
      <w:r w:rsidR="00CE3C33" w:rsidRPr="00E1372C">
        <w:rPr>
          <w:lang w:val="fr-FR" w:bidi="en-US"/>
        </w:rPr>
        <w:t>à l</w:t>
      </w:r>
      <w:r w:rsidR="00731F09" w:rsidRPr="00E1372C">
        <w:rPr>
          <w:lang w:val="fr-FR" w:bidi="en-US"/>
        </w:rPr>
        <w:t>’</w:t>
      </w:r>
      <w:r w:rsidR="00CE3C33" w:rsidRPr="00E1372C">
        <w:rPr>
          <w:lang w:val="fr-FR" w:bidi="en-US"/>
        </w:rPr>
        <w:t>âge de 16 ans, selon le cas. L</w:t>
      </w:r>
      <w:r w:rsidR="00731F09" w:rsidRPr="00E1372C">
        <w:rPr>
          <w:lang w:val="fr-FR" w:bidi="en-US"/>
        </w:rPr>
        <w:t>’</w:t>
      </w:r>
      <w:r w:rsidR="00CE3C33" w:rsidRPr="00E1372C">
        <w:rPr>
          <w:lang w:val="fr-FR" w:bidi="en-US"/>
        </w:rPr>
        <w:t>article 20 de la Constitution dispose que l</w:t>
      </w:r>
      <w:r w:rsidR="00731F09" w:rsidRPr="00E1372C">
        <w:rPr>
          <w:lang w:val="fr-FR" w:bidi="en-US"/>
        </w:rPr>
        <w:t>’</w:t>
      </w:r>
      <w:r w:rsidR="00CE3C33" w:rsidRPr="00E1372C">
        <w:rPr>
          <w:lang w:val="fr-FR" w:bidi="en-US"/>
        </w:rPr>
        <w:t>enseignement primaire est obligatoire et gratuit pour tous. Cet enseignement est divisé en deux cycles</w:t>
      </w:r>
      <w:r w:rsidR="00AE017E" w:rsidRPr="00E1372C">
        <w:rPr>
          <w:lang w:val="fr-FR" w:bidi="en-US"/>
        </w:rPr>
        <w:t>:</w:t>
      </w:r>
      <w:r w:rsidR="00CE3C33" w:rsidRPr="00E1372C">
        <w:rPr>
          <w:lang w:val="fr-FR" w:bidi="en-US"/>
        </w:rPr>
        <w:t xml:space="preserve"> le premier cycle de la 1</w:t>
      </w:r>
      <w:r w:rsidR="00CE3C33" w:rsidRPr="00E1372C">
        <w:rPr>
          <w:vertAlign w:val="superscript"/>
          <w:lang w:val="fr-FR" w:bidi="en-US"/>
        </w:rPr>
        <w:t>re</w:t>
      </w:r>
      <w:r w:rsidR="00CE3C33" w:rsidRPr="00E1372C">
        <w:rPr>
          <w:lang w:val="fr-FR" w:bidi="en-US"/>
        </w:rPr>
        <w:t xml:space="preserve"> à la 4</w:t>
      </w:r>
      <w:r w:rsidR="00CE3C33" w:rsidRPr="00E1372C">
        <w:rPr>
          <w:vertAlign w:val="superscript"/>
          <w:lang w:val="fr-FR" w:bidi="en-US"/>
        </w:rPr>
        <w:t>e</w:t>
      </w:r>
      <w:r w:rsidR="00BA5B7D" w:rsidRPr="00E1372C">
        <w:rPr>
          <w:lang w:val="fr-FR" w:bidi="en-US"/>
        </w:rPr>
        <w:t xml:space="preserve"> </w:t>
      </w:r>
      <w:r w:rsidR="00CE3C33" w:rsidRPr="00E1372C">
        <w:rPr>
          <w:lang w:val="fr-FR" w:bidi="en-US"/>
        </w:rPr>
        <w:t>année et le second de la 5</w:t>
      </w:r>
      <w:r w:rsidR="00CE3C33" w:rsidRPr="00E1372C">
        <w:rPr>
          <w:vertAlign w:val="superscript"/>
          <w:lang w:val="fr-FR" w:bidi="en-US"/>
        </w:rPr>
        <w:t>e</w:t>
      </w:r>
      <w:r w:rsidR="00CE3C33" w:rsidRPr="00E1372C">
        <w:rPr>
          <w:lang w:val="fr-FR" w:bidi="en-US"/>
        </w:rPr>
        <w:t xml:space="preserve"> à la 7</w:t>
      </w:r>
      <w:r w:rsidR="00CE3C33" w:rsidRPr="00E1372C">
        <w:rPr>
          <w:vertAlign w:val="superscript"/>
          <w:lang w:val="fr-FR" w:bidi="en-US"/>
        </w:rPr>
        <w:t>e</w:t>
      </w:r>
      <w:r w:rsidR="00BA5B7D" w:rsidRPr="00E1372C">
        <w:rPr>
          <w:lang w:val="fr-FR" w:bidi="en-US"/>
        </w:rPr>
        <w:t xml:space="preserve"> </w:t>
      </w:r>
      <w:r w:rsidR="00CE3C33" w:rsidRPr="00E1372C">
        <w:rPr>
          <w:lang w:val="fr-FR" w:bidi="en-US"/>
        </w:rPr>
        <w:t>année. L</w:t>
      </w:r>
      <w:r w:rsidR="00731F09" w:rsidRPr="00E1372C">
        <w:rPr>
          <w:lang w:val="fr-FR" w:bidi="en-US"/>
        </w:rPr>
        <w:t>’</w:t>
      </w:r>
      <w:r w:rsidR="00CE3C33" w:rsidRPr="00E1372C">
        <w:rPr>
          <w:lang w:val="fr-FR" w:bidi="en-US"/>
        </w:rPr>
        <w:t>âge d</w:t>
      </w:r>
      <w:r w:rsidR="00731F09" w:rsidRPr="00E1372C">
        <w:rPr>
          <w:lang w:val="fr-FR" w:bidi="en-US"/>
        </w:rPr>
        <w:t>’</w:t>
      </w:r>
      <w:r w:rsidR="00CE3C33" w:rsidRPr="00E1372C">
        <w:rPr>
          <w:lang w:val="fr-FR" w:bidi="en-US"/>
        </w:rPr>
        <w:t>admission au premier cycle est fixé à 7 ans.</w:t>
      </w:r>
    </w:p>
    <w:p w:rsidR="00CE3C33" w:rsidRPr="00E1372C" w:rsidRDefault="007A1757" w:rsidP="007A1757">
      <w:pPr>
        <w:pStyle w:val="SingleTxtG"/>
        <w:rPr>
          <w:lang w:val="fr-FR" w:bidi="en-US"/>
        </w:rPr>
      </w:pPr>
      <w:r w:rsidRPr="00E1372C">
        <w:rPr>
          <w:lang w:val="fr-FR" w:bidi="en-US"/>
        </w:rPr>
        <w:t>393.</w:t>
      </w:r>
      <w:r w:rsidR="00363D56" w:rsidRPr="00E1372C">
        <w:rPr>
          <w:lang w:val="fr-FR" w:bidi="en-US"/>
        </w:rPr>
        <w:tab/>
      </w:r>
      <w:r w:rsidR="00CE3C33" w:rsidRPr="00E1372C">
        <w:rPr>
          <w:lang w:val="fr-FR" w:bidi="en-US"/>
        </w:rPr>
        <w:t>À ce stade, l</w:t>
      </w:r>
      <w:r w:rsidR="00731F09" w:rsidRPr="00E1372C">
        <w:rPr>
          <w:lang w:val="fr-FR" w:bidi="en-US"/>
        </w:rPr>
        <w:t>’</w:t>
      </w:r>
      <w:r w:rsidR="00CE3C33" w:rsidRPr="00E1372C">
        <w:rPr>
          <w:lang w:val="fr-FR" w:bidi="en-US"/>
        </w:rPr>
        <w:t>instruction est dispensée dans la langue maternelle ou la langue locale usuelle. Tous les élèves étudient toutes les matières</w:t>
      </w:r>
      <w:r w:rsidR="00AE017E" w:rsidRPr="00E1372C">
        <w:rPr>
          <w:lang w:val="fr-FR" w:bidi="en-US"/>
        </w:rPr>
        <w:t>:</w:t>
      </w:r>
      <w:r w:rsidR="00CE3C33" w:rsidRPr="00E1372C">
        <w:rPr>
          <w:lang w:val="fr-FR" w:bidi="en-US"/>
        </w:rPr>
        <w:t xml:space="preserve"> langue maternelle ou lange locale usuelle, anglais, mathématiques, environnement, instruction religieuse et morale, arts et éducation physique. Le premier cycle porte essentiellement </w:t>
      </w:r>
      <w:r w:rsidR="004C6E19" w:rsidRPr="00E1372C">
        <w:rPr>
          <w:lang w:val="fr-FR" w:bidi="en-US"/>
        </w:rPr>
        <w:t xml:space="preserve">sur </w:t>
      </w:r>
      <w:r w:rsidR="00CE3C33" w:rsidRPr="00E1372C">
        <w:rPr>
          <w:lang w:val="fr-FR" w:bidi="en-US"/>
        </w:rPr>
        <w:t>quatre domaines</w:t>
      </w:r>
      <w:r w:rsidR="00AE017E" w:rsidRPr="00E1372C">
        <w:rPr>
          <w:lang w:val="fr-FR" w:bidi="en-US"/>
        </w:rPr>
        <w:t>:</w:t>
      </w:r>
      <w:r w:rsidR="00CE3C33" w:rsidRPr="00E1372C">
        <w:rPr>
          <w:lang w:val="fr-FR" w:bidi="en-US"/>
        </w:rPr>
        <w:t xml:space="preserve"> lecture/écriture, calcul, découverte de l</w:t>
      </w:r>
      <w:r w:rsidR="00731F09" w:rsidRPr="00E1372C">
        <w:rPr>
          <w:lang w:val="fr-FR" w:bidi="en-US"/>
        </w:rPr>
        <w:t>’</w:t>
      </w:r>
      <w:r w:rsidR="00CE3C33" w:rsidRPr="00E1372C">
        <w:rPr>
          <w:lang w:val="fr-FR" w:bidi="en-US"/>
        </w:rPr>
        <w:t>environnement immédiat, santé.</w:t>
      </w:r>
    </w:p>
    <w:p w:rsidR="00CE3C33" w:rsidRPr="00E1372C" w:rsidRDefault="007A1757" w:rsidP="007A1757">
      <w:pPr>
        <w:pStyle w:val="SingleTxtG"/>
        <w:rPr>
          <w:lang w:val="fr-FR" w:bidi="en-US"/>
        </w:rPr>
      </w:pPr>
      <w:r w:rsidRPr="00E1372C">
        <w:rPr>
          <w:lang w:val="fr-FR" w:bidi="en-US"/>
        </w:rPr>
        <w:t>394.</w:t>
      </w:r>
      <w:r w:rsidRPr="00E1372C">
        <w:rPr>
          <w:lang w:val="fr-FR" w:bidi="en-US"/>
        </w:rPr>
        <w:tab/>
      </w:r>
      <w:r w:rsidR="00CE3C33" w:rsidRPr="00E1372C">
        <w:rPr>
          <w:lang w:val="fr-FR" w:bidi="en-US"/>
        </w:rPr>
        <w:t>Une véritable instruction qualitative qui repose sur les textes permet d</w:t>
      </w:r>
      <w:r w:rsidR="00731F09" w:rsidRPr="00E1372C">
        <w:rPr>
          <w:lang w:val="fr-FR" w:bidi="en-US"/>
        </w:rPr>
        <w:t>’</w:t>
      </w:r>
      <w:r w:rsidR="00CE3C33" w:rsidRPr="00E1372C">
        <w:rPr>
          <w:lang w:val="fr-FR" w:bidi="en-US"/>
        </w:rPr>
        <w:t>atteindre définitivement les niveaux d</w:t>
      </w:r>
      <w:r w:rsidR="00731F09" w:rsidRPr="00E1372C">
        <w:rPr>
          <w:lang w:val="fr-FR" w:bidi="en-US"/>
        </w:rPr>
        <w:t>’</w:t>
      </w:r>
      <w:r w:rsidR="00CE3C33" w:rsidRPr="00E1372C">
        <w:rPr>
          <w:lang w:val="fr-FR" w:bidi="en-US"/>
        </w:rPr>
        <w:t>alphabétisation et de maîtrise du calcul. Alphabétisation et calcul doivent, pour préparer à la vie active, être appliqués au monde environnant</w:t>
      </w:r>
      <w:r w:rsidR="00AE017E" w:rsidRPr="00E1372C">
        <w:rPr>
          <w:lang w:val="fr-FR" w:bidi="en-US"/>
        </w:rPr>
        <w:t>:</w:t>
      </w:r>
      <w:r w:rsidR="00CE3C33" w:rsidRPr="00E1372C">
        <w:rPr>
          <w:lang w:val="fr-FR" w:bidi="en-US"/>
        </w:rPr>
        <w:t xml:space="preserve"> ils ne sont pas utilisables comme connaissances abstraites. Les études sur l</w:t>
      </w:r>
      <w:r w:rsidR="00731F09" w:rsidRPr="00E1372C">
        <w:rPr>
          <w:lang w:val="fr-FR" w:bidi="en-US"/>
        </w:rPr>
        <w:t>’</w:t>
      </w:r>
      <w:r w:rsidR="00CE3C33" w:rsidRPr="00E1372C">
        <w:rPr>
          <w:lang w:val="fr-FR" w:bidi="en-US"/>
        </w:rPr>
        <w:t>environnement, l</w:t>
      </w:r>
      <w:r w:rsidR="00731F09" w:rsidRPr="00E1372C">
        <w:rPr>
          <w:lang w:val="fr-FR" w:bidi="en-US"/>
        </w:rPr>
        <w:t>’</w:t>
      </w:r>
      <w:r w:rsidR="00CE3C33" w:rsidRPr="00E1372C">
        <w:rPr>
          <w:lang w:val="fr-FR" w:bidi="en-US"/>
        </w:rPr>
        <w:t>instruction religieuse et morale élargissent la base de connaissances qui, avec la propre expérience et les connaissances acquises des élèves, nourrissent l</w:t>
      </w:r>
      <w:r w:rsidR="00731F09" w:rsidRPr="00E1372C">
        <w:rPr>
          <w:lang w:val="fr-FR" w:bidi="en-US"/>
        </w:rPr>
        <w:t>’</w:t>
      </w:r>
      <w:r w:rsidR="00CE3C33" w:rsidRPr="00E1372C">
        <w:rPr>
          <w:lang w:val="fr-FR" w:bidi="en-US"/>
        </w:rPr>
        <w:t>alphabétisation et le calcul. Elles inculquent également aux élèves des compétences pratiques pour appréhender le monde qui les entoure. Les thèmes et sujets des études sur l</w:t>
      </w:r>
      <w:r w:rsidR="00731F09" w:rsidRPr="00E1372C">
        <w:rPr>
          <w:lang w:val="fr-FR" w:bidi="en-US"/>
        </w:rPr>
        <w:t>’</w:t>
      </w:r>
      <w:r w:rsidR="00CE3C33" w:rsidRPr="00E1372C">
        <w:rPr>
          <w:lang w:val="fr-FR" w:bidi="en-US"/>
        </w:rPr>
        <w:t xml:space="preserve">environnement fournissent des matières qui peuvent être intégrées dans les programmes généraux. Le VIH et le </w:t>
      </w:r>
      <w:r w:rsidR="00B277C4" w:rsidRPr="00E1372C">
        <w:rPr>
          <w:lang w:val="fr-FR" w:bidi="en-US"/>
        </w:rPr>
        <w:t>sida</w:t>
      </w:r>
      <w:r w:rsidR="00CE3C33" w:rsidRPr="00E1372C">
        <w:rPr>
          <w:lang w:val="fr-FR" w:bidi="en-US"/>
        </w:rPr>
        <w:t xml:space="preserve"> sont enseignés dès la première année, les élèves se trouvant encore à l</w:t>
      </w:r>
      <w:r w:rsidR="00731F09" w:rsidRPr="00E1372C">
        <w:rPr>
          <w:lang w:val="fr-FR" w:bidi="en-US"/>
        </w:rPr>
        <w:t>’</w:t>
      </w:r>
      <w:r w:rsidR="00CE3C33" w:rsidRPr="00E1372C">
        <w:rPr>
          <w:lang w:val="fr-FR" w:bidi="en-US"/>
        </w:rPr>
        <w:t xml:space="preserve">âge de la </w:t>
      </w:r>
      <w:r w:rsidR="00AE017E" w:rsidRPr="00E1372C">
        <w:rPr>
          <w:lang w:val="fr-FR" w:bidi="en-US"/>
        </w:rPr>
        <w:t>«</w:t>
      </w:r>
      <w:r w:rsidR="00BB6A82" w:rsidRPr="00E1372C">
        <w:rPr>
          <w:lang w:val="fr-FR" w:bidi="en-US"/>
        </w:rPr>
        <w:t>lueur d</w:t>
      </w:r>
      <w:r w:rsidR="00731F09" w:rsidRPr="00E1372C">
        <w:rPr>
          <w:lang w:val="fr-FR" w:bidi="en-US"/>
        </w:rPr>
        <w:t>’</w:t>
      </w:r>
      <w:r w:rsidR="00BB6A82" w:rsidRPr="00E1372C">
        <w:rPr>
          <w:lang w:val="fr-FR" w:bidi="en-US"/>
        </w:rPr>
        <w:t>espoir</w:t>
      </w:r>
      <w:r w:rsidR="00AE017E" w:rsidRPr="00E1372C">
        <w:rPr>
          <w:lang w:val="fr-FR" w:bidi="en-US"/>
        </w:rPr>
        <w:t>»</w:t>
      </w:r>
      <w:r w:rsidR="00BB6A82" w:rsidRPr="00E1372C">
        <w:rPr>
          <w:lang w:val="fr-FR" w:bidi="en-US"/>
        </w:rPr>
        <w:t xml:space="preserve"> avant les premières relations sexuelles </w:t>
      </w:r>
      <w:r w:rsidR="00E3308B" w:rsidRPr="00E1372C">
        <w:rPr>
          <w:lang w:val="fr-FR" w:bidi="en-US"/>
        </w:rPr>
        <w:t>et représentant la</w:t>
      </w:r>
      <w:r w:rsidR="00BB6A82" w:rsidRPr="00E1372C">
        <w:rPr>
          <w:lang w:val="fr-FR" w:bidi="en-US"/>
        </w:rPr>
        <w:t xml:space="preserve"> génération qui peut être suffisamment formée et préparée à maîtriser la pandémie de </w:t>
      </w:r>
      <w:r w:rsidR="00B277C4" w:rsidRPr="00E1372C">
        <w:rPr>
          <w:lang w:val="fr-FR" w:bidi="en-US"/>
        </w:rPr>
        <w:t>sida</w:t>
      </w:r>
      <w:r w:rsidR="00BB6A82" w:rsidRPr="00E1372C">
        <w:rPr>
          <w:lang w:val="fr-FR" w:bidi="en-US"/>
        </w:rPr>
        <w:t>.</w:t>
      </w:r>
    </w:p>
    <w:p w:rsidR="002D6991" w:rsidRPr="00E1372C" w:rsidRDefault="00F3232B" w:rsidP="00F3232B">
      <w:pPr>
        <w:pStyle w:val="H23G"/>
        <w:rPr>
          <w:lang w:val="fr-FR" w:bidi="en-US"/>
        </w:rPr>
      </w:pPr>
      <w:r w:rsidRPr="00E1372C">
        <w:rPr>
          <w:lang w:val="fr-FR" w:bidi="en-US"/>
        </w:rPr>
        <w:tab/>
      </w:r>
      <w:r w:rsidRPr="00E1372C">
        <w:rPr>
          <w:lang w:val="fr-FR" w:bidi="en-US"/>
        </w:rPr>
        <w:tab/>
      </w:r>
      <w:r w:rsidR="00BB6A82" w:rsidRPr="00E1372C">
        <w:rPr>
          <w:lang w:val="fr-FR" w:bidi="en-US"/>
        </w:rPr>
        <w:t>Enseignement primaire du second cycle (5</w:t>
      </w:r>
      <w:r w:rsidR="00BB6A82" w:rsidRPr="00E1372C">
        <w:rPr>
          <w:vertAlign w:val="superscript"/>
          <w:lang w:val="fr-FR" w:bidi="en-US"/>
        </w:rPr>
        <w:t>e</w:t>
      </w:r>
      <w:r w:rsidR="00BB6A82" w:rsidRPr="00E1372C">
        <w:rPr>
          <w:lang w:val="fr-FR" w:bidi="en-US"/>
        </w:rPr>
        <w:t xml:space="preserve"> à 7</w:t>
      </w:r>
      <w:r w:rsidR="00BB6A82" w:rsidRPr="00E1372C">
        <w:rPr>
          <w:vertAlign w:val="superscript"/>
          <w:lang w:val="fr-FR" w:bidi="en-US"/>
        </w:rPr>
        <w:t>e</w:t>
      </w:r>
      <w:r w:rsidR="00BA5B7D" w:rsidRPr="00E1372C">
        <w:rPr>
          <w:lang w:val="fr-FR" w:bidi="en-US"/>
        </w:rPr>
        <w:t xml:space="preserve"> </w:t>
      </w:r>
      <w:r w:rsidR="00BB6A82" w:rsidRPr="00E1372C">
        <w:rPr>
          <w:lang w:val="fr-FR" w:bidi="en-US"/>
        </w:rPr>
        <w:t>année)</w:t>
      </w:r>
    </w:p>
    <w:p w:rsidR="00BB6A82" w:rsidRPr="00E1372C" w:rsidRDefault="007A1757" w:rsidP="007A1757">
      <w:pPr>
        <w:pStyle w:val="SingleTxtG"/>
        <w:rPr>
          <w:lang w:val="fr-FR" w:bidi="en-US"/>
        </w:rPr>
      </w:pPr>
      <w:r w:rsidRPr="00E1372C">
        <w:rPr>
          <w:lang w:val="fr-FR" w:bidi="en-US"/>
        </w:rPr>
        <w:t>395.</w:t>
      </w:r>
      <w:r w:rsidRPr="00E1372C">
        <w:rPr>
          <w:lang w:val="fr-FR" w:bidi="en-US"/>
        </w:rPr>
        <w:tab/>
      </w:r>
      <w:r w:rsidR="00BB6A82" w:rsidRPr="00E1372C">
        <w:rPr>
          <w:lang w:val="fr-FR" w:bidi="en-US"/>
        </w:rPr>
        <w:t>Le second cycle de l</w:t>
      </w:r>
      <w:r w:rsidR="00731F09" w:rsidRPr="00E1372C">
        <w:rPr>
          <w:lang w:val="fr-FR" w:bidi="en-US"/>
        </w:rPr>
        <w:t>’</w:t>
      </w:r>
      <w:r w:rsidR="00BB6A82" w:rsidRPr="00E1372C">
        <w:rPr>
          <w:lang w:val="fr-FR" w:bidi="en-US"/>
        </w:rPr>
        <w:t>enseignement primaire s</w:t>
      </w:r>
      <w:r w:rsidR="00731F09" w:rsidRPr="00E1372C">
        <w:rPr>
          <w:lang w:val="fr-FR" w:bidi="en-US"/>
        </w:rPr>
        <w:t>’</w:t>
      </w:r>
      <w:r w:rsidR="00BB6A82" w:rsidRPr="00E1372C">
        <w:rPr>
          <w:lang w:val="fr-FR" w:bidi="en-US"/>
        </w:rPr>
        <w:t>inscrit dans la continuité en l</w:t>
      </w:r>
      <w:r w:rsidR="00731F09" w:rsidRPr="00E1372C">
        <w:rPr>
          <w:lang w:val="fr-FR" w:bidi="en-US"/>
        </w:rPr>
        <w:t>’</w:t>
      </w:r>
      <w:r w:rsidR="00BB6A82" w:rsidRPr="00E1372C">
        <w:rPr>
          <w:lang w:val="fr-FR" w:bidi="en-US"/>
        </w:rPr>
        <w:t>élargissant, affermit les bases établies au premier cycle et les développe. L</w:t>
      </w:r>
      <w:r w:rsidR="00731F09" w:rsidRPr="00E1372C">
        <w:rPr>
          <w:lang w:val="fr-FR" w:bidi="en-US"/>
        </w:rPr>
        <w:t>’</w:t>
      </w:r>
      <w:r w:rsidR="00BB6A82" w:rsidRPr="00E1372C">
        <w:rPr>
          <w:lang w:val="fr-FR" w:bidi="en-US"/>
        </w:rPr>
        <w:t>instruction est désormais en anglais (excepté le cours de langue nationale), étayée à titre exceptionnel par l</w:t>
      </w:r>
      <w:r w:rsidR="00731F09" w:rsidRPr="00E1372C">
        <w:rPr>
          <w:lang w:val="fr-FR" w:bidi="en-US"/>
        </w:rPr>
        <w:t>’</w:t>
      </w:r>
      <w:r w:rsidR="00BB6A82" w:rsidRPr="00E1372C">
        <w:rPr>
          <w:lang w:val="fr-FR" w:bidi="en-US"/>
        </w:rPr>
        <w:t>utilisation de la langue maternelle ou langue locale usuelle. La division des programmes en différentes disciplines apparaît plus manifestement dans cette section. Tous les élèves apprennent l</w:t>
      </w:r>
      <w:r w:rsidR="00731F09" w:rsidRPr="00E1372C">
        <w:rPr>
          <w:lang w:val="fr-FR" w:bidi="en-US"/>
        </w:rPr>
        <w:t>’</w:t>
      </w:r>
      <w:r w:rsidR="00BB6A82" w:rsidRPr="00E1372C">
        <w:rPr>
          <w:lang w:val="fr-FR" w:bidi="en-US"/>
        </w:rPr>
        <w:t xml:space="preserve">anglais, la langue maternelle </w:t>
      </w:r>
      <w:r w:rsidR="004C6E19" w:rsidRPr="00E1372C">
        <w:rPr>
          <w:lang w:val="fr-FR" w:bidi="en-US"/>
        </w:rPr>
        <w:t>ou la</w:t>
      </w:r>
      <w:r w:rsidR="00BB6A82" w:rsidRPr="00E1372C">
        <w:rPr>
          <w:lang w:val="fr-FR" w:bidi="en-US"/>
        </w:rPr>
        <w:t xml:space="preserve"> langue locale usuelle, les mathématiques, les sciences naturelles et la santé, les sciences sociales, l</w:t>
      </w:r>
      <w:r w:rsidR="00731F09" w:rsidRPr="00E1372C">
        <w:rPr>
          <w:lang w:val="fr-FR" w:bidi="en-US"/>
        </w:rPr>
        <w:t>’</w:t>
      </w:r>
      <w:r w:rsidR="00BB6A82" w:rsidRPr="00E1372C">
        <w:rPr>
          <w:lang w:val="fr-FR" w:bidi="en-US"/>
        </w:rPr>
        <w:t xml:space="preserve">instruction religieuse et morale, les compétences pratiques, les </w:t>
      </w:r>
      <w:r w:rsidR="00E96BDA" w:rsidRPr="00E1372C">
        <w:rPr>
          <w:lang w:val="fr-FR" w:bidi="en-US"/>
        </w:rPr>
        <w:t xml:space="preserve">éléments des </w:t>
      </w:r>
      <w:r w:rsidR="00BB6A82" w:rsidRPr="00E1372C">
        <w:rPr>
          <w:lang w:val="fr-FR" w:bidi="en-US"/>
        </w:rPr>
        <w:t xml:space="preserve">sciences </w:t>
      </w:r>
      <w:r w:rsidR="00E96BDA" w:rsidRPr="00E1372C">
        <w:rPr>
          <w:lang w:val="fr-FR" w:bidi="en-US"/>
        </w:rPr>
        <w:t>de l</w:t>
      </w:r>
      <w:r w:rsidR="00731F09" w:rsidRPr="00E1372C">
        <w:rPr>
          <w:lang w:val="fr-FR" w:bidi="en-US"/>
        </w:rPr>
        <w:t>’</w:t>
      </w:r>
      <w:r w:rsidR="00BB6A82" w:rsidRPr="00E1372C">
        <w:rPr>
          <w:lang w:val="fr-FR" w:bidi="en-US"/>
        </w:rPr>
        <w:t>informati</w:t>
      </w:r>
      <w:r w:rsidR="00E96BDA" w:rsidRPr="00E1372C">
        <w:rPr>
          <w:lang w:val="fr-FR" w:bidi="en-US"/>
        </w:rPr>
        <w:t>on</w:t>
      </w:r>
      <w:r w:rsidR="00BB6A82" w:rsidRPr="00E1372C">
        <w:rPr>
          <w:lang w:val="fr-FR" w:bidi="en-US"/>
        </w:rPr>
        <w:t>, les arts et l</w:t>
      </w:r>
      <w:r w:rsidR="00731F09" w:rsidRPr="00E1372C">
        <w:rPr>
          <w:lang w:val="fr-FR" w:bidi="en-US"/>
        </w:rPr>
        <w:t>’</w:t>
      </w:r>
      <w:r w:rsidR="00BB6A82" w:rsidRPr="00E1372C">
        <w:rPr>
          <w:lang w:val="fr-FR" w:bidi="en-US"/>
        </w:rPr>
        <w:t>éducation physique. En outre, ils peuvent choisir l</w:t>
      </w:r>
      <w:r w:rsidR="00731F09" w:rsidRPr="00E1372C">
        <w:rPr>
          <w:lang w:val="fr-FR" w:bidi="en-US"/>
        </w:rPr>
        <w:t>’</w:t>
      </w:r>
      <w:r w:rsidR="00BB6A82" w:rsidRPr="00E1372C">
        <w:rPr>
          <w:lang w:val="fr-FR" w:bidi="en-US"/>
        </w:rPr>
        <w:t>une des matières suivantes</w:t>
      </w:r>
      <w:r w:rsidR="00AE017E" w:rsidRPr="00E1372C">
        <w:rPr>
          <w:lang w:val="fr-FR" w:bidi="en-US"/>
        </w:rPr>
        <w:t>:</w:t>
      </w:r>
      <w:r w:rsidR="00BB6A82" w:rsidRPr="00E1372C">
        <w:rPr>
          <w:lang w:val="fr-FR" w:bidi="en-US"/>
        </w:rPr>
        <w:t xml:space="preserve"> conception et technologie, agriculture de base, écologie familiale, qui comprennent </w:t>
      </w:r>
      <w:r w:rsidR="003D4E51" w:rsidRPr="00E1372C">
        <w:rPr>
          <w:lang w:val="fr-FR" w:bidi="en-US"/>
        </w:rPr>
        <w:t xml:space="preserve">chacune </w:t>
      </w:r>
      <w:r w:rsidR="00BB6A82" w:rsidRPr="00E1372C">
        <w:rPr>
          <w:lang w:val="fr-FR" w:bidi="en-US"/>
        </w:rPr>
        <w:t>l</w:t>
      </w:r>
      <w:r w:rsidR="00731F09" w:rsidRPr="00E1372C">
        <w:rPr>
          <w:lang w:val="fr-FR" w:bidi="en-US"/>
        </w:rPr>
        <w:t>’</w:t>
      </w:r>
      <w:r w:rsidR="00BB6A82" w:rsidRPr="00E1372C">
        <w:rPr>
          <w:lang w:val="fr-FR" w:bidi="en-US"/>
        </w:rPr>
        <w:t>initiation à l</w:t>
      </w:r>
      <w:r w:rsidR="00731F09" w:rsidRPr="00E1372C">
        <w:rPr>
          <w:lang w:val="fr-FR" w:bidi="en-US"/>
        </w:rPr>
        <w:t>’</w:t>
      </w:r>
      <w:r w:rsidR="00BB6A82" w:rsidRPr="00E1372C">
        <w:rPr>
          <w:lang w:val="fr-FR" w:bidi="en-US"/>
        </w:rPr>
        <w:t>esprit d</w:t>
      </w:r>
      <w:r w:rsidR="00731F09" w:rsidRPr="00E1372C">
        <w:rPr>
          <w:lang w:val="fr-FR" w:bidi="en-US"/>
        </w:rPr>
        <w:t>’</w:t>
      </w:r>
      <w:r w:rsidR="00BB6A82" w:rsidRPr="00E1372C">
        <w:rPr>
          <w:lang w:val="fr-FR" w:bidi="en-US"/>
        </w:rPr>
        <w:t>entreprise.</w:t>
      </w:r>
    </w:p>
    <w:p w:rsidR="00BB6A82" w:rsidRPr="00E1372C" w:rsidRDefault="007A1757" w:rsidP="007A1757">
      <w:pPr>
        <w:pStyle w:val="SingleTxtG"/>
        <w:rPr>
          <w:lang w:val="fr-FR" w:bidi="en-US"/>
        </w:rPr>
      </w:pPr>
      <w:r w:rsidRPr="00E1372C">
        <w:rPr>
          <w:lang w:val="fr-FR" w:bidi="en-US"/>
        </w:rPr>
        <w:t>396.</w:t>
      </w:r>
      <w:r w:rsidRPr="00E1372C">
        <w:rPr>
          <w:lang w:val="fr-FR" w:bidi="en-US"/>
        </w:rPr>
        <w:tab/>
      </w:r>
      <w:r w:rsidR="00BB6A82" w:rsidRPr="00E1372C">
        <w:rPr>
          <w:lang w:val="fr-FR" w:bidi="en-US"/>
        </w:rPr>
        <w:t>L</w:t>
      </w:r>
      <w:r w:rsidR="00731F09" w:rsidRPr="00E1372C">
        <w:rPr>
          <w:lang w:val="fr-FR" w:bidi="en-US"/>
        </w:rPr>
        <w:t>’</w:t>
      </w:r>
      <w:r w:rsidR="00BB6A82" w:rsidRPr="00E1372C">
        <w:rPr>
          <w:lang w:val="fr-FR" w:bidi="en-US"/>
        </w:rPr>
        <w:t>enseignement primaire vise à inculquer les connaissances et aptitudes fondamentales – lecture, écriture et calcul – ainsi qu</w:t>
      </w:r>
      <w:r w:rsidR="00731F09" w:rsidRPr="00E1372C">
        <w:rPr>
          <w:lang w:val="fr-FR" w:bidi="en-US"/>
        </w:rPr>
        <w:t>’</w:t>
      </w:r>
      <w:r w:rsidR="00BB6A82" w:rsidRPr="00E1372C">
        <w:rPr>
          <w:lang w:val="fr-FR" w:bidi="en-US"/>
        </w:rPr>
        <w:t>à préparer les élèves à intégrer le premier cycle de l</w:t>
      </w:r>
      <w:r w:rsidR="00731F09" w:rsidRPr="00E1372C">
        <w:rPr>
          <w:lang w:val="fr-FR" w:bidi="en-US"/>
        </w:rPr>
        <w:t>’</w:t>
      </w:r>
      <w:r w:rsidR="00BB6A82" w:rsidRPr="00E1372C">
        <w:rPr>
          <w:lang w:val="fr-FR" w:bidi="en-US"/>
        </w:rPr>
        <w:t>enseignement secondaire. L</w:t>
      </w:r>
      <w:r w:rsidR="00731F09" w:rsidRPr="00E1372C">
        <w:rPr>
          <w:lang w:val="fr-FR" w:bidi="en-US"/>
        </w:rPr>
        <w:t>’</w:t>
      </w:r>
      <w:r w:rsidR="00BB6A82" w:rsidRPr="00E1372C">
        <w:rPr>
          <w:lang w:val="fr-FR" w:bidi="en-US"/>
        </w:rPr>
        <w:t>accès à l</w:t>
      </w:r>
      <w:r w:rsidR="00731F09" w:rsidRPr="00E1372C">
        <w:rPr>
          <w:lang w:val="fr-FR" w:bidi="en-US"/>
        </w:rPr>
        <w:t>’</w:t>
      </w:r>
      <w:r w:rsidR="00BB6A82" w:rsidRPr="00E1372C">
        <w:rPr>
          <w:lang w:val="fr-FR" w:bidi="en-US"/>
        </w:rPr>
        <w:t>enseignement préprimaire demeure restreint, étant subordonné tant à l</w:t>
      </w:r>
      <w:r w:rsidR="00731F09" w:rsidRPr="00E1372C">
        <w:rPr>
          <w:lang w:val="fr-FR" w:bidi="en-US"/>
        </w:rPr>
        <w:t>’</w:t>
      </w:r>
      <w:r w:rsidR="00BB6A82" w:rsidRPr="00E1372C">
        <w:rPr>
          <w:lang w:val="fr-FR" w:bidi="en-US"/>
        </w:rPr>
        <w:t>offre qu</w:t>
      </w:r>
      <w:r w:rsidR="00731F09" w:rsidRPr="00E1372C">
        <w:rPr>
          <w:lang w:val="fr-FR" w:bidi="en-US"/>
        </w:rPr>
        <w:t>’</w:t>
      </w:r>
      <w:r w:rsidR="00BB6A82" w:rsidRPr="00E1372C">
        <w:rPr>
          <w:lang w:val="fr-FR" w:bidi="en-US"/>
        </w:rPr>
        <w:t>à la demande. La Constitution interdit la discrimination dans l</w:t>
      </w:r>
      <w:r w:rsidR="00731F09" w:rsidRPr="00E1372C">
        <w:rPr>
          <w:lang w:val="fr-FR" w:bidi="en-US"/>
        </w:rPr>
        <w:t>’</w:t>
      </w:r>
      <w:r w:rsidR="00BB6A82" w:rsidRPr="00E1372C">
        <w:rPr>
          <w:lang w:val="fr-FR" w:bidi="en-US"/>
        </w:rPr>
        <w:t>accès à l</w:t>
      </w:r>
      <w:r w:rsidR="00731F09" w:rsidRPr="00E1372C">
        <w:rPr>
          <w:lang w:val="fr-FR" w:bidi="en-US"/>
        </w:rPr>
        <w:t>’</w:t>
      </w:r>
      <w:r w:rsidR="00BB6A82" w:rsidRPr="00E1372C">
        <w:rPr>
          <w:lang w:val="fr-FR" w:bidi="en-US"/>
        </w:rPr>
        <w:t>éducation, souten</w:t>
      </w:r>
      <w:r w:rsidR="00854CFA" w:rsidRPr="00E1372C">
        <w:rPr>
          <w:lang w:val="fr-FR" w:bidi="en-US"/>
        </w:rPr>
        <w:t>ue par des lois, des directives et des réglementations favorisant un enseignement antidiscriminatoire. Le but est de permettre à la majorité des personnes d</w:t>
      </w:r>
      <w:r w:rsidR="00731F09" w:rsidRPr="00E1372C">
        <w:rPr>
          <w:lang w:val="fr-FR" w:bidi="en-US"/>
        </w:rPr>
        <w:t>’</w:t>
      </w:r>
      <w:r w:rsidR="00854CFA" w:rsidRPr="00E1372C">
        <w:rPr>
          <w:lang w:val="fr-FR" w:bidi="en-US"/>
        </w:rPr>
        <w:t xml:space="preserve">acquérir les aptitudes à lire, </w:t>
      </w:r>
      <w:r w:rsidR="003D4E51" w:rsidRPr="00E1372C">
        <w:rPr>
          <w:lang w:val="fr-FR" w:bidi="en-US"/>
        </w:rPr>
        <w:t xml:space="preserve">à </w:t>
      </w:r>
      <w:r w:rsidR="00854CFA" w:rsidRPr="00E1372C">
        <w:rPr>
          <w:lang w:val="fr-FR" w:bidi="en-US"/>
        </w:rPr>
        <w:t xml:space="preserve">écrire, </w:t>
      </w:r>
      <w:r w:rsidR="003D4E51" w:rsidRPr="00E1372C">
        <w:rPr>
          <w:lang w:val="fr-FR" w:bidi="en-US"/>
        </w:rPr>
        <w:t xml:space="preserve">à </w:t>
      </w:r>
      <w:r w:rsidR="00854CFA" w:rsidRPr="00E1372C">
        <w:rPr>
          <w:lang w:val="fr-FR" w:bidi="en-US"/>
        </w:rPr>
        <w:t xml:space="preserve">compter et </w:t>
      </w:r>
      <w:r w:rsidR="003D4E51" w:rsidRPr="00E1372C">
        <w:rPr>
          <w:lang w:val="fr-FR" w:bidi="en-US"/>
        </w:rPr>
        <w:t xml:space="preserve">à </w:t>
      </w:r>
      <w:r w:rsidR="00854CFA" w:rsidRPr="00E1372C">
        <w:rPr>
          <w:lang w:val="fr-FR" w:bidi="en-US"/>
        </w:rPr>
        <w:t>comprendre les mécanismes socioculturels et les phénomènes naturels.</w:t>
      </w:r>
    </w:p>
    <w:p w:rsidR="00F359C2" w:rsidRPr="00E1372C" w:rsidRDefault="007A1757" w:rsidP="007A1757">
      <w:pPr>
        <w:pStyle w:val="SingleTxtG"/>
        <w:rPr>
          <w:lang w:val="fr-FR" w:bidi="en-US"/>
        </w:rPr>
      </w:pPr>
      <w:r w:rsidRPr="00E1372C">
        <w:rPr>
          <w:lang w:val="fr-FR" w:bidi="en-US"/>
        </w:rPr>
        <w:t>397.</w:t>
      </w:r>
      <w:r w:rsidRPr="00E1372C">
        <w:rPr>
          <w:lang w:val="fr-FR" w:bidi="en-US"/>
        </w:rPr>
        <w:tab/>
      </w:r>
      <w:r w:rsidR="00F359C2" w:rsidRPr="00E1372C">
        <w:rPr>
          <w:lang w:val="fr-FR" w:bidi="en-US"/>
        </w:rPr>
        <w:t>La loi n</w:t>
      </w:r>
      <w:r w:rsidR="00B277C4" w:rsidRPr="00E1372C">
        <w:rPr>
          <w:vertAlign w:val="superscript"/>
          <w:lang w:val="fr-FR" w:bidi="en-US"/>
        </w:rPr>
        <w:t>o</w:t>
      </w:r>
      <w:r w:rsidR="00F359C2" w:rsidRPr="00E1372C">
        <w:rPr>
          <w:lang w:val="fr-FR" w:bidi="en-US"/>
        </w:rPr>
        <w:t> 16 de 2001 relative à l</w:t>
      </w:r>
      <w:r w:rsidR="00731F09" w:rsidRPr="00E1372C">
        <w:rPr>
          <w:lang w:val="fr-FR" w:bidi="en-US"/>
        </w:rPr>
        <w:t>’</w:t>
      </w:r>
      <w:r w:rsidR="00F359C2" w:rsidRPr="00E1372C">
        <w:rPr>
          <w:lang w:val="fr-FR" w:bidi="en-US"/>
        </w:rPr>
        <w:t>enseignement rend obligatoire l</w:t>
      </w:r>
      <w:r w:rsidR="00731F09" w:rsidRPr="00E1372C">
        <w:rPr>
          <w:lang w:val="fr-FR" w:bidi="en-US"/>
        </w:rPr>
        <w:t>’</w:t>
      </w:r>
      <w:r w:rsidR="00F359C2" w:rsidRPr="00E1372C">
        <w:rPr>
          <w:lang w:val="fr-FR" w:bidi="en-US"/>
        </w:rPr>
        <w:t>enseignement primaire. Selon les statistiques disponibles, plus de 90</w:t>
      </w:r>
      <w:r w:rsidR="007064FC" w:rsidRPr="00E1372C">
        <w:rPr>
          <w:lang w:val="fr-FR" w:bidi="en-US"/>
        </w:rPr>
        <w:t> %</w:t>
      </w:r>
      <w:r w:rsidR="00F359C2" w:rsidRPr="00E1372C">
        <w:rPr>
          <w:lang w:val="fr-FR" w:bidi="en-US"/>
        </w:rPr>
        <w:t xml:space="preserve"> d</w:t>
      </w:r>
      <w:r w:rsidR="00731F09" w:rsidRPr="00E1372C">
        <w:rPr>
          <w:lang w:val="fr-FR" w:bidi="en-US"/>
        </w:rPr>
        <w:t>’</w:t>
      </w:r>
      <w:r w:rsidR="00F359C2" w:rsidRPr="00E1372C">
        <w:rPr>
          <w:lang w:val="fr-FR" w:bidi="en-US"/>
        </w:rPr>
        <w:t>enfants de 6 à 16 ans sont scolarisés. L</w:t>
      </w:r>
      <w:r w:rsidR="00731F09" w:rsidRPr="00E1372C">
        <w:rPr>
          <w:lang w:val="fr-FR" w:bidi="en-US"/>
        </w:rPr>
        <w:t>’</w:t>
      </w:r>
      <w:r w:rsidR="00F359C2" w:rsidRPr="00E1372C">
        <w:rPr>
          <w:lang w:val="fr-FR" w:bidi="en-US"/>
        </w:rPr>
        <w:t>enseignement primaire, dans les écoles publiques, est gratuit</w:t>
      </w:r>
      <w:r w:rsidR="00AE017E" w:rsidRPr="00E1372C">
        <w:rPr>
          <w:lang w:val="fr-FR" w:bidi="en-US"/>
        </w:rPr>
        <w:t>:</w:t>
      </w:r>
      <w:r w:rsidR="00492F38" w:rsidRPr="00E1372C">
        <w:rPr>
          <w:lang w:val="fr-FR" w:bidi="en-US"/>
        </w:rPr>
        <w:t xml:space="preserve"> a</w:t>
      </w:r>
      <w:r w:rsidR="00F359C2" w:rsidRPr="00E1372C">
        <w:rPr>
          <w:lang w:val="fr-FR" w:bidi="en-US"/>
        </w:rPr>
        <w:t>ucun frais de scolarité n</w:t>
      </w:r>
      <w:r w:rsidR="00731F09" w:rsidRPr="00E1372C">
        <w:rPr>
          <w:lang w:val="fr-FR" w:bidi="en-US"/>
        </w:rPr>
        <w:t>’</w:t>
      </w:r>
      <w:r w:rsidR="00F359C2" w:rsidRPr="00E1372C">
        <w:rPr>
          <w:lang w:val="fr-FR" w:bidi="en-US"/>
        </w:rPr>
        <w:t>est prélevé. Les parents assument le coût des uniformes scolaires (non obligatoires) et les contributions au fonds de développement scolaire fixées et administrées par les conseils scolaires élus. Dans l</w:t>
      </w:r>
      <w:r w:rsidR="00731F09" w:rsidRPr="00E1372C">
        <w:rPr>
          <w:lang w:val="fr-FR" w:bidi="en-US"/>
        </w:rPr>
        <w:t>’</w:t>
      </w:r>
      <w:r w:rsidR="00F359C2" w:rsidRPr="00E1372C">
        <w:rPr>
          <w:lang w:val="fr-FR" w:bidi="en-US"/>
        </w:rPr>
        <w:t>enseignement primaire du premier cycle (1</w:t>
      </w:r>
      <w:r w:rsidR="00F359C2" w:rsidRPr="00E1372C">
        <w:rPr>
          <w:vertAlign w:val="superscript"/>
          <w:lang w:val="fr-FR" w:bidi="en-US"/>
        </w:rPr>
        <w:t>re</w:t>
      </w:r>
      <w:r w:rsidR="00F359C2" w:rsidRPr="00E1372C">
        <w:rPr>
          <w:lang w:val="fr-FR" w:bidi="en-US"/>
        </w:rPr>
        <w:t xml:space="preserve"> à 4</w:t>
      </w:r>
      <w:r w:rsidR="00F359C2" w:rsidRPr="00E1372C">
        <w:rPr>
          <w:vertAlign w:val="superscript"/>
          <w:lang w:val="fr-FR" w:bidi="en-US"/>
        </w:rPr>
        <w:t>e</w:t>
      </w:r>
      <w:r w:rsidR="00F359C2" w:rsidRPr="00E1372C">
        <w:rPr>
          <w:lang w:val="fr-FR" w:bidi="en-US"/>
        </w:rPr>
        <w:t> année), la langue d</w:t>
      </w:r>
      <w:r w:rsidR="00731F09" w:rsidRPr="00E1372C">
        <w:rPr>
          <w:lang w:val="fr-FR" w:bidi="en-US"/>
        </w:rPr>
        <w:t>’</w:t>
      </w:r>
      <w:r w:rsidR="00F359C2" w:rsidRPr="00E1372C">
        <w:rPr>
          <w:lang w:val="fr-FR" w:bidi="en-US"/>
        </w:rPr>
        <w:t>enseignement peut être la langue maternelle ou l</w:t>
      </w:r>
      <w:r w:rsidR="00731F09" w:rsidRPr="00E1372C">
        <w:rPr>
          <w:lang w:val="fr-FR" w:bidi="en-US"/>
        </w:rPr>
        <w:t>’</w:t>
      </w:r>
      <w:r w:rsidR="00F359C2" w:rsidRPr="00E1372C">
        <w:rPr>
          <w:lang w:val="fr-FR" w:bidi="en-US"/>
        </w:rPr>
        <w:t>anglais, cette dernière constituant une matière. Dès la 4</w:t>
      </w:r>
      <w:r w:rsidR="00F359C2" w:rsidRPr="00E1372C">
        <w:rPr>
          <w:vertAlign w:val="superscript"/>
          <w:lang w:val="fr-FR" w:bidi="en-US"/>
        </w:rPr>
        <w:t>e</w:t>
      </w:r>
      <w:r w:rsidR="00F359C2" w:rsidRPr="00E1372C">
        <w:rPr>
          <w:lang w:val="fr-FR" w:bidi="en-US"/>
        </w:rPr>
        <w:t> année, l</w:t>
      </w:r>
      <w:r w:rsidR="00731F09" w:rsidRPr="00E1372C">
        <w:rPr>
          <w:lang w:val="fr-FR" w:bidi="en-US"/>
        </w:rPr>
        <w:t>’</w:t>
      </w:r>
      <w:r w:rsidR="00F359C2" w:rsidRPr="00E1372C">
        <w:rPr>
          <w:lang w:val="fr-FR" w:bidi="en-US"/>
        </w:rPr>
        <w:t>anglais est la langue d</w:t>
      </w:r>
      <w:r w:rsidR="00731F09" w:rsidRPr="00E1372C">
        <w:rPr>
          <w:lang w:val="fr-FR" w:bidi="en-US"/>
        </w:rPr>
        <w:t>’</w:t>
      </w:r>
      <w:r w:rsidR="00F359C2" w:rsidRPr="00E1372C">
        <w:rPr>
          <w:lang w:val="fr-FR" w:bidi="en-US"/>
        </w:rPr>
        <w:t>enseignement.</w:t>
      </w:r>
    </w:p>
    <w:p w:rsidR="00F359C2" w:rsidRPr="00E1372C" w:rsidRDefault="007A1757" w:rsidP="007A1757">
      <w:pPr>
        <w:pStyle w:val="SingleTxtG"/>
        <w:rPr>
          <w:lang w:val="fr-FR" w:bidi="en-US"/>
        </w:rPr>
      </w:pPr>
      <w:r w:rsidRPr="00E1372C">
        <w:rPr>
          <w:lang w:val="fr-FR" w:bidi="en-US"/>
        </w:rPr>
        <w:t>398.</w:t>
      </w:r>
      <w:r w:rsidRPr="00E1372C">
        <w:rPr>
          <w:lang w:val="fr-FR" w:bidi="en-US"/>
        </w:rPr>
        <w:tab/>
      </w:r>
      <w:r w:rsidR="00F359C2" w:rsidRPr="00E1372C">
        <w:rPr>
          <w:lang w:val="fr-FR" w:bidi="en-US"/>
        </w:rPr>
        <w:t>En Namibie, les enseignants sont des fonctionnaires; leurs traitements sont comparables aux rémunérations des secteurs public et privé et sont</w:t>
      </w:r>
      <w:r w:rsidR="00761E40" w:rsidRPr="00E1372C">
        <w:rPr>
          <w:lang w:val="fr-FR" w:bidi="en-US"/>
        </w:rPr>
        <w:t>,</w:t>
      </w:r>
      <w:r w:rsidR="00F359C2" w:rsidRPr="00E1372C">
        <w:rPr>
          <w:lang w:val="fr-FR" w:bidi="en-US"/>
        </w:rPr>
        <w:t xml:space="preserve"> relativement</w:t>
      </w:r>
      <w:r w:rsidR="00761E40" w:rsidRPr="00E1372C">
        <w:rPr>
          <w:lang w:val="fr-FR" w:bidi="en-US"/>
        </w:rPr>
        <w:t>,</w:t>
      </w:r>
      <w:r w:rsidR="00F359C2" w:rsidRPr="00E1372C">
        <w:rPr>
          <w:lang w:val="fr-FR" w:bidi="en-US"/>
        </w:rPr>
        <w:t xml:space="preserve"> parmi les plus élevés de l</w:t>
      </w:r>
      <w:r w:rsidR="00731F09" w:rsidRPr="00E1372C">
        <w:rPr>
          <w:lang w:val="fr-FR" w:bidi="en-US"/>
        </w:rPr>
        <w:t>’</w:t>
      </w:r>
      <w:r w:rsidR="00F359C2" w:rsidRPr="00E1372C">
        <w:rPr>
          <w:lang w:val="fr-FR" w:bidi="en-US"/>
        </w:rPr>
        <w:t>Afrique subsaharienne. Les enseignants sont affiliés aux caisses de pension et d</w:t>
      </w:r>
      <w:r w:rsidR="00731F09" w:rsidRPr="00E1372C">
        <w:rPr>
          <w:lang w:val="fr-FR" w:bidi="en-US"/>
        </w:rPr>
        <w:t>’</w:t>
      </w:r>
      <w:r w:rsidR="00F359C2" w:rsidRPr="00E1372C">
        <w:rPr>
          <w:lang w:val="fr-FR" w:bidi="en-US"/>
        </w:rPr>
        <w:t>assurance maladie de la fonction publique et participent au régime du logement du service public, le cas échéant.</w:t>
      </w:r>
    </w:p>
    <w:p w:rsidR="002D6991" w:rsidRPr="00E1372C" w:rsidRDefault="007A1757" w:rsidP="007A1757">
      <w:pPr>
        <w:pStyle w:val="SingleTxtG"/>
        <w:rPr>
          <w:lang w:val="fr-FR" w:bidi="en-US"/>
        </w:rPr>
      </w:pPr>
      <w:r w:rsidRPr="00E1372C">
        <w:rPr>
          <w:lang w:val="fr-FR" w:bidi="en-US"/>
        </w:rPr>
        <w:t>399.</w:t>
      </w:r>
      <w:r w:rsidRPr="00E1372C">
        <w:rPr>
          <w:lang w:val="fr-FR" w:bidi="en-US"/>
        </w:rPr>
        <w:tab/>
      </w:r>
      <w:r w:rsidR="00F359C2" w:rsidRPr="00E1372C">
        <w:rPr>
          <w:lang w:val="fr-FR" w:bidi="en-US"/>
        </w:rPr>
        <w:t>Le logement demeure un problème pour les enseignants des écoles rurales éloignées. Ce facteur freine l</w:t>
      </w:r>
      <w:r w:rsidR="00731F09" w:rsidRPr="00E1372C">
        <w:rPr>
          <w:lang w:val="fr-FR" w:bidi="en-US"/>
        </w:rPr>
        <w:t>’</w:t>
      </w:r>
      <w:r w:rsidR="00D41CA1" w:rsidRPr="00E1372C">
        <w:rPr>
          <w:lang w:val="fr-FR" w:bidi="en-US"/>
        </w:rPr>
        <w:t>affectation de professeurs qualifiés et compétents dans les régions rurales. La Namibie, comme de nombreux autres pays de la Communauté de développement de l</w:t>
      </w:r>
      <w:r w:rsidR="00731F09" w:rsidRPr="00E1372C">
        <w:rPr>
          <w:lang w:val="fr-FR" w:bidi="en-US"/>
        </w:rPr>
        <w:t>’</w:t>
      </w:r>
      <w:r w:rsidR="00D41CA1" w:rsidRPr="00E1372C">
        <w:rPr>
          <w:lang w:val="fr-FR" w:bidi="en-US"/>
        </w:rPr>
        <w:t>Afrique australe, compte une forte proportion de femmes parmi le corps enseignant. Les femmes y constituent plus de 51</w:t>
      </w:r>
      <w:r w:rsidR="007064FC" w:rsidRPr="00E1372C">
        <w:rPr>
          <w:lang w:val="fr-FR" w:bidi="en-US"/>
        </w:rPr>
        <w:t> %</w:t>
      </w:r>
      <w:r w:rsidR="00D41CA1" w:rsidRPr="00E1372C">
        <w:rPr>
          <w:lang w:val="fr-FR" w:bidi="en-US"/>
        </w:rPr>
        <w:t xml:space="preserve"> de la population</w:t>
      </w:r>
      <w:r w:rsidR="00702C2B" w:rsidRPr="00E1372C">
        <w:rPr>
          <w:lang w:val="fr-FR" w:bidi="en-US"/>
        </w:rPr>
        <w:t xml:space="preserve"> du pays</w:t>
      </w:r>
      <w:r w:rsidR="00D41CA1" w:rsidRPr="00E1372C">
        <w:rPr>
          <w:lang w:val="fr-FR" w:bidi="en-US"/>
        </w:rPr>
        <w:t xml:space="preserve"> qui</w:t>
      </w:r>
      <w:r w:rsidR="00761E40" w:rsidRPr="00E1372C">
        <w:rPr>
          <w:lang w:val="fr-FR" w:bidi="en-US"/>
        </w:rPr>
        <w:t>,</w:t>
      </w:r>
      <w:r w:rsidR="00D41CA1" w:rsidRPr="00E1372C">
        <w:rPr>
          <w:lang w:val="fr-FR" w:bidi="en-US"/>
        </w:rPr>
        <w:t xml:space="preserve"> à l</w:t>
      </w:r>
      <w:r w:rsidR="00731F09" w:rsidRPr="00E1372C">
        <w:rPr>
          <w:lang w:val="fr-FR" w:bidi="en-US"/>
        </w:rPr>
        <w:t>’</w:t>
      </w:r>
      <w:r w:rsidR="00D41CA1" w:rsidRPr="00E1372C">
        <w:rPr>
          <w:lang w:val="fr-FR" w:bidi="en-US"/>
        </w:rPr>
        <w:t>heure actuelle</w:t>
      </w:r>
      <w:r w:rsidR="00761E40" w:rsidRPr="00E1372C">
        <w:rPr>
          <w:lang w:val="fr-FR" w:bidi="en-US"/>
        </w:rPr>
        <w:t>,</w:t>
      </w:r>
      <w:r w:rsidR="00D41CA1" w:rsidRPr="00E1372C">
        <w:rPr>
          <w:lang w:val="fr-FR" w:bidi="en-US"/>
        </w:rPr>
        <w:t xml:space="preserve"> s</w:t>
      </w:r>
      <w:r w:rsidR="00731F09" w:rsidRPr="00E1372C">
        <w:rPr>
          <w:lang w:val="fr-FR" w:bidi="en-US"/>
        </w:rPr>
        <w:t>’</w:t>
      </w:r>
      <w:r w:rsidR="00D41CA1" w:rsidRPr="00E1372C">
        <w:rPr>
          <w:lang w:val="fr-FR" w:bidi="en-US"/>
        </w:rPr>
        <w:t>élève à 1,8 million. Selon les systèmes informatiques de gestion de l</w:t>
      </w:r>
      <w:r w:rsidR="00731F09" w:rsidRPr="00E1372C">
        <w:rPr>
          <w:lang w:val="fr-FR" w:bidi="en-US"/>
        </w:rPr>
        <w:t>’</w:t>
      </w:r>
      <w:r w:rsidR="00D41CA1" w:rsidRPr="00E1372C">
        <w:rPr>
          <w:lang w:val="fr-FR" w:bidi="en-US"/>
        </w:rPr>
        <w:t>éducation (SIGE), en 1998, sur un effectif de 16 840 enseignants, les écoles namibiennes comptent 10 194 enseignantes, soit 60</w:t>
      </w:r>
      <w:r w:rsidR="007064FC" w:rsidRPr="00E1372C">
        <w:rPr>
          <w:lang w:val="fr-FR" w:bidi="en-US"/>
        </w:rPr>
        <w:t> %</w:t>
      </w:r>
      <w:r w:rsidR="00D41CA1" w:rsidRPr="00E1372C">
        <w:rPr>
          <w:lang w:val="fr-FR" w:bidi="en-US"/>
        </w:rPr>
        <w:t xml:space="preserve"> par rapport à 6 655 enseignants (40</w:t>
      </w:r>
      <w:r w:rsidR="007064FC" w:rsidRPr="00E1372C">
        <w:rPr>
          <w:lang w:val="fr-FR" w:bidi="en-US"/>
        </w:rPr>
        <w:t> %</w:t>
      </w:r>
      <w:r w:rsidR="00D41CA1" w:rsidRPr="00E1372C">
        <w:rPr>
          <w:lang w:val="fr-FR" w:bidi="en-US"/>
        </w:rPr>
        <w:t xml:space="preserve">) (SIGE, 1998). </w:t>
      </w:r>
      <w:r w:rsidR="00761E40" w:rsidRPr="00E1372C">
        <w:rPr>
          <w:lang w:val="fr-FR" w:bidi="en-US"/>
        </w:rPr>
        <w:t>Aux postes de direction</w:t>
      </w:r>
      <w:r w:rsidR="00D41CA1" w:rsidRPr="00E1372C">
        <w:rPr>
          <w:lang w:val="fr-FR" w:bidi="en-US"/>
        </w:rPr>
        <w:t>, les enseignantes seraient à pied d</w:t>
      </w:r>
      <w:r w:rsidR="00731F09" w:rsidRPr="00E1372C">
        <w:rPr>
          <w:lang w:val="fr-FR" w:bidi="en-US"/>
        </w:rPr>
        <w:t>’</w:t>
      </w:r>
      <w:r w:rsidR="00D41CA1" w:rsidRPr="00E1372C">
        <w:rPr>
          <w:lang w:val="fr-FR" w:bidi="en-US"/>
        </w:rPr>
        <w:t>égalité</w:t>
      </w:r>
      <w:r w:rsidR="00761E40" w:rsidRPr="00E1372C">
        <w:rPr>
          <w:lang w:val="fr-FR" w:bidi="en-US"/>
        </w:rPr>
        <w:t>,</w:t>
      </w:r>
      <w:r w:rsidR="00D41CA1" w:rsidRPr="00E1372C">
        <w:rPr>
          <w:lang w:val="fr-FR" w:bidi="en-US"/>
        </w:rPr>
        <w:t xml:space="preserve"> bien qu</w:t>
      </w:r>
      <w:r w:rsidR="00731F09" w:rsidRPr="00E1372C">
        <w:rPr>
          <w:lang w:val="fr-FR" w:bidi="en-US"/>
        </w:rPr>
        <w:t>’</w:t>
      </w:r>
      <w:r w:rsidR="00D41CA1" w:rsidRPr="00E1372C">
        <w:rPr>
          <w:lang w:val="fr-FR" w:bidi="en-US"/>
        </w:rPr>
        <w:t>elles soient bien plus nombreuses que les enseignants. Il ressort des SIGE que 90</w:t>
      </w:r>
      <w:r w:rsidR="007064FC" w:rsidRPr="00E1372C">
        <w:rPr>
          <w:lang w:val="fr-FR" w:bidi="en-US"/>
        </w:rPr>
        <w:t> %</w:t>
      </w:r>
      <w:r w:rsidR="00D41CA1" w:rsidRPr="00E1372C">
        <w:rPr>
          <w:lang w:val="fr-FR" w:bidi="en-US"/>
        </w:rPr>
        <w:t xml:space="preserve"> des </w:t>
      </w:r>
      <w:r w:rsidR="002D6991" w:rsidRPr="00E1372C">
        <w:rPr>
          <w:lang w:val="fr-FR" w:bidi="en-US"/>
        </w:rPr>
        <w:t>13</w:t>
      </w:r>
      <w:r w:rsidR="00D41CA1" w:rsidRPr="00E1372C">
        <w:rPr>
          <w:lang w:val="fr-FR" w:bidi="en-US"/>
        </w:rPr>
        <w:t> </w:t>
      </w:r>
      <w:r w:rsidR="002D6991" w:rsidRPr="00E1372C">
        <w:rPr>
          <w:lang w:val="fr-FR" w:bidi="en-US"/>
        </w:rPr>
        <w:t>971</w:t>
      </w:r>
      <w:r w:rsidR="00D41CA1" w:rsidRPr="00E1372C">
        <w:rPr>
          <w:lang w:val="fr-FR" w:bidi="en-US"/>
        </w:rPr>
        <w:t> enseignantes ne sont titulaires d</w:t>
      </w:r>
      <w:r w:rsidR="00731F09" w:rsidRPr="00E1372C">
        <w:rPr>
          <w:lang w:val="fr-FR" w:bidi="en-US"/>
        </w:rPr>
        <w:t>’</w:t>
      </w:r>
      <w:r w:rsidR="00D41CA1" w:rsidRPr="00E1372C">
        <w:rPr>
          <w:lang w:val="fr-FR" w:bidi="en-US"/>
        </w:rPr>
        <w:t>aucun grade</w:t>
      </w:r>
      <w:r w:rsidR="002D6991" w:rsidRPr="00E1372C">
        <w:rPr>
          <w:lang w:val="fr-FR" w:bidi="en-US"/>
        </w:rPr>
        <w:t>.</w:t>
      </w:r>
    </w:p>
    <w:p w:rsidR="002D6991" w:rsidRPr="00E1372C" w:rsidRDefault="007E29CB" w:rsidP="007E29CB">
      <w:pPr>
        <w:pStyle w:val="H23G"/>
        <w:rPr>
          <w:lang w:val="fr-FR" w:bidi="en-US"/>
        </w:rPr>
      </w:pPr>
      <w:r w:rsidRPr="00E1372C">
        <w:rPr>
          <w:lang w:val="fr-FR" w:bidi="en-US"/>
        </w:rPr>
        <w:tab/>
      </w:r>
      <w:r w:rsidRPr="00E1372C">
        <w:rPr>
          <w:lang w:val="fr-FR" w:bidi="en-US"/>
        </w:rPr>
        <w:tab/>
      </w:r>
      <w:r w:rsidR="001F28B2" w:rsidRPr="00E1372C">
        <w:rPr>
          <w:lang w:val="fr-FR" w:bidi="en-US"/>
        </w:rPr>
        <w:t>Enseignement secondaire</w:t>
      </w:r>
    </w:p>
    <w:p w:rsidR="001F28B2" w:rsidRPr="00E1372C" w:rsidRDefault="007A1757" w:rsidP="007A1757">
      <w:pPr>
        <w:pStyle w:val="SingleTxtG"/>
        <w:rPr>
          <w:lang w:val="fr-FR" w:bidi="en-US"/>
        </w:rPr>
      </w:pPr>
      <w:r w:rsidRPr="00E1372C">
        <w:rPr>
          <w:lang w:val="fr-FR" w:bidi="en-US"/>
        </w:rPr>
        <w:t>400.</w:t>
      </w:r>
      <w:r w:rsidRPr="00E1372C">
        <w:rPr>
          <w:lang w:val="fr-FR" w:bidi="en-US"/>
        </w:rPr>
        <w:tab/>
      </w:r>
      <w:r w:rsidR="001F28B2" w:rsidRPr="00E1372C">
        <w:rPr>
          <w:lang w:val="fr-FR" w:bidi="en-US"/>
        </w:rPr>
        <w:t>L</w:t>
      </w:r>
      <w:r w:rsidR="00731F09" w:rsidRPr="00E1372C">
        <w:rPr>
          <w:lang w:val="fr-FR" w:bidi="en-US"/>
        </w:rPr>
        <w:t>’</w:t>
      </w:r>
      <w:r w:rsidR="001F28B2" w:rsidRPr="00E1372C">
        <w:rPr>
          <w:lang w:val="fr-FR" w:bidi="en-US"/>
        </w:rPr>
        <w:t>enseignement secondaire comprend deux cycles</w:t>
      </w:r>
      <w:r w:rsidR="00AE017E" w:rsidRPr="00E1372C">
        <w:rPr>
          <w:lang w:val="fr-FR" w:bidi="en-US"/>
        </w:rPr>
        <w:t>:</w:t>
      </w:r>
      <w:r w:rsidR="001F28B2" w:rsidRPr="00E1372C">
        <w:rPr>
          <w:lang w:val="fr-FR" w:bidi="en-US"/>
        </w:rPr>
        <w:t xml:space="preserve"> le premier cycle de la 8</w:t>
      </w:r>
      <w:r w:rsidR="001F28B2" w:rsidRPr="00E1372C">
        <w:rPr>
          <w:vertAlign w:val="superscript"/>
          <w:lang w:val="fr-FR" w:bidi="en-US"/>
        </w:rPr>
        <w:t>e</w:t>
      </w:r>
      <w:r w:rsidR="001F28B2" w:rsidRPr="00E1372C">
        <w:rPr>
          <w:lang w:val="fr-FR" w:bidi="en-US"/>
        </w:rPr>
        <w:t xml:space="preserve"> à la 10</w:t>
      </w:r>
      <w:r w:rsidR="001F28B2" w:rsidRPr="00E1372C">
        <w:rPr>
          <w:vertAlign w:val="superscript"/>
          <w:lang w:val="fr-FR" w:bidi="en-US"/>
        </w:rPr>
        <w:t>e</w:t>
      </w:r>
      <w:r w:rsidR="001F28B2" w:rsidRPr="00E1372C">
        <w:rPr>
          <w:lang w:val="fr-FR" w:bidi="en-US"/>
        </w:rPr>
        <w:t> année et</w:t>
      </w:r>
      <w:r w:rsidR="00BC0A93" w:rsidRPr="00E1372C">
        <w:rPr>
          <w:lang w:val="fr-FR" w:bidi="en-US"/>
        </w:rPr>
        <w:t xml:space="preserve"> </w:t>
      </w:r>
      <w:r w:rsidR="001F28B2" w:rsidRPr="00E1372C">
        <w:rPr>
          <w:lang w:val="fr-FR" w:bidi="en-US"/>
        </w:rPr>
        <w:t xml:space="preserve">le </w:t>
      </w:r>
      <w:r w:rsidR="00723F90" w:rsidRPr="00E1372C">
        <w:rPr>
          <w:lang w:val="fr-FR" w:bidi="en-US"/>
        </w:rPr>
        <w:t>second</w:t>
      </w:r>
      <w:r w:rsidR="001F28B2" w:rsidRPr="00E1372C">
        <w:rPr>
          <w:lang w:val="fr-FR" w:bidi="en-US"/>
        </w:rPr>
        <w:t xml:space="preserve"> cycle les 11</w:t>
      </w:r>
      <w:r w:rsidR="001F28B2" w:rsidRPr="00E1372C">
        <w:rPr>
          <w:vertAlign w:val="superscript"/>
          <w:lang w:val="fr-FR" w:bidi="en-US"/>
        </w:rPr>
        <w:t>e</w:t>
      </w:r>
      <w:r w:rsidR="001F28B2" w:rsidRPr="00E1372C">
        <w:rPr>
          <w:lang w:val="fr-FR" w:bidi="en-US"/>
        </w:rPr>
        <w:t xml:space="preserve"> et 12</w:t>
      </w:r>
      <w:r w:rsidR="001F28B2" w:rsidRPr="00E1372C">
        <w:rPr>
          <w:vertAlign w:val="superscript"/>
          <w:lang w:val="fr-FR" w:bidi="en-US"/>
        </w:rPr>
        <w:t>e</w:t>
      </w:r>
      <w:r w:rsidR="001F28B2" w:rsidRPr="00E1372C">
        <w:rPr>
          <w:lang w:val="fr-FR" w:bidi="en-US"/>
        </w:rPr>
        <w:t xml:space="preserve"> années. </w:t>
      </w:r>
      <w:r w:rsidR="00BC0A93" w:rsidRPr="00E1372C">
        <w:rPr>
          <w:lang w:val="fr-FR" w:bidi="en-US"/>
        </w:rPr>
        <w:t>La Constitution n</w:t>
      </w:r>
      <w:r w:rsidR="00731F09" w:rsidRPr="00E1372C">
        <w:rPr>
          <w:lang w:val="fr-FR" w:bidi="en-US"/>
        </w:rPr>
        <w:t>’</w:t>
      </w:r>
      <w:r w:rsidR="00BC0A93" w:rsidRPr="00E1372C">
        <w:rPr>
          <w:lang w:val="fr-FR" w:bidi="en-US"/>
        </w:rPr>
        <w:t>impose pas la gratuité de l</w:t>
      </w:r>
      <w:r w:rsidR="00731F09" w:rsidRPr="00E1372C">
        <w:rPr>
          <w:lang w:val="fr-FR" w:bidi="en-US"/>
        </w:rPr>
        <w:t>’</w:t>
      </w:r>
      <w:r w:rsidR="00BC0A93" w:rsidRPr="00E1372C">
        <w:rPr>
          <w:lang w:val="fr-FR" w:bidi="en-US"/>
        </w:rPr>
        <w:t>enseignement secondaire. Les élèves qui achèvent la 12</w:t>
      </w:r>
      <w:r w:rsidR="00BC0A93" w:rsidRPr="00E1372C">
        <w:rPr>
          <w:vertAlign w:val="superscript"/>
          <w:lang w:val="fr-FR" w:bidi="en-US"/>
        </w:rPr>
        <w:t>e</w:t>
      </w:r>
      <w:r w:rsidR="00BC0A93" w:rsidRPr="00E1372C">
        <w:rPr>
          <w:lang w:val="fr-FR" w:bidi="en-US"/>
        </w:rPr>
        <w:t> année disposent de plusieurs voies pour intégrer l</w:t>
      </w:r>
      <w:r w:rsidR="00731F09" w:rsidRPr="00E1372C">
        <w:rPr>
          <w:lang w:val="fr-FR" w:bidi="en-US"/>
        </w:rPr>
        <w:t>’</w:t>
      </w:r>
      <w:r w:rsidR="00BC0A93" w:rsidRPr="00E1372C">
        <w:rPr>
          <w:lang w:val="fr-FR" w:bidi="en-US"/>
        </w:rPr>
        <w:t>enseignement et la formation supérieurs. La souplesse dans l</w:t>
      </w:r>
      <w:r w:rsidR="00731F09" w:rsidRPr="00E1372C">
        <w:rPr>
          <w:lang w:val="fr-FR" w:bidi="en-US"/>
        </w:rPr>
        <w:t>’</w:t>
      </w:r>
      <w:r w:rsidR="00BC0A93" w:rsidRPr="00E1372C">
        <w:rPr>
          <w:lang w:val="fr-FR" w:bidi="en-US"/>
        </w:rPr>
        <w:t>application des principes d</w:t>
      </w:r>
      <w:r w:rsidR="00731F09" w:rsidRPr="00E1372C">
        <w:rPr>
          <w:lang w:val="fr-FR" w:bidi="en-US"/>
        </w:rPr>
        <w:t>’</w:t>
      </w:r>
      <w:r w:rsidR="00BC0A93" w:rsidRPr="00E1372C">
        <w:rPr>
          <w:lang w:val="fr-FR" w:bidi="en-US"/>
        </w:rPr>
        <w:t>admission est désormais restreinte par la loi de 2003 relative à l</w:t>
      </w:r>
      <w:r w:rsidR="00731F09" w:rsidRPr="00E1372C">
        <w:rPr>
          <w:lang w:val="fr-FR" w:bidi="en-US"/>
        </w:rPr>
        <w:t>’</w:t>
      </w:r>
      <w:r w:rsidR="00BC0A93" w:rsidRPr="00E1372C">
        <w:rPr>
          <w:lang w:val="fr-FR" w:bidi="en-US"/>
        </w:rPr>
        <w:t>enseignement qui étend les douze premières années de scolarité à tous les enfants admissibles.</w:t>
      </w:r>
    </w:p>
    <w:p w:rsidR="002D6991" w:rsidRPr="00E1372C" w:rsidRDefault="007E29CB" w:rsidP="007E29CB">
      <w:pPr>
        <w:pStyle w:val="H23G"/>
        <w:rPr>
          <w:lang w:val="fr-FR" w:bidi="en-US"/>
        </w:rPr>
      </w:pPr>
      <w:r w:rsidRPr="00E1372C">
        <w:rPr>
          <w:lang w:val="fr-FR" w:bidi="en-US"/>
        </w:rPr>
        <w:tab/>
      </w:r>
      <w:r w:rsidRPr="00E1372C">
        <w:rPr>
          <w:lang w:val="fr-FR" w:bidi="en-US"/>
        </w:rPr>
        <w:tab/>
      </w:r>
      <w:r w:rsidR="00BC0A93" w:rsidRPr="00E1372C">
        <w:rPr>
          <w:lang w:val="fr-FR" w:bidi="en-US"/>
        </w:rPr>
        <w:t>Enseignement secondaire du premier cycle</w:t>
      </w:r>
      <w:r w:rsidR="002D6991" w:rsidRPr="00E1372C">
        <w:rPr>
          <w:lang w:val="fr-FR" w:bidi="en-US"/>
        </w:rPr>
        <w:t xml:space="preserve"> (</w:t>
      </w:r>
      <w:r w:rsidR="00BC0A93" w:rsidRPr="00E1372C">
        <w:rPr>
          <w:lang w:val="fr-FR" w:bidi="en-US"/>
        </w:rPr>
        <w:t>8</w:t>
      </w:r>
      <w:r w:rsidR="00BC0A93" w:rsidRPr="00E1372C">
        <w:rPr>
          <w:vertAlign w:val="superscript"/>
          <w:lang w:val="fr-FR" w:bidi="en-US"/>
        </w:rPr>
        <w:t>e</w:t>
      </w:r>
      <w:r w:rsidR="00BC0A93" w:rsidRPr="00E1372C">
        <w:rPr>
          <w:lang w:val="fr-FR" w:bidi="en-US"/>
        </w:rPr>
        <w:t xml:space="preserve"> à 10</w:t>
      </w:r>
      <w:r w:rsidR="00BC0A93" w:rsidRPr="00E1372C">
        <w:rPr>
          <w:vertAlign w:val="superscript"/>
          <w:lang w:val="fr-FR" w:bidi="en-US"/>
        </w:rPr>
        <w:t>e</w:t>
      </w:r>
      <w:r w:rsidR="00BC0A93" w:rsidRPr="00E1372C">
        <w:rPr>
          <w:lang w:val="fr-FR" w:bidi="en-US"/>
        </w:rPr>
        <w:t> année</w:t>
      </w:r>
      <w:r w:rsidR="002D6991" w:rsidRPr="00E1372C">
        <w:rPr>
          <w:lang w:val="fr-FR" w:bidi="en-US"/>
        </w:rPr>
        <w:t>)</w:t>
      </w:r>
    </w:p>
    <w:p w:rsidR="00BC0A93" w:rsidRPr="00E1372C" w:rsidRDefault="007A1757" w:rsidP="007A1757">
      <w:pPr>
        <w:pStyle w:val="SingleTxtG"/>
        <w:rPr>
          <w:lang w:val="fr-FR" w:bidi="en-US"/>
        </w:rPr>
      </w:pPr>
      <w:r w:rsidRPr="00E1372C">
        <w:rPr>
          <w:lang w:val="fr-FR" w:bidi="en-US"/>
        </w:rPr>
        <w:t>401.</w:t>
      </w:r>
      <w:r w:rsidRPr="00E1372C">
        <w:rPr>
          <w:lang w:val="fr-FR" w:bidi="en-US"/>
        </w:rPr>
        <w:tab/>
      </w:r>
      <w:r w:rsidR="00BC0A93" w:rsidRPr="00E1372C">
        <w:rPr>
          <w:lang w:val="fr-FR" w:bidi="en-US"/>
        </w:rPr>
        <w:t>Cette étape de l</w:t>
      </w:r>
      <w:r w:rsidR="00731F09" w:rsidRPr="00E1372C">
        <w:rPr>
          <w:lang w:val="fr-FR" w:bidi="en-US"/>
        </w:rPr>
        <w:t>’</w:t>
      </w:r>
      <w:r w:rsidR="00BC0A93" w:rsidRPr="00E1372C">
        <w:rPr>
          <w:lang w:val="fr-FR" w:bidi="en-US"/>
        </w:rPr>
        <w:t>enseignement secondaire élargit les connaissances et aptitudes des élèves, affermit leurs valeurs et comportements et les prépare à poursuivre des études et à entrer dans la vie de jeunes adultes. Elle offre aux élèves la possibilité d</w:t>
      </w:r>
      <w:r w:rsidR="00731F09" w:rsidRPr="00E1372C">
        <w:rPr>
          <w:lang w:val="fr-FR" w:bidi="en-US"/>
        </w:rPr>
        <w:t>’</w:t>
      </w:r>
      <w:r w:rsidR="00BC0A93" w:rsidRPr="00E1372C">
        <w:rPr>
          <w:lang w:val="fr-FR" w:bidi="en-US"/>
        </w:rPr>
        <w:t>étudier un large éventail de matières pour leur permettre d</w:t>
      </w:r>
      <w:r w:rsidR="00731F09" w:rsidRPr="00E1372C">
        <w:rPr>
          <w:lang w:val="fr-FR" w:bidi="en-US"/>
        </w:rPr>
        <w:t>’</w:t>
      </w:r>
      <w:r w:rsidR="00BC0A93" w:rsidRPr="00E1372C">
        <w:rPr>
          <w:lang w:val="fr-FR" w:bidi="en-US"/>
        </w:rPr>
        <w:t>y opérer des choix utiles pour leurs futures carrières. Ce premier cycle, plus exigeant, mobilise un important ensemble de connaissances qui favorise la réflexion et l</w:t>
      </w:r>
      <w:r w:rsidR="00731F09" w:rsidRPr="00E1372C">
        <w:rPr>
          <w:lang w:val="fr-FR" w:bidi="en-US"/>
        </w:rPr>
        <w:t>’</w:t>
      </w:r>
      <w:r w:rsidR="00BC0A93" w:rsidRPr="00E1372C">
        <w:rPr>
          <w:lang w:val="fr-FR" w:bidi="en-US"/>
        </w:rPr>
        <w:t>acquisition de compétences supérieures. Le clivage des domaines didactiques en disciplines bien distinctes diversifie davantage le programme et offre un certain choix.</w:t>
      </w:r>
    </w:p>
    <w:p w:rsidR="00BC0A93" w:rsidRPr="00E1372C" w:rsidRDefault="007A1757" w:rsidP="007A1757">
      <w:pPr>
        <w:pStyle w:val="SingleTxtG"/>
        <w:rPr>
          <w:lang w:val="fr-FR" w:bidi="en-US"/>
        </w:rPr>
      </w:pPr>
      <w:r w:rsidRPr="00E1372C">
        <w:rPr>
          <w:lang w:val="fr-FR" w:bidi="en-US"/>
        </w:rPr>
        <w:t>402.</w:t>
      </w:r>
      <w:r w:rsidRPr="00E1372C">
        <w:rPr>
          <w:lang w:val="fr-FR" w:bidi="en-US"/>
        </w:rPr>
        <w:tab/>
      </w:r>
      <w:r w:rsidR="00BC0A93" w:rsidRPr="00E1372C">
        <w:rPr>
          <w:lang w:val="fr-FR" w:bidi="en-US"/>
        </w:rPr>
        <w:t>La langue d</w:t>
      </w:r>
      <w:r w:rsidR="00731F09" w:rsidRPr="00E1372C">
        <w:rPr>
          <w:lang w:val="fr-FR" w:bidi="en-US"/>
        </w:rPr>
        <w:t>’</w:t>
      </w:r>
      <w:r w:rsidR="00BC0A93" w:rsidRPr="00E1372C">
        <w:rPr>
          <w:lang w:val="fr-FR" w:bidi="en-US"/>
        </w:rPr>
        <w:t>enseignement (excepté dans la langue maternelle ou la langue locale usuelle) demeure l</w:t>
      </w:r>
      <w:r w:rsidR="00731F09" w:rsidRPr="00E1372C">
        <w:rPr>
          <w:lang w:val="fr-FR" w:bidi="en-US"/>
        </w:rPr>
        <w:t>’</w:t>
      </w:r>
      <w:r w:rsidR="00BC0A93" w:rsidRPr="00E1372C">
        <w:rPr>
          <w:lang w:val="fr-FR" w:bidi="en-US"/>
        </w:rPr>
        <w:t>anglais. Tous les élèves continuent de suivre les cours d</w:t>
      </w:r>
      <w:r w:rsidR="00731F09" w:rsidRPr="00E1372C">
        <w:rPr>
          <w:lang w:val="fr-FR" w:bidi="en-US"/>
        </w:rPr>
        <w:t>’</w:t>
      </w:r>
      <w:r w:rsidR="00BC0A93" w:rsidRPr="00E1372C">
        <w:rPr>
          <w:lang w:val="fr-FR" w:bidi="en-US"/>
        </w:rPr>
        <w:t xml:space="preserve">anglais et </w:t>
      </w:r>
      <w:r w:rsidR="00761E40" w:rsidRPr="00E1372C">
        <w:rPr>
          <w:lang w:val="fr-FR" w:bidi="en-US"/>
        </w:rPr>
        <w:t>de</w:t>
      </w:r>
      <w:r w:rsidR="00BC0A93" w:rsidRPr="00E1372C">
        <w:rPr>
          <w:lang w:val="fr-FR" w:bidi="en-US"/>
        </w:rPr>
        <w:t xml:space="preserve"> langue maternelle ou langue locale usuelle ainsi que </w:t>
      </w:r>
      <w:r w:rsidR="00761E40" w:rsidRPr="00E1372C">
        <w:rPr>
          <w:lang w:val="fr-FR" w:bidi="en-US"/>
        </w:rPr>
        <w:t>de</w:t>
      </w:r>
      <w:r w:rsidR="00BC0A93" w:rsidRPr="00E1372C">
        <w:rPr>
          <w:lang w:val="fr-FR" w:bidi="en-US"/>
        </w:rPr>
        <w:t xml:space="preserve"> mathématiques. Les sciences naturelles sont divisées en sciences de la vie et sciences physiques et les sciences sociales en géographie, histoire, compétences pratiques, instruction religieuse et morale. De plus, la culture, l</w:t>
      </w:r>
      <w:r w:rsidR="00731F09" w:rsidRPr="00E1372C">
        <w:rPr>
          <w:lang w:val="fr-FR" w:bidi="en-US"/>
        </w:rPr>
        <w:t>’</w:t>
      </w:r>
      <w:r w:rsidR="00BC0A93" w:rsidRPr="00E1372C">
        <w:rPr>
          <w:lang w:val="fr-FR" w:bidi="en-US"/>
        </w:rPr>
        <w:t xml:space="preserve">éducation physique et les </w:t>
      </w:r>
      <w:r w:rsidR="00E96BDA" w:rsidRPr="00E1372C">
        <w:rPr>
          <w:lang w:val="fr-FR" w:bidi="en-US"/>
        </w:rPr>
        <w:t xml:space="preserve">éléments des </w:t>
      </w:r>
      <w:r w:rsidR="00BC0A93" w:rsidRPr="00E1372C">
        <w:rPr>
          <w:lang w:val="fr-FR" w:bidi="en-US"/>
        </w:rPr>
        <w:t>sciences</w:t>
      </w:r>
      <w:r w:rsidR="00E96BDA" w:rsidRPr="00E1372C">
        <w:rPr>
          <w:lang w:val="fr-FR" w:bidi="en-US"/>
        </w:rPr>
        <w:t xml:space="preserve"> de l</w:t>
      </w:r>
      <w:r w:rsidR="00731F09" w:rsidRPr="00E1372C">
        <w:rPr>
          <w:lang w:val="fr-FR" w:bidi="en-US"/>
        </w:rPr>
        <w:t>’</w:t>
      </w:r>
      <w:r w:rsidR="00BC0A93" w:rsidRPr="00E1372C">
        <w:rPr>
          <w:lang w:val="fr-FR" w:bidi="en-US"/>
        </w:rPr>
        <w:t>informati</w:t>
      </w:r>
      <w:r w:rsidR="00E96BDA" w:rsidRPr="00E1372C">
        <w:rPr>
          <w:lang w:val="fr-FR" w:bidi="en-US"/>
        </w:rPr>
        <w:t>on</w:t>
      </w:r>
      <w:r w:rsidR="00BC0A93" w:rsidRPr="00E1372C">
        <w:rPr>
          <w:lang w:val="fr-FR" w:bidi="en-US"/>
        </w:rPr>
        <w:t xml:space="preserve"> sont enseignées. À ce stade les compétences des élèves en matière de </w:t>
      </w:r>
      <w:r w:rsidR="00723F90" w:rsidRPr="00E1372C">
        <w:rPr>
          <w:lang w:val="fr-FR" w:bidi="en-US"/>
        </w:rPr>
        <w:t>technologies de l</w:t>
      </w:r>
      <w:r w:rsidR="00731F09" w:rsidRPr="00E1372C">
        <w:rPr>
          <w:lang w:val="fr-FR" w:bidi="en-US"/>
        </w:rPr>
        <w:t>’</w:t>
      </w:r>
      <w:r w:rsidR="00723F90" w:rsidRPr="00E1372C">
        <w:rPr>
          <w:lang w:val="fr-FR" w:bidi="en-US"/>
        </w:rPr>
        <w:t>information et de la communication</w:t>
      </w:r>
      <w:r w:rsidR="00BC0A93" w:rsidRPr="00E1372C">
        <w:rPr>
          <w:lang w:val="fr-FR" w:bidi="en-US"/>
        </w:rPr>
        <w:t xml:space="preserve"> sont renforcées pour les rendre aptes </w:t>
      </w:r>
      <w:r w:rsidR="00761E40" w:rsidRPr="00E1372C">
        <w:rPr>
          <w:lang w:val="fr-FR" w:bidi="en-US"/>
        </w:rPr>
        <w:t xml:space="preserve">tant </w:t>
      </w:r>
      <w:r w:rsidR="00BC0A93" w:rsidRPr="00E1372C">
        <w:rPr>
          <w:lang w:val="fr-FR" w:bidi="en-US"/>
        </w:rPr>
        <w:t xml:space="preserve">à apprendre séparément et en collaboration </w:t>
      </w:r>
      <w:r w:rsidR="00761E40" w:rsidRPr="00E1372C">
        <w:rPr>
          <w:lang w:val="fr-FR" w:bidi="en-US"/>
        </w:rPr>
        <w:t>qu</w:t>
      </w:r>
      <w:r w:rsidR="00731F09" w:rsidRPr="00E1372C">
        <w:rPr>
          <w:lang w:val="fr-FR" w:bidi="en-US"/>
        </w:rPr>
        <w:t>’</w:t>
      </w:r>
      <w:r w:rsidR="00BC0A93" w:rsidRPr="00E1372C">
        <w:rPr>
          <w:lang w:val="fr-FR" w:bidi="en-US"/>
        </w:rPr>
        <w:t xml:space="preserve">à effectuer des recherches au moyen de ces techniques. Les matières facultatives apparaissent dans la formation préprofessionnelle, lorsque les élèves </w:t>
      </w:r>
      <w:r w:rsidR="00723F90" w:rsidRPr="00E1372C">
        <w:rPr>
          <w:lang w:val="fr-FR" w:bidi="en-US"/>
        </w:rPr>
        <w:t>choisissent</w:t>
      </w:r>
      <w:r w:rsidR="00BC0A93" w:rsidRPr="00E1372C">
        <w:rPr>
          <w:lang w:val="fr-FR" w:bidi="en-US"/>
        </w:rPr>
        <w:t xml:space="preserve"> deux options dans la liste établie, selon leur</w:t>
      </w:r>
      <w:r w:rsidR="007325C2" w:rsidRPr="00E1372C">
        <w:rPr>
          <w:lang w:val="fr-FR" w:bidi="en-US"/>
        </w:rPr>
        <w:t>s</w:t>
      </w:r>
      <w:r w:rsidR="00BC0A93" w:rsidRPr="00E1372C">
        <w:rPr>
          <w:lang w:val="fr-FR" w:bidi="en-US"/>
        </w:rPr>
        <w:t xml:space="preserve"> intérêt</w:t>
      </w:r>
      <w:r w:rsidR="007325C2" w:rsidRPr="00E1372C">
        <w:rPr>
          <w:lang w:val="fr-FR" w:bidi="en-US"/>
        </w:rPr>
        <w:t>s</w:t>
      </w:r>
      <w:r w:rsidR="00BC0A93" w:rsidRPr="00E1372C">
        <w:rPr>
          <w:lang w:val="fr-FR" w:bidi="en-US"/>
        </w:rPr>
        <w:t>, leur</w:t>
      </w:r>
      <w:r w:rsidR="007325C2" w:rsidRPr="00E1372C">
        <w:rPr>
          <w:lang w:val="fr-FR" w:bidi="en-US"/>
        </w:rPr>
        <w:t>s</w:t>
      </w:r>
      <w:r w:rsidR="00BC0A93" w:rsidRPr="00E1372C">
        <w:rPr>
          <w:lang w:val="fr-FR" w:bidi="en-US"/>
        </w:rPr>
        <w:t xml:space="preserve"> aptitude</w:t>
      </w:r>
      <w:r w:rsidR="007325C2" w:rsidRPr="00E1372C">
        <w:rPr>
          <w:lang w:val="fr-FR" w:bidi="en-US"/>
        </w:rPr>
        <w:t>s et les disponibilités propres à l</w:t>
      </w:r>
      <w:r w:rsidR="00731F09" w:rsidRPr="00E1372C">
        <w:rPr>
          <w:lang w:val="fr-FR" w:bidi="en-US"/>
        </w:rPr>
        <w:t>’</w:t>
      </w:r>
      <w:r w:rsidR="007325C2" w:rsidRPr="00E1372C">
        <w:rPr>
          <w:lang w:val="fr-FR" w:bidi="en-US"/>
        </w:rPr>
        <w:t>école.</w:t>
      </w:r>
      <w:r w:rsidR="00BC0A93" w:rsidRPr="00E1372C">
        <w:rPr>
          <w:lang w:val="fr-FR" w:bidi="en-US"/>
        </w:rPr>
        <w:t xml:space="preserve"> </w:t>
      </w:r>
      <w:r w:rsidR="007325C2" w:rsidRPr="00E1372C">
        <w:rPr>
          <w:lang w:val="fr-FR" w:bidi="en-US"/>
        </w:rPr>
        <w:t>L</w:t>
      </w:r>
      <w:r w:rsidR="00731F09" w:rsidRPr="00E1372C">
        <w:rPr>
          <w:lang w:val="fr-FR" w:bidi="en-US"/>
        </w:rPr>
        <w:t>’</w:t>
      </w:r>
      <w:r w:rsidR="007325C2" w:rsidRPr="00E1372C">
        <w:rPr>
          <w:lang w:val="fr-FR" w:bidi="en-US"/>
        </w:rPr>
        <w:t xml:space="preserve">enseignement du VIH et du </w:t>
      </w:r>
      <w:r w:rsidR="00B277C4" w:rsidRPr="00E1372C">
        <w:rPr>
          <w:lang w:val="fr-FR" w:bidi="en-US"/>
        </w:rPr>
        <w:t>sida</w:t>
      </w:r>
      <w:r w:rsidR="007325C2" w:rsidRPr="00E1372C">
        <w:rPr>
          <w:lang w:val="fr-FR" w:bidi="en-US"/>
        </w:rPr>
        <w:t xml:space="preserve"> revêt une nouvelle signification car les élèves, à ce stade, appartiennent au groupe d</w:t>
      </w:r>
      <w:r w:rsidR="00731F09" w:rsidRPr="00E1372C">
        <w:rPr>
          <w:lang w:val="fr-FR" w:bidi="en-US"/>
        </w:rPr>
        <w:t>’</w:t>
      </w:r>
      <w:r w:rsidR="007325C2" w:rsidRPr="00E1372C">
        <w:rPr>
          <w:lang w:val="fr-FR" w:bidi="en-US"/>
        </w:rPr>
        <w:t>âge à haut risque (15-25</w:t>
      </w:r>
      <w:r w:rsidR="007E29CB" w:rsidRPr="00E1372C">
        <w:rPr>
          <w:lang w:val="fr-FR" w:bidi="en-US"/>
        </w:rPr>
        <w:t> </w:t>
      </w:r>
      <w:r w:rsidR="007325C2" w:rsidRPr="00E1372C">
        <w:rPr>
          <w:lang w:val="fr-FR" w:bidi="en-US"/>
        </w:rPr>
        <w:t xml:space="preserve">ans), qui marque le début des relations sexuelles. Chaque élève doit être pleinement instruit du VIH et du </w:t>
      </w:r>
      <w:r w:rsidR="00B277C4" w:rsidRPr="00E1372C">
        <w:rPr>
          <w:lang w:val="fr-FR" w:bidi="en-US"/>
        </w:rPr>
        <w:t>sida</w:t>
      </w:r>
      <w:r w:rsidR="007325C2" w:rsidRPr="00E1372C">
        <w:rPr>
          <w:lang w:val="fr-FR" w:bidi="en-US"/>
        </w:rPr>
        <w:t xml:space="preserve"> et posséder les aptitudes personnelles et sociales pour atteindre la pleine maturité avant de se livrer à des relations sexuelles et pour mener une vie saine et irréprochable.</w:t>
      </w:r>
    </w:p>
    <w:p w:rsidR="002D6991" w:rsidRPr="00E1372C" w:rsidRDefault="007E29CB" w:rsidP="007E29CB">
      <w:pPr>
        <w:pStyle w:val="H23G"/>
        <w:rPr>
          <w:lang w:val="fr-FR" w:bidi="en-US"/>
        </w:rPr>
      </w:pPr>
      <w:r w:rsidRPr="00E1372C">
        <w:rPr>
          <w:lang w:val="fr-FR" w:bidi="en-US"/>
        </w:rPr>
        <w:tab/>
      </w:r>
      <w:r w:rsidRPr="00E1372C">
        <w:rPr>
          <w:lang w:val="fr-FR" w:bidi="en-US"/>
        </w:rPr>
        <w:tab/>
      </w:r>
      <w:r w:rsidR="00F05770" w:rsidRPr="00E1372C">
        <w:rPr>
          <w:lang w:val="fr-FR" w:bidi="en-US"/>
        </w:rPr>
        <w:t>Enseignement secondaire du second cycle (11</w:t>
      </w:r>
      <w:r w:rsidR="00F05770" w:rsidRPr="00E1372C">
        <w:rPr>
          <w:vertAlign w:val="superscript"/>
          <w:lang w:val="fr-FR" w:bidi="en-US"/>
        </w:rPr>
        <w:t>e</w:t>
      </w:r>
      <w:r w:rsidR="00F05770" w:rsidRPr="00E1372C">
        <w:rPr>
          <w:lang w:val="fr-FR" w:bidi="en-US"/>
        </w:rPr>
        <w:t xml:space="preserve"> et 12</w:t>
      </w:r>
      <w:r w:rsidR="00F05770" w:rsidRPr="00E1372C">
        <w:rPr>
          <w:vertAlign w:val="superscript"/>
          <w:lang w:val="fr-FR" w:bidi="en-US"/>
        </w:rPr>
        <w:t>e</w:t>
      </w:r>
      <w:r w:rsidR="00F05770" w:rsidRPr="00E1372C">
        <w:rPr>
          <w:lang w:val="fr-FR" w:bidi="en-US"/>
        </w:rPr>
        <w:t> années)</w:t>
      </w:r>
    </w:p>
    <w:p w:rsidR="00F05770" w:rsidRPr="00E1372C" w:rsidRDefault="007A1757" w:rsidP="007A1757">
      <w:pPr>
        <w:pStyle w:val="SingleTxtG"/>
        <w:rPr>
          <w:lang w:val="fr-FR" w:bidi="en-US"/>
        </w:rPr>
      </w:pPr>
      <w:r w:rsidRPr="00E1372C">
        <w:rPr>
          <w:lang w:val="fr-FR" w:bidi="en-US"/>
        </w:rPr>
        <w:t>403.</w:t>
      </w:r>
      <w:r w:rsidRPr="00E1372C">
        <w:rPr>
          <w:lang w:val="fr-FR" w:bidi="en-US"/>
        </w:rPr>
        <w:tab/>
      </w:r>
      <w:r w:rsidR="00F05770" w:rsidRPr="00E1372C">
        <w:rPr>
          <w:lang w:val="fr-FR" w:bidi="en-US"/>
        </w:rPr>
        <w:t>Le second cycle de l</w:t>
      </w:r>
      <w:r w:rsidR="00731F09" w:rsidRPr="00E1372C">
        <w:rPr>
          <w:lang w:val="fr-FR" w:bidi="en-US"/>
        </w:rPr>
        <w:t>’</w:t>
      </w:r>
      <w:r w:rsidR="00F05770" w:rsidRPr="00E1372C">
        <w:rPr>
          <w:lang w:val="fr-FR" w:bidi="en-US"/>
        </w:rPr>
        <w:t>enseignement secondaire prépare les élèves à la vie d</w:t>
      </w:r>
      <w:r w:rsidR="00731F09" w:rsidRPr="00E1372C">
        <w:rPr>
          <w:lang w:val="fr-FR" w:bidi="en-US"/>
        </w:rPr>
        <w:t>’</w:t>
      </w:r>
      <w:r w:rsidR="00F05770" w:rsidRPr="00E1372C">
        <w:rPr>
          <w:lang w:val="fr-FR" w:bidi="en-US"/>
        </w:rPr>
        <w:t>adulte, aux études supérieures ou à l</w:t>
      </w:r>
      <w:r w:rsidR="00731F09" w:rsidRPr="00E1372C">
        <w:rPr>
          <w:lang w:val="fr-FR" w:bidi="en-US"/>
        </w:rPr>
        <w:t>’</w:t>
      </w:r>
      <w:r w:rsidR="00F05770" w:rsidRPr="00E1372C">
        <w:rPr>
          <w:lang w:val="fr-FR" w:bidi="en-US"/>
        </w:rPr>
        <w:t>entrée directe sur le marché de l</w:t>
      </w:r>
      <w:r w:rsidR="00731F09" w:rsidRPr="00E1372C">
        <w:rPr>
          <w:lang w:val="fr-FR" w:bidi="en-US"/>
        </w:rPr>
        <w:t>’</w:t>
      </w:r>
      <w:r w:rsidR="00F05770" w:rsidRPr="00E1372C">
        <w:rPr>
          <w:lang w:val="fr-FR" w:bidi="en-US"/>
        </w:rPr>
        <w:t>emploi. Les élèves doivent satisfaire à de plus grandes exigences pour favoriser leur développement intellectuel, personnel et social, tant sur le plan des résultats scolaires, de la responsabilité accrue de leurs propres acquisitions que du renforcement d</w:t>
      </w:r>
      <w:r w:rsidR="00731F09" w:rsidRPr="00E1372C">
        <w:rPr>
          <w:lang w:val="fr-FR" w:bidi="en-US"/>
        </w:rPr>
        <w:t>’</w:t>
      </w:r>
      <w:r w:rsidR="00F05770" w:rsidRPr="00E1372C">
        <w:rPr>
          <w:lang w:val="fr-FR" w:bidi="en-US"/>
        </w:rPr>
        <w:t>une bonne éthique et pratique de travail. L</w:t>
      </w:r>
      <w:r w:rsidR="00731F09" w:rsidRPr="00E1372C">
        <w:rPr>
          <w:lang w:val="fr-FR" w:bidi="en-US"/>
        </w:rPr>
        <w:t>’</w:t>
      </w:r>
      <w:r w:rsidR="00F05770" w:rsidRPr="00E1372C">
        <w:rPr>
          <w:lang w:val="fr-FR" w:bidi="en-US"/>
        </w:rPr>
        <w:t>a</w:t>
      </w:r>
      <w:r w:rsidR="00A36913" w:rsidRPr="00E1372C">
        <w:rPr>
          <w:lang w:val="fr-FR" w:bidi="en-US"/>
        </w:rPr>
        <w:t>d</w:t>
      </w:r>
      <w:r w:rsidR="00F05770" w:rsidRPr="00E1372C">
        <w:rPr>
          <w:lang w:val="fr-FR" w:bidi="en-US"/>
        </w:rPr>
        <w:t>mission au second cycle dans le système classique dépend des notes obtenues</w:t>
      </w:r>
      <w:r w:rsidR="00A36913" w:rsidRPr="00E1372C">
        <w:rPr>
          <w:lang w:val="fr-FR" w:bidi="en-US"/>
        </w:rPr>
        <w:t>,</w:t>
      </w:r>
      <w:r w:rsidR="00F05770" w:rsidRPr="00E1372C">
        <w:rPr>
          <w:lang w:val="fr-FR" w:bidi="en-US"/>
        </w:rPr>
        <w:t xml:space="preserve"> calculées en fonction des </w:t>
      </w:r>
      <w:r w:rsidR="00A36913" w:rsidRPr="00E1372C">
        <w:rPr>
          <w:lang w:val="fr-FR" w:bidi="en-US"/>
        </w:rPr>
        <w:t>résultats finaux</w:t>
      </w:r>
      <w:r w:rsidR="00F05770" w:rsidRPr="00E1372C">
        <w:rPr>
          <w:lang w:val="fr-FR" w:bidi="en-US"/>
        </w:rPr>
        <w:t xml:space="preserve"> du premier cycle.</w:t>
      </w:r>
    </w:p>
    <w:p w:rsidR="00F05770" w:rsidRPr="00E1372C" w:rsidRDefault="007A1757" w:rsidP="007A1757">
      <w:pPr>
        <w:pStyle w:val="SingleTxtG"/>
        <w:rPr>
          <w:lang w:val="fr-FR" w:bidi="en-US"/>
        </w:rPr>
      </w:pPr>
      <w:r w:rsidRPr="00E1372C">
        <w:rPr>
          <w:lang w:val="fr-FR" w:bidi="en-US"/>
        </w:rPr>
        <w:t>404.</w:t>
      </w:r>
      <w:r w:rsidRPr="00E1372C">
        <w:rPr>
          <w:lang w:val="fr-FR" w:bidi="en-US"/>
        </w:rPr>
        <w:tab/>
      </w:r>
      <w:r w:rsidR="00F05770" w:rsidRPr="00E1372C">
        <w:rPr>
          <w:lang w:val="fr-FR" w:bidi="en-US"/>
        </w:rPr>
        <w:t>La langue d</w:t>
      </w:r>
      <w:r w:rsidR="00731F09" w:rsidRPr="00E1372C">
        <w:rPr>
          <w:lang w:val="fr-FR" w:bidi="en-US"/>
        </w:rPr>
        <w:t>’</w:t>
      </w:r>
      <w:r w:rsidR="00F05770" w:rsidRPr="00E1372C">
        <w:rPr>
          <w:lang w:val="fr-FR" w:bidi="en-US"/>
        </w:rPr>
        <w:t>enseignement demeure l</w:t>
      </w:r>
      <w:r w:rsidR="00731F09" w:rsidRPr="00E1372C">
        <w:rPr>
          <w:lang w:val="fr-FR" w:bidi="en-US"/>
        </w:rPr>
        <w:t>’</w:t>
      </w:r>
      <w:r w:rsidR="00F05770" w:rsidRPr="00E1372C">
        <w:rPr>
          <w:lang w:val="fr-FR" w:bidi="en-US"/>
        </w:rPr>
        <w:t>anglais (excepté dans l</w:t>
      </w:r>
      <w:r w:rsidR="00A36913" w:rsidRPr="00E1372C">
        <w:rPr>
          <w:lang w:val="fr-FR" w:bidi="en-US"/>
        </w:rPr>
        <w:t>es cours de</w:t>
      </w:r>
      <w:r w:rsidR="00F05770" w:rsidRPr="00E1372C">
        <w:rPr>
          <w:lang w:val="fr-FR" w:bidi="en-US"/>
        </w:rPr>
        <w:t xml:space="preserve"> langue nationale). Tous les élèves suivent les cours de compétences pratiques, d</w:t>
      </w:r>
      <w:r w:rsidR="00731F09" w:rsidRPr="00E1372C">
        <w:rPr>
          <w:lang w:val="fr-FR" w:bidi="en-US"/>
        </w:rPr>
        <w:t>’</w:t>
      </w:r>
      <w:r w:rsidR="00F05770" w:rsidRPr="00E1372C">
        <w:rPr>
          <w:lang w:val="fr-FR" w:bidi="en-US"/>
        </w:rPr>
        <w:t>éducation physique et au minimum de six matières pour l</w:t>
      </w:r>
      <w:r w:rsidR="00731F09" w:rsidRPr="00E1372C">
        <w:rPr>
          <w:lang w:val="fr-FR" w:bidi="en-US"/>
        </w:rPr>
        <w:t>’</w:t>
      </w:r>
      <w:r w:rsidR="00F05770" w:rsidRPr="00E1372C">
        <w:rPr>
          <w:lang w:val="fr-FR" w:bidi="en-US"/>
        </w:rPr>
        <w:t>examen de fin d</w:t>
      </w:r>
      <w:r w:rsidR="00731F09" w:rsidRPr="00E1372C">
        <w:rPr>
          <w:lang w:val="fr-FR" w:bidi="en-US"/>
        </w:rPr>
        <w:t>’</w:t>
      </w:r>
      <w:r w:rsidR="00F05770" w:rsidRPr="00E1372C">
        <w:rPr>
          <w:lang w:val="fr-FR" w:bidi="en-US"/>
        </w:rPr>
        <w:t>études secondaires de Namibie. L</w:t>
      </w:r>
      <w:r w:rsidR="00731F09" w:rsidRPr="00E1372C">
        <w:rPr>
          <w:lang w:val="fr-FR" w:bidi="en-US"/>
        </w:rPr>
        <w:t>’</w:t>
      </w:r>
      <w:r w:rsidR="00F05770" w:rsidRPr="00E1372C">
        <w:rPr>
          <w:lang w:val="fr-FR" w:bidi="en-US"/>
        </w:rPr>
        <w:t>une de ces matières doit être l</w:t>
      </w:r>
      <w:r w:rsidR="00731F09" w:rsidRPr="00E1372C">
        <w:rPr>
          <w:lang w:val="fr-FR" w:bidi="en-US"/>
        </w:rPr>
        <w:t>’</w:t>
      </w:r>
      <w:r w:rsidR="00F05770" w:rsidRPr="00E1372C">
        <w:rPr>
          <w:lang w:val="fr-FR" w:bidi="en-US"/>
        </w:rPr>
        <w:t>anglais et, depuis 2012, les mathématiques seront une matière obligatoire. Les élèves choisissent l</w:t>
      </w:r>
      <w:r w:rsidR="00731F09" w:rsidRPr="00E1372C">
        <w:rPr>
          <w:lang w:val="fr-FR" w:bidi="en-US"/>
        </w:rPr>
        <w:t>’</w:t>
      </w:r>
      <w:r w:rsidR="00F05770" w:rsidRPr="00E1372C">
        <w:rPr>
          <w:lang w:val="fr-FR" w:bidi="en-US"/>
        </w:rPr>
        <w:t>une des options dans un domaine d</w:t>
      </w:r>
      <w:r w:rsidR="00731F09" w:rsidRPr="00E1372C">
        <w:rPr>
          <w:lang w:val="fr-FR" w:bidi="en-US"/>
        </w:rPr>
        <w:t>’</w:t>
      </w:r>
      <w:r w:rsidR="00F05770" w:rsidRPr="00E1372C">
        <w:rPr>
          <w:lang w:val="fr-FR" w:bidi="en-US"/>
        </w:rPr>
        <w:t>étude, ainsi qu</w:t>
      </w:r>
      <w:r w:rsidR="00731F09" w:rsidRPr="00E1372C">
        <w:rPr>
          <w:lang w:val="fr-FR" w:bidi="en-US"/>
        </w:rPr>
        <w:t>’</w:t>
      </w:r>
      <w:r w:rsidR="00F05770" w:rsidRPr="00E1372C">
        <w:rPr>
          <w:lang w:val="fr-FR" w:bidi="en-US"/>
        </w:rPr>
        <w:t>une ou deux matières supplémentaires parmi celles dispensées par l</w:t>
      </w:r>
      <w:r w:rsidR="00731F09" w:rsidRPr="00E1372C">
        <w:rPr>
          <w:lang w:val="fr-FR" w:bidi="en-US"/>
        </w:rPr>
        <w:t>’</w:t>
      </w:r>
      <w:r w:rsidR="00F05770" w:rsidRPr="00E1372C">
        <w:rPr>
          <w:lang w:val="fr-FR" w:bidi="en-US"/>
        </w:rPr>
        <w:t>école pour compléter le programme des six matières d</w:t>
      </w:r>
      <w:r w:rsidR="00731F09" w:rsidRPr="00E1372C">
        <w:rPr>
          <w:lang w:val="fr-FR" w:bidi="en-US"/>
        </w:rPr>
        <w:t>’</w:t>
      </w:r>
      <w:r w:rsidR="00F05770" w:rsidRPr="00E1372C">
        <w:rPr>
          <w:lang w:val="fr-FR" w:bidi="en-US"/>
        </w:rPr>
        <w:t>examen.</w:t>
      </w:r>
    </w:p>
    <w:p w:rsidR="00F05770" w:rsidRPr="00E1372C" w:rsidRDefault="007A1757" w:rsidP="007A1757">
      <w:pPr>
        <w:pStyle w:val="SingleTxtG"/>
        <w:rPr>
          <w:lang w:val="fr-FR" w:bidi="en-US"/>
        </w:rPr>
      </w:pPr>
      <w:r w:rsidRPr="00E1372C">
        <w:rPr>
          <w:lang w:val="fr-FR" w:bidi="en-US"/>
        </w:rPr>
        <w:t>405.</w:t>
      </w:r>
      <w:r w:rsidRPr="00E1372C">
        <w:rPr>
          <w:lang w:val="fr-FR" w:bidi="en-US"/>
        </w:rPr>
        <w:tab/>
      </w:r>
      <w:r w:rsidR="00F05770" w:rsidRPr="00E1372C">
        <w:rPr>
          <w:lang w:val="fr-FR" w:bidi="en-US"/>
        </w:rPr>
        <w:t>Le droit de quiconque d</w:t>
      </w:r>
      <w:r w:rsidR="00731F09" w:rsidRPr="00E1372C">
        <w:rPr>
          <w:lang w:val="fr-FR" w:bidi="en-US"/>
        </w:rPr>
        <w:t>’</w:t>
      </w:r>
      <w:r w:rsidR="00F05770" w:rsidRPr="00E1372C">
        <w:rPr>
          <w:lang w:val="fr-FR" w:bidi="en-US"/>
        </w:rPr>
        <w:t>établir et d</w:t>
      </w:r>
      <w:r w:rsidR="00731F09" w:rsidRPr="00E1372C">
        <w:rPr>
          <w:lang w:val="fr-FR" w:bidi="en-US"/>
        </w:rPr>
        <w:t>’</w:t>
      </w:r>
      <w:r w:rsidR="00F05770" w:rsidRPr="00E1372C">
        <w:rPr>
          <w:lang w:val="fr-FR" w:bidi="en-US"/>
        </w:rPr>
        <w:t>entretenir des écoles privées est inscrit à l</w:t>
      </w:r>
      <w:r w:rsidR="00731F09" w:rsidRPr="00E1372C">
        <w:rPr>
          <w:lang w:val="fr-FR" w:bidi="en-US"/>
        </w:rPr>
        <w:t>’</w:t>
      </w:r>
      <w:r w:rsidR="00F05770" w:rsidRPr="00E1372C">
        <w:rPr>
          <w:lang w:val="fr-FR" w:bidi="en-US"/>
        </w:rPr>
        <w:t xml:space="preserve">article 20 de la Constitution. En 1998, 76 établissements sur un total de </w:t>
      </w:r>
      <w:r w:rsidR="002D6991" w:rsidRPr="00E1372C">
        <w:rPr>
          <w:lang w:val="fr-FR" w:bidi="en-US"/>
        </w:rPr>
        <w:t>1</w:t>
      </w:r>
      <w:r w:rsidR="00F05770" w:rsidRPr="00E1372C">
        <w:rPr>
          <w:lang w:val="fr-FR" w:bidi="en-US"/>
        </w:rPr>
        <w:t> </w:t>
      </w:r>
      <w:r w:rsidR="002D6991" w:rsidRPr="00E1372C">
        <w:rPr>
          <w:lang w:val="fr-FR" w:bidi="en-US"/>
        </w:rPr>
        <w:t>489 (5</w:t>
      </w:r>
      <w:r w:rsidR="00F05770" w:rsidRPr="00E1372C">
        <w:rPr>
          <w:lang w:val="fr-FR" w:bidi="en-US"/>
        </w:rPr>
        <w:t>,</w:t>
      </w:r>
      <w:r w:rsidR="002D6991" w:rsidRPr="00E1372C">
        <w:rPr>
          <w:lang w:val="fr-FR" w:bidi="en-US"/>
        </w:rPr>
        <w:t>2</w:t>
      </w:r>
      <w:r w:rsidR="007064FC" w:rsidRPr="00E1372C">
        <w:rPr>
          <w:lang w:val="fr-FR" w:bidi="en-US"/>
        </w:rPr>
        <w:t> %</w:t>
      </w:r>
      <w:r w:rsidR="00F05770" w:rsidRPr="00E1372C">
        <w:rPr>
          <w:lang w:val="fr-FR" w:bidi="en-US"/>
        </w:rPr>
        <w:t>) étaient inscrits comme écoles privées agréées. Ces écoles sont payantes et l</w:t>
      </w:r>
      <w:r w:rsidR="00731F09" w:rsidRPr="00E1372C">
        <w:rPr>
          <w:lang w:val="fr-FR" w:bidi="en-US"/>
        </w:rPr>
        <w:t>’</w:t>
      </w:r>
      <w:r w:rsidR="00F05770" w:rsidRPr="00E1372C">
        <w:rPr>
          <w:lang w:val="fr-FR" w:bidi="en-US"/>
        </w:rPr>
        <w:t>admission dans ces établissements dépend par conséquent des moyens financiers des familles. Les conditions d</w:t>
      </w:r>
      <w:r w:rsidR="00731F09" w:rsidRPr="00E1372C">
        <w:rPr>
          <w:lang w:val="fr-FR" w:bidi="en-US"/>
        </w:rPr>
        <w:t>’</w:t>
      </w:r>
      <w:r w:rsidR="00F05770" w:rsidRPr="00E1372C">
        <w:rPr>
          <w:lang w:val="fr-FR" w:bidi="en-US"/>
        </w:rPr>
        <w:t xml:space="preserve">inscription dans ces écoles interdisent la discrimination fondée sur la race, le sexe, la </w:t>
      </w:r>
      <w:r w:rsidR="00C15955" w:rsidRPr="00E1372C">
        <w:rPr>
          <w:lang w:val="fr-FR" w:bidi="en-US"/>
        </w:rPr>
        <w:t>religion ou l</w:t>
      </w:r>
      <w:r w:rsidR="00731F09" w:rsidRPr="00E1372C">
        <w:rPr>
          <w:lang w:val="fr-FR" w:bidi="en-US"/>
        </w:rPr>
        <w:t>’</w:t>
      </w:r>
      <w:r w:rsidR="00C15955" w:rsidRPr="00E1372C">
        <w:rPr>
          <w:lang w:val="fr-FR" w:bidi="en-US"/>
        </w:rPr>
        <w:t>origine ethnique</w:t>
      </w:r>
      <w:r w:rsidR="007C31ED" w:rsidRPr="00E1372C">
        <w:rPr>
          <w:lang w:val="fr-FR" w:bidi="en-US"/>
        </w:rPr>
        <w:t xml:space="preserve"> et doivent être soumises au préalable au ministre aux fins d</w:t>
      </w:r>
      <w:r w:rsidR="00731F09" w:rsidRPr="00E1372C">
        <w:rPr>
          <w:lang w:val="fr-FR" w:bidi="en-US"/>
        </w:rPr>
        <w:t>’</w:t>
      </w:r>
      <w:r w:rsidR="007C31ED" w:rsidRPr="00E1372C">
        <w:rPr>
          <w:lang w:val="fr-FR" w:bidi="en-US"/>
        </w:rPr>
        <w:t>entérinement</w:t>
      </w:r>
      <w:r w:rsidR="00C15955" w:rsidRPr="00E1372C">
        <w:rPr>
          <w:lang w:val="fr-FR" w:bidi="en-US"/>
        </w:rPr>
        <w:t>. Parents et tuteurs sont libres de choisir entre école publique, institution privée ou l</w:t>
      </w:r>
      <w:r w:rsidR="00731F09" w:rsidRPr="00E1372C">
        <w:rPr>
          <w:lang w:val="fr-FR" w:bidi="en-US"/>
        </w:rPr>
        <w:t>’</w:t>
      </w:r>
      <w:r w:rsidR="00C15955" w:rsidRPr="00E1372C">
        <w:rPr>
          <w:lang w:val="fr-FR" w:bidi="en-US"/>
        </w:rPr>
        <w:t>enseignement à domicile. Les responsables de l</w:t>
      </w:r>
      <w:r w:rsidR="00731F09" w:rsidRPr="00E1372C">
        <w:rPr>
          <w:lang w:val="fr-FR" w:bidi="en-US"/>
        </w:rPr>
        <w:t>’</w:t>
      </w:r>
      <w:r w:rsidR="00C15955" w:rsidRPr="00E1372C">
        <w:rPr>
          <w:lang w:val="fr-FR" w:bidi="en-US"/>
        </w:rPr>
        <w:t>école privée ou de l</w:t>
      </w:r>
      <w:r w:rsidR="00731F09" w:rsidRPr="00E1372C">
        <w:rPr>
          <w:lang w:val="fr-FR" w:bidi="en-US"/>
        </w:rPr>
        <w:t>’</w:t>
      </w:r>
      <w:r w:rsidR="00C15955" w:rsidRPr="00E1372C">
        <w:rPr>
          <w:lang w:val="fr-FR" w:bidi="en-US"/>
        </w:rPr>
        <w:t>enseignement à domicile qui souhaitent adopter ou compléter le programme de l</w:t>
      </w:r>
      <w:r w:rsidR="00731F09" w:rsidRPr="00E1372C">
        <w:rPr>
          <w:lang w:val="fr-FR" w:bidi="en-US"/>
        </w:rPr>
        <w:t>’</w:t>
      </w:r>
      <w:r w:rsidR="00C15955" w:rsidRPr="00E1372C">
        <w:rPr>
          <w:lang w:val="fr-FR" w:bidi="en-US"/>
        </w:rPr>
        <w:t>école publique peuvent librement le faire ou utiliser un autre programme.</w:t>
      </w:r>
    </w:p>
    <w:p w:rsidR="002D6991" w:rsidRPr="00E1372C" w:rsidRDefault="007E29CB" w:rsidP="007E29CB">
      <w:pPr>
        <w:pStyle w:val="H23G"/>
        <w:rPr>
          <w:lang w:val="fr-FR" w:bidi="en-US"/>
        </w:rPr>
      </w:pPr>
      <w:r w:rsidRPr="00E1372C">
        <w:rPr>
          <w:lang w:val="fr-FR" w:bidi="en-US"/>
        </w:rPr>
        <w:tab/>
      </w:r>
      <w:r w:rsidRPr="00E1372C">
        <w:rPr>
          <w:lang w:val="fr-FR" w:bidi="en-US"/>
        </w:rPr>
        <w:tab/>
      </w:r>
      <w:r w:rsidR="00C15955" w:rsidRPr="00E1372C">
        <w:rPr>
          <w:lang w:val="fr-FR" w:bidi="en-US"/>
        </w:rPr>
        <w:t>Enseignement supérieur</w:t>
      </w:r>
    </w:p>
    <w:p w:rsidR="00EC7ABD" w:rsidRPr="00E1372C" w:rsidRDefault="007A1757" w:rsidP="007A1757">
      <w:pPr>
        <w:pStyle w:val="SingleTxtG"/>
        <w:rPr>
          <w:lang w:val="fr-FR" w:bidi="en-US"/>
        </w:rPr>
      </w:pPr>
      <w:r w:rsidRPr="00E1372C">
        <w:rPr>
          <w:lang w:val="fr-FR" w:bidi="en-US"/>
        </w:rPr>
        <w:t>406.</w:t>
      </w:r>
      <w:r w:rsidRPr="00E1372C">
        <w:rPr>
          <w:lang w:val="fr-FR" w:bidi="en-US"/>
        </w:rPr>
        <w:tab/>
      </w:r>
      <w:r w:rsidR="00EC7ABD" w:rsidRPr="00E1372C">
        <w:rPr>
          <w:lang w:val="fr-FR" w:bidi="en-US"/>
        </w:rPr>
        <w:t>Le système namibien de l</w:t>
      </w:r>
      <w:r w:rsidR="00731F09" w:rsidRPr="00E1372C">
        <w:rPr>
          <w:lang w:val="fr-FR" w:bidi="en-US"/>
        </w:rPr>
        <w:t>’</w:t>
      </w:r>
      <w:r w:rsidR="00EC7ABD" w:rsidRPr="00E1372C">
        <w:rPr>
          <w:lang w:val="fr-FR" w:bidi="en-US"/>
        </w:rPr>
        <w:t>enseignement et de la formation supérieurs est très récent. Les principales institutions publiques sont l</w:t>
      </w:r>
      <w:r w:rsidR="00731F09" w:rsidRPr="00E1372C">
        <w:rPr>
          <w:lang w:val="fr-FR" w:bidi="en-US"/>
        </w:rPr>
        <w:t>’</w:t>
      </w:r>
      <w:r w:rsidR="00EC7ABD" w:rsidRPr="00E1372C">
        <w:rPr>
          <w:lang w:val="fr-FR" w:bidi="en-US"/>
        </w:rPr>
        <w:t>Université de Namibie et l</w:t>
      </w:r>
      <w:r w:rsidR="00731F09" w:rsidRPr="00E1372C">
        <w:rPr>
          <w:lang w:val="fr-FR" w:bidi="en-US"/>
        </w:rPr>
        <w:t>’</w:t>
      </w:r>
      <w:r w:rsidR="00EC7ABD" w:rsidRPr="00E1372C">
        <w:rPr>
          <w:lang w:val="fr-FR" w:bidi="en-US"/>
        </w:rPr>
        <w:t>Université des sciences et technologies (auparavant École polytechnique). La liberté et l</w:t>
      </w:r>
      <w:r w:rsidR="00731F09" w:rsidRPr="00E1372C">
        <w:rPr>
          <w:lang w:val="fr-FR" w:bidi="en-US"/>
        </w:rPr>
        <w:t>’</w:t>
      </w:r>
      <w:r w:rsidR="00EC7ABD" w:rsidRPr="00E1372C">
        <w:rPr>
          <w:lang w:val="fr-FR" w:bidi="en-US"/>
        </w:rPr>
        <w:t>autonomie académiques des institutions de l</w:t>
      </w:r>
      <w:r w:rsidR="00731F09" w:rsidRPr="00E1372C">
        <w:rPr>
          <w:lang w:val="fr-FR" w:bidi="en-US"/>
        </w:rPr>
        <w:t>’</w:t>
      </w:r>
      <w:r w:rsidR="00EC7ABD" w:rsidRPr="00E1372C">
        <w:rPr>
          <w:lang w:val="fr-FR" w:bidi="en-US"/>
        </w:rPr>
        <w:t>enseignement supérieur sont respectées. Les deux établissements universitaires sont administrés par leur</w:t>
      </w:r>
      <w:r w:rsidR="00A36913" w:rsidRPr="00E1372C">
        <w:rPr>
          <w:lang w:val="fr-FR" w:bidi="en-US"/>
        </w:rPr>
        <w:t>s</w:t>
      </w:r>
      <w:r w:rsidR="00EC7ABD" w:rsidRPr="00E1372C">
        <w:rPr>
          <w:lang w:val="fr-FR" w:bidi="en-US"/>
        </w:rPr>
        <w:t xml:space="preserve"> </w:t>
      </w:r>
      <w:r w:rsidR="00CD3072" w:rsidRPr="00E1372C">
        <w:rPr>
          <w:lang w:val="fr-FR" w:bidi="en-US"/>
        </w:rPr>
        <w:t>C</w:t>
      </w:r>
      <w:r w:rsidR="00EC7ABD" w:rsidRPr="00E1372C">
        <w:rPr>
          <w:lang w:val="fr-FR" w:bidi="en-US"/>
        </w:rPr>
        <w:t>onseil</w:t>
      </w:r>
      <w:r w:rsidR="00A36913" w:rsidRPr="00E1372C">
        <w:rPr>
          <w:lang w:val="fr-FR" w:bidi="en-US"/>
        </w:rPr>
        <w:t>s</w:t>
      </w:r>
      <w:r w:rsidR="00EC7ABD" w:rsidRPr="00E1372C">
        <w:rPr>
          <w:lang w:val="fr-FR" w:bidi="en-US"/>
        </w:rPr>
        <w:t xml:space="preserve"> </w:t>
      </w:r>
      <w:r w:rsidR="00A36913" w:rsidRPr="00E1372C">
        <w:rPr>
          <w:lang w:val="fr-FR" w:bidi="en-US"/>
        </w:rPr>
        <w:t xml:space="preserve">respectifs </w:t>
      </w:r>
      <w:r w:rsidR="00EC7ABD" w:rsidRPr="00E1372C">
        <w:rPr>
          <w:lang w:val="fr-FR" w:bidi="en-US"/>
        </w:rPr>
        <w:t>sans gu</w:t>
      </w:r>
      <w:r w:rsidR="00A36913" w:rsidRPr="00E1372C">
        <w:rPr>
          <w:lang w:val="fr-FR" w:bidi="en-US"/>
        </w:rPr>
        <w:t>è</w:t>
      </w:r>
      <w:r w:rsidR="00EC7ABD" w:rsidRPr="00E1372C">
        <w:rPr>
          <w:lang w:val="fr-FR" w:bidi="en-US"/>
        </w:rPr>
        <w:t>re d</w:t>
      </w:r>
      <w:r w:rsidR="00731F09" w:rsidRPr="00E1372C">
        <w:rPr>
          <w:lang w:val="fr-FR" w:bidi="en-US"/>
        </w:rPr>
        <w:t>’</w:t>
      </w:r>
      <w:r w:rsidR="00EC7ABD" w:rsidRPr="00E1372C">
        <w:rPr>
          <w:lang w:val="fr-FR" w:bidi="en-US"/>
        </w:rPr>
        <w:t>ingérence du Gouvernement. La composition d</w:t>
      </w:r>
      <w:r w:rsidR="009E2CF7" w:rsidRPr="00E1372C">
        <w:rPr>
          <w:lang w:val="fr-FR" w:bidi="en-US"/>
        </w:rPr>
        <w:t>es</w:t>
      </w:r>
      <w:r w:rsidR="00EC7ABD" w:rsidRPr="00E1372C">
        <w:rPr>
          <w:lang w:val="fr-FR" w:bidi="en-US"/>
        </w:rPr>
        <w:t xml:space="preserve"> Conseil</w:t>
      </w:r>
      <w:r w:rsidR="009E2CF7" w:rsidRPr="00E1372C">
        <w:rPr>
          <w:lang w:val="fr-FR" w:bidi="en-US"/>
        </w:rPr>
        <w:t>s</w:t>
      </w:r>
      <w:r w:rsidR="00EC7ABD" w:rsidRPr="00E1372C">
        <w:rPr>
          <w:lang w:val="fr-FR" w:bidi="en-US"/>
        </w:rPr>
        <w:t xml:space="preserve"> devrait garantir leur capacité à répondre aux besoins des diverses académies, comme il est établi dans les statuts des deux institutions. Les membres représentent diverses parties prenantes – </w:t>
      </w:r>
      <w:r w:rsidR="00A36913" w:rsidRPr="00E1372C">
        <w:rPr>
          <w:lang w:val="fr-FR" w:bidi="en-US"/>
        </w:rPr>
        <w:t xml:space="preserve">membres </w:t>
      </w:r>
      <w:r w:rsidR="00EC7ABD" w:rsidRPr="00E1372C">
        <w:rPr>
          <w:lang w:val="fr-FR" w:bidi="en-US"/>
        </w:rPr>
        <w:t>universitaires, personnel administratif, étudiants, secteur public, associations professionnelles et communautés au sein desquelles l</w:t>
      </w:r>
      <w:r w:rsidR="00731F09" w:rsidRPr="00E1372C">
        <w:rPr>
          <w:lang w:val="fr-FR" w:bidi="en-US"/>
        </w:rPr>
        <w:t>’</w:t>
      </w:r>
      <w:r w:rsidR="00EC7ABD" w:rsidRPr="00E1372C">
        <w:rPr>
          <w:lang w:val="fr-FR" w:bidi="en-US"/>
        </w:rPr>
        <w:t>institution se trouve.</w:t>
      </w:r>
    </w:p>
    <w:p w:rsidR="00EC7ABD" w:rsidRPr="00E1372C" w:rsidRDefault="007A1757" w:rsidP="007A1757">
      <w:pPr>
        <w:pStyle w:val="SingleTxtG"/>
        <w:rPr>
          <w:lang w:val="fr-FR" w:bidi="en-US"/>
        </w:rPr>
      </w:pPr>
      <w:r w:rsidRPr="00E1372C">
        <w:rPr>
          <w:lang w:val="fr-FR" w:bidi="en-US"/>
        </w:rPr>
        <w:t>407.</w:t>
      </w:r>
      <w:r w:rsidRPr="00E1372C">
        <w:rPr>
          <w:lang w:val="fr-FR" w:bidi="en-US"/>
        </w:rPr>
        <w:tab/>
      </w:r>
      <w:r w:rsidR="00EC7ABD" w:rsidRPr="00E1372C">
        <w:rPr>
          <w:lang w:val="fr-FR" w:bidi="en-US"/>
        </w:rPr>
        <w:t>Afin d</w:t>
      </w:r>
      <w:r w:rsidR="00731F09" w:rsidRPr="00E1372C">
        <w:rPr>
          <w:lang w:val="fr-FR" w:bidi="en-US"/>
        </w:rPr>
        <w:t>’</w:t>
      </w:r>
      <w:r w:rsidR="00EC7ABD" w:rsidRPr="00E1372C">
        <w:rPr>
          <w:lang w:val="fr-FR" w:bidi="en-US"/>
        </w:rPr>
        <w:t>améliorer la responsabilisation des institutions de l</w:t>
      </w:r>
      <w:r w:rsidR="00731F09" w:rsidRPr="00E1372C">
        <w:rPr>
          <w:lang w:val="fr-FR" w:bidi="en-US"/>
        </w:rPr>
        <w:t>’</w:t>
      </w:r>
      <w:r w:rsidR="00EC7ABD" w:rsidRPr="00E1372C">
        <w:rPr>
          <w:lang w:val="fr-FR" w:bidi="en-US"/>
        </w:rPr>
        <w:t>enseignement supérieur sans risque d</w:t>
      </w:r>
      <w:r w:rsidR="00731F09" w:rsidRPr="00E1372C">
        <w:rPr>
          <w:lang w:val="fr-FR" w:bidi="en-US"/>
        </w:rPr>
        <w:t>’</w:t>
      </w:r>
      <w:r w:rsidR="00EC7ABD" w:rsidRPr="00E1372C">
        <w:rPr>
          <w:lang w:val="fr-FR" w:bidi="en-US"/>
        </w:rPr>
        <w:t>ingérence politique, le Ministère de l</w:t>
      </w:r>
      <w:r w:rsidR="00731F09" w:rsidRPr="00E1372C">
        <w:rPr>
          <w:lang w:val="fr-FR" w:bidi="en-US"/>
        </w:rPr>
        <w:t>’</w:t>
      </w:r>
      <w:r w:rsidR="00EC7ABD" w:rsidRPr="00E1372C">
        <w:rPr>
          <w:lang w:val="fr-FR" w:bidi="en-US"/>
        </w:rPr>
        <w:t>enseignement supérieur, de la formation et de la création d</w:t>
      </w:r>
      <w:r w:rsidR="00731F09" w:rsidRPr="00E1372C">
        <w:rPr>
          <w:lang w:val="fr-FR" w:bidi="en-US"/>
        </w:rPr>
        <w:t>’</w:t>
      </w:r>
      <w:r w:rsidR="00EC7ABD" w:rsidRPr="00E1372C">
        <w:rPr>
          <w:lang w:val="fr-FR" w:bidi="en-US"/>
        </w:rPr>
        <w:t>emploi</w:t>
      </w:r>
      <w:r w:rsidR="009E2CF7" w:rsidRPr="00E1372C">
        <w:rPr>
          <w:lang w:val="fr-FR" w:bidi="en-US"/>
        </w:rPr>
        <w:t>, de l</w:t>
      </w:r>
      <w:r w:rsidR="00731F09" w:rsidRPr="00E1372C">
        <w:rPr>
          <w:lang w:val="fr-FR" w:bidi="en-US"/>
        </w:rPr>
        <w:t>’</w:t>
      </w:r>
      <w:r w:rsidR="009E2CF7" w:rsidRPr="00E1372C">
        <w:rPr>
          <w:lang w:val="fr-FR" w:bidi="en-US"/>
        </w:rPr>
        <w:t>époque,</w:t>
      </w:r>
      <w:r w:rsidR="00EC7ABD" w:rsidRPr="00E1372C">
        <w:rPr>
          <w:lang w:val="fr-FR" w:bidi="en-US"/>
        </w:rPr>
        <w:t xml:space="preserve"> a élaboré un projet de loi visant à établir le Conseil national de l</w:t>
      </w:r>
      <w:r w:rsidR="00731F09" w:rsidRPr="00E1372C">
        <w:rPr>
          <w:lang w:val="fr-FR" w:bidi="en-US"/>
        </w:rPr>
        <w:t>’</w:t>
      </w:r>
      <w:r w:rsidR="00EC7ABD" w:rsidRPr="00E1372C">
        <w:rPr>
          <w:lang w:val="fr-FR" w:bidi="en-US"/>
        </w:rPr>
        <w:t>enseignement supérieur. Le projet, qui a été adopté, énonce les pouvoirs et fonctions étendus de ce Conseil, notamment</w:t>
      </w:r>
      <w:r w:rsidR="00AE017E" w:rsidRPr="00E1372C">
        <w:rPr>
          <w:lang w:val="fr-FR" w:bidi="en-US"/>
        </w:rPr>
        <w:t>:</w:t>
      </w:r>
      <w:r w:rsidR="00EC7ABD" w:rsidRPr="00E1372C">
        <w:rPr>
          <w:lang w:val="fr-FR" w:bidi="en-US"/>
        </w:rPr>
        <w:t xml:space="preserve"> examen des besoins stratégiques du système, fixation des priorités, fourniture de conseils sur les questions budgétaires, élaboration et exécution d</w:t>
      </w:r>
      <w:r w:rsidR="00731F09" w:rsidRPr="00E1372C">
        <w:rPr>
          <w:lang w:val="fr-FR" w:bidi="en-US"/>
        </w:rPr>
        <w:t>’</w:t>
      </w:r>
      <w:r w:rsidR="00EC7ABD" w:rsidRPr="00E1372C">
        <w:rPr>
          <w:lang w:val="fr-FR" w:bidi="en-US"/>
        </w:rPr>
        <w:t>une formule de financement, suivi des tendances concernant l</w:t>
      </w:r>
      <w:r w:rsidR="00731F09" w:rsidRPr="00E1372C">
        <w:rPr>
          <w:lang w:val="fr-FR" w:bidi="en-US"/>
        </w:rPr>
        <w:t>’</w:t>
      </w:r>
      <w:r w:rsidR="00EC7ABD" w:rsidRPr="00E1372C">
        <w:rPr>
          <w:lang w:val="fr-FR" w:bidi="en-US"/>
        </w:rPr>
        <w:t>accès, la mobilité, le nombre et la qualité des diplômés, l</w:t>
      </w:r>
      <w:r w:rsidR="00731F09" w:rsidRPr="00E1372C">
        <w:rPr>
          <w:lang w:val="fr-FR" w:bidi="en-US"/>
        </w:rPr>
        <w:t>’</w:t>
      </w:r>
      <w:r w:rsidR="00EC7ABD" w:rsidRPr="00E1372C">
        <w:rPr>
          <w:lang w:val="fr-FR" w:bidi="en-US"/>
        </w:rPr>
        <w:t>aménagement et la coordination du système, la promotion de la qualité, l</w:t>
      </w:r>
      <w:r w:rsidR="00731F09" w:rsidRPr="00E1372C">
        <w:rPr>
          <w:lang w:val="fr-FR" w:bidi="en-US"/>
        </w:rPr>
        <w:t>’</w:t>
      </w:r>
      <w:r w:rsidR="00EC7ABD" w:rsidRPr="00E1372C">
        <w:rPr>
          <w:lang w:val="fr-FR" w:bidi="en-US"/>
        </w:rPr>
        <w:t>assurance de la qualité et l</w:t>
      </w:r>
      <w:r w:rsidR="00731F09" w:rsidRPr="00E1372C">
        <w:rPr>
          <w:lang w:val="fr-FR" w:bidi="en-US"/>
        </w:rPr>
        <w:t>’</w:t>
      </w:r>
      <w:r w:rsidR="00EC7ABD" w:rsidRPr="00E1372C">
        <w:rPr>
          <w:lang w:val="fr-FR" w:bidi="en-US"/>
        </w:rPr>
        <w:t>accréditation des institutions de l</w:t>
      </w:r>
      <w:r w:rsidR="00731F09" w:rsidRPr="00E1372C">
        <w:rPr>
          <w:lang w:val="fr-FR" w:bidi="en-US"/>
        </w:rPr>
        <w:t>’</w:t>
      </w:r>
      <w:r w:rsidR="00EC7ABD" w:rsidRPr="00E1372C">
        <w:rPr>
          <w:lang w:val="fr-FR" w:bidi="en-US"/>
        </w:rPr>
        <w:t>enseignement supérieur.</w:t>
      </w:r>
    </w:p>
    <w:p w:rsidR="00EC7ABD" w:rsidRPr="00E1372C" w:rsidRDefault="007A1757" w:rsidP="007A1757">
      <w:pPr>
        <w:pStyle w:val="SingleTxtG"/>
        <w:rPr>
          <w:lang w:val="fr-FR" w:bidi="en-US"/>
        </w:rPr>
      </w:pPr>
      <w:r w:rsidRPr="00E1372C">
        <w:rPr>
          <w:lang w:val="fr-FR" w:bidi="en-US"/>
        </w:rPr>
        <w:t>408.</w:t>
      </w:r>
      <w:r w:rsidRPr="00E1372C">
        <w:rPr>
          <w:lang w:val="fr-FR" w:bidi="en-US"/>
        </w:rPr>
        <w:tab/>
      </w:r>
      <w:r w:rsidR="00EC7ABD" w:rsidRPr="00E1372C">
        <w:rPr>
          <w:lang w:val="fr-FR" w:bidi="en-US"/>
        </w:rPr>
        <w:t xml:space="preserve">Le Conseil </w:t>
      </w:r>
      <w:r w:rsidR="00E06238" w:rsidRPr="00E1372C">
        <w:rPr>
          <w:lang w:val="fr-FR" w:bidi="en-US"/>
        </w:rPr>
        <w:t>national de l</w:t>
      </w:r>
      <w:r w:rsidR="00731F09" w:rsidRPr="00E1372C">
        <w:rPr>
          <w:lang w:val="fr-FR" w:bidi="en-US"/>
        </w:rPr>
        <w:t>’</w:t>
      </w:r>
      <w:r w:rsidR="00E06238" w:rsidRPr="00E1372C">
        <w:rPr>
          <w:lang w:val="fr-FR" w:bidi="en-US"/>
        </w:rPr>
        <w:t xml:space="preserve">enseignement supérieur </w:t>
      </w:r>
      <w:r w:rsidR="00EC7ABD" w:rsidRPr="00E1372C">
        <w:rPr>
          <w:lang w:val="fr-FR" w:bidi="en-US"/>
        </w:rPr>
        <w:t>devra, parmi d</w:t>
      </w:r>
      <w:r w:rsidR="00731F09" w:rsidRPr="00E1372C">
        <w:rPr>
          <w:lang w:val="fr-FR" w:bidi="en-US"/>
        </w:rPr>
        <w:t>’</w:t>
      </w:r>
      <w:r w:rsidR="00EC7ABD" w:rsidRPr="00E1372C">
        <w:rPr>
          <w:lang w:val="fr-FR" w:bidi="en-US"/>
        </w:rPr>
        <w:t>autres fonctions importantes, établir un système informatique de gestion</w:t>
      </w:r>
      <w:r w:rsidR="009E2CF7" w:rsidRPr="00E1372C">
        <w:rPr>
          <w:lang w:val="fr-FR" w:bidi="en-US"/>
        </w:rPr>
        <w:t>,</w:t>
      </w:r>
      <w:r w:rsidR="00EC7ABD" w:rsidRPr="00E1372C">
        <w:rPr>
          <w:lang w:val="fr-FR" w:bidi="en-US"/>
        </w:rPr>
        <w:t xml:space="preserve"> ainsi qu</w:t>
      </w:r>
      <w:r w:rsidR="00731F09" w:rsidRPr="00E1372C">
        <w:rPr>
          <w:lang w:val="fr-FR" w:bidi="en-US"/>
        </w:rPr>
        <w:t>’</w:t>
      </w:r>
      <w:r w:rsidR="00EC7ABD" w:rsidRPr="00E1372C">
        <w:rPr>
          <w:lang w:val="fr-FR" w:bidi="en-US"/>
        </w:rPr>
        <w:t>un système de suivi et d</w:t>
      </w:r>
      <w:r w:rsidR="00731F09" w:rsidRPr="00E1372C">
        <w:rPr>
          <w:lang w:val="fr-FR" w:bidi="en-US"/>
        </w:rPr>
        <w:t>’</w:t>
      </w:r>
      <w:r w:rsidR="00EC7ABD" w:rsidRPr="00E1372C">
        <w:rPr>
          <w:lang w:val="fr-FR" w:bidi="en-US"/>
        </w:rPr>
        <w:t>évaluation. Il sera composé de diverses parties prenantes, notamment de représentants du secteur public (Ministère de tutelle, Commission de planification nationale, Ministère des finances), de l</w:t>
      </w:r>
      <w:r w:rsidR="00731F09" w:rsidRPr="00E1372C">
        <w:rPr>
          <w:lang w:val="fr-FR" w:bidi="en-US"/>
        </w:rPr>
        <w:t>’</w:t>
      </w:r>
      <w:r w:rsidR="00EC7ABD" w:rsidRPr="00E1372C">
        <w:rPr>
          <w:lang w:val="fr-FR" w:bidi="en-US"/>
        </w:rPr>
        <w:t>Université,</w:t>
      </w:r>
      <w:r w:rsidR="00CD3072" w:rsidRPr="00E1372C">
        <w:rPr>
          <w:lang w:val="fr-FR" w:bidi="en-US"/>
        </w:rPr>
        <w:t xml:space="preserve"> </w:t>
      </w:r>
      <w:r w:rsidR="00E06238" w:rsidRPr="00E1372C">
        <w:rPr>
          <w:lang w:val="fr-FR" w:bidi="en-US"/>
        </w:rPr>
        <w:t xml:space="preserve">de </w:t>
      </w:r>
      <w:r w:rsidR="00CD3072" w:rsidRPr="00E1372C">
        <w:rPr>
          <w:lang w:val="fr-FR" w:bidi="en-US"/>
        </w:rPr>
        <w:t>l</w:t>
      </w:r>
      <w:r w:rsidR="00731F09" w:rsidRPr="00E1372C">
        <w:rPr>
          <w:lang w:val="fr-FR" w:bidi="en-US"/>
        </w:rPr>
        <w:t>’</w:t>
      </w:r>
      <w:r w:rsidR="00CD3072" w:rsidRPr="00E1372C">
        <w:rPr>
          <w:lang w:val="fr-FR" w:bidi="en-US"/>
        </w:rPr>
        <w:t>École polytechnique et de centres de formation professionnelle. Il comprendra également un large éventail d</w:t>
      </w:r>
      <w:r w:rsidR="00731F09" w:rsidRPr="00E1372C">
        <w:rPr>
          <w:lang w:val="fr-FR" w:bidi="en-US"/>
        </w:rPr>
        <w:t>’</w:t>
      </w:r>
      <w:r w:rsidR="00CD3072" w:rsidRPr="00E1372C">
        <w:rPr>
          <w:lang w:val="fr-FR" w:bidi="en-US"/>
        </w:rPr>
        <w:t>organisations représentant des étudiants, du personnel universitaire, des organisations de femmes, des personnes handicapées, des églises, des entreprises et des organisations professionnelles. Cette composition devrait lui conférer légitimité et autorité. Les travaux de l</w:t>
      </w:r>
      <w:r w:rsidR="00731F09" w:rsidRPr="00E1372C">
        <w:rPr>
          <w:lang w:val="fr-FR" w:bidi="en-US"/>
        </w:rPr>
        <w:t>’</w:t>
      </w:r>
      <w:r w:rsidR="00CD3072" w:rsidRPr="00E1372C">
        <w:rPr>
          <w:lang w:val="fr-FR" w:bidi="en-US"/>
        </w:rPr>
        <w:t>Association pour l</w:t>
      </w:r>
      <w:r w:rsidR="00731F09" w:rsidRPr="00E1372C">
        <w:rPr>
          <w:lang w:val="fr-FR" w:bidi="en-US"/>
        </w:rPr>
        <w:t>’</w:t>
      </w:r>
      <w:r w:rsidR="00CD3072" w:rsidRPr="00E1372C">
        <w:rPr>
          <w:lang w:val="fr-FR" w:bidi="en-US"/>
        </w:rPr>
        <w:t xml:space="preserve">enseignement </w:t>
      </w:r>
      <w:r w:rsidR="00E06238" w:rsidRPr="00E1372C">
        <w:rPr>
          <w:lang w:val="fr-FR" w:bidi="en-US"/>
        </w:rPr>
        <w:t xml:space="preserve">professionnel et </w:t>
      </w:r>
      <w:r w:rsidR="00CD3072" w:rsidRPr="00E1372C">
        <w:rPr>
          <w:lang w:val="fr-FR" w:bidi="en-US"/>
        </w:rPr>
        <w:t>technique et du Conseil seront regroupés sous l</w:t>
      </w:r>
      <w:r w:rsidR="00731F09" w:rsidRPr="00E1372C">
        <w:rPr>
          <w:lang w:val="fr-FR" w:bidi="en-US"/>
        </w:rPr>
        <w:t>’</w:t>
      </w:r>
      <w:r w:rsidR="00CD3072" w:rsidRPr="00E1372C">
        <w:rPr>
          <w:lang w:val="fr-FR" w:bidi="en-US"/>
        </w:rPr>
        <w:t>égide du Conseil consultatif de l</w:t>
      </w:r>
      <w:r w:rsidR="00731F09" w:rsidRPr="00E1372C">
        <w:rPr>
          <w:lang w:val="fr-FR" w:bidi="en-US"/>
        </w:rPr>
        <w:t>’</w:t>
      </w:r>
      <w:r w:rsidR="00CD3072" w:rsidRPr="00E1372C">
        <w:rPr>
          <w:lang w:val="fr-FR" w:bidi="en-US"/>
        </w:rPr>
        <w:t>éducation nationale, comme le prévoit la loi de 2001 relative à l</w:t>
      </w:r>
      <w:r w:rsidR="00731F09" w:rsidRPr="00E1372C">
        <w:rPr>
          <w:lang w:val="fr-FR" w:bidi="en-US"/>
        </w:rPr>
        <w:t>’</w:t>
      </w:r>
      <w:r w:rsidR="00CD3072" w:rsidRPr="00E1372C">
        <w:rPr>
          <w:lang w:val="fr-FR" w:bidi="en-US"/>
        </w:rPr>
        <w:t>enseignement.</w:t>
      </w:r>
    </w:p>
    <w:p w:rsidR="002D6991" w:rsidRPr="00E1372C" w:rsidRDefault="007E29CB" w:rsidP="007E29CB">
      <w:pPr>
        <w:pStyle w:val="H23G"/>
        <w:rPr>
          <w:lang w:val="fr-FR" w:bidi="en-US"/>
        </w:rPr>
      </w:pPr>
      <w:r w:rsidRPr="00E1372C">
        <w:rPr>
          <w:lang w:val="fr-FR" w:bidi="en-US"/>
        </w:rPr>
        <w:tab/>
      </w:r>
      <w:r w:rsidRPr="00E1372C">
        <w:rPr>
          <w:lang w:val="fr-FR" w:bidi="en-US"/>
        </w:rPr>
        <w:tab/>
      </w:r>
      <w:r w:rsidR="002D6991" w:rsidRPr="00E1372C">
        <w:rPr>
          <w:lang w:val="fr-FR" w:bidi="en-US"/>
        </w:rPr>
        <w:t>Acc</w:t>
      </w:r>
      <w:r w:rsidR="00CD3072" w:rsidRPr="00E1372C">
        <w:rPr>
          <w:lang w:val="fr-FR" w:bidi="en-US"/>
        </w:rPr>
        <w:t>ès et équité dans l</w:t>
      </w:r>
      <w:r w:rsidR="00731F09" w:rsidRPr="00E1372C">
        <w:rPr>
          <w:lang w:val="fr-FR" w:bidi="en-US"/>
        </w:rPr>
        <w:t>’</w:t>
      </w:r>
      <w:r w:rsidR="00CD3072" w:rsidRPr="00E1372C">
        <w:rPr>
          <w:lang w:val="fr-FR" w:bidi="en-US"/>
        </w:rPr>
        <w:t>enseignement et la formation supérieurs</w:t>
      </w:r>
    </w:p>
    <w:p w:rsidR="002D6991" w:rsidRPr="00E1372C" w:rsidRDefault="002D6991" w:rsidP="007E29CB">
      <w:pPr>
        <w:pStyle w:val="H4G"/>
        <w:rPr>
          <w:lang w:val="fr-FR" w:bidi="en-US"/>
        </w:rPr>
      </w:pPr>
      <w:r w:rsidRPr="00E1372C">
        <w:rPr>
          <w:lang w:val="fr-FR" w:bidi="en-US"/>
        </w:rPr>
        <w:tab/>
      </w:r>
      <w:r w:rsidRPr="00E1372C">
        <w:rPr>
          <w:lang w:val="fr-FR" w:bidi="en-US"/>
        </w:rPr>
        <w:tab/>
      </w:r>
      <w:r w:rsidR="00CD3072" w:rsidRPr="00E1372C">
        <w:rPr>
          <w:lang w:val="fr-FR" w:bidi="en-US"/>
        </w:rPr>
        <w:t>Inscriptions et effectif</w:t>
      </w:r>
      <w:r w:rsidR="00E06238" w:rsidRPr="00E1372C">
        <w:rPr>
          <w:lang w:val="fr-FR" w:bidi="en-US"/>
        </w:rPr>
        <w:t>s</w:t>
      </w:r>
      <w:r w:rsidR="00CD3072" w:rsidRPr="00E1372C">
        <w:rPr>
          <w:lang w:val="fr-FR" w:bidi="en-US"/>
        </w:rPr>
        <w:t xml:space="preserve"> dans les institutions</w:t>
      </w:r>
    </w:p>
    <w:p w:rsidR="00CD3072" w:rsidRPr="00E1372C" w:rsidRDefault="007A1757" w:rsidP="007A1757">
      <w:pPr>
        <w:pStyle w:val="SingleTxtG"/>
        <w:rPr>
          <w:lang w:val="fr-FR" w:bidi="en-US"/>
        </w:rPr>
      </w:pPr>
      <w:r w:rsidRPr="00E1372C">
        <w:rPr>
          <w:lang w:val="fr-FR" w:bidi="en-US"/>
        </w:rPr>
        <w:t>409.</w:t>
      </w:r>
      <w:r w:rsidRPr="00E1372C">
        <w:rPr>
          <w:lang w:val="fr-FR" w:bidi="en-US"/>
        </w:rPr>
        <w:tab/>
      </w:r>
      <w:r w:rsidR="00CD3072" w:rsidRPr="00E1372C">
        <w:rPr>
          <w:lang w:val="fr-FR" w:bidi="en-US"/>
        </w:rPr>
        <w:t>L</w:t>
      </w:r>
      <w:r w:rsidR="00731F09" w:rsidRPr="00E1372C">
        <w:rPr>
          <w:lang w:val="fr-FR" w:bidi="en-US"/>
        </w:rPr>
        <w:t>’</w:t>
      </w:r>
      <w:r w:rsidR="00CD3072" w:rsidRPr="00E1372C">
        <w:rPr>
          <w:lang w:val="fr-FR" w:bidi="en-US"/>
        </w:rPr>
        <w:t>accès à l</w:t>
      </w:r>
      <w:r w:rsidR="00731F09" w:rsidRPr="00E1372C">
        <w:rPr>
          <w:lang w:val="fr-FR" w:bidi="en-US"/>
        </w:rPr>
        <w:t>’</w:t>
      </w:r>
      <w:r w:rsidR="00CD3072" w:rsidRPr="00E1372C">
        <w:rPr>
          <w:lang w:val="fr-FR" w:bidi="en-US"/>
        </w:rPr>
        <w:t>enseignement et la formation supérieurs a considérablement augmenté depuis l</w:t>
      </w:r>
      <w:r w:rsidR="00731F09" w:rsidRPr="00E1372C">
        <w:rPr>
          <w:lang w:val="fr-FR" w:bidi="en-US"/>
        </w:rPr>
        <w:t>’</w:t>
      </w:r>
      <w:r w:rsidR="00CD3072" w:rsidRPr="00E1372C">
        <w:rPr>
          <w:lang w:val="fr-FR" w:bidi="en-US"/>
        </w:rPr>
        <w:t>indépendance. À l</w:t>
      </w:r>
      <w:r w:rsidR="00731F09" w:rsidRPr="00E1372C">
        <w:rPr>
          <w:lang w:val="fr-FR" w:bidi="en-US"/>
        </w:rPr>
        <w:t>’</w:t>
      </w:r>
      <w:r w:rsidR="00CD3072" w:rsidRPr="00E1372C">
        <w:rPr>
          <w:lang w:val="fr-FR" w:bidi="en-US"/>
        </w:rPr>
        <w:t>université, les inscriptions ont crû de 137</w:t>
      </w:r>
      <w:r w:rsidR="007064FC" w:rsidRPr="00E1372C">
        <w:rPr>
          <w:lang w:val="fr-FR" w:bidi="en-US"/>
        </w:rPr>
        <w:t> %</w:t>
      </w:r>
      <w:r w:rsidR="00CD3072" w:rsidRPr="00E1372C">
        <w:rPr>
          <w:lang w:val="fr-FR" w:bidi="en-US"/>
        </w:rPr>
        <w:t xml:space="preserve"> entre 1995 et 2002. Les inscriptions aux programmes d</w:t>
      </w:r>
      <w:r w:rsidR="00731F09" w:rsidRPr="00E1372C">
        <w:rPr>
          <w:lang w:val="fr-FR" w:bidi="en-US"/>
        </w:rPr>
        <w:t>’</w:t>
      </w:r>
      <w:r w:rsidR="00CD3072" w:rsidRPr="00E1372C">
        <w:rPr>
          <w:lang w:val="fr-FR" w:bidi="en-US"/>
        </w:rPr>
        <w:t>enseignement à distance ont augmenté de quelque 230</w:t>
      </w:r>
      <w:r w:rsidR="007064FC" w:rsidRPr="00E1372C">
        <w:rPr>
          <w:lang w:val="fr-FR" w:bidi="en-US"/>
        </w:rPr>
        <w:t> %</w:t>
      </w:r>
      <w:r w:rsidR="00CD3072" w:rsidRPr="00E1372C">
        <w:rPr>
          <w:lang w:val="fr-FR" w:bidi="en-US"/>
        </w:rPr>
        <w:t>, représentant environ 40</w:t>
      </w:r>
      <w:r w:rsidR="007064FC" w:rsidRPr="00E1372C">
        <w:rPr>
          <w:lang w:val="fr-FR" w:bidi="en-US"/>
        </w:rPr>
        <w:t> %</w:t>
      </w:r>
      <w:r w:rsidR="00CD3072" w:rsidRPr="00E1372C">
        <w:rPr>
          <w:lang w:val="fr-FR" w:bidi="en-US"/>
        </w:rPr>
        <w:t xml:space="preserve"> du total des inscriptions en 2002. Les inscriptions à des programmes d</w:t>
      </w:r>
      <w:r w:rsidR="00731F09" w:rsidRPr="00E1372C">
        <w:rPr>
          <w:lang w:val="fr-FR" w:bidi="en-US"/>
        </w:rPr>
        <w:t>’</w:t>
      </w:r>
      <w:r w:rsidR="00CD3072" w:rsidRPr="00E1372C">
        <w:rPr>
          <w:lang w:val="fr-FR" w:bidi="en-US"/>
        </w:rPr>
        <w:t>enseignement autres qu</w:t>
      </w:r>
      <w:r w:rsidR="00731F09" w:rsidRPr="00E1372C">
        <w:rPr>
          <w:lang w:val="fr-FR" w:bidi="en-US"/>
        </w:rPr>
        <w:t>’</w:t>
      </w:r>
      <w:r w:rsidR="00CD3072" w:rsidRPr="00E1372C">
        <w:rPr>
          <w:lang w:val="fr-FR" w:bidi="en-US"/>
        </w:rPr>
        <w:t>à distance ont augmenté de quelque 100</w:t>
      </w:r>
      <w:r w:rsidR="007064FC" w:rsidRPr="00E1372C">
        <w:rPr>
          <w:lang w:val="fr-FR" w:bidi="en-US"/>
        </w:rPr>
        <w:t> %</w:t>
      </w:r>
      <w:r w:rsidR="00CD3072" w:rsidRPr="00E1372C">
        <w:rPr>
          <w:lang w:val="fr-FR" w:bidi="en-US"/>
        </w:rPr>
        <w:t xml:space="preserve"> en huit ans. En 2002, les inscriptions demeuraient très faibles dans des secteurs marqués par de graves pénuries de ressources humaines – sciences (7</w:t>
      </w:r>
      <w:r w:rsidR="007064FC" w:rsidRPr="00E1372C">
        <w:rPr>
          <w:lang w:val="fr-FR" w:bidi="en-US"/>
        </w:rPr>
        <w:t> %</w:t>
      </w:r>
      <w:r w:rsidR="00CD3072" w:rsidRPr="00E1372C">
        <w:rPr>
          <w:lang w:val="fr-FR" w:bidi="en-US"/>
        </w:rPr>
        <w:t>), agriculture et ressources naturelles (2</w:t>
      </w:r>
      <w:r w:rsidR="007064FC" w:rsidRPr="00E1372C">
        <w:rPr>
          <w:lang w:val="fr-FR" w:bidi="en-US"/>
        </w:rPr>
        <w:t> %</w:t>
      </w:r>
      <w:r w:rsidR="00CD3072" w:rsidRPr="00E1372C">
        <w:rPr>
          <w:lang w:val="fr-FR" w:bidi="en-US"/>
        </w:rPr>
        <w:t>) et sciences médicales et de la santé (5</w:t>
      </w:r>
      <w:r w:rsidR="007064FC" w:rsidRPr="00E1372C">
        <w:rPr>
          <w:lang w:val="fr-FR" w:bidi="en-US"/>
        </w:rPr>
        <w:t> %</w:t>
      </w:r>
      <w:r w:rsidR="00CD3072" w:rsidRPr="00E1372C">
        <w:rPr>
          <w:lang w:val="fr-FR" w:bidi="en-US"/>
        </w:rPr>
        <w:t>).</w:t>
      </w:r>
    </w:p>
    <w:p w:rsidR="00CD3072" w:rsidRPr="00E1372C" w:rsidRDefault="007A1757" w:rsidP="007A1757">
      <w:pPr>
        <w:pStyle w:val="SingleTxtG"/>
        <w:rPr>
          <w:lang w:val="fr-FR" w:bidi="en-US"/>
        </w:rPr>
      </w:pPr>
      <w:r w:rsidRPr="00E1372C">
        <w:rPr>
          <w:lang w:val="fr-FR" w:bidi="en-US"/>
        </w:rPr>
        <w:t>410.</w:t>
      </w:r>
      <w:r w:rsidRPr="00E1372C">
        <w:rPr>
          <w:lang w:val="fr-FR" w:bidi="en-US"/>
        </w:rPr>
        <w:tab/>
      </w:r>
      <w:r w:rsidR="00CD3072" w:rsidRPr="00E1372C">
        <w:rPr>
          <w:lang w:val="fr-FR" w:bidi="en-US"/>
        </w:rPr>
        <w:t xml:space="preserve">Les femmes ont </w:t>
      </w:r>
      <w:r w:rsidR="007C31ED" w:rsidRPr="00E1372C">
        <w:rPr>
          <w:lang w:val="fr-FR" w:bidi="en-US"/>
        </w:rPr>
        <w:t>d</w:t>
      </w:r>
      <w:r w:rsidR="00731F09" w:rsidRPr="00E1372C">
        <w:rPr>
          <w:lang w:val="fr-FR" w:bidi="en-US"/>
        </w:rPr>
        <w:t>’</w:t>
      </w:r>
      <w:r w:rsidR="007C31ED" w:rsidRPr="00E1372C">
        <w:rPr>
          <w:lang w:val="fr-FR" w:bidi="en-US"/>
        </w:rPr>
        <w:t>une manière constante</w:t>
      </w:r>
      <w:r w:rsidR="00CD3072" w:rsidRPr="00E1372C">
        <w:rPr>
          <w:lang w:val="fr-FR" w:bidi="en-US"/>
        </w:rPr>
        <w:t xml:space="preserve"> représenté quelque 60</w:t>
      </w:r>
      <w:r w:rsidR="007064FC" w:rsidRPr="00E1372C">
        <w:rPr>
          <w:lang w:val="fr-FR" w:bidi="en-US"/>
        </w:rPr>
        <w:t> %</w:t>
      </w:r>
      <w:r w:rsidR="00CD3072" w:rsidRPr="00E1372C">
        <w:rPr>
          <w:lang w:val="fr-FR" w:bidi="en-US"/>
        </w:rPr>
        <w:t xml:space="preserve"> des effectifs universitaires. Ce chiffre tient essentiellement à leur prédominance dans les sciences de la santé (à l</w:t>
      </w:r>
      <w:r w:rsidR="00731F09" w:rsidRPr="00E1372C">
        <w:rPr>
          <w:lang w:val="fr-FR" w:bidi="en-US"/>
        </w:rPr>
        <w:t>’</w:t>
      </w:r>
      <w:r w:rsidR="00CD3072" w:rsidRPr="00E1372C">
        <w:rPr>
          <w:lang w:val="fr-FR" w:bidi="en-US"/>
        </w:rPr>
        <w:t>exception de la médecine), l</w:t>
      </w:r>
      <w:r w:rsidR="00731F09" w:rsidRPr="00E1372C">
        <w:rPr>
          <w:lang w:val="fr-FR" w:bidi="en-US"/>
        </w:rPr>
        <w:t>’</w:t>
      </w:r>
      <w:r w:rsidR="00CD3072" w:rsidRPr="00E1372C">
        <w:rPr>
          <w:lang w:val="fr-FR" w:bidi="en-US"/>
        </w:rPr>
        <w:t>éducation et les sciences humaines et sociales.</w:t>
      </w:r>
      <w:r w:rsidR="007C31ED" w:rsidRPr="00E1372C">
        <w:rPr>
          <w:lang w:val="fr-FR" w:bidi="en-US"/>
        </w:rPr>
        <w:t xml:space="preserve"> I</w:t>
      </w:r>
      <w:r w:rsidR="00CD3072" w:rsidRPr="00E1372C">
        <w:rPr>
          <w:lang w:val="fr-FR" w:bidi="en-US"/>
        </w:rPr>
        <w:t xml:space="preserve">l convient de </w:t>
      </w:r>
      <w:r w:rsidR="007C31ED" w:rsidRPr="00E1372C">
        <w:rPr>
          <w:lang w:val="fr-FR" w:bidi="en-US"/>
        </w:rPr>
        <w:t>port</w:t>
      </w:r>
      <w:r w:rsidR="00CD3072" w:rsidRPr="00E1372C">
        <w:rPr>
          <w:lang w:val="fr-FR" w:bidi="en-US"/>
        </w:rPr>
        <w:t>er</w:t>
      </w:r>
      <w:r w:rsidR="007C31ED" w:rsidRPr="00E1372C">
        <w:rPr>
          <w:lang w:val="fr-FR" w:bidi="en-US"/>
        </w:rPr>
        <w:t xml:space="preserve"> au crédit de l</w:t>
      </w:r>
      <w:r w:rsidR="00731F09" w:rsidRPr="00E1372C">
        <w:rPr>
          <w:lang w:val="fr-FR" w:bidi="en-US"/>
        </w:rPr>
        <w:t>’</w:t>
      </w:r>
      <w:r w:rsidR="007C31ED" w:rsidRPr="00E1372C">
        <w:rPr>
          <w:lang w:val="fr-FR" w:bidi="en-US"/>
        </w:rPr>
        <w:t xml:space="preserve">Université et de la Namibie le fait </w:t>
      </w:r>
      <w:r w:rsidR="00CD3072" w:rsidRPr="00E1372C">
        <w:rPr>
          <w:lang w:val="fr-FR" w:bidi="en-US"/>
        </w:rPr>
        <w:t>qu</w:t>
      </w:r>
      <w:r w:rsidR="00731F09" w:rsidRPr="00E1372C">
        <w:rPr>
          <w:lang w:val="fr-FR" w:bidi="en-US"/>
        </w:rPr>
        <w:t>’</w:t>
      </w:r>
      <w:r w:rsidR="00CD3072" w:rsidRPr="00E1372C">
        <w:rPr>
          <w:lang w:val="fr-FR" w:bidi="en-US"/>
        </w:rPr>
        <w:t>en 2002 les femmes constituaient 40</w:t>
      </w:r>
      <w:r w:rsidR="007064FC" w:rsidRPr="00E1372C">
        <w:rPr>
          <w:lang w:val="fr-FR" w:bidi="en-US"/>
        </w:rPr>
        <w:t> %</w:t>
      </w:r>
      <w:r w:rsidR="00CD3072" w:rsidRPr="00E1372C">
        <w:rPr>
          <w:lang w:val="fr-FR" w:bidi="en-US"/>
        </w:rPr>
        <w:t xml:space="preserve"> ou plus des inscriptions dans des domaines où prédominent d</w:t>
      </w:r>
      <w:r w:rsidR="00731F09" w:rsidRPr="00E1372C">
        <w:rPr>
          <w:lang w:val="fr-FR" w:bidi="en-US"/>
        </w:rPr>
        <w:t>’</w:t>
      </w:r>
      <w:r w:rsidR="00CD3072" w:rsidRPr="00E1372C">
        <w:rPr>
          <w:lang w:val="fr-FR" w:bidi="en-US"/>
        </w:rPr>
        <w:t>ordinaire les hommes. Ce bilan est encourageant, mais il faut continuer à assurer l</w:t>
      </w:r>
      <w:r w:rsidR="00731F09" w:rsidRPr="00E1372C">
        <w:rPr>
          <w:lang w:val="fr-FR" w:bidi="en-US"/>
        </w:rPr>
        <w:t>’</w:t>
      </w:r>
      <w:r w:rsidR="00CD3072" w:rsidRPr="00E1372C">
        <w:rPr>
          <w:lang w:val="fr-FR" w:bidi="en-US"/>
        </w:rPr>
        <w:t>équité entre les sexes en matière d</w:t>
      </w:r>
      <w:r w:rsidR="00731F09" w:rsidRPr="00E1372C">
        <w:rPr>
          <w:lang w:val="fr-FR" w:bidi="en-US"/>
        </w:rPr>
        <w:t>’</w:t>
      </w:r>
      <w:r w:rsidR="00CD3072" w:rsidRPr="00E1372C">
        <w:rPr>
          <w:lang w:val="fr-FR" w:bidi="en-US"/>
        </w:rPr>
        <w:t>inscriptions, en particulier lorsque cette tendance est probablement due moins au choix des étudiants qu</w:t>
      </w:r>
      <w:r w:rsidR="00731F09" w:rsidRPr="00E1372C">
        <w:rPr>
          <w:lang w:val="fr-FR" w:bidi="en-US"/>
        </w:rPr>
        <w:t>’</w:t>
      </w:r>
      <w:r w:rsidR="00CD3072" w:rsidRPr="00E1372C">
        <w:rPr>
          <w:lang w:val="fr-FR" w:bidi="en-US"/>
        </w:rPr>
        <w:t>à certains obstacles non encore déterminés.</w:t>
      </w:r>
    </w:p>
    <w:p w:rsidR="00CD3072" w:rsidRPr="00E1372C" w:rsidRDefault="007A1757" w:rsidP="007A1757">
      <w:pPr>
        <w:pStyle w:val="SingleTxtG"/>
        <w:rPr>
          <w:lang w:val="fr-FR" w:bidi="en-US"/>
        </w:rPr>
      </w:pPr>
      <w:r w:rsidRPr="00E1372C">
        <w:rPr>
          <w:lang w:val="fr-FR" w:bidi="en-US"/>
        </w:rPr>
        <w:t>411.</w:t>
      </w:r>
      <w:r w:rsidRPr="00E1372C">
        <w:rPr>
          <w:lang w:val="fr-FR" w:bidi="en-US"/>
        </w:rPr>
        <w:tab/>
      </w:r>
      <w:r w:rsidR="00CD3072" w:rsidRPr="00E1372C">
        <w:rPr>
          <w:lang w:val="fr-FR" w:bidi="en-US"/>
        </w:rPr>
        <w:t>En matière de possibilité d</w:t>
      </w:r>
      <w:r w:rsidR="00731F09" w:rsidRPr="00E1372C">
        <w:rPr>
          <w:lang w:val="fr-FR" w:bidi="en-US"/>
        </w:rPr>
        <w:t>’</w:t>
      </w:r>
      <w:r w:rsidR="00CD3072" w:rsidRPr="00E1372C">
        <w:rPr>
          <w:lang w:val="fr-FR" w:bidi="en-US"/>
        </w:rPr>
        <w:t>accès à l</w:t>
      </w:r>
      <w:r w:rsidR="00731F09" w:rsidRPr="00E1372C">
        <w:rPr>
          <w:lang w:val="fr-FR" w:bidi="en-US"/>
        </w:rPr>
        <w:t>’</w:t>
      </w:r>
      <w:r w:rsidR="00CD3072" w:rsidRPr="00E1372C">
        <w:rPr>
          <w:lang w:val="fr-FR" w:bidi="en-US"/>
        </w:rPr>
        <w:t>enseignement supérieur, même si ce niveau de formation n</w:t>
      </w:r>
      <w:r w:rsidR="00731F09" w:rsidRPr="00E1372C">
        <w:rPr>
          <w:lang w:val="fr-FR" w:bidi="en-US"/>
        </w:rPr>
        <w:t>’</w:t>
      </w:r>
      <w:r w:rsidR="00CD3072" w:rsidRPr="00E1372C">
        <w:rPr>
          <w:lang w:val="fr-FR" w:bidi="en-US"/>
        </w:rPr>
        <w:t>est pas gratuit en Namibie, tous les élèves diplômés de l</w:t>
      </w:r>
      <w:r w:rsidR="00731F09" w:rsidRPr="00E1372C">
        <w:rPr>
          <w:lang w:val="fr-FR" w:bidi="en-US"/>
        </w:rPr>
        <w:t>’</w:t>
      </w:r>
      <w:r w:rsidR="00CD3072" w:rsidRPr="00E1372C">
        <w:rPr>
          <w:lang w:val="fr-FR" w:bidi="en-US"/>
        </w:rPr>
        <w:t>enseignement général, qui ont par conséquent achevé la 12</w:t>
      </w:r>
      <w:r w:rsidR="00CD3072" w:rsidRPr="00E1372C">
        <w:rPr>
          <w:vertAlign w:val="superscript"/>
          <w:lang w:val="fr-FR" w:bidi="en-US"/>
        </w:rPr>
        <w:t>e</w:t>
      </w:r>
      <w:r w:rsidR="00CD3072" w:rsidRPr="00E1372C">
        <w:rPr>
          <w:lang w:val="fr-FR" w:bidi="en-US"/>
        </w:rPr>
        <w:t xml:space="preserve"> année, sont admissibles </w:t>
      </w:r>
      <w:r w:rsidR="000C0EDA" w:rsidRPr="00E1372C">
        <w:rPr>
          <w:lang w:val="fr-FR" w:bidi="en-US"/>
        </w:rPr>
        <w:t>dans l</w:t>
      </w:r>
      <w:r w:rsidR="00731F09" w:rsidRPr="00E1372C">
        <w:rPr>
          <w:lang w:val="fr-FR" w:bidi="en-US"/>
        </w:rPr>
        <w:t>’</w:t>
      </w:r>
      <w:r w:rsidR="000C0EDA" w:rsidRPr="00E1372C">
        <w:rPr>
          <w:lang w:val="fr-FR" w:bidi="en-US"/>
        </w:rPr>
        <w:t>enseignement supérieur. En d</w:t>
      </w:r>
      <w:r w:rsidR="00731F09" w:rsidRPr="00E1372C">
        <w:rPr>
          <w:lang w:val="fr-FR" w:bidi="en-US"/>
        </w:rPr>
        <w:t>’</w:t>
      </w:r>
      <w:r w:rsidR="000C0EDA" w:rsidRPr="00E1372C">
        <w:rPr>
          <w:lang w:val="fr-FR" w:bidi="en-US"/>
        </w:rPr>
        <w:t>autres termes, ces élèves ont rempli toutes les conditions requises à cet effet. Toutefois, trois facteurs semblent s</w:t>
      </w:r>
      <w:r w:rsidR="00731F09" w:rsidRPr="00E1372C">
        <w:rPr>
          <w:lang w:val="fr-FR" w:bidi="en-US"/>
        </w:rPr>
        <w:t>’</w:t>
      </w:r>
      <w:r w:rsidR="000C0EDA" w:rsidRPr="00E1372C">
        <w:rPr>
          <w:lang w:val="fr-FR" w:bidi="en-US"/>
        </w:rPr>
        <w:t>opposer à l</w:t>
      </w:r>
      <w:r w:rsidR="00731F09" w:rsidRPr="00E1372C">
        <w:rPr>
          <w:lang w:val="fr-FR" w:bidi="en-US"/>
        </w:rPr>
        <w:t>’</w:t>
      </w:r>
      <w:r w:rsidR="000C0EDA" w:rsidRPr="00E1372C">
        <w:rPr>
          <w:lang w:val="fr-FR" w:bidi="en-US"/>
        </w:rPr>
        <w:t>entrée à l</w:t>
      </w:r>
      <w:r w:rsidR="00731F09" w:rsidRPr="00E1372C">
        <w:rPr>
          <w:lang w:val="fr-FR" w:bidi="en-US"/>
        </w:rPr>
        <w:t>’</w:t>
      </w:r>
      <w:r w:rsidR="000C0EDA" w:rsidRPr="00E1372C">
        <w:rPr>
          <w:lang w:val="fr-FR" w:bidi="en-US"/>
        </w:rPr>
        <w:t>Université</w:t>
      </w:r>
      <w:r w:rsidR="00AE017E" w:rsidRPr="00E1372C">
        <w:rPr>
          <w:lang w:val="fr-FR" w:bidi="en-US"/>
        </w:rPr>
        <w:t>:</w:t>
      </w:r>
      <w:r w:rsidR="000C0EDA" w:rsidRPr="00E1372C">
        <w:rPr>
          <w:lang w:val="fr-FR" w:bidi="en-US"/>
        </w:rPr>
        <w:t xml:space="preserve"> résultats des élèves, ressources financières et capacité des institutions quant au nombre d</w:t>
      </w:r>
      <w:r w:rsidR="00731F09" w:rsidRPr="00E1372C">
        <w:rPr>
          <w:lang w:val="fr-FR" w:bidi="en-US"/>
        </w:rPr>
        <w:t>’</w:t>
      </w:r>
      <w:r w:rsidR="000C0EDA" w:rsidRPr="00E1372C">
        <w:rPr>
          <w:lang w:val="fr-FR" w:bidi="en-US"/>
        </w:rPr>
        <w:t>étudiants qu</w:t>
      </w:r>
      <w:r w:rsidR="00731F09" w:rsidRPr="00E1372C">
        <w:rPr>
          <w:lang w:val="fr-FR" w:bidi="en-US"/>
        </w:rPr>
        <w:t>’</w:t>
      </w:r>
      <w:r w:rsidR="000C0EDA" w:rsidRPr="00E1372C">
        <w:rPr>
          <w:lang w:val="fr-FR" w:bidi="en-US"/>
        </w:rPr>
        <w:t>elles peuvent accueillir.</w:t>
      </w:r>
    </w:p>
    <w:p w:rsidR="000C0EDA" w:rsidRPr="00E1372C" w:rsidRDefault="007A1757" w:rsidP="007A1757">
      <w:pPr>
        <w:pStyle w:val="SingleTxtG"/>
        <w:rPr>
          <w:lang w:val="fr-FR" w:bidi="en-US"/>
        </w:rPr>
      </w:pPr>
      <w:r w:rsidRPr="00E1372C">
        <w:rPr>
          <w:lang w:val="fr-FR" w:bidi="en-US"/>
        </w:rPr>
        <w:t>412.</w:t>
      </w:r>
      <w:r w:rsidRPr="00E1372C">
        <w:rPr>
          <w:lang w:val="fr-FR" w:bidi="en-US"/>
        </w:rPr>
        <w:tab/>
      </w:r>
      <w:r w:rsidR="000C0EDA" w:rsidRPr="00E1372C">
        <w:rPr>
          <w:lang w:val="fr-FR" w:bidi="en-US"/>
        </w:rPr>
        <w:t>Les étudiants, en matière de résultats, sont censés avoir obtenu certaines notes en 12</w:t>
      </w:r>
      <w:r w:rsidR="000C0EDA" w:rsidRPr="00E1372C">
        <w:rPr>
          <w:vertAlign w:val="superscript"/>
          <w:lang w:val="fr-FR" w:bidi="en-US"/>
        </w:rPr>
        <w:t>e</w:t>
      </w:r>
      <w:r w:rsidR="000C0EDA" w:rsidRPr="00E1372C">
        <w:rPr>
          <w:lang w:val="fr-FR" w:bidi="en-US"/>
        </w:rPr>
        <w:t> année pour être admissibles dans des institutions comme l</w:t>
      </w:r>
      <w:r w:rsidR="00731F09" w:rsidRPr="00E1372C">
        <w:rPr>
          <w:lang w:val="fr-FR" w:bidi="en-US"/>
        </w:rPr>
        <w:t>’</w:t>
      </w:r>
      <w:r w:rsidR="000C0EDA" w:rsidRPr="00E1372C">
        <w:rPr>
          <w:lang w:val="fr-FR" w:bidi="en-US"/>
        </w:rPr>
        <w:t>Université et l</w:t>
      </w:r>
      <w:r w:rsidR="00731F09" w:rsidRPr="00E1372C">
        <w:rPr>
          <w:lang w:val="fr-FR" w:bidi="en-US"/>
        </w:rPr>
        <w:t>’</w:t>
      </w:r>
      <w:r w:rsidR="000C0EDA" w:rsidRPr="00E1372C">
        <w:rPr>
          <w:lang w:val="fr-FR" w:bidi="en-US"/>
        </w:rPr>
        <w:t>École polytechnique. Cette condition vise, non pas à empêcher l</w:t>
      </w:r>
      <w:r w:rsidR="00731F09" w:rsidRPr="00E1372C">
        <w:rPr>
          <w:lang w:val="fr-FR" w:bidi="en-US"/>
        </w:rPr>
        <w:t>’</w:t>
      </w:r>
      <w:r w:rsidR="000C0EDA" w:rsidRPr="00E1372C">
        <w:rPr>
          <w:lang w:val="fr-FR" w:bidi="en-US"/>
        </w:rPr>
        <w:t>admission, mais à accroître la qualité et la rentabilité du système. Nul n</w:t>
      </w:r>
      <w:r w:rsidR="00731F09" w:rsidRPr="00E1372C">
        <w:rPr>
          <w:lang w:val="fr-FR" w:bidi="en-US"/>
        </w:rPr>
        <w:t>’</w:t>
      </w:r>
      <w:r w:rsidR="000C0EDA" w:rsidRPr="00E1372C">
        <w:rPr>
          <w:lang w:val="fr-FR" w:bidi="en-US"/>
        </w:rPr>
        <w:t>ignore que les étudiants qui ont remarquablement réussi les examens de 12</w:t>
      </w:r>
      <w:r w:rsidR="000C0EDA" w:rsidRPr="00E1372C">
        <w:rPr>
          <w:vertAlign w:val="superscript"/>
          <w:lang w:val="fr-FR" w:bidi="en-US"/>
        </w:rPr>
        <w:t>e</w:t>
      </w:r>
      <w:r w:rsidR="00B63107" w:rsidRPr="00E1372C">
        <w:rPr>
          <w:lang w:val="fr-FR" w:bidi="en-US"/>
        </w:rPr>
        <w:t xml:space="preserve"> </w:t>
      </w:r>
      <w:r w:rsidR="000C0EDA" w:rsidRPr="00E1372C">
        <w:rPr>
          <w:lang w:val="fr-FR" w:bidi="en-US"/>
        </w:rPr>
        <w:t>année n</w:t>
      </w:r>
      <w:r w:rsidR="00731F09" w:rsidRPr="00E1372C">
        <w:rPr>
          <w:lang w:val="fr-FR" w:bidi="en-US"/>
        </w:rPr>
        <w:t>’</w:t>
      </w:r>
      <w:r w:rsidR="000C0EDA" w:rsidRPr="00E1372C">
        <w:rPr>
          <w:lang w:val="fr-FR" w:bidi="en-US"/>
        </w:rPr>
        <w:t>ont pas tous les moyens de payer leurs études supérieures. Le Gouvernement ne peut non plus octroyer des subventions pour tous les étudiants qui intègrent l</w:t>
      </w:r>
      <w:r w:rsidR="00731F09" w:rsidRPr="00E1372C">
        <w:rPr>
          <w:lang w:val="fr-FR" w:bidi="en-US"/>
        </w:rPr>
        <w:t>’</w:t>
      </w:r>
      <w:r w:rsidR="000C0EDA" w:rsidRPr="00E1372C">
        <w:rPr>
          <w:lang w:val="fr-FR" w:bidi="en-US"/>
        </w:rPr>
        <w:t>enseignement supérieur, bien qu</w:t>
      </w:r>
      <w:r w:rsidR="00731F09" w:rsidRPr="00E1372C">
        <w:rPr>
          <w:lang w:val="fr-FR" w:bidi="en-US"/>
        </w:rPr>
        <w:t>’</w:t>
      </w:r>
      <w:r w:rsidR="000C0EDA" w:rsidRPr="00E1372C">
        <w:rPr>
          <w:lang w:val="fr-FR" w:bidi="en-US"/>
        </w:rPr>
        <w:t>il existe un fonds d</w:t>
      </w:r>
      <w:r w:rsidR="00731F09" w:rsidRPr="00E1372C">
        <w:rPr>
          <w:lang w:val="fr-FR" w:bidi="en-US"/>
        </w:rPr>
        <w:t>’</w:t>
      </w:r>
      <w:r w:rsidR="000C0EDA" w:rsidRPr="00E1372C">
        <w:rPr>
          <w:lang w:val="fr-FR" w:bidi="en-US"/>
        </w:rPr>
        <w:t>aide pour ceux dont les parents ont un revenu inférieur à 150 000 </w:t>
      </w:r>
      <w:r w:rsidR="00AC15E0" w:rsidRPr="00E1372C">
        <w:rPr>
          <w:lang w:val="fr-FR" w:bidi="en-US"/>
        </w:rPr>
        <w:t>dollars namibiens</w:t>
      </w:r>
      <w:r w:rsidR="000C0EDA" w:rsidRPr="00E1372C">
        <w:rPr>
          <w:lang w:val="fr-FR" w:bidi="en-US"/>
        </w:rPr>
        <w:t xml:space="preserve"> par an. La capacité desdites institutions de l</w:t>
      </w:r>
      <w:r w:rsidR="00731F09" w:rsidRPr="00E1372C">
        <w:rPr>
          <w:lang w:val="fr-FR" w:bidi="en-US"/>
        </w:rPr>
        <w:t>’</w:t>
      </w:r>
      <w:r w:rsidR="000C0EDA" w:rsidRPr="00E1372C">
        <w:rPr>
          <w:lang w:val="fr-FR" w:bidi="en-US"/>
        </w:rPr>
        <w:t>enseignement supérieur à accueillir de nombreux effectifs d</w:t>
      </w:r>
      <w:r w:rsidR="00731F09" w:rsidRPr="00E1372C">
        <w:rPr>
          <w:lang w:val="fr-FR" w:bidi="en-US"/>
        </w:rPr>
        <w:t>’</w:t>
      </w:r>
      <w:r w:rsidR="000C0EDA" w:rsidRPr="00E1372C">
        <w:rPr>
          <w:lang w:val="fr-FR" w:bidi="en-US"/>
        </w:rPr>
        <w:t>étudiants demeure faible.</w:t>
      </w:r>
    </w:p>
    <w:p w:rsidR="000C0EDA" w:rsidRPr="00E1372C" w:rsidRDefault="007A1757" w:rsidP="007A1757">
      <w:pPr>
        <w:pStyle w:val="SingleTxtG"/>
        <w:rPr>
          <w:lang w:val="fr-FR" w:bidi="en-US"/>
        </w:rPr>
      </w:pPr>
      <w:r w:rsidRPr="00E1372C">
        <w:rPr>
          <w:lang w:val="fr-FR" w:bidi="en-US"/>
        </w:rPr>
        <w:t>413.</w:t>
      </w:r>
      <w:r w:rsidRPr="00E1372C">
        <w:rPr>
          <w:lang w:val="fr-FR" w:bidi="en-US"/>
        </w:rPr>
        <w:tab/>
      </w:r>
      <w:r w:rsidR="000C0EDA" w:rsidRPr="00E1372C">
        <w:rPr>
          <w:lang w:val="fr-FR" w:bidi="en-US"/>
        </w:rPr>
        <w:t>Chaque année, de nombreux étudiants ne peuvent intégrer ces institutions, non pour n</w:t>
      </w:r>
      <w:r w:rsidR="00731F09" w:rsidRPr="00E1372C">
        <w:rPr>
          <w:lang w:val="fr-FR" w:bidi="en-US"/>
        </w:rPr>
        <w:t>’</w:t>
      </w:r>
      <w:r w:rsidR="000C0EDA" w:rsidRPr="00E1372C">
        <w:rPr>
          <w:lang w:val="fr-FR" w:bidi="en-US"/>
        </w:rPr>
        <w:t>avoir pas rempli les conditions minimales des examens de 12</w:t>
      </w:r>
      <w:r w:rsidR="000C0EDA" w:rsidRPr="00E1372C">
        <w:rPr>
          <w:vertAlign w:val="superscript"/>
          <w:lang w:val="fr-FR" w:bidi="en-US"/>
        </w:rPr>
        <w:t>e</w:t>
      </w:r>
      <w:r w:rsidR="000C0EDA" w:rsidRPr="00E1372C">
        <w:rPr>
          <w:lang w:val="fr-FR" w:bidi="en-US"/>
        </w:rPr>
        <w:t> année, mais en raison du manque de places dans ces établissements. Dans ces circonstances, il est manifeste que, même si tous les élèves qui ont réussi l</w:t>
      </w:r>
      <w:r w:rsidR="00731F09" w:rsidRPr="00E1372C">
        <w:rPr>
          <w:lang w:val="fr-FR" w:bidi="en-US"/>
        </w:rPr>
        <w:t>’</w:t>
      </w:r>
      <w:r w:rsidR="000C0EDA" w:rsidRPr="00E1372C">
        <w:rPr>
          <w:lang w:val="fr-FR" w:bidi="en-US"/>
        </w:rPr>
        <w:t>examen de 12</w:t>
      </w:r>
      <w:r w:rsidR="000C0EDA" w:rsidRPr="00E1372C">
        <w:rPr>
          <w:vertAlign w:val="superscript"/>
          <w:lang w:val="fr-FR" w:bidi="en-US"/>
        </w:rPr>
        <w:t>e</w:t>
      </w:r>
      <w:r w:rsidR="000C0EDA" w:rsidRPr="00E1372C">
        <w:rPr>
          <w:lang w:val="fr-FR" w:bidi="en-US"/>
        </w:rPr>
        <w:t> année sont admissibles, les ressources financières et la capacité des institutions demeurent des facteurs peu propices à un accès gratuit. Nonobstant, indépendamment des éléments préjudiciables soulignés, l</w:t>
      </w:r>
      <w:r w:rsidR="00731F09" w:rsidRPr="00E1372C">
        <w:rPr>
          <w:lang w:val="fr-FR" w:bidi="en-US"/>
        </w:rPr>
        <w:t>’</w:t>
      </w:r>
      <w:r w:rsidR="000C0EDA" w:rsidRPr="00E1372C">
        <w:rPr>
          <w:lang w:val="fr-FR" w:bidi="en-US"/>
        </w:rPr>
        <w:t>accès est l</w:t>
      </w:r>
      <w:r w:rsidR="00731F09" w:rsidRPr="00E1372C">
        <w:rPr>
          <w:lang w:val="fr-FR" w:bidi="en-US"/>
        </w:rPr>
        <w:t>’</w:t>
      </w:r>
      <w:r w:rsidR="000C0EDA" w:rsidRPr="00E1372C">
        <w:rPr>
          <w:lang w:val="fr-FR" w:bidi="en-US"/>
        </w:rPr>
        <w:t>élément clé et la caractéristique la mieux considérée de la politique éducative namibienne, outre l</w:t>
      </w:r>
      <w:r w:rsidR="00731F09" w:rsidRPr="00E1372C">
        <w:rPr>
          <w:lang w:val="fr-FR" w:bidi="en-US"/>
        </w:rPr>
        <w:t>’</w:t>
      </w:r>
      <w:r w:rsidR="000C0EDA" w:rsidRPr="00E1372C">
        <w:rPr>
          <w:lang w:val="fr-FR" w:bidi="en-US"/>
        </w:rPr>
        <w:t>équité, la qualité, l</w:t>
      </w:r>
      <w:r w:rsidR="00731F09" w:rsidRPr="00E1372C">
        <w:rPr>
          <w:lang w:val="fr-FR" w:bidi="en-US"/>
        </w:rPr>
        <w:t>’</w:t>
      </w:r>
      <w:r w:rsidR="000C0EDA" w:rsidRPr="00E1372C">
        <w:rPr>
          <w:lang w:val="fr-FR" w:bidi="en-US"/>
        </w:rPr>
        <w:t>efficacité et la démocratie.</w:t>
      </w:r>
    </w:p>
    <w:p w:rsidR="002D6991" w:rsidRPr="00E1372C" w:rsidRDefault="007E29CB" w:rsidP="007E29CB">
      <w:pPr>
        <w:pStyle w:val="H4G"/>
        <w:rPr>
          <w:lang w:val="fr-FR" w:bidi="en-US"/>
        </w:rPr>
      </w:pPr>
      <w:r w:rsidRPr="00E1372C">
        <w:rPr>
          <w:lang w:val="fr-FR" w:bidi="en-US"/>
        </w:rPr>
        <w:tab/>
      </w:r>
      <w:r w:rsidRPr="00E1372C">
        <w:rPr>
          <w:lang w:val="fr-FR" w:bidi="en-US"/>
        </w:rPr>
        <w:tab/>
      </w:r>
      <w:r w:rsidR="000C0EDA" w:rsidRPr="00E1372C">
        <w:rPr>
          <w:lang w:val="fr-FR" w:bidi="en-US"/>
        </w:rPr>
        <w:t>Enseignement pour adulte</w:t>
      </w:r>
      <w:r w:rsidR="009E2CF7" w:rsidRPr="00E1372C">
        <w:rPr>
          <w:lang w:val="fr-FR" w:bidi="en-US"/>
        </w:rPr>
        <w:t>s</w:t>
      </w:r>
      <w:r w:rsidR="002D6991" w:rsidRPr="00E1372C">
        <w:rPr>
          <w:lang w:val="fr-FR" w:bidi="en-US"/>
        </w:rPr>
        <w:t xml:space="preserve"> </w:t>
      </w:r>
    </w:p>
    <w:p w:rsidR="002D6991" w:rsidRPr="00E1372C" w:rsidRDefault="007A1757" w:rsidP="007A1757">
      <w:pPr>
        <w:pStyle w:val="SingleTxtG"/>
        <w:rPr>
          <w:rFonts w:ascii="Garamond" w:hAnsi="Garamond"/>
          <w:lang w:val="fr-FR" w:bidi="en-US"/>
        </w:rPr>
      </w:pPr>
      <w:r w:rsidRPr="00E1372C">
        <w:rPr>
          <w:lang w:val="fr-FR" w:bidi="en-US"/>
        </w:rPr>
        <w:t>414.</w:t>
      </w:r>
      <w:r w:rsidRPr="00E1372C">
        <w:rPr>
          <w:lang w:val="fr-FR" w:bidi="en-US"/>
        </w:rPr>
        <w:tab/>
      </w:r>
      <w:r w:rsidR="00A17215" w:rsidRPr="00E1372C">
        <w:rPr>
          <w:lang w:val="fr-FR"/>
        </w:rPr>
        <w:t>Le Ministère de l</w:t>
      </w:r>
      <w:r w:rsidR="00731F09" w:rsidRPr="00E1372C">
        <w:rPr>
          <w:lang w:val="fr-FR"/>
        </w:rPr>
        <w:t>’</w:t>
      </w:r>
      <w:r w:rsidR="00A17215" w:rsidRPr="00E1372C">
        <w:rPr>
          <w:lang w:val="fr-FR"/>
        </w:rPr>
        <w:t>éducation a créé la Direction de l</w:t>
      </w:r>
      <w:r w:rsidR="00731F09" w:rsidRPr="00E1372C">
        <w:rPr>
          <w:lang w:val="fr-FR"/>
        </w:rPr>
        <w:t>’</w:t>
      </w:r>
      <w:r w:rsidR="00A17215" w:rsidRPr="00E1372C">
        <w:rPr>
          <w:lang w:val="fr-FR"/>
        </w:rPr>
        <w:t>enseignement pour adultes et de la formation continue afin de répondre aux besoins éducatifs des adultes et des jeunes non scolarisés</w:t>
      </w:r>
      <w:r w:rsidR="002D6991" w:rsidRPr="00E1372C">
        <w:rPr>
          <w:lang w:val="fr-FR" w:bidi="en-US"/>
        </w:rPr>
        <w:t xml:space="preserve">. </w:t>
      </w:r>
      <w:bookmarkStart w:id="18" w:name="_Toc13632606"/>
    </w:p>
    <w:p w:rsidR="002D6991" w:rsidRPr="00E1372C" w:rsidRDefault="007E29CB" w:rsidP="007E29CB">
      <w:pPr>
        <w:pStyle w:val="H1G"/>
        <w:rPr>
          <w:lang w:val="fr-FR"/>
        </w:rPr>
      </w:pPr>
      <w:r w:rsidRPr="00E1372C">
        <w:rPr>
          <w:lang w:val="fr-FR"/>
        </w:rPr>
        <w:tab/>
      </w:r>
      <w:r w:rsidRPr="00E1372C">
        <w:rPr>
          <w:lang w:val="fr-FR"/>
        </w:rPr>
        <w:tab/>
      </w:r>
      <w:r w:rsidR="002D6991" w:rsidRPr="00E1372C">
        <w:rPr>
          <w:lang w:val="fr-FR"/>
        </w:rPr>
        <w:t>Article</w:t>
      </w:r>
      <w:r w:rsidR="00A17215" w:rsidRPr="00E1372C">
        <w:rPr>
          <w:lang w:val="fr-FR"/>
        </w:rPr>
        <w:t> </w:t>
      </w:r>
      <w:r w:rsidR="002D6991" w:rsidRPr="00E1372C">
        <w:rPr>
          <w:lang w:val="fr-FR"/>
        </w:rPr>
        <w:t>14</w:t>
      </w:r>
      <w:bookmarkEnd w:id="18"/>
      <w:r w:rsidR="002D6991" w:rsidRPr="00E1372C">
        <w:rPr>
          <w:lang w:val="fr-FR"/>
        </w:rPr>
        <w:t xml:space="preserve"> </w:t>
      </w:r>
    </w:p>
    <w:p w:rsidR="002D6991" w:rsidRPr="00E1372C" w:rsidRDefault="007A1757" w:rsidP="007A1757">
      <w:pPr>
        <w:pStyle w:val="SingleTxtG"/>
        <w:rPr>
          <w:lang w:val="fr-FR" w:bidi="en-US"/>
        </w:rPr>
      </w:pPr>
      <w:r w:rsidRPr="00E1372C">
        <w:rPr>
          <w:lang w:val="fr-FR" w:bidi="en-US"/>
        </w:rPr>
        <w:t>415.</w:t>
      </w:r>
      <w:r w:rsidRPr="00E1372C">
        <w:rPr>
          <w:lang w:val="fr-FR" w:bidi="en-US"/>
        </w:rPr>
        <w:tab/>
      </w:r>
      <w:r w:rsidR="00A17215" w:rsidRPr="00E1372C">
        <w:rPr>
          <w:lang w:val="fr-FR" w:bidi="en-US"/>
        </w:rPr>
        <w:t>La Namibie ne comptant aucun autre territoire placé sous sa juridiction, l</w:t>
      </w:r>
      <w:r w:rsidR="00731F09" w:rsidRPr="00E1372C">
        <w:rPr>
          <w:lang w:val="fr-FR" w:bidi="en-US"/>
        </w:rPr>
        <w:t>’</w:t>
      </w:r>
      <w:r w:rsidR="00A17215" w:rsidRPr="00E1372C">
        <w:rPr>
          <w:lang w:val="fr-FR" w:bidi="en-US"/>
        </w:rPr>
        <w:t>article 14 ne s</w:t>
      </w:r>
      <w:r w:rsidR="00731F09" w:rsidRPr="00E1372C">
        <w:rPr>
          <w:lang w:val="fr-FR" w:bidi="en-US"/>
        </w:rPr>
        <w:t>’</w:t>
      </w:r>
      <w:r w:rsidR="00A17215" w:rsidRPr="00E1372C">
        <w:rPr>
          <w:lang w:val="fr-FR" w:bidi="en-US"/>
        </w:rPr>
        <w:t>applique pas dès lors que le pays ne consiste qu</w:t>
      </w:r>
      <w:r w:rsidR="00731F09" w:rsidRPr="00E1372C">
        <w:rPr>
          <w:lang w:val="fr-FR" w:bidi="en-US"/>
        </w:rPr>
        <w:t>’</w:t>
      </w:r>
      <w:r w:rsidR="00A17215" w:rsidRPr="00E1372C">
        <w:rPr>
          <w:lang w:val="fr-FR" w:bidi="en-US"/>
        </w:rPr>
        <w:t>en un seul territoire doté d</w:t>
      </w:r>
      <w:r w:rsidR="00731F09" w:rsidRPr="00E1372C">
        <w:rPr>
          <w:lang w:val="fr-FR" w:bidi="en-US"/>
        </w:rPr>
        <w:t>’</w:t>
      </w:r>
      <w:r w:rsidR="00A17215" w:rsidRPr="00E1372C">
        <w:rPr>
          <w:lang w:val="fr-FR" w:bidi="en-US"/>
        </w:rPr>
        <w:t>un gouvernement unitaire.</w:t>
      </w:r>
      <w:bookmarkStart w:id="19" w:name="_Toc13632607"/>
    </w:p>
    <w:p w:rsidR="002D6991" w:rsidRPr="00E1372C" w:rsidRDefault="007E29CB" w:rsidP="007E29CB">
      <w:pPr>
        <w:pStyle w:val="H1G"/>
        <w:rPr>
          <w:lang w:val="fr-FR"/>
        </w:rPr>
      </w:pPr>
      <w:r w:rsidRPr="00E1372C">
        <w:rPr>
          <w:lang w:val="fr-FR"/>
        </w:rPr>
        <w:tab/>
      </w:r>
      <w:r w:rsidRPr="00E1372C">
        <w:rPr>
          <w:lang w:val="fr-FR"/>
        </w:rPr>
        <w:tab/>
      </w:r>
      <w:r w:rsidR="002D6991" w:rsidRPr="00E1372C">
        <w:rPr>
          <w:lang w:val="fr-FR"/>
        </w:rPr>
        <w:t>Article</w:t>
      </w:r>
      <w:r w:rsidR="00A17215" w:rsidRPr="00E1372C">
        <w:rPr>
          <w:lang w:val="fr-FR"/>
        </w:rPr>
        <w:t> </w:t>
      </w:r>
      <w:r w:rsidR="002D6991" w:rsidRPr="00E1372C">
        <w:rPr>
          <w:lang w:val="fr-FR"/>
        </w:rPr>
        <w:t>15</w:t>
      </w:r>
      <w:bookmarkEnd w:id="19"/>
      <w:r w:rsidRPr="00E1372C">
        <w:rPr>
          <w:lang w:val="fr-FR"/>
        </w:rPr>
        <w:br/>
        <w:t xml:space="preserve">Droit </w:t>
      </w:r>
      <w:r w:rsidR="00A17215" w:rsidRPr="00E1372C">
        <w:rPr>
          <w:lang w:val="fr-FR"/>
        </w:rPr>
        <w:t>à la culture</w:t>
      </w:r>
    </w:p>
    <w:p w:rsidR="002D6991" w:rsidRPr="00E1372C" w:rsidRDefault="007A1757" w:rsidP="007A1757">
      <w:pPr>
        <w:pStyle w:val="SingleTxtG"/>
        <w:rPr>
          <w:lang w:val="fr-FR" w:bidi="en-US"/>
        </w:rPr>
      </w:pPr>
      <w:r w:rsidRPr="00E1372C">
        <w:rPr>
          <w:lang w:val="fr-FR" w:bidi="en-US"/>
        </w:rPr>
        <w:t>416.</w:t>
      </w:r>
      <w:r w:rsidRPr="00E1372C">
        <w:rPr>
          <w:lang w:val="fr-FR" w:bidi="en-US"/>
        </w:rPr>
        <w:tab/>
      </w:r>
      <w:r w:rsidR="00911276" w:rsidRPr="00E1372C">
        <w:rPr>
          <w:lang w:val="fr-FR"/>
        </w:rPr>
        <w:t>Aux termes de l</w:t>
      </w:r>
      <w:r w:rsidR="00731F09" w:rsidRPr="00E1372C">
        <w:rPr>
          <w:lang w:val="fr-FR"/>
        </w:rPr>
        <w:t>’</w:t>
      </w:r>
      <w:r w:rsidR="00911276" w:rsidRPr="00E1372C">
        <w:rPr>
          <w:lang w:val="fr-FR"/>
        </w:rPr>
        <w:t>article 19 de la Constitution</w:t>
      </w:r>
      <w:r w:rsidR="00AE017E" w:rsidRPr="00E1372C">
        <w:rPr>
          <w:lang w:val="fr-FR"/>
        </w:rPr>
        <w:t>:</w:t>
      </w:r>
    </w:p>
    <w:p w:rsidR="002D6991" w:rsidRPr="00E1372C" w:rsidRDefault="00AE017E" w:rsidP="002D6991">
      <w:pPr>
        <w:pStyle w:val="SingleTxtG"/>
        <w:ind w:left="1701"/>
        <w:rPr>
          <w:lang w:val="fr-FR" w:bidi="en-US"/>
        </w:rPr>
      </w:pPr>
      <w:r w:rsidRPr="00E1372C">
        <w:rPr>
          <w:lang w:val="fr-FR" w:bidi="en-US"/>
        </w:rPr>
        <w:t>«</w:t>
      </w:r>
      <w:r w:rsidR="00911276" w:rsidRPr="00E1372C">
        <w:rPr>
          <w:lang w:val="fr-FR"/>
        </w:rPr>
        <w:t>Chacun a le droit de pratiquer, de manifester, d</w:t>
      </w:r>
      <w:r w:rsidR="00731F09" w:rsidRPr="00E1372C">
        <w:rPr>
          <w:lang w:val="fr-FR"/>
        </w:rPr>
        <w:t>’</w:t>
      </w:r>
      <w:r w:rsidR="00911276" w:rsidRPr="00E1372C">
        <w:rPr>
          <w:lang w:val="fr-FR"/>
        </w:rPr>
        <w:t>entretenir et de promouvoir une culture, une langue, une tradition ou une religion, sous réserve des dispositions de la Constitution et à la condition que l</w:t>
      </w:r>
      <w:r w:rsidR="00731F09" w:rsidRPr="00E1372C">
        <w:rPr>
          <w:lang w:val="fr-FR"/>
        </w:rPr>
        <w:t>’</w:t>
      </w:r>
      <w:r w:rsidR="00911276" w:rsidRPr="00E1372C">
        <w:rPr>
          <w:lang w:val="fr-FR"/>
        </w:rPr>
        <w:t>exercice des droits protégés en vertu du présent article ne porte pas atteinte aux droits d</w:t>
      </w:r>
      <w:r w:rsidR="00731F09" w:rsidRPr="00E1372C">
        <w:rPr>
          <w:lang w:val="fr-FR"/>
        </w:rPr>
        <w:t>’</w:t>
      </w:r>
      <w:r w:rsidR="00911276" w:rsidRPr="00E1372C">
        <w:rPr>
          <w:lang w:val="fr-FR"/>
        </w:rPr>
        <w:t>autrui ou à l</w:t>
      </w:r>
      <w:r w:rsidR="00731F09" w:rsidRPr="00E1372C">
        <w:rPr>
          <w:lang w:val="fr-FR"/>
        </w:rPr>
        <w:t>’</w:t>
      </w:r>
      <w:r w:rsidR="00911276" w:rsidRPr="00E1372C">
        <w:rPr>
          <w:lang w:val="fr-FR"/>
        </w:rPr>
        <w:t>intérêt national</w:t>
      </w:r>
      <w:r w:rsidR="002D6991" w:rsidRPr="00E1372C">
        <w:rPr>
          <w:lang w:val="fr-FR" w:bidi="en-US"/>
        </w:rPr>
        <w:t>.</w:t>
      </w:r>
      <w:r w:rsidRPr="00E1372C">
        <w:rPr>
          <w:lang w:val="fr-FR" w:bidi="en-US"/>
        </w:rPr>
        <w:t>»</w:t>
      </w:r>
    </w:p>
    <w:p w:rsidR="00911276" w:rsidRPr="00E1372C" w:rsidRDefault="007A1757" w:rsidP="007A1757">
      <w:pPr>
        <w:pStyle w:val="SingleTxtG"/>
        <w:rPr>
          <w:lang w:val="fr-FR" w:bidi="en-US"/>
        </w:rPr>
      </w:pPr>
      <w:r w:rsidRPr="00E1372C">
        <w:rPr>
          <w:lang w:val="fr-FR" w:bidi="en-US"/>
        </w:rPr>
        <w:t>417.</w:t>
      </w:r>
      <w:r w:rsidRPr="00E1372C">
        <w:rPr>
          <w:lang w:val="fr-FR" w:bidi="en-US"/>
        </w:rPr>
        <w:tab/>
      </w:r>
      <w:r w:rsidR="00950A12" w:rsidRPr="00E1372C">
        <w:rPr>
          <w:lang w:val="fr-FR" w:bidi="en-US"/>
        </w:rPr>
        <w:t>Le Ministère de la justice, du s</w:t>
      </w:r>
      <w:r w:rsidR="00911276" w:rsidRPr="00E1372C">
        <w:rPr>
          <w:lang w:val="fr-FR" w:bidi="en-US"/>
        </w:rPr>
        <w:t>ervice national, des sports et de la culture a été chargé par la Direction des arts et de la culture de rédiger le contenu de l</w:t>
      </w:r>
      <w:r w:rsidR="00731F09" w:rsidRPr="00E1372C">
        <w:rPr>
          <w:lang w:val="fr-FR" w:bidi="en-US"/>
        </w:rPr>
        <w:t>’</w:t>
      </w:r>
      <w:r w:rsidR="00911276" w:rsidRPr="00E1372C">
        <w:rPr>
          <w:lang w:val="fr-FR" w:bidi="en-US"/>
        </w:rPr>
        <w:t>article 19 en termes pratiques. De nombreux travaux constructifs ont été accomplis à cet égard pour promouvoir la culture et l</w:t>
      </w:r>
      <w:r w:rsidR="00731F09" w:rsidRPr="00E1372C">
        <w:rPr>
          <w:lang w:val="fr-FR" w:bidi="en-US"/>
        </w:rPr>
        <w:t>’</w:t>
      </w:r>
      <w:r w:rsidR="00911276" w:rsidRPr="00E1372C">
        <w:rPr>
          <w:lang w:val="fr-FR" w:bidi="en-US"/>
        </w:rPr>
        <w:t>unité nationale; en outre, une attention accrue est vouée aux aspects communs nationaux et internationaux de la culture en Namibie.</w:t>
      </w:r>
    </w:p>
    <w:p w:rsidR="00911276" w:rsidRPr="00E1372C" w:rsidRDefault="007A1757" w:rsidP="007A1757">
      <w:pPr>
        <w:pStyle w:val="SingleTxtG"/>
        <w:rPr>
          <w:lang w:val="fr-FR" w:bidi="en-US"/>
        </w:rPr>
      </w:pPr>
      <w:r w:rsidRPr="00E1372C">
        <w:rPr>
          <w:lang w:val="fr-FR" w:bidi="en-US"/>
        </w:rPr>
        <w:t>418.</w:t>
      </w:r>
      <w:r w:rsidRPr="00E1372C">
        <w:rPr>
          <w:lang w:val="fr-FR" w:bidi="en-US"/>
        </w:rPr>
        <w:tab/>
      </w:r>
      <w:r w:rsidR="00911276" w:rsidRPr="00E1372C">
        <w:rPr>
          <w:lang w:val="fr-FR" w:bidi="en-US"/>
        </w:rPr>
        <w:t>La reconnaissance du patrimoine diversifié en Namibie atteste les apports de chacune des communautés qui peuvent servir à favoriser la réconciliation et l</w:t>
      </w:r>
      <w:r w:rsidR="00731F09" w:rsidRPr="00E1372C">
        <w:rPr>
          <w:lang w:val="fr-FR" w:bidi="en-US"/>
        </w:rPr>
        <w:t>’</w:t>
      </w:r>
      <w:r w:rsidR="00911276" w:rsidRPr="00E1372C">
        <w:rPr>
          <w:lang w:val="fr-FR" w:bidi="en-US"/>
        </w:rPr>
        <w:t>édification de la nation. La Direction des arts et de la culture a le mandat et le devoir de mettre le contenu de l</w:t>
      </w:r>
      <w:r w:rsidR="00731F09" w:rsidRPr="00E1372C">
        <w:rPr>
          <w:lang w:val="fr-FR" w:bidi="en-US"/>
        </w:rPr>
        <w:t>’</w:t>
      </w:r>
      <w:r w:rsidR="00911276" w:rsidRPr="00E1372C">
        <w:rPr>
          <w:lang w:val="fr-FR" w:bidi="en-US"/>
        </w:rPr>
        <w:t>article 19 en pratique pour éliminer le sentiment d</w:t>
      </w:r>
      <w:r w:rsidR="00731F09" w:rsidRPr="00E1372C">
        <w:rPr>
          <w:lang w:val="fr-FR" w:bidi="en-US"/>
        </w:rPr>
        <w:t>’</w:t>
      </w:r>
      <w:r w:rsidR="00911276" w:rsidRPr="00E1372C">
        <w:rPr>
          <w:lang w:val="fr-FR" w:bidi="en-US"/>
        </w:rPr>
        <w:t>infériorité ou de supériorité parmi les communautés en Namibie.</w:t>
      </w:r>
    </w:p>
    <w:p w:rsidR="002D6991" w:rsidRPr="00E1372C" w:rsidRDefault="007A1757" w:rsidP="007A1757">
      <w:pPr>
        <w:pStyle w:val="SingleTxtG"/>
        <w:rPr>
          <w:lang w:val="fr-FR" w:bidi="en-US"/>
        </w:rPr>
      </w:pPr>
      <w:r w:rsidRPr="00E1372C">
        <w:rPr>
          <w:lang w:val="fr-FR" w:bidi="en-US"/>
        </w:rPr>
        <w:t>419.</w:t>
      </w:r>
      <w:r w:rsidRPr="00E1372C">
        <w:rPr>
          <w:lang w:val="fr-FR" w:bidi="en-US"/>
        </w:rPr>
        <w:tab/>
      </w:r>
      <w:r w:rsidR="00911276" w:rsidRPr="00E1372C">
        <w:rPr>
          <w:lang w:val="fr-FR" w:bidi="en-US"/>
        </w:rPr>
        <w:t>Le patrimoine des communautés défavorisées bénéficie d</w:t>
      </w:r>
      <w:r w:rsidR="00731F09" w:rsidRPr="00E1372C">
        <w:rPr>
          <w:lang w:val="fr-FR" w:bidi="en-US"/>
        </w:rPr>
        <w:t>’</w:t>
      </w:r>
      <w:r w:rsidR="00911276" w:rsidRPr="00E1372C">
        <w:rPr>
          <w:lang w:val="fr-FR" w:bidi="en-US"/>
        </w:rPr>
        <w:t>une reconnaissance particulière en vue de restaurer leur sens de la dignité humaine.</w:t>
      </w:r>
    </w:p>
    <w:p w:rsidR="002D6991" w:rsidRPr="00E1372C" w:rsidRDefault="007A1757" w:rsidP="007A1757">
      <w:pPr>
        <w:pStyle w:val="SingleTxtG"/>
        <w:rPr>
          <w:lang w:val="fr-FR" w:bidi="en-US"/>
        </w:rPr>
      </w:pPr>
      <w:r w:rsidRPr="00E1372C">
        <w:rPr>
          <w:lang w:val="fr-FR" w:bidi="en-US"/>
        </w:rPr>
        <w:t>420.</w:t>
      </w:r>
      <w:r w:rsidRPr="00E1372C">
        <w:rPr>
          <w:lang w:val="fr-FR" w:bidi="en-US"/>
        </w:rPr>
        <w:tab/>
      </w:r>
      <w:r w:rsidR="00911276" w:rsidRPr="00E1372C">
        <w:rPr>
          <w:lang w:val="fr-FR" w:bidi="en-US"/>
        </w:rPr>
        <w:t>En outre, la Namibie compte les bibliothèques nationales et communautaires suivantes qui fournissent des services liés à l</w:t>
      </w:r>
      <w:r w:rsidR="00731F09" w:rsidRPr="00E1372C">
        <w:rPr>
          <w:lang w:val="fr-FR" w:bidi="en-US"/>
        </w:rPr>
        <w:t>’</w:t>
      </w:r>
      <w:r w:rsidR="00911276" w:rsidRPr="00E1372C">
        <w:rPr>
          <w:lang w:val="fr-FR" w:bidi="en-US"/>
        </w:rPr>
        <w:t>information et la recherche</w:t>
      </w:r>
      <w:r w:rsidR="00AE017E" w:rsidRPr="00E1372C">
        <w:rPr>
          <w:lang w:val="fr-FR" w:bidi="en-US"/>
        </w:rPr>
        <w:t>:</w:t>
      </w:r>
      <w:r w:rsidR="002D6991" w:rsidRPr="00E1372C">
        <w:rPr>
          <w:lang w:val="fr-FR" w:bidi="en-US"/>
        </w:rPr>
        <w:t xml:space="preserve"> </w:t>
      </w:r>
    </w:p>
    <w:p w:rsidR="002D6991" w:rsidRPr="00E1372C" w:rsidRDefault="002D6991" w:rsidP="00CE2771">
      <w:pPr>
        <w:pStyle w:val="Bullet1G"/>
      </w:pPr>
      <w:r w:rsidRPr="00E1372C">
        <w:t>Services</w:t>
      </w:r>
      <w:r w:rsidR="00911276" w:rsidRPr="00E1372C">
        <w:t xml:space="preserve"> de la bibliothèque nationale</w:t>
      </w:r>
      <w:r w:rsidRPr="00E1372C">
        <w:t>;</w:t>
      </w:r>
    </w:p>
    <w:p w:rsidR="002D6991" w:rsidRPr="00E1372C" w:rsidRDefault="002D6991" w:rsidP="00CE2771">
      <w:pPr>
        <w:pStyle w:val="Bullet1G"/>
      </w:pPr>
      <w:r w:rsidRPr="00E1372C">
        <w:t>Services</w:t>
      </w:r>
      <w:r w:rsidR="00911276" w:rsidRPr="00E1372C">
        <w:t xml:space="preserve"> des bibliothèques ministérielles</w:t>
      </w:r>
      <w:r w:rsidRPr="00E1372C">
        <w:t>;</w:t>
      </w:r>
    </w:p>
    <w:p w:rsidR="002D6991" w:rsidRPr="00E1372C" w:rsidRDefault="002D6991" w:rsidP="00CE2771">
      <w:pPr>
        <w:pStyle w:val="Bullet1G"/>
      </w:pPr>
      <w:r w:rsidRPr="00E1372C">
        <w:t>Services</w:t>
      </w:r>
      <w:r w:rsidR="00911276" w:rsidRPr="00E1372C">
        <w:t xml:space="preserve"> des bibliothèques scolaires</w:t>
      </w:r>
      <w:r w:rsidRPr="00E1372C">
        <w:t>;</w:t>
      </w:r>
    </w:p>
    <w:p w:rsidR="002D6991" w:rsidRPr="00E1372C" w:rsidRDefault="002D6991" w:rsidP="00CE2771">
      <w:pPr>
        <w:pStyle w:val="Bullet1G"/>
      </w:pPr>
      <w:r w:rsidRPr="00E1372C">
        <w:t>Services</w:t>
      </w:r>
      <w:r w:rsidR="00911276" w:rsidRPr="00E1372C">
        <w:t xml:space="preserve"> des bibliothèques publiques</w:t>
      </w:r>
      <w:r w:rsidRPr="00E1372C">
        <w:t>;</w:t>
      </w:r>
    </w:p>
    <w:p w:rsidR="002D6991" w:rsidRPr="00E1372C" w:rsidRDefault="002D6991" w:rsidP="00CE2771">
      <w:pPr>
        <w:pStyle w:val="Bullet1G"/>
      </w:pPr>
      <w:r w:rsidRPr="00E1372C">
        <w:t>Archives</w:t>
      </w:r>
      <w:r w:rsidR="00911276" w:rsidRPr="00E1372C">
        <w:t xml:space="preserve"> nationales</w:t>
      </w:r>
      <w:r w:rsidRPr="00E1372C">
        <w:t>;</w:t>
      </w:r>
    </w:p>
    <w:p w:rsidR="002D6991" w:rsidRPr="00E1372C" w:rsidRDefault="00911276" w:rsidP="00CE2771">
      <w:pPr>
        <w:pStyle w:val="Bullet1G"/>
      </w:pPr>
      <w:r w:rsidRPr="00E1372C">
        <w:t>Centres de formation professionnelle</w:t>
      </w:r>
      <w:r w:rsidR="002D6991" w:rsidRPr="00E1372C">
        <w:t>;</w:t>
      </w:r>
    </w:p>
    <w:p w:rsidR="002D6991" w:rsidRPr="00E1372C" w:rsidRDefault="00911276" w:rsidP="00CE2771">
      <w:pPr>
        <w:pStyle w:val="Bullet1G"/>
      </w:pPr>
      <w:r w:rsidRPr="00E1372C">
        <w:t>Centres de documentation des enseignants</w:t>
      </w:r>
      <w:r w:rsidR="002D6991" w:rsidRPr="00E1372C">
        <w:t>.</w:t>
      </w:r>
    </w:p>
    <w:p w:rsidR="002D6991" w:rsidRPr="00E1372C" w:rsidRDefault="007A1757" w:rsidP="007A1757">
      <w:pPr>
        <w:pStyle w:val="SingleTxtG"/>
        <w:rPr>
          <w:lang w:val="fr-FR" w:bidi="en-US"/>
        </w:rPr>
      </w:pPr>
      <w:r w:rsidRPr="00E1372C">
        <w:rPr>
          <w:lang w:val="fr-FR" w:bidi="en-US"/>
        </w:rPr>
        <w:t>421.</w:t>
      </w:r>
      <w:r w:rsidRPr="00E1372C">
        <w:rPr>
          <w:lang w:val="fr-FR" w:bidi="en-US"/>
        </w:rPr>
        <w:tab/>
      </w:r>
      <w:r w:rsidR="00911276" w:rsidRPr="00E1372C">
        <w:rPr>
          <w:lang w:val="fr-FR" w:bidi="en-US"/>
        </w:rPr>
        <w:t>De plus, la Namibie dispose des structures ou institutions nationales ci-après qui promeuvent et dispensent des services liés à la culture</w:t>
      </w:r>
      <w:r w:rsidR="00AE017E" w:rsidRPr="00E1372C">
        <w:rPr>
          <w:lang w:val="fr-FR" w:bidi="en-US"/>
        </w:rPr>
        <w:t>:</w:t>
      </w:r>
    </w:p>
    <w:p w:rsidR="002D6991" w:rsidRPr="00E1372C" w:rsidRDefault="00911276" w:rsidP="00CE2771">
      <w:pPr>
        <w:pStyle w:val="Bullet1G"/>
      </w:pPr>
      <w:r w:rsidRPr="00E1372C">
        <w:t>Musée national et musée mobile</w:t>
      </w:r>
      <w:r w:rsidR="002D6991" w:rsidRPr="00E1372C">
        <w:t>;</w:t>
      </w:r>
    </w:p>
    <w:p w:rsidR="002D6991" w:rsidRPr="00E1372C" w:rsidRDefault="00911276" w:rsidP="00CE2771">
      <w:pPr>
        <w:pStyle w:val="Bullet1G"/>
      </w:pPr>
      <w:r w:rsidRPr="00E1372C">
        <w:t>Théâtre</w:t>
      </w:r>
      <w:r w:rsidR="00CE4040" w:rsidRPr="00E1372C">
        <w:t xml:space="preserve"> national</w:t>
      </w:r>
      <w:r w:rsidR="002D6991" w:rsidRPr="00E1372C">
        <w:t xml:space="preserve"> (</w:t>
      </w:r>
      <w:r w:rsidR="00CE4040" w:rsidRPr="00E1372C">
        <w:t>décentralisation</w:t>
      </w:r>
      <w:r w:rsidR="002D6991" w:rsidRPr="00E1372C">
        <w:t>);</w:t>
      </w:r>
    </w:p>
    <w:p w:rsidR="002D6991" w:rsidRPr="00E1372C" w:rsidRDefault="00CE4040" w:rsidP="00CE2771">
      <w:pPr>
        <w:pStyle w:val="Bullet1G"/>
      </w:pPr>
      <w:r w:rsidRPr="00E1372C">
        <w:t>Galerie d</w:t>
      </w:r>
      <w:r w:rsidR="00731F09" w:rsidRPr="00E1372C">
        <w:t>’</w:t>
      </w:r>
      <w:r w:rsidRPr="00E1372C">
        <w:t>art nationale</w:t>
      </w:r>
      <w:r w:rsidR="002D6991" w:rsidRPr="00E1372C">
        <w:t xml:space="preserve"> (</w:t>
      </w:r>
      <w:r w:rsidR="00DF454E" w:rsidRPr="00E1372C">
        <w:t>patrimoine</w:t>
      </w:r>
      <w:r w:rsidR="002D6991" w:rsidRPr="00E1372C">
        <w:t>);</w:t>
      </w:r>
    </w:p>
    <w:p w:rsidR="002D6991" w:rsidRPr="00E1372C" w:rsidRDefault="00DF454E" w:rsidP="00CE2771">
      <w:pPr>
        <w:pStyle w:val="Bullet1G"/>
      </w:pPr>
      <w:r w:rsidRPr="00E1372C">
        <w:t>Conseil national des monuments</w:t>
      </w:r>
      <w:r w:rsidR="002D6991" w:rsidRPr="00E1372C">
        <w:t xml:space="preserve"> (sites</w:t>
      </w:r>
      <w:r w:rsidRPr="00E1372C">
        <w:t xml:space="preserve"> historiques</w:t>
      </w:r>
      <w:r w:rsidR="002D6991" w:rsidRPr="00E1372C">
        <w:t>);</w:t>
      </w:r>
    </w:p>
    <w:p w:rsidR="002D6991" w:rsidRPr="00E1372C" w:rsidRDefault="002D6991" w:rsidP="00CE2771">
      <w:pPr>
        <w:pStyle w:val="Bullet1G"/>
      </w:pPr>
      <w:r w:rsidRPr="00E1372C">
        <w:t>Promotion</w:t>
      </w:r>
      <w:r w:rsidR="00DF454E" w:rsidRPr="00E1372C">
        <w:t xml:space="preserve"> de la culture</w:t>
      </w:r>
      <w:r w:rsidRPr="00E1372C">
        <w:t xml:space="preserve"> – (</w:t>
      </w:r>
      <w:r w:rsidR="00DF454E" w:rsidRPr="00E1372C">
        <w:t>programmes régionaux et nationaux</w:t>
      </w:r>
      <w:r w:rsidRPr="00E1372C">
        <w:t>);</w:t>
      </w:r>
    </w:p>
    <w:p w:rsidR="002D6991" w:rsidRPr="00E1372C" w:rsidRDefault="002D6991" w:rsidP="00CE2771">
      <w:pPr>
        <w:pStyle w:val="Bullet1G"/>
      </w:pPr>
      <w:r w:rsidRPr="00E1372C">
        <w:t xml:space="preserve">Association </w:t>
      </w:r>
      <w:r w:rsidR="00DF454E" w:rsidRPr="00E1372C">
        <w:t xml:space="preserve">des musées </w:t>
      </w:r>
      <w:r w:rsidRPr="00E1372C">
        <w:t>(</w:t>
      </w:r>
      <w:r w:rsidR="00DF454E" w:rsidRPr="00E1372C">
        <w:t>réseau national des musées communautaires et des musées privés</w:t>
      </w:r>
      <w:r w:rsidRPr="00E1372C">
        <w:t>);</w:t>
      </w:r>
    </w:p>
    <w:p w:rsidR="002D6991" w:rsidRPr="00E1372C" w:rsidRDefault="00DF454E" w:rsidP="00CE2771">
      <w:pPr>
        <w:pStyle w:val="Bullet1G"/>
      </w:pPr>
      <w:r w:rsidRPr="00E1372C">
        <w:t>École des arts</w:t>
      </w:r>
      <w:r w:rsidR="002D6991" w:rsidRPr="00E1372C">
        <w:t xml:space="preserve"> (</w:t>
      </w:r>
      <w:r w:rsidRPr="00E1372C">
        <w:t>programmes locaux et nationaux</w:t>
      </w:r>
      <w:r w:rsidR="002D6991" w:rsidRPr="00E1372C">
        <w:t>);</w:t>
      </w:r>
    </w:p>
    <w:p w:rsidR="002D6991" w:rsidRPr="00E1372C" w:rsidRDefault="002D6991" w:rsidP="00CE2771">
      <w:pPr>
        <w:pStyle w:val="Bullet1G"/>
      </w:pPr>
      <w:r w:rsidRPr="00E1372C">
        <w:t>Choral</w:t>
      </w:r>
      <w:r w:rsidR="00DF454E" w:rsidRPr="00E1372C">
        <w:t>e nationale et chœurs des églises</w:t>
      </w:r>
      <w:r w:rsidRPr="00E1372C">
        <w:t xml:space="preserve">; </w:t>
      </w:r>
      <w:r w:rsidR="00DF454E" w:rsidRPr="00E1372C">
        <w:t>et</w:t>
      </w:r>
    </w:p>
    <w:p w:rsidR="002D6991" w:rsidRPr="00E1372C" w:rsidRDefault="00DF454E" w:rsidP="00CE2771">
      <w:pPr>
        <w:pStyle w:val="Bullet1G"/>
      </w:pPr>
      <w:r w:rsidRPr="00E1372C">
        <w:t>Réseau de formation musicale et centres satellites</w:t>
      </w:r>
      <w:r w:rsidR="002D6991" w:rsidRPr="00E1372C">
        <w:t>.</w:t>
      </w:r>
    </w:p>
    <w:p w:rsidR="002D6991" w:rsidRPr="00E1372C" w:rsidRDefault="007A1757" w:rsidP="007A1757">
      <w:pPr>
        <w:pStyle w:val="SingleTxtG"/>
        <w:rPr>
          <w:lang w:val="fr-FR" w:bidi="en-US"/>
        </w:rPr>
      </w:pPr>
      <w:r w:rsidRPr="00E1372C">
        <w:rPr>
          <w:lang w:val="fr-FR" w:bidi="en-US"/>
        </w:rPr>
        <w:t>422.</w:t>
      </w:r>
      <w:r w:rsidRPr="00E1372C">
        <w:rPr>
          <w:lang w:val="fr-FR" w:bidi="en-US"/>
        </w:rPr>
        <w:tab/>
      </w:r>
      <w:r w:rsidR="00DF454E" w:rsidRPr="00E1372C">
        <w:rPr>
          <w:lang w:val="fr-FR" w:bidi="en-US"/>
        </w:rPr>
        <w:t>Le Gouvernement et le secteur privé ont bâti les salles de cinéma et de théâtre, ainsi que des centres polyvalents suivants</w:t>
      </w:r>
      <w:r w:rsidR="00AE017E" w:rsidRPr="00E1372C">
        <w:rPr>
          <w:lang w:val="fr-FR" w:bidi="en-US"/>
        </w:rPr>
        <w:t>:</w:t>
      </w:r>
      <w:r w:rsidR="002D6991" w:rsidRPr="00E1372C">
        <w:rPr>
          <w:lang w:val="fr-FR" w:bidi="en-US"/>
        </w:rPr>
        <w:t xml:space="preserve"> </w:t>
      </w:r>
    </w:p>
    <w:p w:rsidR="002D6991" w:rsidRPr="00E1372C" w:rsidRDefault="007E29CB" w:rsidP="00CE2771">
      <w:pPr>
        <w:pStyle w:val="Bullet1G"/>
      </w:pPr>
      <w:r w:rsidRPr="00E1372C">
        <w:t xml:space="preserve">Théâtre </w:t>
      </w:r>
      <w:r w:rsidR="00DF454E" w:rsidRPr="00E1372C">
        <w:t xml:space="preserve">de </w:t>
      </w:r>
      <w:r w:rsidR="002D6991" w:rsidRPr="00E1372C">
        <w:t>Windhoek;</w:t>
      </w:r>
    </w:p>
    <w:p w:rsidR="002D6991" w:rsidRPr="00E1372C" w:rsidRDefault="007E29CB" w:rsidP="00CE2771">
      <w:pPr>
        <w:pStyle w:val="Bullet1G"/>
      </w:pPr>
      <w:r w:rsidRPr="00E1372C">
        <w:t xml:space="preserve">Trois </w:t>
      </w:r>
      <w:r w:rsidR="00DF454E" w:rsidRPr="00E1372C">
        <w:t>cinémas</w:t>
      </w:r>
      <w:r w:rsidR="002D6991" w:rsidRPr="00E1372C">
        <w:t xml:space="preserve"> </w:t>
      </w:r>
      <w:r w:rsidR="00DF454E" w:rsidRPr="00E1372C">
        <w:t>à</w:t>
      </w:r>
      <w:r w:rsidR="002D6991" w:rsidRPr="00E1372C">
        <w:t xml:space="preserve"> Windhoek;</w:t>
      </w:r>
    </w:p>
    <w:p w:rsidR="002D6991" w:rsidRPr="00E1372C" w:rsidRDefault="007E29CB" w:rsidP="00CE2771">
      <w:pPr>
        <w:pStyle w:val="Bullet1G"/>
      </w:pPr>
      <w:r w:rsidRPr="00E1372C">
        <w:t xml:space="preserve">Cinq </w:t>
      </w:r>
      <w:r w:rsidR="00DF454E" w:rsidRPr="00E1372C">
        <w:t>cinémas</w:t>
      </w:r>
      <w:r w:rsidR="002D6991" w:rsidRPr="00E1372C">
        <w:t xml:space="preserve"> </w:t>
      </w:r>
      <w:r w:rsidR="00DF454E" w:rsidRPr="00E1372C">
        <w:t>dans trois régions</w:t>
      </w:r>
      <w:r w:rsidR="002D6991" w:rsidRPr="00E1372C">
        <w:t>;</w:t>
      </w:r>
    </w:p>
    <w:p w:rsidR="002D6991" w:rsidRPr="00E1372C" w:rsidRDefault="007E29CB" w:rsidP="00CE2771">
      <w:pPr>
        <w:pStyle w:val="Bullet1G"/>
      </w:pPr>
      <w:r w:rsidRPr="00E1372C">
        <w:t xml:space="preserve">Quelque </w:t>
      </w:r>
      <w:r w:rsidR="002D6991" w:rsidRPr="00E1372C">
        <w:t>700</w:t>
      </w:r>
      <w:r w:rsidR="00DF454E" w:rsidRPr="00E1372C">
        <w:t> salles de classe à des fins polyvalentes</w:t>
      </w:r>
      <w:r w:rsidR="002D6991" w:rsidRPr="00E1372C">
        <w:t>;</w:t>
      </w:r>
    </w:p>
    <w:p w:rsidR="002D6991" w:rsidRPr="00E1372C" w:rsidRDefault="007E29CB" w:rsidP="00CE2771">
      <w:pPr>
        <w:pStyle w:val="Bullet1G"/>
      </w:pPr>
      <w:r w:rsidRPr="00E1372C">
        <w:t xml:space="preserve">Vaste </w:t>
      </w:r>
      <w:r w:rsidR="00DF454E" w:rsidRPr="00E1372C">
        <w:t>réseau des arts et métiers communautaires soutenu par le Ministère</w:t>
      </w:r>
      <w:r w:rsidR="002D6991" w:rsidRPr="00E1372C">
        <w:t>;</w:t>
      </w:r>
    </w:p>
    <w:p w:rsidR="002D6991" w:rsidRPr="00E1372C" w:rsidRDefault="007E29CB" w:rsidP="00CE2771">
      <w:pPr>
        <w:pStyle w:val="Bullet1G"/>
      </w:pPr>
      <w:r w:rsidRPr="00E1372C">
        <w:t xml:space="preserve">Programmes </w:t>
      </w:r>
      <w:r w:rsidR="00DF454E" w:rsidRPr="00E1372C">
        <w:t>de développement de l</w:t>
      </w:r>
      <w:r w:rsidR="00731F09" w:rsidRPr="00E1372C">
        <w:t>’</w:t>
      </w:r>
      <w:r w:rsidR="00DF454E" w:rsidRPr="00E1372C">
        <w:t>artisanat établis par plusieurs ONG – par exemple</w:t>
      </w:r>
      <w:r w:rsidR="00950A12" w:rsidRPr="00E1372C">
        <w:t>,</w:t>
      </w:r>
      <w:r w:rsidR="00DF454E" w:rsidRPr="00E1372C">
        <w:t xml:space="preserve"> Fondation </w:t>
      </w:r>
      <w:r w:rsidR="002D6991" w:rsidRPr="00E1372C">
        <w:t>Rossing</w:t>
      </w:r>
      <w:r w:rsidR="00DF454E" w:rsidRPr="00E1372C">
        <w:t>.</w:t>
      </w:r>
    </w:p>
    <w:p w:rsidR="002D6991" w:rsidRPr="00E1372C" w:rsidRDefault="007A1757" w:rsidP="007A1757">
      <w:pPr>
        <w:pStyle w:val="SingleTxtG"/>
        <w:rPr>
          <w:lang w:val="fr-FR" w:bidi="en-US"/>
        </w:rPr>
      </w:pPr>
      <w:r w:rsidRPr="00E1372C">
        <w:rPr>
          <w:lang w:val="fr-FR" w:bidi="en-US"/>
        </w:rPr>
        <w:t>423.</w:t>
      </w:r>
      <w:r w:rsidRPr="00E1372C">
        <w:rPr>
          <w:lang w:val="fr-FR" w:bidi="en-US"/>
        </w:rPr>
        <w:tab/>
      </w:r>
      <w:r w:rsidR="00DF454E" w:rsidRPr="00E1372C">
        <w:rPr>
          <w:lang w:val="fr-FR" w:bidi="en-US"/>
        </w:rPr>
        <w:t>Les activités culturelles ci-dessous se déroulent chaque année dans le pays</w:t>
      </w:r>
      <w:r w:rsidR="00AE017E" w:rsidRPr="00E1372C">
        <w:rPr>
          <w:lang w:val="fr-FR" w:bidi="en-US"/>
        </w:rPr>
        <w:t>:</w:t>
      </w:r>
    </w:p>
    <w:p w:rsidR="002D6991" w:rsidRPr="00E1372C" w:rsidRDefault="007E29CB" w:rsidP="00CE2771">
      <w:pPr>
        <w:pStyle w:val="Bullet1G"/>
      </w:pPr>
      <w:r w:rsidRPr="00E1372C">
        <w:t xml:space="preserve">Festivals </w:t>
      </w:r>
      <w:r w:rsidR="00DF454E" w:rsidRPr="00E1372C">
        <w:t>culturels régionaux</w:t>
      </w:r>
      <w:r w:rsidR="002D6991" w:rsidRPr="00E1372C">
        <w:t>;</w:t>
      </w:r>
    </w:p>
    <w:p w:rsidR="002D6991" w:rsidRPr="00E1372C" w:rsidRDefault="007E29CB" w:rsidP="00CE2771">
      <w:pPr>
        <w:pStyle w:val="Bullet1G"/>
      </w:pPr>
      <w:r w:rsidRPr="00E1372C">
        <w:t xml:space="preserve">Festival </w:t>
      </w:r>
      <w:r w:rsidR="00DF454E" w:rsidRPr="00E1372C">
        <w:t>culturel national</w:t>
      </w:r>
      <w:r w:rsidR="002D6991" w:rsidRPr="00E1372C">
        <w:t>;</w:t>
      </w:r>
    </w:p>
    <w:p w:rsidR="002D6991" w:rsidRPr="00E1372C" w:rsidRDefault="007E29CB" w:rsidP="00CE2771">
      <w:pPr>
        <w:pStyle w:val="Bullet1G"/>
      </w:pPr>
      <w:r w:rsidRPr="00E1372C">
        <w:t xml:space="preserve">Concours </w:t>
      </w:r>
      <w:r w:rsidR="00DF454E" w:rsidRPr="00E1372C">
        <w:t xml:space="preserve">de rédaction et concours de chants aux échelons régional et </w:t>
      </w:r>
      <w:r w:rsidR="00B86696" w:rsidRPr="00E1372C">
        <w:t>national</w:t>
      </w:r>
      <w:r w:rsidR="002D6991" w:rsidRPr="00E1372C">
        <w:t>.</w:t>
      </w:r>
    </w:p>
    <w:p w:rsidR="002D6991" w:rsidRPr="00E1372C" w:rsidRDefault="002D6991" w:rsidP="007E29CB">
      <w:pPr>
        <w:pStyle w:val="H23G"/>
        <w:rPr>
          <w:lang w:val="fr-FR" w:bidi="en-US"/>
        </w:rPr>
      </w:pPr>
      <w:r w:rsidRPr="00E1372C">
        <w:rPr>
          <w:lang w:val="fr-FR" w:bidi="en-US"/>
        </w:rPr>
        <w:tab/>
      </w:r>
      <w:r w:rsidRPr="00E1372C">
        <w:rPr>
          <w:lang w:val="fr-FR" w:bidi="en-US"/>
        </w:rPr>
        <w:tab/>
        <w:t>N</w:t>
      </w:r>
      <w:r w:rsidR="00B86696" w:rsidRPr="00E1372C">
        <w:rPr>
          <w:lang w:val="fr-FR" w:bidi="en-US"/>
        </w:rPr>
        <w:t>ouveaux projets de lois et autres programme</w:t>
      </w:r>
      <w:r w:rsidRPr="00E1372C">
        <w:rPr>
          <w:lang w:val="fr-FR" w:bidi="en-US"/>
        </w:rPr>
        <w:t xml:space="preserve"> </w:t>
      </w:r>
    </w:p>
    <w:p w:rsidR="00B86696" w:rsidRPr="00E1372C" w:rsidRDefault="007A1757" w:rsidP="007A1757">
      <w:pPr>
        <w:pStyle w:val="SingleTxtG"/>
        <w:rPr>
          <w:lang w:val="fr-FR" w:bidi="en-US"/>
        </w:rPr>
      </w:pPr>
      <w:r w:rsidRPr="00E1372C">
        <w:rPr>
          <w:lang w:val="fr-FR" w:bidi="en-US"/>
        </w:rPr>
        <w:t>424.</w:t>
      </w:r>
      <w:r w:rsidRPr="00E1372C">
        <w:rPr>
          <w:lang w:val="fr-FR" w:bidi="en-US"/>
        </w:rPr>
        <w:tab/>
      </w:r>
      <w:r w:rsidR="00B86696" w:rsidRPr="00E1372C">
        <w:rPr>
          <w:lang w:val="fr-FR" w:bidi="en-US"/>
        </w:rPr>
        <w:t>Le projet de loi sur le patrimoine et celui relatif à l</w:t>
      </w:r>
      <w:r w:rsidR="00731F09" w:rsidRPr="00E1372C">
        <w:rPr>
          <w:lang w:val="fr-FR" w:bidi="en-US"/>
        </w:rPr>
        <w:t>’</w:t>
      </w:r>
      <w:r w:rsidR="00B86696" w:rsidRPr="00E1372C">
        <w:rPr>
          <w:lang w:val="fr-FR" w:bidi="en-US"/>
        </w:rPr>
        <w:t>éducation et la culture, qui contiendront des questions d</w:t>
      </w:r>
      <w:r w:rsidR="00731F09" w:rsidRPr="00E1372C">
        <w:rPr>
          <w:lang w:val="fr-FR" w:bidi="en-US"/>
        </w:rPr>
        <w:t>’</w:t>
      </w:r>
      <w:r w:rsidR="00B86696" w:rsidRPr="00E1372C">
        <w:rPr>
          <w:lang w:val="fr-FR" w:bidi="en-US"/>
        </w:rPr>
        <w:t>intérêt public, sont en cours d</w:t>
      </w:r>
      <w:r w:rsidR="00731F09" w:rsidRPr="00E1372C">
        <w:rPr>
          <w:lang w:val="fr-FR" w:bidi="en-US"/>
        </w:rPr>
        <w:t>’</w:t>
      </w:r>
      <w:r w:rsidR="00B86696" w:rsidRPr="00E1372C">
        <w:rPr>
          <w:lang w:val="fr-FR" w:bidi="en-US"/>
        </w:rPr>
        <w:t>élaboration. De nombreux accords de coopération bilatérale ont été conclus avec certains pays en matière de développement de la culture, de l</w:t>
      </w:r>
      <w:r w:rsidR="00731F09" w:rsidRPr="00E1372C">
        <w:rPr>
          <w:lang w:val="fr-FR" w:bidi="en-US"/>
        </w:rPr>
        <w:t>’</w:t>
      </w:r>
      <w:r w:rsidR="00B86696" w:rsidRPr="00E1372C">
        <w:rPr>
          <w:lang w:val="fr-FR" w:bidi="en-US"/>
        </w:rPr>
        <w:t>éducation et des sciences.</w:t>
      </w:r>
    </w:p>
    <w:p w:rsidR="002D6991" w:rsidRPr="00E1372C" w:rsidRDefault="007A1757" w:rsidP="007A1757">
      <w:pPr>
        <w:pStyle w:val="SingleTxtG"/>
        <w:rPr>
          <w:lang w:val="fr-FR" w:bidi="en-US"/>
        </w:rPr>
      </w:pPr>
      <w:r w:rsidRPr="00E1372C">
        <w:rPr>
          <w:lang w:val="fr-FR" w:bidi="en-US"/>
        </w:rPr>
        <w:t>425.</w:t>
      </w:r>
      <w:r w:rsidRPr="00E1372C">
        <w:rPr>
          <w:lang w:val="fr-FR" w:bidi="en-US"/>
        </w:rPr>
        <w:tab/>
      </w:r>
      <w:r w:rsidR="00B86696" w:rsidRPr="00E1372C">
        <w:rPr>
          <w:lang w:val="fr-FR" w:bidi="en-US"/>
        </w:rPr>
        <w:t>En raison du manque de fonds, plusieurs groupes structurels ne peuvent participer à nombre de festivals culturels, ce qui freine le développement des arts et de la culture en Namibie. Sitôt après l</w:t>
      </w:r>
      <w:r w:rsidR="00731F09" w:rsidRPr="00E1372C">
        <w:rPr>
          <w:lang w:val="fr-FR" w:bidi="en-US"/>
        </w:rPr>
        <w:t>’</w:t>
      </w:r>
      <w:r w:rsidR="00B86696" w:rsidRPr="00E1372C">
        <w:rPr>
          <w:lang w:val="fr-FR" w:bidi="en-US"/>
        </w:rPr>
        <w:t>indépendance, certains organismes donateurs ont contribué à établir l</w:t>
      </w:r>
      <w:r w:rsidR="00731F09" w:rsidRPr="00E1372C">
        <w:rPr>
          <w:lang w:val="fr-FR" w:bidi="en-US"/>
        </w:rPr>
        <w:t>’</w:t>
      </w:r>
      <w:r w:rsidR="00B86696" w:rsidRPr="00E1372C">
        <w:rPr>
          <w:lang w:val="fr-FR" w:bidi="en-US"/>
        </w:rPr>
        <w:t xml:space="preserve">état de la situation et à </w:t>
      </w:r>
      <w:r w:rsidR="00950A12" w:rsidRPr="00E1372C">
        <w:rPr>
          <w:lang w:val="fr-FR" w:bidi="en-US"/>
        </w:rPr>
        <w:t>développ</w:t>
      </w:r>
      <w:r w:rsidR="00B86696" w:rsidRPr="00E1372C">
        <w:rPr>
          <w:lang w:val="fr-FR" w:bidi="en-US"/>
        </w:rPr>
        <w:t>er certains aspects. L</w:t>
      </w:r>
      <w:r w:rsidR="00731F09" w:rsidRPr="00E1372C">
        <w:rPr>
          <w:lang w:val="fr-FR" w:bidi="en-US"/>
        </w:rPr>
        <w:t>’</w:t>
      </w:r>
      <w:r w:rsidR="00B86696" w:rsidRPr="00E1372C">
        <w:rPr>
          <w:lang w:val="fr-FR" w:bidi="en-US"/>
        </w:rPr>
        <w:t>aide, fortement réduite, a été acheminée vers la République d</w:t>
      </w:r>
      <w:r w:rsidR="00731F09" w:rsidRPr="00E1372C">
        <w:rPr>
          <w:lang w:val="fr-FR" w:bidi="en-US"/>
        </w:rPr>
        <w:t>’</w:t>
      </w:r>
      <w:r w:rsidR="00B86696" w:rsidRPr="00E1372C">
        <w:rPr>
          <w:lang w:val="fr-FR" w:bidi="en-US"/>
        </w:rPr>
        <w:t>Afrique du Sud.</w:t>
      </w:r>
    </w:p>
    <w:p w:rsidR="007E29CB" w:rsidRPr="00E1372C" w:rsidRDefault="007E29CB" w:rsidP="007E29CB">
      <w:pPr>
        <w:pStyle w:val="SingleTxtG"/>
        <w:spacing w:before="240" w:after="0"/>
        <w:jc w:val="center"/>
        <w:rPr>
          <w:u w:val="single"/>
          <w:lang w:val="fr-FR" w:bidi="en-US"/>
        </w:rPr>
      </w:pPr>
      <w:r w:rsidRPr="00E1372C">
        <w:rPr>
          <w:u w:val="single"/>
          <w:lang w:val="fr-FR" w:bidi="en-US"/>
        </w:rPr>
        <w:tab/>
      </w:r>
      <w:r w:rsidRPr="00E1372C">
        <w:rPr>
          <w:u w:val="single"/>
          <w:lang w:val="fr-FR" w:bidi="en-US"/>
        </w:rPr>
        <w:tab/>
      </w:r>
      <w:r w:rsidRPr="00E1372C">
        <w:rPr>
          <w:u w:val="single"/>
          <w:lang w:val="fr-FR" w:bidi="en-US"/>
        </w:rPr>
        <w:tab/>
      </w:r>
    </w:p>
    <w:sectPr w:rsidR="007E29CB" w:rsidRPr="00E1372C" w:rsidSect="00A55A0E">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17" w:rsidRDefault="00C55A17"/>
  </w:endnote>
  <w:endnote w:type="continuationSeparator" w:id="0">
    <w:p w:rsidR="00C55A17" w:rsidRDefault="00C55A17"/>
  </w:endnote>
  <w:endnote w:type="continuationNotice" w:id="1">
    <w:p w:rsidR="00C55A17" w:rsidRDefault="00C55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times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7" w:rsidRPr="003C78CA" w:rsidRDefault="00B63107" w:rsidP="00F35132">
    <w:pPr>
      <w:pStyle w:val="Footer"/>
      <w:tabs>
        <w:tab w:val="right" w:pos="9638"/>
      </w:tabs>
    </w:pPr>
    <w:r w:rsidRPr="003C78CA">
      <w:rPr>
        <w:b/>
        <w:sz w:val="18"/>
      </w:rPr>
      <w:fldChar w:fldCharType="begin"/>
    </w:r>
    <w:r w:rsidRPr="003C78CA">
      <w:rPr>
        <w:b/>
        <w:sz w:val="18"/>
      </w:rPr>
      <w:instrText xml:space="preserve"> PAGE  \* MERGEFORMAT </w:instrText>
    </w:r>
    <w:r w:rsidRPr="003C78CA">
      <w:rPr>
        <w:b/>
        <w:sz w:val="18"/>
      </w:rPr>
      <w:fldChar w:fldCharType="separate"/>
    </w:r>
    <w:r w:rsidR="00806DB6">
      <w:rPr>
        <w:b/>
        <w:noProof/>
        <w:sz w:val="18"/>
      </w:rPr>
      <w:t>46</w:t>
    </w:r>
    <w:r w:rsidRPr="003C78CA">
      <w:rPr>
        <w:b/>
        <w:sz w:val="18"/>
      </w:rPr>
      <w:fldChar w:fldCharType="end"/>
    </w:r>
    <w:r>
      <w:rPr>
        <w:sz w:val="18"/>
      </w:rPr>
      <w:tab/>
    </w:r>
    <w:r w:rsidRPr="00B47E26">
      <w:rPr>
        <w:szCs w:val="16"/>
      </w:rPr>
      <w:t>GE.15-0</w:t>
    </w:r>
    <w:r w:rsidR="00F35132">
      <w:rPr>
        <w:szCs w:val="16"/>
        <w:lang w:val="es-ES"/>
      </w:rPr>
      <w:t>1268</w:t>
    </w:r>
    <w:r w:rsidRPr="00B47E26">
      <w:rPr>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7" w:rsidRPr="003C78CA" w:rsidRDefault="00B63107" w:rsidP="00F35132">
    <w:pPr>
      <w:pStyle w:val="Footer"/>
      <w:tabs>
        <w:tab w:val="right" w:pos="9638"/>
      </w:tabs>
      <w:rPr>
        <w:b/>
        <w:sz w:val="18"/>
      </w:rPr>
    </w:pPr>
    <w:r w:rsidRPr="00B47E26">
      <w:t>GE.15-0</w:t>
    </w:r>
    <w:r w:rsidR="00F35132">
      <w:rPr>
        <w:lang w:val="es-ES"/>
      </w:rPr>
      <w:t>1268</w:t>
    </w:r>
    <w:r w:rsidRPr="00B47E26">
      <w:t xml:space="preserve">  (EXT)</w:t>
    </w:r>
    <w:r>
      <w:tab/>
    </w:r>
    <w:r w:rsidRPr="003C78CA">
      <w:rPr>
        <w:b/>
        <w:sz w:val="18"/>
      </w:rPr>
      <w:fldChar w:fldCharType="begin"/>
    </w:r>
    <w:r w:rsidRPr="003C78CA">
      <w:rPr>
        <w:b/>
        <w:sz w:val="18"/>
      </w:rPr>
      <w:instrText xml:space="preserve"> PAGE  \* MERGEFORMAT </w:instrText>
    </w:r>
    <w:r w:rsidRPr="003C78CA">
      <w:rPr>
        <w:b/>
        <w:sz w:val="18"/>
      </w:rPr>
      <w:fldChar w:fldCharType="separate"/>
    </w:r>
    <w:r w:rsidR="00806DB6">
      <w:rPr>
        <w:b/>
        <w:noProof/>
        <w:sz w:val="18"/>
      </w:rPr>
      <w:t>45</w:t>
    </w:r>
    <w:r w:rsidRPr="003C78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7" w:rsidRDefault="00B63107" w:rsidP="00F57442">
    <w:pPr>
      <w:pStyle w:val="Footer"/>
      <w:spacing w:before="240"/>
      <w:rPr>
        <w:sz w:val="20"/>
        <w:lang w:val="fr-CH"/>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40.15pt;margin-top:651.95pt;width:87.65pt;height:18.15pt;z-index:1;mso-position-horizontal-relative:margin;mso-position-vertical-relative:margin">
          <v:imagedata r:id="rId1" o:title="recycle_French"/>
          <w10:wrap anchorx="margin" anchory="margin"/>
        </v:shape>
      </w:pict>
    </w:r>
    <w:r>
      <w:rPr>
        <w:sz w:val="20"/>
      </w:rPr>
      <w:t>GE.15-</w:t>
    </w:r>
    <w:r w:rsidR="00F57442">
      <w:rPr>
        <w:sz w:val="20"/>
        <w:lang w:val="fr-CH"/>
      </w:rPr>
      <w:t>01268</w:t>
    </w:r>
    <w:r>
      <w:rPr>
        <w:sz w:val="20"/>
        <w:lang w:val="fr-CH"/>
      </w:rPr>
      <w:t xml:space="preserve"> (EXT)</w:t>
    </w:r>
  </w:p>
  <w:p w:rsidR="00F57442" w:rsidRPr="00F57442" w:rsidRDefault="00F57442" w:rsidP="00F57442">
    <w:pPr>
      <w:pStyle w:val="Footer"/>
      <w:rPr>
        <w:rFonts w:ascii="C39T30Lfz" w:hAnsi="C39T30Lfz"/>
        <w:sz w:val="56"/>
        <w:lang w:val="fr-CH"/>
      </w:rPr>
    </w:pP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noProof/>
        <w:sz w:val="56"/>
        <w:lang w:val="en-US" w:eastAsia="zh-CN"/>
      </w:rPr>
      <w:pict>
        <v:shape id="_x0000_s2058"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17" w:rsidRPr="000B175B" w:rsidRDefault="00C55A17" w:rsidP="00A55A0E">
      <w:pPr>
        <w:tabs>
          <w:tab w:val="right" w:pos="2155"/>
        </w:tabs>
        <w:spacing w:after="80"/>
        <w:ind w:left="680"/>
        <w:rPr>
          <w:u w:val="single"/>
        </w:rPr>
      </w:pPr>
      <w:r>
        <w:rPr>
          <w:u w:val="single"/>
        </w:rPr>
        <w:tab/>
      </w:r>
    </w:p>
  </w:footnote>
  <w:footnote w:type="continuationSeparator" w:id="0">
    <w:p w:rsidR="00C55A17" w:rsidRPr="00FC68B7" w:rsidRDefault="00C55A17" w:rsidP="00A55A0E">
      <w:pPr>
        <w:tabs>
          <w:tab w:val="left" w:pos="2155"/>
        </w:tabs>
        <w:spacing w:after="80"/>
        <w:ind w:left="680"/>
        <w:rPr>
          <w:u w:val="single"/>
        </w:rPr>
      </w:pPr>
      <w:r>
        <w:rPr>
          <w:u w:val="single"/>
        </w:rPr>
        <w:tab/>
      </w:r>
    </w:p>
  </w:footnote>
  <w:footnote w:type="continuationNotice" w:id="1">
    <w:p w:rsidR="00C55A17" w:rsidRDefault="00C55A17"/>
  </w:footnote>
  <w:footnote w:id="2">
    <w:p w:rsidR="00B63107" w:rsidRPr="008543B1" w:rsidRDefault="00B63107" w:rsidP="00A55A0E">
      <w:pPr>
        <w:pStyle w:val="FootnoteText"/>
        <w:rPr>
          <w:szCs w:val="18"/>
          <w:lang w:val="fr-CH"/>
        </w:rPr>
      </w:pPr>
      <w:r w:rsidRPr="008543B1">
        <w:rPr>
          <w:sz w:val="20"/>
          <w:lang w:val="fr-CH"/>
        </w:rPr>
        <w:tab/>
      </w:r>
      <w:r w:rsidRPr="008543B1">
        <w:rPr>
          <w:rStyle w:val="FootnoteReference"/>
          <w:sz w:val="20"/>
          <w:vertAlign w:val="baseline"/>
          <w:lang w:val="fr-CH"/>
        </w:rPr>
        <w:t>*</w:t>
      </w:r>
      <w:r w:rsidRPr="008543B1">
        <w:rPr>
          <w:sz w:val="20"/>
          <w:lang w:val="fr-CH"/>
        </w:rPr>
        <w:tab/>
      </w:r>
      <w:r w:rsidRPr="008543B1">
        <w:rPr>
          <w:lang w:val="fr-CH"/>
        </w:rPr>
        <w:t>Le présent document n</w:t>
      </w:r>
      <w:r>
        <w:rPr>
          <w:lang w:val="fr-CH"/>
        </w:rPr>
        <w:t>’</w:t>
      </w:r>
      <w:r w:rsidRPr="008543B1">
        <w:rPr>
          <w:lang w:val="fr-CH"/>
        </w:rPr>
        <w:t>a pas fait l</w:t>
      </w:r>
      <w:r>
        <w:rPr>
          <w:lang w:val="fr-CH"/>
        </w:rPr>
        <w:t>’</w:t>
      </w:r>
      <w:r w:rsidRPr="008543B1">
        <w:rPr>
          <w:lang w:val="fr-CH"/>
        </w:rPr>
        <w:t>objet d</w:t>
      </w:r>
      <w:r>
        <w:rPr>
          <w:lang w:val="fr-CH"/>
        </w:rPr>
        <w:t>’</w:t>
      </w:r>
      <w:r w:rsidRPr="008543B1">
        <w:rPr>
          <w:lang w:val="fr-CH"/>
        </w:rPr>
        <w:t>une relecture sur le fond par les services d</w:t>
      </w:r>
      <w:r>
        <w:rPr>
          <w:lang w:val="fr-CH"/>
        </w:rPr>
        <w:t>’</w:t>
      </w:r>
      <w:r w:rsidRPr="008543B1">
        <w:rPr>
          <w:lang w:val="fr-CH"/>
        </w:rP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7" w:rsidRPr="003C78CA" w:rsidRDefault="00B63107">
    <w:pPr>
      <w:pStyle w:val="Header"/>
    </w:pPr>
    <w:r>
      <w:t>E/C.12/NAM/1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7" w:rsidRPr="003C78CA" w:rsidRDefault="00B63107" w:rsidP="00A55A0E">
    <w:pPr>
      <w:pStyle w:val="Header"/>
      <w:jc w:val="right"/>
    </w:pPr>
    <w:r>
      <w:t>E/C.12/NAM/1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5F7"/>
    <w:multiLevelType w:val="hybridMultilevel"/>
    <w:tmpl w:val="72884252"/>
    <w:lvl w:ilvl="0" w:tplc="906A987A">
      <w:start w:val="1"/>
      <w:numFmt w:val="decimal"/>
      <w:lvlText w:val="%1."/>
      <w:lvlJc w:val="left"/>
      <w:pPr>
        <w:ind w:left="1636" w:hanging="360"/>
      </w:pPr>
      <w:rPr>
        <w:rFonts w:ascii="Times New Roman" w:hAnsi="Times New Roman" w:cs="Times New Roman" w:hint="default"/>
        <w:b w:val="0"/>
        <w:color w:val="auto"/>
      </w:rPr>
    </w:lvl>
    <w:lvl w:ilvl="1" w:tplc="E5301D1C">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65925DC1"/>
    <w:multiLevelType w:val="hybridMultilevel"/>
    <w:tmpl w:val="A4F03AE4"/>
    <w:lvl w:ilvl="0" w:tplc="C6E4C09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8CA"/>
    <w:rsid w:val="000114FD"/>
    <w:rsid w:val="000200B1"/>
    <w:rsid w:val="000202A1"/>
    <w:rsid w:val="00023C1B"/>
    <w:rsid w:val="00031077"/>
    <w:rsid w:val="000320BF"/>
    <w:rsid w:val="00035D9B"/>
    <w:rsid w:val="000405E2"/>
    <w:rsid w:val="0004129B"/>
    <w:rsid w:val="00042300"/>
    <w:rsid w:val="00046352"/>
    <w:rsid w:val="0006160F"/>
    <w:rsid w:val="000633F9"/>
    <w:rsid w:val="000642AD"/>
    <w:rsid w:val="00070D46"/>
    <w:rsid w:val="00073978"/>
    <w:rsid w:val="00080EF6"/>
    <w:rsid w:val="00082EC9"/>
    <w:rsid w:val="00084C3D"/>
    <w:rsid w:val="00097B68"/>
    <w:rsid w:val="000A2139"/>
    <w:rsid w:val="000A6040"/>
    <w:rsid w:val="000A67AA"/>
    <w:rsid w:val="000B4267"/>
    <w:rsid w:val="000C0EDA"/>
    <w:rsid w:val="000C14E9"/>
    <w:rsid w:val="000C7185"/>
    <w:rsid w:val="000C7C5C"/>
    <w:rsid w:val="000D1328"/>
    <w:rsid w:val="000D6306"/>
    <w:rsid w:val="000E1242"/>
    <w:rsid w:val="000E737A"/>
    <w:rsid w:val="000F50D1"/>
    <w:rsid w:val="000F693F"/>
    <w:rsid w:val="00102AC8"/>
    <w:rsid w:val="001160C3"/>
    <w:rsid w:val="00122CF1"/>
    <w:rsid w:val="00134960"/>
    <w:rsid w:val="00140CFC"/>
    <w:rsid w:val="00141B60"/>
    <w:rsid w:val="00142371"/>
    <w:rsid w:val="001462B8"/>
    <w:rsid w:val="0015171E"/>
    <w:rsid w:val="0015634B"/>
    <w:rsid w:val="00156A97"/>
    <w:rsid w:val="00157C16"/>
    <w:rsid w:val="00160285"/>
    <w:rsid w:val="00176C5C"/>
    <w:rsid w:val="00181CCE"/>
    <w:rsid w:val="00185EFE"/>
    <w:rsid w:val="00186347"/>
    <w:rsid w:val="0018708C"/>
    <w:rsid w:val="001924BB"/>
    <w:rsid w:val="00194256"/>
    <w:rsid w:val="0019761E"/>
    <w:rsid w:val="001A23F2"/>
    <w:rsid w:val="001A3C72"/>
    <w:rsid w:val="001A5345"/>
    <w:rsid w:val="001A54F9"/>
    <w:rsid w:val="001A5A1F"/>
    <w:rsid w:val="001A5CFB"/>
    <w:rsid w:val="001A6B48"/>
    <w:rsid w:val="001A799F"/>
    <w:rsid w:val="001B01F1"/>
    <w:rsid w:val="001B5B80"/>
    <w:rsid w:val="001C34AD"/>
    <w:rsid w:val="001D4560"/>
    <w:rsid w:val="001D5FD4"/>
    <w:rsid w:val="001E19AD"/>
    <w:rsid w:val="001E2544"/>
    <w:rsid w:val="001E2A93"/>
    <w:rsid w:val="001E501F"/>
    <w:rsid w:val="001F28B2"/>
    <w:rsid w:val="001F2D6B"/>
    <w:rsid w:val="001F7CE7"/>
    <w:rsid w:val="0021391E"/>
    <w:rsid w:val="002151FB"/>
    <w:rsid w:val="00216E5B"/>
    <w:rsid w:val="00220D06"/>
    <w:rsid w:val="00225CB4"/>
    <w:rsid w:val="002265D0"/>
    <w:rsid w:val="002274CC"/>
    <w:rsid w:val="00227D57"/>
    <w:rsid w:val="0023321D"/>
    <w:rsid w:val="00234C44"/>
    <w:rsid w:val="002406E0"/>
    <w:rsid w:val="00240972"/>
    <w:rsid w:val="00243081"/>
    <w:rsid w:val="00243B16"/>
    <w:rsid w:val="00245BE1"/>
    <w:rsid w:val="00254060"/>
    <w:rsid w:val="00254B95"/>
    <w:rsid w:val="00256D1D"/>
    <w:rsid w:val="00262C7B"/>
    <w:rsid w:val="002661FB"/>
    <w:rsid w:val="00270BD1"/>
    <w:rsid w:val="00272679"/>
    <w:rsid w:val="00281E4A"/>
    <w:rsid w:val="00287D99"/>
    <w:rsid w:val="00295595"/>
    <w:rsid w:val="00296135"/>
    <w:rsid w:val="002A19CE"/>
    <w:rsid w:val="002A2C1F"/>
    <w:rsid w:val="002A2E08"/>
    <w:rsid w:val="002A5C3B"/>
    <w:rsid w:val="002B31EA"/>
    <w:rsid w:val="002B5F86"/>
    <w:rsid w:val="002B7235"/>
    <w:rsid w:val="002C59A7"/>
    <w:rsid w:val="002D1C2E"/>
    <w:rsid w:val="002D3DD5"/>
    <w:rsid w:val="002D58B3"/>
    <w:rsid w:val="002D6641"/>
    <w:rsid w:val="002D6991"/>
    <w:rsid w:val="002D7343"/>
    <w:rsid w:val="002E1518"/>
    <w:rsid w:val="002F0590"/>
    <w:rsid w:val="002F0C8E"/>
    <w:rsid w:val="002F1440"/>
    <w:rsid w:val="002F1E1C"/>
    <w:rsid w:val="003126FE"/>
    <w:rsid w:val="003218CF"/>
    <w:rsid w:val="00321A67"/>
    <w:rsid w:val="00323A6D"/>
    <w:rsid w:val="00331EBA"/>
    <w:rsid w:val="00336CF8"/>
    <w:rsid w:val="00345B9F"/>
    <w:rsid w:val="00350451"/>
    <w:rsid w:val="00351A1D"/>
    <w:rsid w:val="00361B48"/>
    <w:rsid w:val="0036272E"/>
    <w:rsid w:val="00363D56"/>
    <w:rsid w:val="00371945"/>
    <w:rsid w:val="00383209"/>
    <w:rsid w:val="00387A8A"/>
    <w:rsid w:val="00391D85"/>
    <w:rsid w:val="0039211B"/>
    <w:rsid w:val="00392A44"/>
    <w:rsid w:val="003A3080"/>
    <w:rsid w:val="003A390A"/>
    <w:rsid w:val="003A4BB6"/>
    <w:rsid w:val="003B7812"/>
    <w:rsid w:val="003C4F86"/>
    <w:rsid w:val="003C5923"/>
    <w:rsid w:val="003D2A6F"/>
    <w:rsid w:val="003D3360"/>
    <w:rsid w:val="003D44B7"/>
    <w:rsid w:val="003D4E51"/>
    <w:rsid w:val="00400F7F"/>
    <w:rsid w:val="004019F5"/>
    <w:rsid w:val="0040272C"/>
    <w:rsid w:val="004034A3"/>
    <w:rsid w:val="0040616B"/>
    <w:rsid w:val="00432995"/>
    <w:rsid w:val="00434138"/>
    <w:rsid w:val="004402D0"/>
    <w:rsid w:val="0045086E"/>
    <w:rsid w:val="00461C2B"/>
    <w:rsid w:val="004678FA"/>
    <w:rsid w:val="00471D34"/>
    <w:rsid w:val="00473816"/>
    <w:rsid w:val="004738C7"/>
    <w:rsid w:val="004774F7"/>
    <w:rsid w:val="004779F4"/>
    <w:rsid w:val="00483A5A"/>
    <w:rsid w:val="00485C81"/>
    <w:rsid w:val="00485F0D"/>
    <w:rsid w:val="004866D1"/>
    <w:rsid w:val="004877DB"/>
    <w:rsid w:val="0049054D"/>
    <w:rsid w:val="00492F38"/>
    <w:rsid w:val="004A14D5"/>
    <w:rsid w:val="004A7FE0"/>
    <w:rsid w:val="004B3CA7"/>
    <w:rsid w:val="004B4450"/>
    <w:rsid w:val="004C22AB"/>
    <w:rsid w:val="004C5025"/>
    <w:rsid w:val="004C6E19"/>
    <w:rsid w:val="004C7DE9"/>
    <w:rsid w:val="004D0F34"/>
    <w:rsid w:val="004D369B"/>
    <w:rsid w:val="004D4C53"/>
    <w:rsid w:val="004D5004"/>
    <w:rsid w:val="004F26E5"/>
    <w:rsid w:val="004F6E3A"/>
    <w:rsid w:val="00500F86"/>
    <w:rsid w:val="00501D81"/>
    <w:rsid w:val="0050249B"/>
    <w:rsid w:val="005036AD"/>
    <w:rsid w:val="00504CA7"/>
    <w:rsid w:val="00512095"/>
    <w:rsid w:val="00524D71"/>
    <w:rsid w:val="00526A5B"/>
    <w:rsid w:val="0052752E"/>
    <w:rsid w:val="005304D9"/>
    <w:rsid w:val="005305B3"/>
    <w:rsid w:val="00542077"/>
    <w:rsid w:val="00547332"/>
    <w:rsid w:val="00557343"/>
    <w:rsid w:val="00561FA7"/>
    <w:rsid w:val="0056723F"/>
    <w:rsid w:val="005703FD"/>
    <w:rsid w:val="00573674"/>
    <w:rsid w:val="0058181A"/>
    <w:rsid w:val="00590A3C"/>
    <w:rsid w:val="005919A9"/>
    <w:rsid w:val="005921F4"/>
    <w:rsid w:val="00592FDA"/>
    <w:rsid w:val="005976A7"/>
    <w:rsid w:val="005A1D96"/>
    <w:rsid w:val="005B1B02"/>
    <w:rsid w:val="005C1FB6"/>
    <w:rsid w:val="005C765D"/>
    <w:rsid w:val="005D2953"/>
    <w:rsid w:val="005F00F7"/>
    <w:rsid w:val="006035CD"/>
    <w:rsid w:val="006210BA"/>
    <w:rsid w:val="0062713D"/>
    <w:rsid w:val="00631C41"/>
    <w:rsid w:val="00633019"/>
    <w:rsid w:val="00640603"/>
    <w:rsid w:val="006606D2"/>
    <w:rsid w:val="00661A62"/>
    <w:rsid w:val="00663209"/>
    <w:rsid w:val="00666265"/>
    <w:rsid w:val="00666BB6"/>
    <w:rsid w:val="00675AB7"/>
    <w:rsid w:val="00684CFD"/>
    <w:rsid w:val="00686562"/>
    <w:rsid w:val="00690C57"/>
    <w:rsid w:val="006972A3"/>
    <w:rsid w:val="00697BC8"/>
    <w:rsid w:val="006A4244"/>
    <w:rsid w:val="006A5712"/>
    <w:rsid w:val="006B0704"/>
    <w:rsid w:val="006B1F8B"/>
    <w:rsid w:val="006B458B"/>
    <w:rsid w:val="006C02B9"/>
    <w:rsid w:val="006E3671"/>
    <w:rsid w:val="006E4CC5"/>
    <w:rsid w:val="006E5D4A"/>
    <w:rsid w:val="006E7390"/>
    <w:rsid w:val="006F7223"/>
    <w:rsid w:val="00702C2B"/>
    <w:rsid w:val="0070569B"/>
    <w:rsid w:val="00705A8B"/>
    <w:rsid w:val="00706197"/>
    <w:rsid w:val="007064FC"/>
    <w:rsid w:val="00721113"/>
    <w:rsid w:val="007234E6"/>
    <w:rsid w:val="00723F90"/>
    <w:rsid w:val="00731F09"/>
    <w:rsid w:val="007322B5"/>
    <w:rsid w:val="007325C2"/>
    <w:rsid w:val="00734C69"/>
    <w:rsid w:val="00737EDA"/>
    <w:rsid w:val="0074704B"/>
    <w:rsid w:val="007573A8"/>
    <w:rsid w:val="00761A9C"/>
    <w:rsid w:val="00761E40"/>
    <w:rsid w:val="00764E15"/>
    <w:rsid w:val="0076598A"/>
    <w:rsid w:val="00765D1E"/>
    <w:rsid w:val="00765DA6"/>
    <w:rsid w:val="00772660"/>
    <w:rsid w:val="00776C6D"/>
    <w:rsid w:val="00777755"/>
    <w:rsid w:val="007778CE"/>
    <w:rsid w:val="00783035"/>
    <w:rsid w:val="00786585"/>
    <w:rsid w:val="0078784B"/>
    <w:rsid w:val="00792BFE"/>
    <w:rsid w:val="00797202"/>
    <w:rsid w:val="007A02A8"/>
    <w:rsid w:val="007A1757"/>
    <w:rsid w:val="007A1B1C"/>
    <w:rsid w:val="007B0541"/>
    <w:rsid w:val="007B51DE"/>
    <w:rsid w:val="007C3123"/>
    <w:rsid w:val="007C31ED"/>
    <w:rsid w:val="007C724B"/>
    <w:rsid w:val="007D512E"/>
    <w:rsid w:val="007D7AF8"/>
    <w:rsid w:val="007E29CB"/>
    <w:rsid w:val="007E73A0"/>
    <w:rsid w:val="007F33CB"/>
    <w:rsid w:val="008036EA"/>
    <w:rsid w:val="00804361"/>
    <w:rsid w:val="008058BE"/>
    <w:rsid w:val="00806DB6"/>
    <w:rsid w:val="008109FE"/>
    <w:rsid w:val="00810FA2"/>
    <w:rsid w:val="00812E29"/>
    <w:rsid w:val="00817A01"/>
    <w:rsid w:val="00820A7A"/>
    <w:rsid w:val="00825848"/>
    <w:rsid w:val="0082684D"/>
    <w:rsid w:val="00831F59"/>
    <w:rsid w:val="00832625"/>
    <w:rsid w:val="00836C33"/>
    <w:rsid w:val="00837309"/>
    <w:rsid w:val="00845A6A"/>
    <w:rsid w:val="008543B1"/>
    <w:rsid w:val="00854CFA"/>
    <w:rsid w:val="008577F2"/>
    <w:rsid w:val="00860F92"/>
    <w:rsid w:val="0086376C"/>
    <w:rsid w:val="00864121"/>
    <w:rsid w:val="00871178"/>
    <w:rsid w:val="00883764"/>
    <w:rsid w:val="00884CD7"/>
    <w:rsid w:val="008905A1"/>
    <w:rsid w:val="00896A52"/>
    <w:rsid w:val="008A0807"/>
    <w:rsid w:val="008A2102"/>
    <w:rsid w:val="008A3B2B"/>
    <w:rsid w:val="008A5779"/>
    <w:rsid w:val="008A6464"/>
    <w:rsid w:val="008A69C2"/>
    <w:rsid w:val="008B285C"/>
    <w:rsid w:val="008C2130"/>
    <w:rsid w:val="008C4EBE"/>
    <w:rsid w:val="008D0F80"/>
    <w:rsid w:val="008D45C8"/>
    <w:rsid w:val="008D6D0D"/>
    <w:rsid w:val="008D7823"/>
    <w:rsid w:val="008E1A3F"/>
    <w:rsid w:val="008E5A95"/>
    <w:rsid w:val="00902846"/>
    <w:rsid w:val="009062F4"/>
    <w:rsid w:val="0091041B"/>
    <w:rsid w:val="00911276"/>
    <w:rsid w:val="00913FBC"/>
    <w:rsid w:val="009149E8"/>
    <w:rsid w:val="0091623D"/>
    <w:rsid w:val="00917A69"/>
    <w:rsid w:val="00922855"/>
    <w:rsid w:val="00923431"/>
    <w:rsid w:val="009276D9"/>
    <w:rsid w:val="00933119"/>
    <w:rsid w:val="00950A12"/>
    <w:rsid w:val="009608B0"/>
    <w:rsid w:val="00980C13"/>
    <w:rsid w:val="009929E5"/>
    <w:rsid w:val="00992A63"/>
    <w:rsid w:val="009941DC"/>
    <w:rsid w:val="009957C2"/>
    <w:rsid w:val="009A6A67"/>
    <w:rsid w:val="009B31C9"/>
    <w:rsid w:val="009B5E44"/>
    <w:rsid w:val="009B7FFC"/>
    <w:rsid w:val="009C0B40"/>
    <w:rsid w:val="009D03A3"/>
    <w:rsid w:val="009D5779"/>
    <w:rsid w:val="009D6DA3"/>
    <w:rsid w:val="009D790F"/>
    <w:rsid w:val="009E074D"/>
    <w:rsid w:val="009E2CF7"/>
    <w:rsid w:val="009F02BA"/>
    <w:rsid w:val="009F4E7D"/>
    <w:rsid w:val="009F643B"/>
    <w:rsid w:val="009F6700"/>
    <w:rsid w:val="00A034B6"/>
    <w:rsid w:val="00A037D0"/>
    <w:rsid w:val="00A171EB"/>
    <w:rsid w:val="00A17215"/>
    <w:rsid w:val="00A21CD4"/>
    <w:rsid w:val="00A264C0"/>
    <w:rsid w:val="00A301C2"/>
    <w:rsid w:val="00A36913"/>
    <w:rsid w:val="00A40F9E"/>
    <w:rsid w:val="00A453DB"/>
    <w:rsid w:val="00A45440"/>
    <w:rsid w:val="00A55A0E"/>
    <w:rsid w:val="00A57608"/>
    <w:rsid w:val="00A66875"/>
    <w:rsid w:val="00A67A45"/>
    <w:rsid w:val="00A777A4"/>
    <w:rsid w:val="00A77D1F"/>
    <w:rsid w:val="00A8057E"/>
    <w:rsid w:val="00A836A6"/>
    <w:rsid w:val="00A96F7D"/>
    <w:rsid w:val="00AA13E2"/>
    <w:rsid w:val="00AA7953"/>
    <w:rsid w:val="00AB3542"/>
    <w:rsid w:val="00AC15E0"/>
    <w:rsid w:val="00AC1AA0"/>
    <w:rsid w:val="00AC4D96"/>
    <w:rsid w:val="00AC64DC"/>
    <w:rsid w:val="00AD2F20"/>
    <w:rsid w:val="00AD4A00"/>
    <w:rsid w:val="00AE017E"/>
    <w:rsid w:val="00AE09D6"/>
    <w:rsid w:val="00AF32FE"/>
    <w:rsid w:val="00AF76D2"/>
    <w:rsid w:val="00B018DA"/>
    <w:rsid w:val="00B0422F"/>
    <w:rsid w:val="00B04F1A"/>
    <w:rsid w:val="00B14948"/>
    <w:rsid w:val="00B15896"/>
    <w:rsid w:val="00B277C4"/>
    <w:rsid w:val="00B306BC"/>
    <w:rsid w:val="00B30AA2"/>
    <w:rsid w:val="00B426C3"/>
    <w:rsid w:val="00B43857"/>
    <w:rsid w:val="00B44F43"/>
    <w:rsid w:val="00B45E1B"/>
    <w:rsid w:val="00B47E26"/>
    <w:rsid w:val="00B5152E"/>
    <w:rsid w:val="00B63107"/>
    <w:rsid w:val="00B649BB"/>
    <w:rsid w:val="00B65A47"/>
    <w:rsid w:val="00B662D3"/>
    <w:rsid w:val="00B67EB8"/>
    <w:rsid w:val="00B70152"/>
    <w:rsid w:val="00B71CFE"/>
    <w:rsid w:val="00B767A1"/>
    <w:rsid w:val="00B77699"/>
    <w:rsid w:val="00B820D4"/>
    <w:rsid w:val="00B829D2"/>
    <w:rsid w:val="00B86696"/>
    <w:rsid w:val="00B911FE"/>
    <w:rsid w:val="00B958DE"/>
    <w:rsid w:val="00BA11C0"/>
    <w:rsid w:val="00BA5B7D"/>
    <w:rsid w:val="00BB45F5"/>
    <w:rsid w:val="00BB6A82"/>
    <w:rsid w:val="00BB6AF0"/>
    <w:rsid w:val="00BC0A93"/>
    <w:rsid w:val="00BC1BFA"/>
    <w:rsid w:val="00BC6709"/>
    <w:rsid w:val="00BD00C9"/>
    <w:rsid w:val="00BD3071"/>
    <w:rsid w:val="00BE0692"/>
    <w:rsid w:val="00BE40BB"/>
    <w:rsid w:val="00BE63FA"/>
    <w:rsid w:val="00C02F07"/>
    <w:rsid w:val="00C04665"/>
    <w:rsid w:val="00C06734"/>
    <w:rsid w:val="00C105C2"/>
    <w:rsid w:val="00C11470"/>
    <w:rsid w:val="00C13FD4"/>
    <w:rsid w:val="00C1487A"/>
    <w:rsid w:val="00C15955"/>
    <w:rsid w:val="00C31C49"/>
    <w:rsid w:val="00C430F5"/>
    <w:rsid w:val="00C4577A"/>
    <w:rsid w:val="00C50AC5"/>
    <w:rsid w:val="00C55A17"/>
    <w:rsid w:val="00C633BF"/>
    <w:rsid w:val="00C658E3"/>
    <w:rsid w:val="00C65A87"/>
    <w:rsid w:val="00C948DF"/>
    <w:rsid w:val="00CA5032"/>
    <w:rsid w:val="00CB0362"/>
    <w:rsid w:val="00CB1E81"/>
    <w:rsid w:val="00CB26BD"/>
    <w:rsid w:val="00CB318A"/>
    <w:rsid w:val="00CB3D67"/>
    <w:rsid w:val="00CC29B5"/>
    <w:rsid w:val="00CC33DD"/>
    <w:rsid w:val="00CC4EE4"/>
    <w:rsid w:val="00CC5850"/>
    <w:rsid w:val="00CC70DA"/>
    <w:rsid w:val="00CD0046"/>
    <w:rsid w:val="00CD0D57"/>
    <w:rsid w:val="00CD10F2"/>
    <w:rsid w:val="00CD1CF2"/>
    <w:rsid w:val="00CD3072"/>
    <w:rsid w:val="00CD4083"/>
    <w:rsid w:val="00CD5CCB"/>
    <w:rsid w:val="00CD6533"/>
    <w:rsid w:val="00CD662D"/>
    <w:rsid w:val="00CE07C9"/>
    <w:rsid w:val="00CE2771"/>
    <w:rsid w:val="00CE38A0"/>
    <w:rsid w:val="00CE3C33"/>
    <w:rsid w:val="00CE4040"/>
    <w:rsid w:val="00CE6D0A"/>
    <w:rsid w:val="00CF091D"/>
    <w:rsid w:val="00CF0E12"/>
    <w:rsid w:val="00CF0F7C"/>
    <w:rsid w:val="00CF335B"/>
    <w:rsid w:val="00CF77E1"/>
    <w:rsid w:val="00CF78F7"/>
    <w:rsid w:val="00CF7F68"/>
    <w:rsid w:val="00D03C70"/>
    <w:rsid w:val="00D10B10"/>
    <w:rsid w:val="00D168BC"/>
    <w:rsid w:val="00D17748"/>
    <w:rsid w:val="00D17E3A"/>
    <w:rsid w:val="00D22EFE"/>
    <w:rsid w:val="00D24359"/>
    <w:rsid w:val="00D261A4"/>
    <w:rsid w:val="00D33B20"/>
    <w:rsid w:val="00D41CA1"/>
    <w:rsid w:val="00D4381C"/>
    <w:rsid w:val="00D52238"/>
    <w:rsid w:val="00D52989"/>
    <w:rsid w:val="00D540DD"/>
    <w:rsid w:val="00D569C4"/>
    <w:rsid w:val="00D714EC"/>
    <w:rsid w:val="00D733A2"/>
    <w:rsid w:val="00D75766"/>
    <w:rsid w:val="00D75FF0"/>
    <w:rsid w:val="00D80D04"/>
    <w:rsid w:val="00D933DE"/>
    <w:rsid w:val="00D93C60"/>
    <w:rsid w:val="00D94AF6"/>
    <w:rsid w:val="00D96EC4"/>
    <w:rsid w:val="00DA1B25"/>
    <w:rsid w:val="00DA5749"/>
    <w:rsid w:val="00DA7560"/>
    <w:rsid w:val="00DB2573"/>
    <w:rsid w:val="00DB37D7"/>
    <w:rsid w:val="00DB4D17"/>
    <w:rsid w:val="00DB6929"/>
    <w:rsid w:val="00DB7BFF"/>
    <w:rsid w:val="00DC2BB5"/>
    <w:rsid w:val="00DC4369"/>
    <w:rsid w:val="00DD1F54"/>
    <w:rsid w:val="00DD42A7"/>
    <w:rsid w:val="00DD5F72"/>
    <w:rsid w:val="00DD6FCB"/>
    <w:rsid w:val="00DE0122"/>
    <w:rsid w:val="00DE1633"/>
    <w:rsid w:val="00DE4096"/>
    <w:rsid w:val="00DE6FD9"/>
    <w:rsid w:val="00DF3E0E"/>
    <w:rsid w:val="00DF454E"/>
    <w:rsid w:val="00E06238"/>
    <w:rsid w:val="00E1036E"/>
    <w:rsid w:val="00E10A0F"/>
    <w:rsid w:val="00E1372C"/>
    <w:rsid w:val="00E240B8"/>
    <w:rsid w:val="00E27BBE"/>
    <w:rsid w:val="00E30F0C"/>
    <w:rsid w:val="00E3308B"/>
    <w:rsid w:val="00E439A0"/>
    <w:rsid w:val="00E47711"/>
    <w:rsid w:val="00E53EC5"/>
    <w:rsid w:val="00E62870"/>
    <w:rsid w:val="00E67BB1"/>
    <w:rsid w:val="00E711F6"/>
    <w:rsid w:val="00E806E4"/>
    <w:rsid w:val="00E96BDA"/>
    <w:rsid w:val="00EA2073"/>
    <w:rsid w:val="00EA5ADE"/>
    <w:rsid w:val="00EA64E5"/>
    <w:rsid w:val="00EA7545"/>
    <w:rsid w:val="00EB515F"/>
    <w:rsid w:val="00EB6338"/>
    <w:rsid w:val="00EB6A55"/>
    <w:rsid w:val="00EC2C80"/>
    <w:rsid w:val="00EC7ABD"/>
    <w:rsid w:val="00ED29A4"/>
    <w:rsid w:val="00ED7701"/>
    <w:rsid w:val="00EE0745"/>
    <w:rsid w:val="00EE2DD5"/>
    <w:rsid w:val="00EF263A"/>
    <w:rsid w:val="00F04859"/>
    <w:rsid w:val="00F04CE8"/>
    <w:rsid w:val="00F05770"/>
    <w:rsid w:val="00F11C7D"/>
    <w:rsid w:val="00F11DD1"/>
    <w:rsid w:val="00F144CD"/>
    <w:rsid w:val="00F31F87"/>
    <w:rsid w:val="00F3232B"/>
    <w:rsid w:val="00F3392A"/>
    <w:rsid w:val="00F35132"/>
    <w:rsid w:val="00F359C2"/>
    <w:rsid w:val="00F41196"/>
    <w:rsid w:val="00F41A65"/>
    <w:rsid w:val="00F45D05"/>
    <w:rsid w:val="00F519B0"/>
    <w:rsid w:val="00F56169"/>
    <w:rsid w:val="00F56D92"/>
    <w:rsid w:val="00F57442"/>
    <w:rsid w:val="00F64EED"/>
    <w:rsid w:val="00F747EE"/>
    <w:rsid w:val="00F8042D"/>
    <w:rsid w:val="00F85280"/>
    <w:rsid w:val="00F87B9E"/>
    <w:rsid w:val="00F91150"/>
    <w:rsid w:val="00F9669E"/>
    <w:rsid w:val="00FA3042"/>
    <w:rsid w:val="00FA48A5"/>
    <w:rsid w:val="00FB0B06"/>
    <w:rsid w:val="00FB335B"/>
    <w:rsid w:val="00FB45FB"/>
    <w:rsid w:val="00FB62D7"/>
    <w:rsid w:val="00FC12D5"/>
    <w:rsid w:val="00FC1699"/>
    <w:rsid w:val="00FC23BF"/>
    <w:rsid w:val="00FD0B6E"/>
    <w:rsid w:val="00FD1334"/>
    <w:rsid w:val="00FD3B18"/>
    <w:rsid w:val="00FD4CEA"/>
    <w:rsid w:val="00FE2612"/>
    <w:rsid w:val="00FE64A0"/>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header" w:uiPriority="99"/>
    <w:lsdException w:name="footer" w:uiPriority="99"/>
    <w:lsdException w:name="caption" w:qFormat="1"/>
    <w:lsdException w:name="footnote reference"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fr-CH"/>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rPr>
      <w:lang w:val="x-none"/>
    </w:rPr>
  </w:style>
  <w:style w:type="paragraph" w:styleId="Heading3">
    <w:name w:val="heading 3"/>
    <w:basedOn w:val="Normal"/>
    <w:next w:val="Normal"/>
    <w:link w:val="Heading3Char"/>
    <w:uiPriority w:val="9"/>
    <w:qFormat/>
    <w:rsid w:val="00E925AD"/>
    <w:pPr>
      <w:spacing w:line="240" w:lineRule="auto"/>
      <w:outlineLvl w:val="2"/>
    </w:pPr>
    <w:rPr>
      <w:lang w:val="x-none"/>
    </w:rPr>
  </w:style>
  <w:style w:type="paragraph" w:styleId="Heading4">
    <w:name w:val="heading 4"/>
    <w:basedOn w:val="Normal"/>
    <w:next w:val="Normal"/>
    <w:link w:val="Heading4Char"/>
    <w:uiPriority w:val="9"/>
    <w:qFormat/>
    <w:rsid w:val="00E925AD"/>
    <w:pPr>
      <w:spacing w:line="240" w:lineRule="auto"/>
      <w:outlineLvl w:val="3"/>
    </w:pPr>
    <w:rPr>
      <w:lang w:val="x-none"/>
    </w:rPr>
  </w:style>
  <w:style w:type="paragraph" w:styleId="Heading5">
    <w:name w:val="heading 5"/>
    <w:basedOn w:val="Normal"/>
    <w:next w:val="Normal"/>
    <w:link w:val="Heading5Char"/>
    <w:uiPriority w:val="9"/>
    <w:qFormat/>
    <w:rsid w:val="00E925AD"/>
    <w:pPr>
      <w:spacing w:line="240" w:lineRule="auto"/>
      <w:outlineLvl w:val="4"/>
    </w:pPr>
    <w:rPr>
      <w:lang w:val="x-none"/>
    </w:rPr>
  </w:style>
  <w:style w:type="paragraph" w:styleId="Heading6">
    <w:name w:val="heading 6"/>
    <w:basedOn w:val="Normal"/>
    <w:next w:val="Normal"/>
    <w:link w:val="Heading6Char"/>
    <w:uiPriority w:val="9"/>
    <w:qFormat/>
    <w:rsid w:val="00E925AD"/>
    <w:pPr>
      <w:spacing w:line="240" w:lineRule="auto"/>
      <w:outlineLvl w:val="5"/>
    </w:pPr>
    <w:rPr>
      <w:lang w:val="x-none"/>
    </w:rPr>
  </w:style>
  <w:style w:type="paragraph" w:styleId="Heading7">
    <w:name w:val="heading 7"/>
    <w:basedOn w:val="Normal"/>
    <w:next w:val="Normal"/>
    <w:link w:val="Heading7Char"/>
    <w:uiPriority w:val="9"/>
    <w:qFormat/>
    <w:rsid w:val="00E925AD"/>
    <w:pPr>
      <w:spacing w:line="240" w:lineRule="auto"/>
      <w:outlineLvl w:val="6"/>
    </w:pPr>
    <w:rPr>
      <w:lang w:val="x-none"/>
    </w:rPr>
  </w:style>
  <w:style w:type="paragraph" w:styleId="Heading8">
    <w:name w:val="heading 8"/>
    <w:basedOn w:val="Normal"/>
    <w:next w:val="Normal"/>
    <w:link w:val="Heading8Char"/>
    <w:uiPriority w:val="9"/>
    <w:qFormat/>
    <w:rsid w:val="00E925AD"/>
    <w:pPr>
      <w:spacing w:line="240" w:lineRule="auto"/>
      <w:outlineLvl w:val="7"/>
    </w:pPr>
    <w:rPr>
      <w:lang w:val="x-none"/>
    </w:rPr>
  </w:style>
  <w:style w:type="paragraph" w:styleId="Heading9">
    <w:name w:val="heading 9"/>
    <w:basedOn w:val="Normal"/>
    <w:next w:val="Normal"/>
    <w:link w:val="Heading9Char"/>
    <w:uiPriority w:val="9"/>
    <w:qFormat/>
    <w:rsid w:val="00E925AD"/>
    <w:pPr>
      <w:spacing w:line="240" w:lineRule="auto"/>
      <w:outlineLvl w:val="8"/>
    </w:pPr>
    <w:rPr>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qFormat/>
    <w:rsid w:val="00FF0AC7"/>
    <w:rPr>
      <w:rFonts w:ascii="Times New Roman" w:hAnsi="Times New Roman"/>
      <w:sz w:val="18"/>
      <w:vertAlign w:val="superscript"/>
    </w:rPr>
  </w:style>
  <w:style w:type="paragraph" w:styleId="FootnoteText">
    <w:name w:val="footnote text"/>
    <w:aliases w:val="5_G"/>
    <w:basedOn w:val="Normal"/>
    <w:link w:val="FootnoteTextChar"/>
    <w:qFormat/>
    <w:rsid w:val="00FF0AC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CE2771"/>
    <w:pPr>
      <w:numPr>
        <w:numId w:val="1"/>
      </w:numPr>
      <w:spacing w:after="120"/>
      <w:ind w:right="1134"/>
      <w:jc w:val="both"/>
    </w:pPr>
    <w:rPr>
      <w:lang w:val="fr-FR" w:bidi="en-US"/>
    </w:r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
    <w:link w:val="FootnoteText"/>
    <w:rsid w:val="003C78CA"/>
    <w:rPr>
      <w:rFonts w:eastAsia="SimSun"/>
      <w:sz w:val="18"/>
    </w:rPr>
  </w:style>
  <w:style w:type="numbering" w:customStyle="1" w:styleId="NoList1">
    <w:name w:val="No List1"/>
    <w:next w:val="NoList"/>
    <w:semiHidden/>
    <w:rsid w:val="00546C7E"/>
  </w:style>
  <w:style w:type="paragraph" w:styleId="BodyText2">
    <w:name w:val="Body Text 2"/>
    <w:basedOn w:val="Normal"/>
    <w:link w:val="BodyText2Char"/>
    <w:rsid w:val="00546C7E"/>
    <w:pPr>
      <w:widowControl w:val="0"/>
      <w:suppressAutoHyphens w:val="0"/>
      <w:spacing w:after="200" w:line="335" w:lineRule="auto"/>
      <w:jc w:val="center"/>
    </w:pPr>
    <w:rPr>
      <w:rFonts w:ascii="Garamond" w:hAnsi="Garamond"/>
      <w:b/>
      <w:snapToGrid w:val="0"/>
      <w:color w:val="002060"/>
      <w:sz w:val="28"/>
      <w:lang w:val="x-none" w:bidi="en-US"/>
    </w:rPr>
  </w:style>
  <w:style w:type="character" w:customStyle="1" w:styleId="BodyText2Char">
    <w:name w:val="Body Text 2 Char"/>
    <w:link w:val="BodyText2"/>
    <w:rsid w:val="00546C7E"/>
    <w:rPr>
      <w:rFonts w:ascii="Garamond" w:hAnsi="Garamond"/>
      <w:b/>
      <w:snapToGrid w:val="0"/>
      <w:color w:val="002060"/>
      <w:sz w:val="28"/>
      <w:lang w:eastAsia="en-US" w:bidi="en-US"/>
    </w:rPr>
  </w:style>
  <w:style w:type="paragraph" w:styleId="BodyText">
    <w:name w:val="Body Text"/>
    <w:basedOn w:val="Normal"/>
    <w:link w:val="BodyTextChar"/>
    <w:rsid w:val="00546C7E"/>
    <w:pPr>
      <w:widowControl w:val="0"/>
      <w:suppressAutoHyphens w:val="0"/>
      <w:spacing w:after="200" w:line="335" w:lineRule="auto"/>
      <w:jc w:val="both"/>
    </w:pPr>
    <w:rPr>
      <w:rFonts w:ascii="Garamond" w:hAnsi="Garamond"/>
      <w:snapToGrid w:val="0"/>
      <w:color w:val="002060"/>
      <w:sz w:val="28"/>
      <w:lang w:val="x-none" w:bidi="en-US"/>
    </w:rPr>
  </w:style>
  <w:style w:type="character" w:customStyle="1" w:styleId="BodyTextChar">
    <w:name w:val="Body Text Char"/>
    <w:link w:val="BodyText"/>
    <w:rsid w:val="00546C7E"/>
    <w:rPr>
      <w:rFonts w:ascii="Garamond" w:hAnsi="Garamond"/>
      <w:snapToGrid w:val="0"/>
      <w:color w:val="002060"/>
      <w:sz w:val="28"/>
      <w:lang w:eastAsia="en-US" w:bidi="en-US"/>
    </w:rPr>
  </w:style>
  <w:style w:type="paragraph" w:styleId="BodyText3">
    <w:name w:val="Body Text 3"/>
    <w:basedOn w:val="Normal"/>
    <w:link w:val="BodyText3Char"/>
    <w:rsid w:val="00546C7E"/>
    <w:pPr>
      <w:tabs>
        <w:tab w:val="left" w:pos="-432"/>
        <w:tab w:val="left" w:pos="144"/>
        <w:tab w:val="left" w:pos="1296"/>
        <w:tab w:val="left" w:pos="1872"/>
        <w:tab w:val="left" w:pos="2448"/>
        <w:tab w:val="left" w:pos="3024"/>
        <w:tab w:val="left" w:pos="3456"/>
        <w:tab w:val="left" w:pos="4032"/>
        <w:tab w:val="left" w:pos="4608"/>
        <w:tab w:val="left" w:pos="5184"/>
        <w:tab w:val="left" w:pos="5760"/>
        <w:tab w:val="left" w:pos="6336"/>
        <w:tab w:val="left" w:pos="6912"/>
        <w:tab w:val="left" w:pos="7488"/>
      </w:tabs>
      <w:suppressAutoHyphens w:val="0"/>
      <w:spacing w:after="200" w:line="360" w:lineRule="auto"/>
      <w:jc w:val="both"/>
    </w:pPr>
    <w:rPr>
      <w:rFonts w:ascii="CG Times" w:hAnsi="CG Times"/>
      <w:b/>
      <w:color w:val="002060"/>
      <w:sz w:val="24"/>
      <w:lang w:val="en-US" w:bidi="en-US"/>
    </w:rPr>
  </w:style>
  <w:style w:type="character" w:customStyle="1" w:styleId="BodyText3Char">
    <w:name w:val="Body Text 3 Char"/>
    <w:link w:val="BodyText3"/>
    <w:rsid w:val="00546C7E"/>
    <w:rPr>
      <w:rFonts w:ascii="CG Times" w:hAnsi="CG Times"/>
      <w:b/>
      <w:color w:val="002060"/>
      <w:sz w:val="24"/>
      <w:lang w:val="en-US" w:eastAsia="en-US" w:bidi="en-US"/>
    </w:rPr>
  </w:style>
  <w:style w:type="paragraph" w:styleId="BodyTextIndent">
    <w:name w:val="Body Text Indent"/>
    <w:basedOn w:val="Normal"/>
    <w:link w:val="BodyTextIndentChar"/>
    <w:rsid w:val="00546C7E"/>
    <w:pPr>
      <w:tabs>
        <w:tab w:val="left" w:pos="-432"/>
        <w:tab w:val="left" w:pos="144"/>
        <w:tab w:val="left" w:pos="1296"/>
        <w:tab w:val="left" w:pos="1872"/>
        <w:tab w:val="left" w:pos="2448"/>
        <w:tab w:val="left" w:pos="3024"/>
        <w:tab w:val="left" w:pos="3456"/>
        <w:tab w:val="left" w:pos="4032"/>
        <w:tab w:val="left" w:pos="4608"/>
        <w:tab w:val="left" w:pos="5184"/>
        <w:tab w:val="left" w:pos="5760"/>
        <w:tab w:val="left" w:pos="6336"/>
        <w:tab w:val="left" w:pos="6912"/>
        <w:tab w:val="left" w:pos="7488"/>
      </w:tabs>
      <w:suppressAutoHyphens w:val="0"/>
      <w:spacing w:after="200" w:line="360" w:lineRule="auto"/>
      <w:ind w:left="720" w:hanging="720"/>
      <w:jc w:val="both"/>
    </w:pPr>
    <w:rPr>
      <w:rFonts w:ascii="CG Times" w:hAnsi="CG Times"/>
      <w:b/>
      <w:color w:val="002060"/>
      <w:sz w:val="24"/>
      <w:lang w:val="en-US" w:bidi="en-US"/>
    </w:rPr>
  </w:style>
  <w:style w:type="character" w:customStyle="1" w:styleId="BodyTextIndentChar">
    <w:name w:val="Body Text Indent Char"/>
    <w:link w:val="BodyTextIndent"/>
    <w:rsid w:val="00546C7E"/>
    <w:rPr>
      <w:rFonts w:ascii="CG Times" w:hAnsi="CG Times"/>
      <w:b/>
      <w:color w:val="002060"/>
      <w:sz w:val="24"/>
      <w:lang w:val="en-US" w:eastAsia="en-US" w:bidi="en-US"/>
    </w:rPr>
  </w:style>
  <w:style w:type="paragraph" w:styleId="Title">
    <w:name w:val="Title"/>
    <w:basedOn w:val="Normal"/>
    <w:next w:val="Normal"/>
    <w:link w:val="TitleChar"/>
    <w:uiPriority w:val="10"/>
    <w:qFormat/>
    <w:rsid w:val="00546C7E"/>
    <w:pPr>
      <w:pBdr>
        <w:top w:val="single" w:sz="12" w:space="1" w:color="C0504D"/>
      </w:pBdr>
      <w:suppressAutoHyphens w:val="0"/>
      <w:spacing w:after="200" w:line="240" w:lineRule="auto"/>
      <w:jc w:val="right"/>
    </w:pPr>
    <w:rPr>
      <w:rFonts w:ascii="Calibri" w:hAnsi="Calibri"/>
      <w:smallCaps/>
      <w:sz w:val="48"/>
      <w:szCs w:val="48"/>
      <w:lang w:val="x-none" w:eastAsia="x-none"/>
    </w:rPr>
  </w:style>
  <w:style w:type="character" w:customStyle="1" w:styleId="TitleChar">
    <w:name w:val="Title Char"/>
    <w:link w:val="Title"/>
    <w:uiPriority w:val="10"/>
    <w:rsid w:val="00546C7E"/>
    <w:rPr>
      <w:rFonts w:ascii="Calibri" w:hAnsi="Calibri"/>
      <w:smallCaps/>
      <w:sz w:val="48"/>
      <w:szCs w:val="48"/>
      <w:lang w:val="x-none" w:eastAsia="x-none"/>
    </w:rPr>
  </w:style>
  <w:style w:type="paragraph" w:styleId="BodyTextIndent2">
    <w:name w:val="Body Text Indent 2"/>
    <w:basedOn w:val="Normal"/>
    <w:link w:val="BodyTextIndent2Char"/>
    <w:rsid w:val="00546C7E"/>
    <w:pPr>
      <w:suppressAutoHyphens w:val="0"/>
      <w:spacing w:after="200" w:line="360" w:lineRule="auto"/>
      <w:ind w:left="720" w:hanging="720"/>
      <w:jc w:val="both"/>
    </w:pPr>
    <w:rPr>
      <w:rFonts w:ascii="CG Times" w:hAnsi="CG Times"/>
      <w:color w:val="002060"/>
      <w:sz w:val="24"/>
      <w:lang w:val="en-US" w:bidi="en-US"/>
    </w:rPr>
  </w:style>
  <w:style w:type="character" w:customStyle="1" w:styleId="BodyTextIndent2Char">
    <w:name w:val="Body Text Indent 2 Char"/>
    <w:link w:val="BodyTextIndent2"/>
    <w:rsid w:val="00546C7E"/>
    <w:rPr>
      <w:rFonts w:ascii="CG Times" w:hAnsi="CG Times"/>
      <w:color w:val="002060"/>
      <w:sz w:val="24"/>
      <w:lang w:val="en-US" w:eastAsia="en-US" w:bidi="en-US"/>
    </w:rPr>
  </w:style>
  <w:style w:type="paragraph" w:styleId="Caption">
    <w:name w:val="caption"/>
    <w:basedOn w:val="Normal"/>
    <w:next w:val="Normal"/>
    <w:qFormat/>
    <w:rsid w:val="00546C7E"/>
    <w:pPr>
      <w:suppressAutoHyphens w:val="0"/>
      <w:spacing w:after="200" w:line="360" w:lineRule="auto"/>
      <w:jc w:val="both"/>
    </w:pPr>
    <w:rPr>
      <w:rFonts w:ascii="Garamond" w:hAnsi="Garamond"/>
      <w:b/>
      <w:bCs/>
      <w:caps/>
      <w:color w:val="002060"/>
      <w:sz w:val="16"/>
      <w:szCs w:val="18"/>
      <w:lang w:val="en-US" w:bidi="en-US"/>
    </w:rPr>
  </w:style>
  <w:style w:type="paragraph" w:styleId="BodyTextIndent3">
    <w:name w:val="Body Text Indent 3"/>
    <w:basedOn w:val="Normal"/>
    <w:link w:val="BodyTextIndent3Char"/>
    <w:rsid w:val="00546C7E"/>
    <w:pPr>
      <w:tabs>
        <w:tab w:val="left" w:pos="-432"/>
        <w:tab w:val="left" w:pos="144"/>
        <w:tab w:val="left" w:pos="810"/>
        <w:tab w:val="left" w:pos="5184"/>
        <w:tab w:val="left" w:pos="5760"/>
        <w:tab w:val="left" w:pos="6336"/>
        <w:tab w:val="left" w:pos="6912"/>
        <w:tab w:val="left" w:pos="7488"/>
      </w:tabs>
      <w:suppressAutoHyphens w:val="0"/>
      <w:spacing w:after="200" w:line="360" w:lineRule="auto"/>
      <w:ind w:left="720"/>
      <w:jc w:val="both"/>
    </w:pPr>
    <w:rPr>
      <w:rFonts w:ascii="CG Times" w:hAnsi="CG Times"/>
      <w:color w:val="002060"/>
      <w:sz w:val="24"/>
      <w:lang w:val="en-US" w:bidi="en-US"/>
    </w:rPr>
  </w:style>
  <w:style w:type="character" w:customStyle="1" w:styleId="BodyTextIndent3Char">
    <w:name w:val="Body Text Indent 3 Char"/>
    <w:link w:val="BodyTextIndent3"/>
    <w:rsid w:val="00546C7E"/>
    <w:rPr>
      <w:rFonts w:ascii="CG Times" w:hAnsi="CG Times"/>
      <w:color w:val="002060"/>
      <w:sz w:val="24"/>
      <w:lang w:val="en-US" w:eastAsia="en-US" w:bidi="en-US"/>
    </w:rPr>
  </w:style>
  <w:style w:type="paragraph" w:styleId="BalloonText">
    <w:name w:val="Balloon Text"/>
    <w:basedOn w:val="Normal"/>
    <w:link w:val="BalloonTextChar"/>
    <w:rsid w:val="00546C7E"/>
    <w:pPr>
      <w:suppressAutoHyphens w:val="0"/>
      <w:spacing w:after="200" w:line="360" w:lineRule="auto"/>
      <w:jc w:val="both"/>
    </w:pPr>
    <w:rPr>
      <w:rFonts w:ascii="Tahoma" w:hAnsi="Tahoma" w:cs="Tahoma"/>
      <w:color w:val="002060"/>
      <w:sz w:val="16"/>
      <w:szCs w:val="16"/>
      <w:lang w:val="en-US" w:bidi="en-US"/>
    </w:rPr>
  </w:style>
  <w:style w:type="character" w:customStyle="1" w:styleId="BalloonTextChar">
    <w:name w:val="Balloon Text Char"/>
    <w:link w:val="BalloonText"/>
    <w:rsid w:val="00546C7E"/>
    <w:rPr>
      <w:rFonts w:ascii="Tahoma" w:hAnsi="Tahoma" w:cs="Tahoma"/>
      <w:color w:val="002060"/>
      <w:sz w:val="16"/>
      <w:szCs w:val="16"/>
      <w:lang w:val="en-US" w:eastAsia="en-US" w:bidi="en-US"/>
    </w:rPr>
  </w:style>
  <w:style w:type="paragraph" w:styleId="TOC1">
    <w:name w:val="toc 1"/>
    <w:basedOn w:val="Normal"/>
    <w:next w:val="Normal"/>
    <w:autoRedefine/>
    <w:rsid w:val="00546C7E"/>
    <w:pPr>
      <w:tabs>
        <w:tab w:val="right" w:leader="dot" w:pos="9304"/>
      </w:tabs>
      <w:suppressAutoHyphens w:val="0"/>
      <w:spacing w:after="200" w:line="240" w:lineRule="auto"/>
      <w:jc w:val="both"/>
    </w:pPr>
    <w:rPr>
      <w:noProof/>
      <w:color w:val="000000"/>
      <w:sz w:val="24"/>
      <w:lang w:val="en-US" w:bidi="en-US"/>
    </w:rPr>
  </w:style>
  <w:style w:type="paragraph" w:styleId="TOC2">
    <w:name w:val="toc 2"/>
    <w:basedOn w:val="Normal"/>
    <w:next w:val="Normal"/>
    <w:autoRedefine/>
    <w:rsid w:val="00546C7E"/>
    <w:pPr>
      <w:tabs>
        <w:tab w:val="right" w:leader="dot" w:pos="9304"/>
      </w:tabs>
      <w:suppressAutoHyphens w:val="0"/>
      <w:spacing w:after="200" w:line="240" w:lineRule="auto"/>
      <w:jc w:val="both"/>
    </w:pPr>
    <w:rPr>
      <w:b/>
      <w:noProof/>
      <w:color w:val="000000"/>
      <w:sz w:val="24"/>
      <w:lang w:val="en-US" w:bidi="en-US"/>
    </w:rPr>
  </w:style>
  <w:style w:type="paragraph" w:styleId="TOC3">
    <w:name w:val="toc 3"/>
    <w:basedOn w:val="Normal"/>
    <w:next w:val="Normal"/>
    <w:autoRedefine/>
    <w:rsid w:val="00546C7E"/>
    <w:pPr>
      <w:suppressAutoHyphens w:val="0"/>
      <w:spacing w:after="200" w:line="360" w:lineRule="auto"/>
      <w:ind w:left="400"/>
      <w:jc w:val="both"/>
    </w:pPr>
    <w:rPr>
      <w:rFonts w:ascii="Garamond" w:hAnsi="Garamond"/>
      <w:color w:val="002060"/>
      <w:sz w:val="24"/>
      <w:lang w:val="en-US" w:bidi="en-US"/>
    </w:rPr>
  </w:style>
  <w:style w:type="paragraph" w:styleId="TOC4">
    <w:name w:val="toc 4"/>
    <w:basedOn w:val="Normal"/>
    <w:next w:val="Normal"/>
    <w:autoRedefine/>
    <w:rsid w:val="00546C7E"/>
    <w:pPr>
      <w:suppressAutoHyphens w:val="0"/>
      <w:spacing w:after="200" w:line="360" w:lineRule="auto"/>
      <w:ind w:left="600"/>
      <w:jc w:val="both"/>
    </w:pPr>
    <w:rPr>
      <w:rFonts w:ascii="Garamond" w:hAnsi="Garamond"/>
      <w:color w:val="002060"/>
      <w:sz w:val="24"/>
      <w:lang w:val="en-US" w:bidi="en-US"/>
    </w:rPr>
  </w:style>
  <w:style w:type="paragraph" w:styleId="TOC5">
    <w:name w:val="toc 5"/>
    <w:basedOn w:val="Normal"/>
    <w:next w:val="Normal"/>
    <w:autoRedefine/>
    <w:rsid w:val="00546C7E"/>
    <w:pPr>
      <w:suppressAutoHyphens w:val="0"/>
      <w:spacing w:after="200" w:line="360" w:lineRule="auto"/>
      <w:ind w:left="800"/>
      <w:jc w:val="both"/>
    </w:pPr>
    <w:rPr>
      <w:rFonts w:ascii="Garamond" w:hAnsi="Garamond"/>
      <w:color w:val="002060"/>
      <w:sz w:val="24"/>
      <w:lang w:val="en-US" w:bidi="en-US"/>
    </w:rPr>
  </w:style>
  <w:style w:type="paragraph" w:styleId="TOC6">
    <w:name w:val="toc 6"/>
    <w:basedOn w:val="Normal"/>
    <w:next w:val="Normal"/>
    <w:autoRedefine/>
    <w:rsid w:val="00546C7E"/>
    <w:pPr>
      <w:suppressAutoHyphens w:val="0"/>
      <w:spacing w:after="200" w:line="360" w:lineRule="auto"/>
      <w:ind w:left="1000"/>
      <w:jc w:val="both"/>
    </w:pPr>
    <w:rPr>
      <w:rFonts w:ascii="Garamond" w:hAnsi="Garamond"/>
      <w:color w:val="002060"/>
      <w:sz w:val="24"/>
      <w:lang w:val="en-US" w:bidi="en-US"/>
    </w:rPr>
  </w:style>
  <w:style w:type="paragraph" w:styleId="TOC7">
    <w:name w:val="toc 7"/>
    <w:basedOn w:val="Normal"/>
    <w:next w:val="Normal"/>
    <w:autoRedefine/>
    <w:rsid w:val="00546C7E"/>
    <w:pPr>
      <w:suppressAutoHyphens w:val="0"/>
      <w:spacing w:after="200" w:line="360" w:lineRule="auto"/>
      <w:ind w:left="1200"/>
      <w:jc w:val="both"/>
    </w:pPr>
    <w:rPr>
      <w:rFonts w:ascii="Garamond" w:hAnsi="Garamond"/>
      <w:color w:val="002060"/>
      <w:sz w:val="24"/>
      <w:lang w:val="en-US" w:bidi="en-US"/>
    </w:rPr>
  </w:style>
  <w:style w:type="paragraph" w:styleId="TOC8">
    <w:name w:val="toc 8"/>
    <w:basedOn w:val="Normal"/>
    <w:next w:val="Normal"/>
    <w:autoRedefine/>
    <w:rsid w:val="00546C7E"/>
    <w:pPr>
      <w:suppressAutoHyphens w:val="0"/>
      <w:spacing w:after="200" w:line="360" w:lineRule="auto"/>
      <w:ind w:left="1400"/>
      <w:jc w:val="both"/>
    </w:pPr>
    <w:rPr>
      <w:rFonts w:ascii="Garamond" w:hAnsi="Garamond"/>
      <w:color w:val="002060"/>
      <w:sz w:val="24"/>
      <w:lang w:val="en-US" w:bidi="en-US"/>
    </w:rPr>
  </w:style>
  <w:style w:type="paragraph" w:styleId="TOC9">
    <w:name w:val="toc 9"/>
    <w:basedOn w:val="Normal"/>
    <w:next w:val="Normal"/>
    <w:autoRedefine/>
    <w:rsid w:val="00546C7E"/>
    <w:pPr>
      <w:suppressAutoHyphens w:val="0"/>
      <w:spacing w:after="200" w:line="360" w:lineRule="auto"/>
      <w:ind w:left="1600"/>
      <w:jc w:val="both"/>
    </w:pPr>
    <w:rPr>
      <w:rFonts w:ascii="Garamond" w:hAnsi="Garamond"/>
      <w:color w:val="002060"/>
      <w:sz w:val="24"/>
      <w:lang w:val="en-US" w:bidi="en-US"/>
    </w:rPr>
  </w:style>
  <w:style w:type="paragraph" w:styleId="NormalWeb">
    <w:name w:val="Normal (Web)"/>
    <w:basedOn w:val="Normal"/>
    <w:uiPriority w:val="99"/>
    <w:rsid w:val="00546C7E"/>
    <w:pPr>
      <w:suppressAutoHyphens w:val="0"/>
      <w:spacing w:before="100" w:beforeAutospacing="1" w:after="100" w:afterAutospacing="1" w:line="360" w:lineRule="auto"/>
      <w:jc w:val="both"/>
    </w:pPr>
    <w:rPr>
      <w:rFonts w:ascii="Garamond" w:hAnsi="Garamond"/>
      <w:color w:val="002060"/>
      <w:sz w:val="24"/>
      <w:szCs w:val="24"/>
      <w:lang w:val="en-US" w:bidi="en-US"/>
    </w:rPr>
  </w:style>
  <w:style w:type="character" w:customStyle="1" w:styleId="Heading1Char">
    <w:name w:val="Heading 1 Char"/>
    <w:aliases w:val="Table_G Char"/>
    <w:link w:val="Heading1"/>
    <w:uiPriority w:val="9"/>
    <w:rsid w:val="00546C7E"/>
    <w:rPr>
      <w:lang w:eastAsia="en-US"/>
    </w:rPr>
  </w:style>
  <w:style w:type="character" w:customStyle="1" w:styleId="Heading2Char">
    <w:name w:val="Heading 2 Char"/>
    <w:link w:val="Heading2"/>
    <w:uiPriority w:val="9"/>
    <w:rsid w:val="00546C7E"/>
    <w:rPr>
      <w:lang w:eastAsia="en-US"/>
    </w:rPr>
  </w:style>
  <w:style w:type="character" w:customStyle="1" w:styleId="Heading3Char">
    <w:name w:val="Heading 3 Char"/>
    <w:link w:val="Heading3"/>
    <w:uiPriority w:val="9"/>
    <w:rsid w:val="00546C7E"/>
    <w:rPr>
      <w:lang w:eastAsia="en-US"/>
    </w:rPr>
  </w:style>
  <w:style w:type="character" w:customStyle="1" w:styleId="Heading4Char">
    <w:name w:val="Heading 4 Char"/>
    <w:link w:val="Heading4"/>
    <w:uiPriority w:val="9"/>
    <w:rsid w:val="00546C7E"/>
    <w:rPr>
      <w:lang w:eastAsia="en-US"/>
    </w:rPr>
  </w:style>
  <w:style w:type="character" w:customStyle="1" w:styleId="Heading5Char">
    <w:name w:val="Heading 5 Char"/>
    <w:link w:val="Heading5"/>
    <w:uiPriority w:val="9"/>
    <w:rsid w:val="00546C7E"/>
    <w:rPr>
      <w:lang w:eastAsia="en-US"/>
    </w:rPr>
  </w:style>
  <w:style w:type="character" w:customStyle="1" w:styleId="Heading6Char">
    <w:name w:val="Heading 6 Char"/>
    <w:link w:val="Heading6"/>
    <w:uiPriority w:val="9"/>
    <w:rsid w:val="00546C7E"/>
    <w:rPr>
      <w:lang w:eastAsia="en-US"/>
    </w:rPr>
  </w:style>
  <w:style w:type="character" w:customStyle="1" w:styleId="Heading7Char">
    <w:name w:val="Heading 7 Char"/>
    <w:link w:val="Heading7"/>
    <w:uiPriority w:val="9"/>
    <w:rsid w:val="00546C7E"/>
    <w:rPr>
      <w:lang w:eastAsia="en-US"/>
    </w:rPr>
  </w:style>
  <w:style w:type="character" w:customStyle="1" w:styleId="Heading8Char">
    <w:name w:val="Heading 8 Char"/>
    <w:link w:val="Heading8"/>
    <w:uiPriority w:val="9"/>
    <w:rsid w:val="00546C7E"/>
    <w:rPr>
      <w:lang w:eastAsia="en-US"/>
    </w:rPr>
  </w:style>
  <w:style w:type="character" w:customStyle="1" w:styleId="Heading9Char">
    <w:name w:val="Heading 9 Char"/>
    <w:link w:val="Heading9"/>
    <w:uiPriority w:val="9"/>
    <w:rsid w:val="00546C7E"/>
    <w:rPr>
      <w:lang w:eastAsia="en-US"/>
    </w:rPr>
  </w:style>
  <w:style w:type="paragraph" w:styleId="Subtitle">
    <w:name w:val="Subtitle"/>
    <w:basedOn w:val="Normal"/>
    <w:next w:val="Normal"/>
    <w:link w:val="SubtitleChar"/>
    <w:uiPriority w:val="11"/>
    <w:qFormat/>
    <w:rsid w:val="00546C7E"/>
    <w:pPr>
      <w:suppressAutoHyphens w:val="0"/>
      <w:spacing w:after="720" w:line="240" w:lineRule="auto"/>
      <w:jc w:val="right"/>
    </w:pPr>
    <w:rPr>
      <w:rFonts w:ascii="Cambria" w:hAnsi="Cambria"/>
      <w:szCs w:val="22"/>
      <w:lang w:val="x-none" w:eastAsia="x-none"/>
    </w:rPr>
  </w:style>
  <w:style w:type="character" w:customStyle="1" w:styleId="SubtitleChar">
    <w:name w:val="Subtitle Char"/>
    <w:link w:val="Subtitle"/>
    <w:uiPriority w:val="11"/>
    <w:rsid w:val="00546C7E"/>
    <w:rPr>
      <w:rFonts w:ascii="Cambria" w:hAnsi="Cambria"/>
      <w:szCs w:val="22"/>
      <w:lang w:val="x-none" w:eastAsia="x-none"/>
    </w:rPr>
  </w:style>
  <w:style w:type="character" w:styleId="Strong">
    <w:name w:val="Strong"/>
    <w:uiPriority w:val="22"/>
    <w:qFormat/>
    <w:rsid w:val="00546C7E"/>
    <w:rPr>
      <w:b/>
      <w:color w:val="C0504D"/>
    </w:rPr>
  </w:style>
  <w:style w:type="character" w:styleId="Emphasis">
    <w:name w:val="Emphasis"/>
    <w:uiPriority w:val="20"/>
    <w:qFormat/>
    <w:rsid w:val="00546C7E"/>
    <w:rPr>
      <w:b/>
      <w:i/>
      <w:spacing w:val="10"/>
    </w:rPr>
  </w:style>
  <w:style w:type="character" w:customStyle="1" w:styleId="MediumGrid2Char">
    <w:name w:val="Medium Grid 2 Char"/>
    <w:link w:val="Tramemoyenne1-Accent11"/>
    <w:uiPriority w:val="1"/>
    <w:rsid w:val="00546C7E"/>
  </w:style>
  <w:style w:type="character" w:customStyle="1" w:styleId="ColorfulGrid-Accent1Char">
    <w:name w:val="Colorful Grid - Accent 1 Char"/>
    <w:link w:val="MediumGrid2-Accent2"/>
    <w:uiPriority w:val="29"/>
    <w:rsid w:val="00546C7E"/>
    <w:rPr>
      <w:i/>
    </w:rPr>
  </w:style>
  <w:style w:type="character" w:customStyle="1" w:styleId="LightShading-Accent2Char">
    <w:name w:val="Light Shading - Accent 2 Char"/>
    <w:link w:val="MediumGrid3-Accent2"/>
    <w:uiPriority w:val="30"/>
    <w:rsid w:val="00546C7E"/>
    <w:rPr>
      <w:b/>
      <w:i/>
      <w:color w:val="FFFFFF"/>
      <w:shd w:val="clear" w:color="auto" w:fill="C0504D"/>
    </w:rPr>
  </w:style>
  <w:style w:type="character" w:customStyle="1" w:styleId="SubtleEmphasis1">
    <w:name w:val="Subtle Emphasis1"/>
    <w:uiPriority w:val="19"/>
    <w:qFormat/>
    <w:rsid w:val="00546C7E"/>
    <w:rPr>
      <w:i/>
    </w:rPr>
  </w:style>
  <w:style w:type="character" w:customStyle="1" w:styleId="IntenseEmphasis1">
    <w:name w:val="Intense Emphasis1"/>
    <w:uiPriority w:val="21"/>
    <w:qFormat/>
    <w:rsid w:val="00546C7E"/>
    <w:rPr>
      <w:b/>
      <w:i/>
      <w:color w:val="C0504D"/>
      <w:spacing w:val="10"/>
    </w:rPr>
  </w:style>
  <w:style w:type="character" w:customStyle="1" w:styleId="SubtleReference1">
    <w:name w:val="Subtle Reference1"/>
    <w:uiPriority w:val="31"/>
    <w:qFormat/>
    <w:rsid w:val="00546C7E"/>
    <w:rPr>
      <w:b/>
    </w:rPr>
  </w:style>
  <w:style w:type="character" w:customStyle="1" w:styleId="IntenseReference1">
    <w:name w:val="Intense Reference1"/>
    <w:uiPriority w:val="32"/>
    <w:qFormat/>
    <w:rsid w:val="00546C7E"/>
    <w:rPr>
      <w:b/>
      <w:bCs/>
      <w:smallCaps/>
      <w:spacing w:val="5"/>
      <w:sz w:val="22"/>
      <w:szCs w:val="22"/>
      <w:u w:val="single"/>
    </w:rPr>
  </w:style>
  <w:style w:type="character" w:customStyle="1" w:styleId="BookTitle1">
    <w:name w:val="Book Title1"/>
    <w:uiPriority w:val="33"/>
    <w:qFormat/>
    <w:rsid w:val="00546C7E"/>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qFormat/>
    <w:rsid w:val="00546C7E"/>
    <w:pPr>
      <w:suppressAutoHyphens w:val="0"/>
      <w:spacing w:before="300" w:after="40" w:line="360" w:lineRule="auto"/>
      <w:ind w:left="0"/>
      <w:outlineLvl w:val="9"/>
    </w:pPr>
    <w:rPr>
      <w:rFonts w:ascii="Calibri" w:hAnsi="Calibri"/>
      <w:smallCaps/>
      <w:spacing w:val="5"/>
      <w:sz w:val="32"/>
      <w:szCs w:val="32"/>
      <w:lang w:eastAsia="x-none"/>
    </w:rPr>
  </w:style>
  <w:style w:type="character" w:customStyle="1" w:styleId="HeaderChar">
    <w:name w:val="Header Char"/>
    <w:aliases w:val="6_G Char"/>
    <w:link w:val="Header"/>
    <w:uiPriority w:val="99"/>
    <w:rsid w:val="00546C7E"/>
    <w:rPr>
      <w:b/>
      <w:sz w:val="18"/>
      <w:lang w:eastAsia="en-US"/>
    </w:rPr>
  </w:style>
  <w:style w:type="character" w:customStyle="1" w:styleId="FooterChar">
    <w:name w:val="Footer Char"/>
    <w:aliases w:val="3_G Char"/>
    <w:link w:val="Footer"/>
    <w:uiPriority w:val="99"/>
    <w:rsid w:val="00546C7E"/>
    <w:rPr>
      <w:sz w:val="16"/>
      <w:lang w:eastAsia="en-US"/>
    </w:rPr>
  </w:style>
  <w:style w:type="character" w:styleId="CommentReference">
    <w:name w:val="annotation reference"/>
    <w:rsid w:val="00546C7E"/>
    <w:rPr>
      <w:sz w:val="16"/>
      <w:szCs w:val="16"/>
    </w:rPr>
  </w:style>
  <w:style w:type="paragraph" w:styleId="CommentText">
    <w:name w:val="annotation text"/>
    <w:basedOn w:val="Normal"/>
    <w:link w:val="CommentTextChar"/>
    <w:rsid w:val="00546C7E"/>
    <w:pPr>
      <w:suppressAutoHyphens w:val="0"/>
      <w:spacing w:after="200" w:line="360" w:lineRule="auto"/>
      <w:jc w:val="both"/>
    </w:pPr>
    <w:rPr>
      <w:rFonts w:ascii="Garamond" w:hAnsi="Garamond"/>
      <w:color w:val="002060"/>
      <w:lang w:val="en-US" w:bidi="en-US"/>
    </w:rPr>
  </w:style>
  <w:style w:type="character" w:customStyle="1" w:styleId="CommentTextChar">
    <w:name w:val="Comment Text Char"/>
    <w:link w:val="CommentText"/>
    <w:rsid w:val="00546C7E"/>
    <w:rPr>
      <w:rFonts w:ascii="Garamond" w:hAnsi="Garamond"/>
      <w:color w:val="002060"/>
      <w:lang w:val="en-US" w:eastAsia="en-US" w:bidi="en-US"/>
    </w:rPr>
  </w:style>
  <w:style w:type="paragraph" w:styleId="CommentSubject">
    <w:name w:val="annotation subject"/>
    <w:basedOn w:val="CommentText"/>
    <w:next w:val="CommentText"/>
    <w:link w:val="CommentSubjectChar"/>
    <w:rsid w:val="00546C7E"/>
    <w:rPr>
      <w:b/>
      <w:bCs/>
    </w:rPr>
  </w:style>
  <w:style w:type="character" w:customStyle="1" w:styleId="CommentSubjectChar">
    <w:name w:val="Comment Subject Char"/>
    <w:link w:val="CommentSubject"/>
    <w:rsid w:val="00546C7E"/>
    <w:rPr>
      <w:rFonts w:ascii="Garamond" w:hAnsi="Garamond"/>
      <w:b/>
      <w:bCs/>
      <w:color w:val="002060"/>
      <w:lang w:val="en-US" w:eastAsia="en-US" w:bidi="en-US"/>
    </w:rPr>
  </w:style>
  <w:style w:type="table" w:customStyle="1" w:styleId="Tramemoyenne1-Accent11">
    <w:name w:val="Trame moyenne 1 - Accent 11"/>
    <w:basedOn w:val="TableNormal"/>
    <w:link w:val="MediumGrid2Char"/>
    <w:uiPriority w:val="1"/>
    <w:rsid w:val="00546C7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ColorfulGrid-Accent1Char"/>
    <w:uiPriority w:val="29"/>
    <w:rsid w:val="00546C7E"/>
    <w:rPr>
      <w:i/>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2">
    <w:name w:val="Medium Grid 3 Accent 2"/>
    <w:basedOn w:val="TableNormal"/>
    <w:link w:val="LightShading-Accent2Char"/>
    <w:uiPriority w:val="30"/>
    <w:rsid w:val="00546C7E"/>
    <w:rPr>
      <w:b/>
      <w:i/>
      <w:color w:val="FFFFFF"/>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ColorfulShading-Accent1">
    <w:name w:val="Colorful Shading Accent 1"/>
    <w:hidden/>
    <w:uiPriority w:val="99"/>
    <w:semiHidden/>
    <w:rsid w:val="000212A1"/>
    <w:rPr>
      <w:lang w:val="en-GB"/>
    </w:rPr>
  </w:style>
  <w:style w:type="paragraph" w:styleId="Revision">
    <w:name w:val="Revision"/>
    <w:hidden/>
    <w:uiPriority w:val="99"/>
    <w:semiHidden/>
    <w:rsid w:val="00F9669E"/>
    <w:rPr>
      <w:lang w:val="en-GB"/>
    </w:rPr>
  </w:style>
  <w:style w:type="character" w:customStyle="1" w:styleId="SingleTxtGCar">
    <w:name w:val="_ Single Txt_G Car"/>
    <w:link w:val="SingleTxtG"/>
    <w:rsid w:val="000F50D1"/>
    <w:rPr>
      <w:lang w:eastAsia="en-US"/>
    </w:rPr>
  </w:style>
  <w:style w:type="paragraph" w:customStyle="1" w:styleId="Source">
    <w:name w:val="Source"/>
    <w:basedOn w:val="SingleTxtG"/>
    <w:qFormat/>
    <w:rsid w:val="004C7DE9"/>
    <w:pPr>
      <w:spacing w:before="120" w:after="240" w:line="220" w:lineRule="atLeast"/>
      <w:ind w:firstLine="170"/>
      <w:jc w:val="left"/>
    </w:pPr>
    <w:rPr>
      <w:iCs/>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71</Pages>
  <Words>35770</Words>
  <Characters>203889</Characters>
  <Application>Microsoft Office Word</Application>
  <DocSecurity>4</DocSecurity>
  <Lines>1699</Lines>
  <Paragraphs>478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239181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2015-06-30T08:42:00Z</dcterms:created>
  <dcterms:modified xsi:type="dcterms:W3CDTF">2015-06-30T10:32:00Z</dcterms:modified>
</cp:coreProperties>
</file>