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A545C9">
                <w:t>C.12/UZB/CO/2</w:t>
              </w:r>
            </w:fldSimple>
            <w:r>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r w:rsidRPr="00F827BA">
              <w:rPr>
                <w:lang w:val="en-US"/>
              </w:rPr>
              <w:t>Distr</w:t>
            </w:r>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fldSimple w:instr=" FILLIN  &quot;Введите дату документа&quot; \* MERGEFORMAT ">
              <w:r w:rsidR="00A545C9">
                <w:rPr>
                  <w:lang w:val="en-US"/>
                </w:rPr>
                <w:t>13 June 2014</w:t>
              </w:r>
            </w:fldSimple>
          </w:p>
          <w:p w:rsidR="00A10348" w:rsidRPr="00F827BA" w:rsidRDefault="00A10348" w:rsidP="00FD22B8">
            <w:r w:rsidRPr="00F827BA">
              <w:rPr>
                <w:lang w:val="en-US"/>
              </w:rPr>
              <w:t>Russian</w:t>
            </w:r>
          </w:p>
          <w:p w:rsidR="00A10348" w:rsidRPr="00F827BA" w:rsidRDefault="00A10348" w:rsidP="00FD22B8">
            <w:r w:rsidRPr="00F827BA">
              <w:rPr>
                <w:lang w:val="en-US"/>
              </w:rPr>
              <w:t>Original</w:t>
            </w:r>
            <w:r w:rsidRPr="00F827BA">
              <w:t xml:space="preserve">: </w:t>
            </w:r>
            <w:bookmarkStart w:id="1" w:name="ПолеСоСписком2"/>
            <w:r w:rsidRPr="00F827BA">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F827BA">
              <w:rPr>
                <w:lang w:val="en-US"/>
              </w:rPr>
              <w:instrText xml:space="preserve"> FORMDROPDOWN </w:instrText>
            </w:r>
            <w:r w:rsidRPr="00F827BA">
              <w:fldChar w:fldCharType="end"/>
            </w:r>
            <w:bookmarkEnd w:id="1"/>
          </w:p>
          <w:p w:rsidR="00A10348" w:rsidRPr="00635870" w:rsidRDefault="00A10348" w:rsidP="00FD22B8"/>
        </w:tc>
      </w:tr>
    </w:tbl>
    <w:p w:rsidR="009C12DE" w:rsidRPr="00AF0036" w:rsidRDefault="009C12DE" w:rsidP="009C12DE">
      <w:pPr>
        <w:spacing w:before="120"/>
        <w:rPr>
          <w:b/>
          <w:sz w:val="24"/>
          <w:szCs w:val="24"/>
        </w:rPr>
      </w:pPr>
      <w:r w:rsidRPr="00AF0036">
        <w:rPr>
          <w:b/>
          <w:sz w:val="24"/>
          <w:szCs w:val="24"/>
        </w:rPr>
        <w:t xml:space="preserve">Комитет по экономическим, социальным </w:t>
      </w:r>
      <w:r w:rsidRPr="006B0B08">
        <w:rPr>
          <w:b/>
          <w:sz w:val="24"/>
          <w:szCs w:val="24"/>
        </w:rPr>
        <w:br/>
      </w:r>
      <w:r w:rsidRPr="00AF0036">
        <w:rPr>
          <w:b/>
          <w:sz w:val="24"/>
          <w:szCs w:val="24"/>
        </w:rPr>
        <w:t>и культурным правам</w:t>
      </w:r>
    </w:p>
    <w:p w:rsidR="009C12DE" w:rsidRPr="00D4298B" w:rsidRDefault="009C12DE" w:rsidP="009C12DE">
      <w:pPr>
        <w:pStyle w:val="HChGR"/>
      </w:pPr>
      <w:r w:rsidRPr="006B0B08">
        <w:tab/>
      </w:r>
      <w:r w:rsidRPr="006B0B08">
        <w:tab/>
      </w:r>
      <w:r w:rsidRPr="00D4298B">
        <w:t>Заключительные замечания по второму периодическому доклад</w:t>
      </w:r>
      <w:r w:rsidR="00FA5B97">
        <w:t>у</w:t>
      </w:r>
      <w:r w:rsidRPr="00D4298B">
        <w:t xml:space="preserve"> Узбекистана</w:t>
      </w:r>
      <w:r w:rsidRPr="003E6B0E">
        <w:rPr>
          <w:rStyle w:val="FootnoteReference"/>
          <w:b w:val="0"/>
          <w:spacing w:val="5"/>
          <w:w w:val="104"/>
          <w:szCs w:val="18"/>
          <w:vertAlign w:val="baseline"/>
        </w:rPr>
        <w:footnoteReference w:customMarkFollows="1" w:id="1"/>
        <w:t>*</w:t>
      </w:r>
    </w:p>
    <w:p w:rsidR="009C12DE" w:rsidRDefault="009C12DE" w:rsidP="009C12DE">
      <w:pPr>
        <w:pStyle w:val="SingleTxtGR"/>
      </w:pPr>
      <w:r w:rsidRPr="00D4298B">
        <w:t>1.</w:t>
      </w:r>
      <w:r w:rsidRPr="00D4298B">
        <w:tab/>
        <w:t>Комитет по экономическим, социальным и культурным правам рассмо</w:t>
      </w:r>
      <w:r w:rsidRPr="00D4298B">
        <w:t>т</w:t>
      </w:r>
      <w:r w:rsidRPr="00D4298B">
        <w:t>рел второй периодический доклад Узбекистана (</w:t>
      </w:r>
      <w:r w:rsidRPr="00D4298B">
        <w:rPr>
          <w:lang w:val="en-GB"/>
        </w:rPr>
        <w:t>E</w:t>
      </w:r>
      <w:r w:rsidRPr="00D4298B">
        <w:t>/</w:t>
      </w:r>
      <w:r w:rsidRPr="00D4298B">
        <w:rPr>
          <w:lang w:val="en-GB"/>
        </w:rPr>
        <w:t>C</w:t>
      </w:r>
      <w:r w:rsidRPr="00D4298B">
        <w:t>.12/</w:t>
      </w:r>
      <w:r w:rsidRPr="00D4298B">
        <w:rPr>
          <w:lang w:val="en-GB"/>
        </w:rPr>
        <w:t>UZB</w:t>
      </w:r>
      <w:r w:rsidRPr="00D4298B">
        <w:t>/2) на своих 23-м и</w:t>
      </w:r>
      <w:r w:rsidR="00B82962">
        <w:t> </w:t>
      </w:r>
      <w:r w:rsidRPr="00D4298B">
        <w:t>24-м заседаниях</w:t>
      </w:r>
      <w:r w:rsidR="00B82962">
        <w:t>, состоявшихся</w:t>
      </w:r>
      <w:r w:rsidRPr="00D4298B">
        <w:t xml:space="preserve"> 13 мая 2014 года (</w:t>
      </w:r>
      <w:r w:rsidRPr="00D4298B">
        <w:rPr>
          <w:lang w:val="en-GB"/>
        </w:rPr>
        <w:t>E</w:t>
      </w:r>
      <w:r w:rsidRPr="00D4298B">
        <w:t>/</w:t>
      </w:r>
      <w:r w:rsidRPr="00D4298B">
        <w:rPr>
          <w:lang w:val="en-GB"/>
        </w:rPr>
        <w:t>C</w:t>
      </w:r>
      <w:r w:rsidRPr="00D4298B">
        <w:t>.12/2014/</w:t>
      </w:r>
      <w:r w:rsidRPr="00D4298B">
        <w:rPr>
          <w:lang w:val="en-GB"/>
        </w:rPr>
        <w:t>SR</w:t>
      </w:r>
      <w:r w:rsidRPr="00D4298B">
        <w:t>.23</w:t>
      </w:r>
      <w:r w:rsidR="00B82962">
        <w:t xml:space="preserve"> и </w:t>
      </w:r>
      <w:r w:rsidRPr="00D4298B">
        <w:t>24)</w:t>
      </w:r>
      <w:r w:rsidR="00B82962">
        <w:t>,</w:t>
      </w:r>
      <w:r w:rsidRPr="00D4298B">
        <w:t xml:space="preserve"> и на своем </w:t>
      </w:r>
      <w:r w:rsidRPr="004C7421">
        <w:t>40-м</w:t>
      </w:r>
      <w:r w:rsidRPr="00D4298B">
        <w:t xml:space="preserve"> заседании</w:t>
      </w:r>
      <w:r w:rsidR="00B82962">
        <w:t>, состоявшемся</w:t>
      </w:r>
      <w:r w:rsidRPr="00D4298B">
        <w:t xml:space="preserve"> 23 мая 2014 года</w:t>
      </w:r>
      <w:r w:rsidR="00B82962">
        <w:t>,</w:t>
      </w:r>
      <w:r w:rsidRPr="00D4298B">
        <w:t xml:space="preserve"> принял следующие заключительные замечания.</w:t>
      </w:r>
    </w:p>
    <w:p w:rsidR="00B82962" w:rsidRPr="00D4298B" w:rsidRDefault="00B82962" w:rsidP="00B82962">
      <w:pPr>
        <w:pStyle w:val="H1GR"/>
      </w:pPr>
      <w:r w:rsidRPr="009C12DE">
        <w:tab/>
      </w:r>
      <w:r w:rsidRPr="00D4298B">
        <w:t>А.</w:t>
      </w:r>
      <w:r w:rsidRPr="00D4298B">
        <w:tab/>
        <w:t>Введение</w:t>
      </w:r>
    </w:p>
    <w:p w:rsidR="009C12DE" w:rsidRPr="00D4298B" w:rsidRDefault="009C12DE" w:rsidP="009C12DE">
      <w:pPr>
        <w:pStyle w:val="SingleTxtGR"/>
      </w:pPr>
      <w:r w:rsidRPr="00D4298B">
        <w:t>2.</w:t>
      </w:r>
      <w:r w:rsidRPr="00D4298B">
        <w:tab/>
        <w:t>Комитет приветствует второй периодический доклад Узбекистана, вкл</w:t>
      </w:r>
      <w:r w:rsidRPr="00D4298B">
        <w:t>ю</w:t>
      </w:r>
      <w:r w:rsidRPr="00D4298B">
        <w:t>чающий информацию о мерах, принятых в связи с рядом рекомендаций, соде</w:t>
      </w:r>
      <w:r w:rsidRPr="00D4298B">
        <w:t>р</w:t>
      </w:r>
      <w:r w:rsidRPr="00D4298B">
        <w:t>жащихся в предыдущих заключительных замеч</w:t>
      </w:r>
      <w:r w:rsidRPr="00D4298B">
        <w:t>а</w:t>
      </w:r>
      <w:r w:rsidRPr="00D4298B">
        <w:t>ниях Комитета (</w:t>
      </w:r>
      <w:r w:rsidRPr="00D4298B">
        <w:rPr>
          <w:lang w:val="en-GB"/>
        </w:rPr>
        <w:t>E</w:t>
      </w:r>
      <w:r w:rsidRPr="00D4298B">
        <w:t>/</w:t>
      </w:r>
      <w:r w:rsidRPr="00D4298B">
        <w:rPr>
          <w:lang w:val="en-GB"/>
        </w:rPr>
        <w:t>C</w:t>
      </w:r>
      <w:r w:rsidRPr="00D4298B">
        <w:t>.12/</w:t>
      </w:r>
      <w:r w:rsidRPr="00D4298B">
        <w:rPr>
          <w:lang w:val="en-GB"/>
        </w:rPr>
        <w:t>UZB</w:t>
      </w:r>
      <w:r w:rsidRPr="00D4298B">
        <w:t>/</w:t>
      </w:r>
      <w:r w:rsidRPr="0025799F">
        <w:br/>
      </w:r>
      <w:r w:rsidRPr="00D4298B">
        <w:rPr>
          <w:lang w:val="en-GB"/>
        </w:rPr>
        <w:t>CO</w:t>
      </w:r>
      <w:r w:rsidRPr="00D4298B">
        <w:t xml:space="preserve">/1). Он </w:t>
      </w:r>
      <w:r w:rsidR="008178A5">
        <w:t xml:space="preserve">выражает </w:t>
      </w:r>
      <w:r w:rsidRPr="00D4298B">
        <w:t>признател</w:t>
      </w:r>
      <w:r w:rsidR="008178A5">
        <w:t>ьность</w:t>
      </w:r>
      <w:r>
        <w:t xml:space="preserve"> </w:t>
      </w:r>
      <w:r w:rsidRPr="00D4298B">
        <w:t>за письменные ответы на перечень вопр</w:t>
      </w:r>
      <w:r w:rsidRPr="00D4298B">
        <w:t>о</w:t>
      </w:r>
      <w:r w:rsidRPr="00D4298B">
        <w:t>сов (</w:t>
      </w:r>
      <w:r w:rsidRPr="00D4298B">
        <w:rPr>
          <w:lang w:val="en-GB"/>
        </w:rPr>
        <w:t>E</w:t>
      </w:r>
      <w:r w:rsidRPr="00D4298B">
        <w:t>/</w:t>
      </w:r>
      <w:r w:rsidRPr="00D4298B">
        <w:rPr>
          <w:lang w:val="en-GB"/>
        </w:rPr>
        <w:t>C</w:t>
      </w:r>
      <w:r w:rsidRPr="00D4298B">
        <w:t>.12/</w:t>
      </w:r>
      <w:r w:rsidRPr="00D4298B">
        <w:rPr>
          <w:lang w:val="en-GB"/>
        </w:rPr>
        <w:t>UZB</w:t>
      </w:r>
      <w:r w:rsidRPr="00D4298B">
        <w:t>/</w:t>
      </w:r>
      <w:r w:rsidRPr="00D4298B">
        <w:rPr>
          <w:lang w:val="en-GB"/>
        </w:rPr>
        <w:t>Q</w:t>
      </w:r>
      <w:r w:rsidRPr="00D4298B">
        <w:t>/2/</w:t>
      </w:r>
      <w:r w:rsidRPr="00D4298B">
        <w:rPr>
          <w:lang w:val="en-GB"/>
        </w:rPr>
        <w:t>Add</w:t>
      </w:r>
      <w:r w:rsidRPr="00D4298B">
        <w:t>.1) и дополнительную информацию, представленную делегацией высокого уровня государства-участника в ходе рассмотрения докл</w:t>
      </w:r>
      <w:r w:rsidRPr="00D4298B">
        <w:t>а</w:t>
      </w:r>
      <w:r w:rsidRPr="00D4298B">
        <w:t>да.</w:t>
      </w:r>
    </w:p>
    <w:p w:rsidR="009C12DE" w:rsidRPr="00D4298B" w:rsidRDefault="009C12DE" w:rsidP="009C12DE">
      <w:pPr>
        <w:pStyle w:val="H1GR"/>
      </w:pPr>
      <w:r w:rsidRPr="009C12DE">
        <w:tab/>
      </w:r>
      <w:r w:rsidRPr="00D4298B">
        <w:t>В.</w:t>
      </w:r>
      <w:r w:rsidRPr="00D4298B">
        <w:tab/>
        <w:t>Позитивные аспекты</w:t>
      </w:r>
    </w:p>
    <w:p w:rsidR="009C12DE" w:rsidRPr="00D4298B" w:rsidRDefault="009C12DE" w:rsidP="009C12DE">
      <w:pPr>
        <w:pStyle w:val="SingleTxtGR"/>
      </w:pPr>
      <w:r w:rsidRPr="00D4298B">
        <w:t>3.</w:t>
      </w:r>
      <w:r w:rsidRPr="00D4298B">
        <w:tab/>
        <w:t>Комитет приветствует ратификацию государством-участником за время, прошедшее с момента рассмотрения его первоначального доклада</w:t>
      </w:r>
      <w:r>
        <w:t>,</w:t>
      </w:r>
      <w:r w:rsidRPr="00D4298B">
        <w:t xml:space="preserve"> </w:t>
      </w:r>
      <w:r w:rsidR="00312218">
        <w:t>в частности</w:t>
      </w:r>
      <w:r w:rsidR="001334A6">
        <w:t>,</w:t>
      </w:r>
      <w:r w:rsidR="00312218">
        <w:t xml:space="preserve"> </w:t>
      </w:r>
      <w:r w:rsidRPr="00D4298B">
        <w:t xml:space="preserve">следующих международно-правовых документов: </w:t>
      </w:r>
    </w:p>
    <w:p w:rsidR="009C12DE" w:rsidRPr="00D4298B" w:rsidRDefault="009C12DE" w:rsidP="009C12DE">
      <w:pPr>
        <w:pStyle w:val="SingleTxtGR"/>
      </w:pPr>
      <w:r w:rsidRPr="00D4298B">
        <w:tab/>
        <w:t>а)</w:t>
      </w:r>
      <w:r w:rsidRPr="00D4298B">
        <w:tab/>
      </w:r>
      <w:r w:rsidR="001334A6">
        <w:t>Ф</w:t>
      </w:r>
      <w:r w:rsidRPr="00D4298B">
        <w:t>акультативных проток</w:t>
      </w:r>
      <w:r>
        <w:t>ол</w:t>
      </w:r>
      <w:r w:rsidRPr="00D4298B">
        <w:t>ов к Конвенции о правах ребенка, к</w:t>
      </w:r>
      <w:r w:rsidRPr="00D4298B">
        <w:t>а</w:t>
      </w:r>
      <w:r w:rsidRPr="00D4298B">
        <w:t>сающихся торговли детьми, детской проституции</w:t>
      </w:r>
      <w:r>
        <w:t xml:space="preserve"> и детской порнографии и участия</w:t>
      </w:r>
      <w:r w:rsidRPr="00D4298B">
        <w:t xml:space="preserve"> детей в вооруженных конфликтах (2008 год);</w:t>
      </w:r>
    </w:p>
    <w:p w:rsidR="009C12DE" w:rsidRPr="00D4298B" w:rsidRDefault="009C12DE" w:rsidP="001334A6">
      <w:pPr>
        <w:pStyle w:val="SingleTxtGR"/>
        <w:pageBreakBefore/>
      </w:pPr>
      <w:r w:rsidRPr="00D4298B">
        <w:tab/>
      </w:r>
      <w:r w:rsidRPr="00D4298B">
        <w:rPr>
          <w:lang w:val="en-US"/>
        </w:rPr>
        <w:t>b</w:t>
      </w:r>
      <w:r w:rsidRPr="00D4298B">
        <w:t>)</w:t>
      </w:r>
      <w:r w:rsidRPr="00D4298B">
        <w:tab/>
        <w:t>Протокола о предупреждении и пресечении торговли людьми, ос</w:t>
      </w:r>
      <w:r w:rsidRPr="00D4298B">
        <w:t>о</w:t>
      </w:r>
      <w:r w:rsidRPr="00D4298B">
        <w:t>бенно женщинами и детьми</w:t>
      </w:r>
      <w:r>
        <w:t>, и наказании за нее, дополняющего</w:t>
      </w:r>
      <w:r w:rsidRPr="00D4298B">
        <w:t xml:space="preserve"> Конвенцию О</w:t>
      </w:r>
      <w:r w:rsidRPr="00D4298B">
        <w:t>р</w:t>
      </w:r>
      <w:r w:rsidRPr="00D4298B">
        <w:t>ганизации Объединенных Наций против транснациональной организованной преступности (2008 год);</w:t>
      </w:r>
    </w:p>
    <w:p w:rsidR="009C12DE" w:rsidRPr="00D4298B" w:rsidRDefault="009C12DE" w:rsidP="009C12DE">
      <w:pPr>
        <w:pStyle w:val="SingleTxtGR"/>
      </w:pPr>
      <w:r w:rsidRPr="00D4298B">
        <w:tab/>
        <w:t>с)</w:t>
      </w:r>
      <w:r w:rsidRPr="00D4298B">
        <w:tab/>
        <w:t xml:space="preserve">Конвенции Организации Объединенных Наций против коррупции (2008 год); </w:t>
      </w:r>
    </w:p>
    <w:p w:rsidR="009C12DE" w:rsidRPr="00D4298B" w:rsidRDefault="009C12DE" w:rsidP="009C12DE">
      <w:pPr>
        <w:pStyle w:val="SingleTxtGR"/>
      </w:pPr>
      <w:r w:rsidRPr="00D4298B">
        <w:tab/>
      </w:r>
      <w:r w:rsidRPr="00D4298B">
        <w:rPr>
          <w:lang w:val="en-US"/>
        </w:rPr>
        <w:t>d</w:t>
      </w:r>
      <w:r w:rsidRPr="00D4298B">
        <w:t>)</w:t>
      </w:r>
      <w:r w:rsidRPr="00D4298B">
        <w:tab/>
      </w:r>
      <w:r>
        <w:t>Рамочной конвенции</w:t>
      </w:r>
      <w:r w:rsidRPr="00D4298B">
        <w:t xml:space="preserve"> Всемирной организации здравоохранения о борьбе против табака (2012 год);</w:t>
      </w:r>
    </w:p>
    <w:p w:rsidR="009C12DE" w:rsidRPr="00D4298B" w:rsidRDefault="009C12DE" w:rsidP="009C12DE">
      <w:pPr>
        <w:pStyle w:val="SingleTxtGR"/>
      </w:pPr>
      <w:r w:rsidRPr="00D4298B">
        <w:tab/>
        <w:t>е)</w:t>
      </w:r>
      <w:r w:rsidRPr="00D4298B">
        <w:tab/>
      </w:r>
      <w:r w:rsidR="001334A6">
        <w:t>К</w:t>
      </w:r>
      <w:r w:rsidRPr="00D4298B">
        <w:t>онвенци</w:t>
      </w:r>
      <w:r>
        <w:t>й</w:t>
      </w:r>
      <w:r w:rsidRPr="00D4298B">
        <w:t xml:space="preserve"> Международной организации труда (МОТ) № 182</w:t>
      </w:r>
      <w:r w:rsidR="001334A6">
        <w:t xml:space="preserve"> (1999 год</w:t>
      </w:r>
      <w:r w:rsidR="00E7637D">
        <w:t>а</w:t>
      </w:r>
      <w:r w:rsidR="001334A6">
        <w:t>)</w:t>
      </w:r>
      <w:r w:rsidRPr="00D4298B">
        <w:t xml:space="preserve"> (о запрещении и немедленных мерах по искоренению наихудших форм детского труда) (2008 год) и № 138</w:t>
      </w:r>
      <w:r w:rsidR="00DB0EDF">
        <w:t xml:space="preserve"> (1973 год</w:t>
      </w:r>
      <w:r w:rsidR="00E7637D">
        <w:t>а</w:t>
      </w:r>
      <w:r w:rsidR="00DB0EDF">
        <w:t>)</w:t>
      </w:r>
      <w:r w:rsidRPr="00D4298B">
        <w:t xml:space="preserve"> о минимальном возрасте для приема на р</w:t>
      </w:r>
      <w:r w:rsidRPr="00D4298B">
        <w:t>а</w:t>
      </w:r>
      <w:r w:rsidRPr="00D4298B">
        <w:t xml:space="preserve">боту (2009 год). </w:t>
      </w:r>
    </w:p>
    <w:p w:rsidR="009C12DE" w:rsidRPr="00D4298B" w:rsidRDefault="009C12DE" w:rsidP="009C12DE">
      <w:pPr>
        <w:pStyle w:val="SingleTxtGR"/>
      </w:pPr>
      <w:r w:rsidRPr="00D4298B">
        <w:t>4.</w:t>
      </w:r>
      <w:r w:rsidRPr="00D4298B">
        <w:tab/>
        <w:t>Комитет с удовлетворением отмечает усилия государства-участника по разработке и принятию законодательства, политики и программ в</w:t>
      </w:r>
      <w:r w:rsidR="00DB0EDF">
        <w:t xml:space="preserve"> ответ на </w:t>
      </w:r>
      <w:r w:rsidRPr="00D4298B">
        <w:t>р</w:t>
      </w:r>
      <w:r w:rsidRPr="00D4298B">
        <w:t>е</w:t>
      </w:r>
      <w:r w:rsidRPr="00D4298B">
        <w:t>комендаци</w:t>
      </w:r>
      <w:r w:rsidR="00DB0EDF">
        <w:t>и</w:t>
      </w:r>
      <w:r w:rsidRPr="00D4298B">
        <w:t xml:space="preserve"> Комитета, и в частности:</w:t>
      </w:r>
    </w:p>
    <w:p w:rsidR="009C12DE" w:rsidRPr="00D4298B" w:rsidRDefault="009C12DE" w:rsidP="009C12DE">
      <w:pPr>
        <w:pStyle w:val="SingleTxtGR"/>
      </w:pPr>
      <w:r w:rsidRPr="00D4298B">
        <w:tab/>
        <w:t>а)</w:t>
      </w:r>
      <w:r w:rsidRPr="00D4298B">
        <w:tab/>
        <w:t xml:space="preserve">принятие национальных планов действий </w:t>
      </w:r>
      <w:r w:rsidR="00DB0EDF">
        <w:t>по выполнению рекоме</w:t>
      </w:r>
      <w:r w:rsidR="00DB0EDF">
        <w:t>н</w:t>
      </w:r>
      <w:r w:rsidR="00DB0EDF">
        <w:t>даций, сформулированных Комитетом по итогам его</w:t>
      </w:r>
      <w:r w:rsidRPr="00D4298B">
        <w:t xml:space="preserve"> рассмотрения первон</w:t>
      </w:r>
      <w:r w:rsidRPr="00D4298B">
        <w:t>а</w:t>
      </w:r>
      <w:r w:rsidRPr="00D4298B">
        <w:t>чального доклада государства-участника в 2005 году</w:t>
      </w:r>
      <w:r w:rsidR="00BD449C" w:rsidRPr="00BD449C">
        <w:t>,</w:t>
      </w:r>
      <w:r w:rsidRPr="00D4298B">
        <w:t xml:space="preserve"> и </w:t>
      </w:r>
      <w:r w:rsidR="00907617">
        <w:t>усилия по выполнению К</w:t>
      </w:r>
      <w:r>
        <w:t>онвенций</w:t>
      </w:r>
      <w:r w:rsidR="00907617">
        <w:t xml:space="preserve"> МОТ</w:t>
      </w:r>
      <w:r w:rsidRPr="00D4298B">
        <w:t xml:space="preserve"> № 182 и № 138;</w:t>
      </w:r>
      <w:r w:rsidR="00907617">
        <w:t xml:space="preserve"> </w:t>
      </w:r>
      <w:r w:rsidRPr="00D4298B">
        <w:t>принятие страновой программы МОТ по обеспечению достойных условий труда (2014 год</w:t>
      </w:r>
      <w:r w:rsidR="00AE6C3F">
        <w:t>а</w:t>
      </w:r>
      <w:r w:rsidRPr="00D4298B">
        <w:t xml:space="preserve">); </w:t>
      </w:r>
      <w:r w:rsidR="00AE6C3F">
        <w:t>повышение в Трудовом к</w:t>
      </w:r>
      <w:r w:rsidR="00AE6C3F">
        <w:t>о</w:t>
      </w:r>
      <w:r w:rsidR="00AE6C3F">
        <w:t>дексе с 14 до 15 лет минимального возраста приема на работу и создание ме</w:t>
      </w:r>
      <w:r w:rsidR="00AE6C3F">
        <w:t>ж</w:t>
      </w:r>
      <w:r w:rsidR="00AE6C3F">
        <w:t>ведомственной системы мониторинга в целях недопущения принудительного труда</w:t>
      </w:r>
      <w:r w:rsidR="00D228FF">
        <w:t>;</w:t>
      </w:r>
    </w:p>
    <w:p w:rsidR="009C12DE" w:rsidRPr="00D4298B" w:rsidRDefault="009C12DE" w:rsidP="009C12DE">
      <w:pPr>
        <w:pStyle w:val="SingleTxtGR"/>
      </w:pPr>
      <w:r w:rsidRPr="00D4298B">
        <w:tab/>
      </w:r>
      <w:r w:rsidR="00D228FF">
        <w:t>b</w:t>
      </w:r>
      <w:r w:rsidRPr="00D4298B">
        <w:t>)</w:t>
      </w:r>
      <w:r w:rsidRPr="00D4298B">
        <w:tab/>
        <w:t>присоединение к Стамбульскому плану действий по борьбе с ко</w:t>
      </w:r>
      <w:r w:rsidRPr="00D4298B">
        <w:t>р</w:t>
      </w:r>
      <w:r w:rsidRPr="00D4298B">
        <w:t>рупцией в Восточной Европе и Центральной Азии (2010 год) и создание раб</w:t>
      </w:r>
      <w:r w:rsidRPr="00D4298B">
        <w:t>о</w:t>
      </w:r>
      <w:r w:rsidRPr="00D4298B">
        <w:t xml:space="preserve">чей группы по разработке антикоррупционного законодательства; </w:t>
      </w:r>
    </w:p>
    <w:p w:rsidR="009C12DE" w:rsidRPr="00D4298B" w:rsidRDefault="009C12DE" w:rsidP="009C12DE">
      <w:pPr>
        <w:pStyle w:val="SingleTxtGR"/>
      </w:pPr>
      <w:r w:rsidRPr="00D4298B">
        <w:tab/>
      </w:r>
      <w:r w:rsidR="00D228FF">
        <w:t>с</w:t>
      </w:r>
      <w:r w:rsidRPr="00D4298B">
        <w:t>)</w:t>
      </w:r>
      <w:r w:rsidRPr="00D4298B">
        <w:tab/>
        <w:t>принятие</w:t>
      </w:r>
      <w:r w:rsidR="00D228FF">
        <w:t xml:space="preserve"> новой редакции</w:t>
      </w:r>
      <w:r w:rsidRPr="00D4298B">
        <w:t xml:space="preserve"> Закона о социальн</w:t>
      </w:r>
      <w:r>
        <w:t>ой защищенности и</w:t>
      </w:r>
      <w:r>
        <w:t>н</w:t>
      </w:r>
      <w:r>
        <w:t>валидов (</w:t>
      </w:r>
      <w:r w:rsidR="00D228FF">
        <w:t xml:space="preserve">11 июля </w:t>
      </w:r>
      <w:r>
        <w:t>2008 </w:t>
      </w:r>
      <w:r w:rsidRPr="00D4298B">
        <w:t>год</w:t>
      </w:r>
      <w:r w:rsidR="00D228FF">
        <w:t>а</w:t>
      </w:r>
      <w:r w:rsidRPr="00D4298B">
        <w:t>) и Закона об экологич</w:t>
      </w:r>
      <w:r w:rsidRPr="00D4298B">
        <w:t>е</w:t>
      </w:r>
      <w:r w:rsidRPr="00D4298B">
        <w:t>ском контроле (2013 год</w:t>
      </w:r>
      <w:r w:rsidR="00D228FF">
        <w:t>а</w:t>
      </w:r>
      <w:r w:rsidRPr="00D4298B">
        <w:t xml:space="preserve">); </w:t>
      </w:r>
    </w:p>
    <w:p w:rsidR="009C12DE" w:rsidRPr="00D4298B" w:rsidRDefault="009C12DE" w:rsidP="009C12DE">
      <w:pPr>
        <w:pStyle w:val="SingleTxtGR"/>
      </w:pPr>
      <w:r w:rsidRPr="00D4298B">
        <w:tab/>
      </w:r>
      <w:r w:rsidR="00B801F8">
        <w:t>d</w:t>
      </w:r>
      <w:r w:rsidRPr="00D4298B">
        <w:t>)</w:t>
      </w:r>
      <w:r w:rsidRPr="00D4298B">
        <w:tab/>
        <w:t>установление уголовной ответственности за торговлю людьми (ст</w:t>
      </w:r>
      <w:r w:rsidRPr="00D4298B">
        <w:t>а</w:t>
      </w:r>
      <w:r w:rsidRPr="00D4298B">
        <w:t>тья 135 Уголовного к</w:t>
      </w:r>
      <w:r w:rsidRPr="00D4298B">
        <w:t>о</w:t>
      </w:r>
      <w:r w:rsidRPr="00D4298B">
        <w:t>декса); принятие Закона о борьбе с торговлей людьми (2008 год) и национального плана действий в этой области; включение в Труд</w:t>
      </w:r>
      <w:r w:rsidRPr="00D4298B">
        <w:t>о</w:t>
      </w:r>
      <w:r w:rsidRPr="00D4298B">
        <w:t>вой кодекс положений, касающихся гарантий трудоустройства</w:t>
      </w:r>
      <w:r w:rsidR="00B801F8">
        <w:t xml:space="preserve"> для</w:t>
      </w:r>
      <w:r w:rsidRPr="00D4298B">
        <w:t xml:space="preserve"> жертв то</w:t>
      </w:r>
      <w:r w:rsidRPr="00D4298B">
        <w:t>р</w:t>
      </w:r>
      <w:r w:rsidRPr="00D4298B">
        <w:t>говли людьми;</w:t>
      </w:r>
    </w:p>
    <w:p w:rsidR="009C12DE" w:rsidRPr="00D4298B" w:rsidRDefault="009C12DE" w:rsidP="009C12DE">
      <w:pPr>
        <w:pStyle w:val="SingleTxtGR"/>
      </w:pPr>
      <w:r w:rsidRPr="00D4298B">
        <w:tab/>
      </w:r>
      <w:r w:rsidR="00B801F8">
        <w:t>е</w:t>
      </w:r>
      <w:r w:rsidRPr="00D4298B">
        <w:t>)</w:t>
      </w:r>
      <w:r w:rsidRPr="00D4298B">
        <w:tab/>
        <w:t>меры, которые привели к снижению доли населения, живущего в условиях крайней нищеты</w:t>
      </w:r>
      <w:r>
        <w:t>,</w:t>
      </w:r>
      <w:r w:rsidRPr="00D4298B">
        <w:t xml:space="preserve"> с 27% в 2000 году до 15% в 2012 году;</w:t>
      </w:r>
    </w:p>
    <w:p w:rsidR="009C12DE" w:rsidRPr="00D4298B" w:rsidRDefault="009C12DE" w:rsidP="009C12DE">
      <w:pPr>
        <w:pStyle w:val="SingleTxtGR"/>
      </w:pPr>
      <w:r w:rsidRPr="00D4298B">
        <w:tab/>
      </w:r>
      <w:r w:rsidR="00E85B51">
        <w:t>f</w:t>
      </w:r>
      <w:r w:rsidRPr="00D4298B">
        <w:t>)</w:t>
      </w:r>
      <w:r w:rsidRPr="00D4298B">
        <w:tab/>
        <w:t>принятие стратегии улучшения питания</w:t>
      </w:r>
      <w:r>
        <w:t xml:space="preserve"> (на </w:t>
      </w:r>
      <w:r w:rsidRPr="00D4298B">
        <w:t>2009−2011 год</w:t>
      </w:r>
      <w:r>
        <w:t>ы</w:t>
      </w:r>
      <w:r w:rsidRPr="00D4298B">
        <w:t xml:space="preserve">) и присоединение к Европейской хартии </w:t>
      </w:r>
      <w:r>
        <w:t>п</w:t>
      </w:r>
      <w:r w:rsidRPr="00D4298B">
        <w:t>о борьбе с ожирением и Венской декл</w:t>
      </w:r>
      <w:r w:rsidRPr="00D4298B">
        <w:t>а</w:t>
      </w:r>
      <w:r w:rsidRPr="00D4298B">
        <w:t>рации о питании и неинфекционных заболев</w:t>
      </w:r>
      <w:r w:rsidRPr="00D4298B">
        <w:t>а</w:t>
      </w:r>
      <w:r w:rsidRPr="00D4298B">
        <w:t xml:space="preserve">ниях; </w:t>
      </w:r>
    </w:p>
    <w:p w:rsidR="009C12DE" w:rsidRPr="00D4298B" w:rsidRDefault="009C12DE" w:rsidP="009C12DE">
      <w:pPr>
        <w:pStyle w:val="SingleTxtGR"/>
      </w:pPr>
      <w:r w:rsidRPr="00D4298B">
        <w:tab/>
      </w:r>
      <w:r w:rsidR="00E85B51">
        <w:t>g</w:t>
      </w:r>
      <w:r w:rsidRPr="00D4298B">
        <w:t>)</w:t>
      </w:r>
      <w:r w:rsidRPr="00D4298B">
        <w:tab/>
        <w:t>меры, которые привели к значительному снижению младенческой и матери</w:t>
      </w:r>
      <w:r w:rsidRPr="00D4298B">
        <w:t>н</w:t>
      </w:r>
      <w:r w:rsidRPr="00D4298B">
        <w:t xml:space="preserve">ской смертности; </w:t>
      </w:r>
    </w:p>
    <w:p w:rsidR="009C12DE" w:rsidRPr="00D4298B" w:rsidRDefault="009C12DE" w:rsidP="009C12DE">
      <w:pPr>
        <w:pStyle w:val="SingleTxtGR"/>
      </w:pPr>
      <w:r w:rsidRPr="00D4298B">
        <w:tab/>
      </w:r>
      <w:r w:rsidR="00E85B51">
        <w:t>h</w:t>
      </w:r>
      <w:r w:rsidRPr="00D4298B">
        <w:t>)</w:t>
      </w:r>
      <w:r w:rsidRPr="00D4298B">
        <w:tab/>
        <w:t>проводимую каждые пять лет инвентаризацию объектов культурн</w:t>
      </w:r>
      <w:r w:rsidRPr="00D4298B">
        <w:t>о</w:t>
      </w:r>
      <w:r w:rsidRPr="00D4298B">
        <w:t>го наследия.</w:t>
      </w:r>
    </w:p>
    <w:p w:rsidR="009C12DE" w:rsidRPr="00D4298B" w:rsidRDefault="009C12DE" w:rsidP="009C12DE">
      <w:pPr>
        <w:pStyle w:val="H1GR"/>
      </w:pPr>
      <w:r w:rsidRPr="009C12DE">
        <w:tab/>
      </w:r>
      <w:r w:rsidRPr="00D4298B">
        <w:t>С.</w:t>
      </w:r>
      <w:r w:rsidRPr="00D4298B">
        <w:tab/>
        <w:t xml:space="preserve">Основные вопросы, вызывающие обеспокоенность, </w:t>
      </w:r>
      <w:r w:rsidRPr="0025799F">
        <w:br/>
      </w:r>
      <w:r w:rsidRPr="00D4298B">
        <w:t>и рекомендации</w:t>
      </w:r>
    </w:p>
    <w:p w:rsidR="009C12DE" w:rsidRPr="00D4298B" w:rsidRDefault="009C12DE" w:rsidP="009C12DE">
      <w:pPr>
        <w:pStyle w:val="H23GR"/>
      </w:pPr>
      <w:r w:rsidRPr="009C12DE">
        <w:tab/>
      </w:r>
      <w:r w:rsidRPr="009C12DE">
        <w:tab/>
      </w:r>
      <w:r w:rsidRPr="00D4298B">
        <w:t xml:space="preserve">Возможность </w:t>
      </w:r>
      <w:r>
        <w:t>защиты в судебном порядке прав, закрепленных</w:t>
      </w:r>
      <w:r w:rsidRPr="00D4298B">
        <w:t xml:space="preserve"> в </w:t>
      </w:r>
      <w:r w:rsidR="00E85B51">
        <w:t>Пакте</w:t>
      </w:r>
    </w:p>
    <w:p w:rsidR="009C12DE" w:rsidRPr="00D4298B" w:rsidRDefault="009C12DE" w:rsidP="009C12DE">
      <w:pPr>
        <w:pStyle w:val="SingleTxtGR"/>
      </w:pPr>
      <w:r w:rsidRPr="00D4298B">
        <w:t>5.</w:t>
      </w:r>
      <w:r w:rsidRPr="00D4298B">
        <w:tab/>
        <w:t>Комитет выражает сожаление в связи с тем,</w:t>
      </w:r>
      <w:r>
        <w:t xml:space="preserve"> что, согласно информации, пред</w:t>
      </w:r>
      <w:r w:rsidRPr="00D4298B">
        <w:t xml:space="preserve">ставленной государством-участником, национальные суды не </w:t>
      </w:r>
      <w:r w:rsidR="00A25C22">
        <w:t>применяют</w:t>
      </w:r>
      <w:r w:rsidRPr="00D4298B">
        <w:t xml:space="preserve"> положения Пакта</w:t>
      </w:r>
      <w:r w:rsidR="00A25C22" w:rsidRPr="00A25C22">
        <w:t xml:space="preserve"> </w:t>
      </w:r>
      <w:r w:rsidR="00A25C22" w:rsidRPr="00D4298B">
        <w:t>непосредственно</w:t>
      </w:r>
      <w:r w:rsidR="00A25C22">
        <w:t>, несмотря на то, что согласно внутреннему законодательству они уполномочены делать это</w:t>
      </w:r>
      <w:r w:rsidRPr="00D4298B">
        <w:t xml:space="preserve"> (статья 1). </w:t>
      </w:r>
    </w:p>
    <w:p w:rsidR="009C12DE" w:rsidRPr="00D4298B" w:rsidRDefault="009C12DE" w:rsidP="009C12DE">
      <w:pPr>
        <w:pStyle w:val="SingleTxtGR"/>
        <w:rPr>
          <w:b/>
        </w:rPr>
      </w:pPr>
      <w:r w:rsidRPr="00D4298B">
        <w:rPr>
          <w:b/>
        </w:rPr>
        <w:t xml:space="preserve">Комитет настоятельно призывает государство-участник принять меры к </w:t>
      </w:r>
      <w:r>
        <w:rPr>
          <w:b/>
        </w:rPr>
        <w:t>обеспечению того</w:t>
      </w:r>
      <w:r w:rsidRPr="00D4298B">
        <w:rPr>
          <w:b/>
        </w:rPr>
        <w:t>, чтобы</w:t>
      </w:r>
      <w:r>
        <w:rPr>
          <w:b/>
        </w:rPr>
        <w:t xml:space="preserve"> в</w:t>
      </w:r>
      <w:r w:rsidRPr="00D4298B">
        <w:rPr>
          <w:b/>
        </w:rPr>
        <w:t xml:space="preserve"> националь</w:t>
      </w:r>
      <w:r>
        <w:rPr>
          <w:b/>
        </w:rPr>
        <w:t xml:space="preserve">ных судах можно было </w:t>
      </w:r>
      <w:r w:rsidRPr="00D4298B">
        <w:rPr>
          <w:b/>
        </w:rPr>
        <w:t>сс</w:t>
      </w:r>
      <w:r w:rsidRPr="00D4298B">
        <w:rPr>
          <w:b/>
        </w:rPr>
        <w:t>ы</w:t>
      </w:r>
      <w:r w:rsidRPr="00D4298B">
        <w:rPr>
          <w:b/>
        </w:rPr>
        <w:t xml:space="preserve">латься на положения Пакта и </w:t>
      </w:r>
      <w:r>
        <w:rPr>
          <w:b/>
        </w:rPr>
        <w:t>чтобы суды применя</w:t>
      </w:r>
      <w:r w:rsidR="00E43639">
        <w:rPr>
          <w:b/>
        </w:rPr>
        <w:t>ли эти положения</w:t>
      </w:r>
      <w:r>
        <w:rPr>
          <w:b/>
        </w:rPr>
        <w:t>, в том числе п</w:t>
      </w:r>
      <w:r>
        <w:rPr>
          <w:b/>
        </w:rPr>
        <w:t>у</w:t>
      </w:r>
      <w:r>
        <w:rPr>
          <w:b/>
        </w:rPr>
        <w:t xml:space="preserve">тем </w:t>
      </w:r>
      <w:r w:rsidRPr="00D4298B">
        <w:rPr>
          <w:b/>
        </w:rPr>
        <w:t>повыше</w:t>
      </w:r>
      <w:r>
        <w:rPr>
          <w:b/>
        </w:rPr>
        <w:t>ния</w:t>
      </w:r>
      <w:r w:rsidRPr="00D4298B">
        <w:rPr>
          <w:b/>
        </w:rPr>
        <w:t xml:space="preserve"> информированности </w:t>
      </w:r>
      <w:r w:rsidR="00E43639">
        <w:rPr>
          <w:b/>
        </w:rPr>
        <w:t>обладателей</w:t>
      </w:r>
      <w:r w:rsidRPr="00D4298B">
        <w:rPr>
          <w:b/>
        </w:rPr>
        <w:t xml:space="preserve"> прав и органов, </w:t>
      </w:r>
      <w:r w:rsidR="006C594A">
        <w:rPr>
          <w:b/>
        </w:rPr>
        <w:t>ответс</w:t>
      </w:r>
      <w:r w:rsidR="006C594A">
        <w:rPr>
          <w:b/>
        </w:rPr>
        <w:t>т</w:t>
      </w:r>
      <w:r w:rsidR="006C594A">
        <w:rPr>
          <w:b/>
        </w:rPr>
        <w:t>венных</w:t>
      </w:r>
      <w:r w:rsidRPr="00D4298B">
        <w:rPr>
          <w:b/>
        </w:rPr>
        <w:t xml:space="preserve"> за их осуществление. Он </w:t>
      </w:r>
      <w:r w:rsidR="006C594A">
        <w:rPr>
          <w:b/>
        </w:rPr>
        <w:t>обращает внимание</w:t>
      </w:r>
      <w:r w:rsidRPr="00D4298B">
        <w:rPr>
          <w:b/>
        </w:rPr>
        <w:t xml:space="preserve"> государств</w:t>
      </w:r>
      <w:r w:rsidR="00BD449C">
        <w:rPr>
          <w:b/>
        </w:rPr>
        <w:t>а</w:t>
      </w:r>
      <w:r w:rsidRPr="00D4298B">
        <w:rPr>
          <w:b/>
        </w:rPr>
        <w:t>-участник</w:t>
      </w:r>
      <w:r w:rsidR="006C594A">
        <w:rPr>
          <w:b/>
        </w:rPr>
        <w:t>а на</w:t>
      </w:r>
      <w:r w:rsidRPr="00D4298B">
        <w:rPr>
          <w:b/>
        </w:rPr>
        <w:t xml:space="preserve"> свое замечани</w:t>
      </w:r>
      <w:r w:rsidR="006C594A">
        <w:rPr>
          <w:b/>
        </w:rPr>
        <w:t>е</w:t>
      </w:r>
      <w:r w:rsidRPr="00D4298B">
        <w:rPr>
          <w:b/>
        </w:rPr>
        <w:t xml:space="preserve"> общего порядка № 9 (1998) о применении Пакта во внутреннем праве. Он предлагает государству-участнику вкл</w:t>
      </w:r>
      <w:r w:rsidRPr="00D4298B">
        <w:rPr>
          <w:b/>
        </w:rPr>
        <w:t>ю</w:t>
      </w:r>
      <w:r w:rsidRPr="00D4298B">
        <w:rPr>
          <w:b/>
        </w:rPr>
        <w:t>чить в его следующий периодический доклад информацию о суд</w:t>
      </w:r>
      <w:r w:rsidR="006C594A">
        <w:rPr>
          <w:b/>
        </w:rPr>
        <w:t>ебных р</w:t>
      </w:r>
      <w:r w:rsidR="006C594A">
        <w:rPr>
          <w:b/>
        </w:rPr>
        <w:t>е</w:t>
      </w:r>
      <w:r w:rsidR="006C594A">
        <w:rPr>
          <w:b/>
        </w:rPr>
        <w:t xml:space="preserve">шениях, обеспечивающих осуществление предусмотренных </w:t>
      </w:r>
      <w:r w:rsidRPr="00D4298B">
        <w:rPr>
          <w:b/>
        </w:rPr>
        <w:t>в Па</w:t>
      </w:r>
      <w:r w:rsidRPr="00D4298B">
        <w:rPr>
          <w:b/>
        </w:rPr>
        <w:t>к</w:t>
      </w:r>
      <w:r w:rsidRPr="00D4298B">
        <w:rPr>
          <w:b/>
        </w:rPr>
        <w:t>те</w:t>
      </w:r>
      <w:r w:rsidR="006C594A">
        <w:rPr>
          <w:b/>
        </w:rPr>
        <w:t xml:space="preserve"> прав</w:t>
      </w:r>
      <w:r w:rsidRPr="00D4298B">
        <w:rPr>
          <w:b/>
        </w:rPr>
        <w:t xml:space="preserve">. </w:t>
      </w:r>
    </w:p>
    <w:p w:rsidR="009C12DE" w:rsidRPr="00D4298B" w:rsidRDefault="009C12DE" w:rsidP="009C12DE">
      <w:pPr>
        <w:pStyle w:val="H23GR"/>
      </w:pPr>
      <w:r w:rsidRPr="009C12DE">
        <w:tab/>
      </w:r>
      <w:r w:rsidRPr="009C12DE">
        <w:tab/>
      </w:r>
      <w:r w:rsidRPr="00D4298B">
        <w:t>Независимость судебных органов</w:t>
      </w:r>
    </w:p>
    <w:p w:rsidR="009C12DE" w:rsidRPr="00D4298B" w:rsidRDefault="009C12DE" w:rsidP="009C12DE">
      <w:pPr>
        <w:pStyle w:val="SingleTxtGR"/>
      </w:pPr>
      <w:r w:rsidRPr="00D4298B">
        <w:t>6.</w:t>
      </w:r>
      <w:r w:rsidRPr="00D4298B">
        <w:tab/>
        <w:t>Комитет по-прежнему обеспокоен</w:t>
      </w:r>
      <w:r w:rsidR="006C594A">
        <w:t xml:space="preserve"> сообщениями о</w:t>
      </w:r>
      <w:r w:rsidRPr="00D4298B">
        <w:t xml:space="preserve"> т</w:t>
      </w:r>
      <w:r w:rsidR="006C594A">
        <w:t>о</w:t>
      </w:r>
      <w:r w:rsidRPr="00D4298B">
        <w:t>м, что судебные о</w:t>
      </w:r>
      <w:r w:rsidRPr="00D4298B">
        <w:t>р</w:t>
      </w:r>
      <w:r w:rsidRPr="00D4298B">
        <w:t>ганы</w:t>
      </w:r>
      <w:r>
        <w:t xml:space="preserve"> государства-участника не являются полностью независимыми, </w:t>
      </w:r>
      <w:r w:rsidRPr="00D4298B">
        <w:t>в том числе по той причине, что срок полномочий судей составляет пять лет и реше</w:t>
      </w:r>
      <w:r>
        <w:t>ния</w:t>
      </w:r>
      <w:r w:rsidRPr="00D4298B">
        <w:t xml:space="preserve"> о продлении этого срока принима</w:t>
      </w:r>
      <w:r>
        <w:t>ю</w:t>
      </w:r>
      <w:r w:rsidRPr="00D4298B">
        <w:t xml:space="preserve">тся исполнительной властью (статья 1). </w:t>
      </w:r>
    </w:p>
    <w:p w:rsidR="009C12DE" w:rsidRPr="00D4298B" w:rsidRDefault="009C12DE" w:rsidP="009C12DE">
      <w:pPr>
        <w:pStyle w:val="SingleTxtGR"/>
        <w:rPr>
          <w:b/>
        </w:rPr>
      </w:pPr>
      <w:r w:rsidRPr="00D4298B">
        <w:rPr>
          <w:b/>
        </w:rPr>
        <w:t>Комитет рекомендует государству-участнику обеспеч</w:t>
      </w:r>
      <w:r w:rsidR="00215704">
        <w:rPr>
          <w:b/>
        </w:rPr>
        <w:t>ить</w:t>
      </w:r>
      <w:r w:rsidRPr="00D4298B">
        <w:rPr>
          <w:b/>
        </w:rPr>
        <w:t xml:space="preserve"> полн</w:t>
      </w:r>
      <w:r w:rsidR="00215704">
        <w:rPr>
          <w:b/>
        </w:rPr>
        <w:t>ую</w:t>
      </w:r>
      <w:r w:rsidRPr="00D4298B">
        <w:rPr>
          <w:b/>
        </w:rPr>
        <w:t xml:space="preserve"> независ</w:t>
      </w:r>
      <w:r w:rsidRPr="00D4298B">
        <w:rPr>
          <w:b/>
        </w:rPr>
        <w:t>и</w:t>
      </w:r>
      <w:r w:rsidRPr="00D4298B">
        <w:rPr>
          <w:b/>
        </w:rPr>
        <w:t>мост</w:t>
      </w:r>
      <w:r w:rsidR="00215704">
        <w:rPr>
          <w:b/>
        </w:rPr>
        <w:t>ь</w:t>
      </w:r>
      <w:r w:rsidRPr="00D4298B">
        <w:rPr>
          <w:b/>
        </w:rPr>
        <w:t xml:space="preserve"> и беспристрастност</w:t>
      </w:r>
      <w:r w:rsidR="00215704">
        <w:rPr>
          <w:b/>
        </w:rPr>
        <w:t>ь</w:t>
      </w:r>
      <w:r w:rsidRPr="00D4298B">
        <w:rPr>
          <w:b/>
        </w:rPr>
        <w:t xml:space="preserve"> судей в целях обеспечения эффективного и</w:t>
      </w:r>
      <w:r w:rsidRPr="00D4298B">
        <w:rPr>
          <w:b/>
        </w:rPr>
        <w:t>с</w:t>
      </w:r>
      <w:r w:rsidRPr="00D4298B">
        <w:rPr>
          <w:b/>
        </w:rPr>
        <w:t>пользования ресурсов государства-участника и реализации прав, закре</w:t>
      </w:r>
      <w:r w:rsidRPr="00D4298B">
        <w:rPr>
          <w:b/>
        </w:rPr>
        <w:t>п</w:t>
      </w:r>
      <w:r w:rsidRPr="00D4298B">
        <w:rPr>
          <w:b/>
        </w:rPr>
        <w:t xml:space="preserve">ленных в Пакте, </w:t>
      </w:r>
      <w:r>
        <w:rPr>
          <w:b/>
        </w:rPr>
        <w:t xml:space="preserve">и </w:t>
      </w:r>
      <w:r w:rsidRPr="00D4298B">
        <w:rPr>
          <w:b/>
        </w:rPr>
        <w:t>в частности провозгласить принцип несменяемости с</w:t>
      </w:r>
      <w:r w:rsidRPr="00D4298B">
        <w:rPr>
          <w:b/>
        </w:rPr>
        <w:t>у</w:t>
      </w:r>
      <w:r w:rsidRPr="00D4298B">
        <w:rPr>
          <w:b/>
        </w:rPr>
        <w:t>дей</w:t>
      </w:r>
      <w:r>
        <w:rPr>
          <w:b/>
        </w:rPr>
        <w:t>;</w:t>
      </w:r>
      <w:r w:rsidRPr="00D4298B">
        <w:rPr>
          <w:b/>
        </w:rPr>
        <w:t xml:space="preserve"> создать независимый орган, отве</w:t>
      </w:r>
      <w:r w:rsidR="00215704">
        <w:rPr>
          <w:b/>
        </w:rPr>
        <w:t>тственный</w:t>
      </w:r>
      <w:r w:rsidRPr="00D4298B">
        <w:rPr>
          <w:b/>
        </w:rPr>
        <w:t xml:space="preserve"> за назначение, продвиж</w:t>
      </w:r>
      <w:r w:rsidRPr="00D4298B">
        <w:rPr>
          <w:b/>
        </w:rPr>
        <w:t>е</w:t>
      </w:r>
      <w:r w:rsidRPr="00D4298B">
        <w:rPr>
          <w:b/>
        </w:rPr>
        <w:t>ние по службе, приостановление полномочий и</w:t>
      </w:r>
      <w:r>
        <w:rPr>
          <w:b/>
        </w:rPr>
        <w:t xml:space="preserve"> отстранение от должности судей;</w:t>
      </w:r>
      <w:r w:rsidRPr="00D4298B">
        <w:rPr>
          <w:b/>
        </w:rPr>
        <w:t xml:space="preserve"> и принять </w:t>
      </w:r>
      <w:r>
        <w:rPr>
          <w:b/>
        </w:rPr>
        <w:t>подготовленный</w:t>
      </w:r>
      <w:r w:rsidRPr="00D4298B">
        <w:rPr>
          <w:b/>
        </w:rPr>
        <w:t xml:space="preserve"> в 2011 году проект Кодекса судебной эт</w:t>
      </w:r>
      <w:r w:rsidRPr="00D4298B">
        <w:rPr>
          <w:b/>
        </w:rPr>
        <w:t>и</w:t>
      </w:r>
      <w:r w:rsidRPr="00D4298B">
        <w:rPr>
          <w:b/>
        </w:rPr>
        <w:t xml:space="preserve">ки. Он </w:t>
      </w:r>
      <w:r w:rsidR="00B15AC3">
        <w:rPr>
          <w:b/>
        </w:rPr>
        <w:t xml:space="preserve">обращает внимание </w:t>
      </w:r>
      <w:r w:rsidRPr="00D4298B">
        <w:rPr>
          <w:b/>
        </w:rPr>
        <w:t>государств</w:t>
      </w:r>
      <w:r w:rsidR="00B15AC3">
        <w:rPr>
          <w:b/>
        </w:rPr>
        <w:t>а</w:t>
      </w:r>
      <w:r w:rsidRPr="00D4298B">
        <w:rPr>
          <w:b/>
        </w:rPr>
        <w:t>-участник</w:t>
      </w:r>
      <w:r w:rsidR="00B15AC3">
        <w:rPr>
          <w:b/>
        </w:rPr>
        <w:t>а на</w:t>
      </w:r>
      <w:r w:rsidRPr="00D4298B">
        <w:rPr>
          <w:b/>
        </w:rPr>
        <w:t xml:space="preserve"> Основны</w:t>
      </w:r>
      <w:r w:rsidR="00B15AC3">
        <w:rPr>
          <w:b/>
        </w:rPr>
        <w:t>е</w:t>
      </w:r>
      <w:r w:rsidRPr="00D4298B">
        <w:rPr>
          <w:b/>
        </w:rPr>
        <w:t xml:space="preserve"> принц</w:t>
      </w:r>
      <w:r w:rsidRPr="00D4298B">
        <w:rPr>
          <w:b/>
        </w:rPr>
        <w:t>и</w:t>
      </w:r>
      <w:r w:rsidRPr="00D4298B">
        <w:rPr>
          <w:b/>
        </w:rPr>
        <w:t>п</w:t>
      </w:r>
      <w:r w:rsidR="00B15AC3">
        <w:rPr>
          <w:b/>
        </w:rPr>
        <w:t>ы</w:t>
      </w:r>
      <w:r w:rsidRPr="00D4298B">
        <w:rPr>
          <w:b/>
        </w:rPr>
        <w:t xml:space="preserve"> независимости судебных органов. </w:t>
      </w:r>
    </w:p>
    <w:p w:rsidR="009C12DE" w:rsidRPr="00D4298B" w:rsidRDefault="009C12DE" w:rsidP="009C12DE">
      <w:pPr>
        <w:pStyle w:val="H23GR"/>
      </w:pPr>
      <w:r w:rsidRPr="009C12DE">
        <w:tab/>
      </w:r>
      <w:r w:rsidRPr="009C12DE">
        <w:tab/>
      </w:r>
      <w:r>
        <w:t>Национальн</w:t>
      </w:r>
      <w:r w:rsidR="00B15AC3">
        <w:t>ы</w:t>
      </w:r>
      <w:r w:rsidR="00BD449C">
        <w:t>е</w:t>
      </w:r>
      <w:r w:rsidRPr="00D4298B">
        <w:t xml:space="preserve"> прав</w:t>
      </w:r>
      <w:r w:rsidR="00B15AC3">
        <w:t>озащитные учреждения</w:t>
      </w:r>
    </w:p>
    <w:p w:rsidR="009C12DE" w:rsidRPr="00D4298B" w:rsidRDefault="009C12DE" w:rsidP="009C12DE">
      <w:pPr>
        <w:pStyle w:val="SingleTxtGR"/>
      </w:pPr>
      <w:r w:rsidRPr="00D4298B">
        <w:t>7.</w:t>
      </w:r>
      <w:r w:rsidRPr="00D4298B">
        <w:tab/>
        <w:t xml:space="preserve">Комитет </w:t>
      </w:r>
      <w:r w:rsidR="00B15AC3">
        <w:t>с</w:t>
      </w:r>
      <w:r w:rsidRPr="00D4298B">
        <w:t xml:space="preserve"> сожаление</w:t>
      </w:r>
      <w:r w:rsidR="00B15AC3">
        <w:t>м отмечает</w:t>
      </w:r>
      <w:r w:rsidRPr="00D4298B">
        <w:t>, что государство-участник еще не созд</w:t>
      </w:r>
      <w:r w:rsidRPr="00D4298B">
        <w:t>а</w:t>
      </w:r>
      <w:r w:rsidRPr="00D4298B">
        <w:t xml:space="preserve">ло </w:t>
      </w:r>
      <w:r w:rsidR="00D61CAA">
        <w:t xml:space="preserve">независимого </w:t>
      </w:r>
      <w:r w:rsidRPr="00D4298B">
        <w:t>национального</w:t>
      </w:r>
      <w:r w:rsidR="00D61CAA">
        <w:t xml:space="preserve"> правозащитного</w:t>
      </w:r>
      <w:r w:rsidRPr="00D4298B">
        <w:t xml:space="preserve"> учреждения</w:t>
      </w:r>
      <w:r w:rsidR="00D61CAA">
        <w:t>, полностью соо</w:t>
      </w:r>
      <w:r w:rsidR="00D61CAA">
        <w:t>т</w:t>
      </w:r>
      <w:r w:rsidR="00D61CAA">
        <w:t>ветствующего принципам, касающимся статуса национальных учреждений, з</w:t>
      </w:r>
      <w:r w:rsidR="00D61CAA">
        <w:t>а</w:t>
      </w:r>
      <w:r w:rsidR="00D61CAA">
        <w:t>нимающихся поощрением и защитой прав человека (</w:t>
      </w:r>
      <w:r w:rsidRPr="00D4298B">
        <w:t>Парижским принципам</w:t>
      </w:r>
      <w:r w:rsidR="00BC2A14">
        <w:t>)</w:t>
      </w:r>
      <w:r w:rsidRPr="00D4298B">
        <w:t>. Вместе с тем он с интересом принимает к сведению информацию о деятельн</w:t>
      </w:r>
      <w:r w:rsidRPr="00D4298B">
        <w:t>о</w:t>
      </w:r>
      <w:r w:rsidRPr="00D4298B">
        <w:t>сти</w:t>
      </w:r>
      <w:r w:rsidR="00BC2A14">
        <w:t xml:space="preserve"> парламентского</w:t>
      </w:r>
      <w:r w:rsidRPr="00D4298B">
        <w:t xml:space="preserve"> Уполномоченного по правам человека, </w:t>
      </w:r>
      <w:r>
        <w:t>и в частности о де</w:t>
      </w:r>
      <w:r>
        <w:t>я</w:t>
      </w:r>
      <w:r>
        <w:t>тельности, связанной с рассмотрением</w:t>
      </w:r>
      <w:r w:rsidRPr="00D4298B">
        <w:t xml:space="preserve"> жалоб, касающихся нарушений экон</w:t>
      </w:r>
      <w:r w:rsidRPr="00D4298B">
        <w:t>о</w:t>
      </w:r>
      <w:r w:rsidRPr="00D4298B">
        <w:t>мических, социальных и культурных прав</w:t>
      </w:r>
      <w:r>
        <w:t xml:space="preserve">, и </w:t>
      </w:r>
      <w:r w:rsidR="00BC2A14">
        <w:t xml:space="preserve">соответствующих </w:t>
      </w:r>
      <w:r>
        <w:t>законодател</w:t>
      </w:r>
      <w:r>
        <w:t>ь</w:t>
      </w:r>
      <w:r>
        <w:t>ных пред</w:t>
      </w:r>
      <w:r w:rsidRPr="00D4298B">
        <w:t xml:space="preserve">ложений (статья 1). </w:t>
      </w:r>
    </w:p>
    <w:p w:rsidR="009C12DE" w:rsidRPr="00D4298B" w:rsidRDefault="009C12DE" w:rsidP="009C12DE">
      <w:pPr>
        <w:pStyle w:val="SingleTxtGR"/>
        <w:rPr>
          <w:b/>
        </w:rPr>
      </w:pPr>
      <w:r w:rsidRPr="00D4298B">
        <w:rPr>
          <w:b/>
        </w:rPr>
        <w:t>Комитет настоятельно призывает государство-участник создать независ</w:t>
      </w:r>
      <w:r w:rsidRPr="00D4298B">
        <w:rPr>
          <w:b/>
        </w:rPr>
        <w:t>и</w:t>
      </w:r>
      <w:r w:rsidRPr="00D4298B">
        <w:rPr>
          <w:b/>
        </w:rPr>
        <w:t xml:space="preserve">мое и </w:t>
      </w:r>
      <w:r>
        <w:rPr>
          <w:b/>
        </w:rPr>
        <w:t xml:space="preserve">обеспеченное необходимыми ресурсами </w:t>
      </w:r>
      <w:r w:rsidRPr="00D4298B">
        <w:rPr>
          <w:b/>
        </w:rPr>
        <w:t xml:space="preserve">национальное </w:t>
      </w:r>
      <w:r w:rsidR="00C4144A">
        <w:rPr>
          <w:b/>
        </w:rPr>
        <w:t>правозащи</w:t>
      </w:r>
      <w:r w:rsidR="00C4144A">
        <w:rPr>
          <w:b/>
        </w:rPr>
        <w:t>т</w:t>
      </w:r>
      <w:r w:rsidR="00C4144A">
        <w:rPr>
          <w:b/>
        </w:rPr>
        <w:t xml:space="preserve">ное </w:t>
      </w:r>
      <w:r w:rsidRPr="00D4298B">
        <w:rPr>
          <w:b/>
        </w:rPr>
        <w:t xml:space="preserve">учреждение, соответствующее Парижским принципам, и в частности укрепить институт </w:t>
      </w:r>
      <w:r w:rsidR="00C4144A">
        <w:rPr>
          <w:b/>
        </w:rPr>
        <w:t xml:space="preserve">парламентского </w:t>
      </w:r>
      <w:r w:rsidRPr="00D4298B">
        <w:rPr>
          <w:b/>
        </w:rPr>
        <w:t>Упо</w:t>
      </w:r>
      <w:r>
        <w:rPr>
          <w:b/>
        </w:rPr>
        <w:t>лномоченного по правам человека</w:t>
      </w:r>
      <w:r w:rsidRPr="00D4298B">
        <w:rPr>
          <w:b/>
        </w:rPr>
        <w:t xml:space="preserve"> и принять меры к его аккредитации при Международном координацио</w:t>
      </w:r>
      <w:r w:rsidRPr="00D4298B">
        <w:rPr>
          <w:b/>
        </w:rPr>
        <w:t>н</w:t>
      </w:r>
      <w:r w:rsidRPr="00D4298B">
        <w:rPr>
          <w:b/>
        </w:rPr>
        <w:t>ном комитете национальных учреждений по поощрению и защите прав ч</w:t>
      </w:r>
      <w:r w:rsidRPr="00D4298B">
        <w:rPr>
          <w:b/>
        </w:rPr>
        <w:t>е</w:t>
      </w:r>
      <w:r w:rsidRPr="00D4298B">
        <w:rPr>
          <w:b/>
        </w:rPr>
        <w:t>ловека. Он призывает государство-участник обратиться к Управлению Верховного комиссара Организации Объединенных Наций по правам ч</w:t>
      </w:r>
      <w:r w:rsidRPr="00D4298B">
        <w:rPr>
          <w:b/>
        </w:rPr>
        <w:t>е</w:t>
      </w:r>
      <w:r w:rsidRPr="00D4298B">
        <w:rPr>
          <w:b/>
        </w:rPr>
        <w:t>ловека с просьбой об оказании помощи в выполнении настоящей рекоме</w:t>
      </w:r>
      <w:r w:rsidRPr="00D4298B">
        <w:rPr>
          <w:b/>
        </w:rPr>
        <w:t>н</w:t>
      </w:r>
      <w:r w:rsidRPr="00D4298B">
        <w:rPr>
          <w:b/>
        </w:rPr>
        <w:t xml:space="preserve">дации, направленной на укрепление национального </w:t>
      </w:r>
      <w:r w:rsidR="00C4144A">
        <w:rPr>
          <w:b/>
        </w:rPr>
        <w:t xml:space="preserve">правозащитного </w:t>
      </w:r>
      <w:r w:rsidRPr="00D4298B">
        <w:rPr>
          <w:b/>
        </w:rPr>
        <w:t>учр</w:t>
      </w:r>
      <w:r w:rsidRPr="00D4298B">
        <w:rPr>
          <w:b/>
        </w:rPr>
        <w:t>е</w:t>
      </w:r>
      <w:r w:rsidRPr="00D4298B">
        <w:rPr>
          <w:b/>
        </w:rPr>
        <w:t>ждения.</w:t>
      </w:r>
    </w:p>
    <w:p w:rsidR="009C12DE" w:rsidRPr="00D4298B" w:rsidRDefault="009C12DE" w:rsidP="009C12DE">
      <w:pPr>
        <w:pStyle w:val="H23GR"/>
      </w:pPr>
      <w:r w:rsidRPr="009C12DE">
        <w:tab/>
      </w:r>
      <w:r w:rsidRPr="009C12DE">
        <w:tab/>
      </w:r>
      <w:r w:rsidRPr="00D4298B">
        <w:t>Коррупция</w:t>
      </w:r>
    </w:p>
    <w:p w:rsidR="009C12DE" w:rsidRPr="00D4298B" w:rsidRDefault="009C12DE" w:rsidP="009C12DE">
      <w:pPr>
        <w:pStyle w:val="SingleTxtGR"/>
      </w:pPr>
      <w:r w:rsidRPr="00D4298B">
        <w:t>8.</w:t>
      </w:r>
      <w:r w:rsidRPr="00D4298B">
        <w:tab/>
        <w:t>Комитет обеспокоен</w:t>
      </w:r>
      <w:r w:rsidR="00C4144A">
        <w:t xml:space="preserve"> устойчивостью и</w:t>
      </w:r>
      <w:r w:rsidRPr="00D4298B">
        <w:t xml:space="preserve"> масштабами коррупции в госуда</w:t>
      </w:r>
      <w:r w:rsidRPr="00D4298B">
        <w:t>р</w:t>
      </w:r>
      <w:r w:rsidRPr="00D4298B">
        <w:t xml:space="preserve">стве-участнике, особенно в </w:t>
      </w:r>
      <w:r>
        <w:t>сфере</w:t>
      </w:r>
      <w:r w:rsidRPr="00D4298B">
        <w:t xml:space="preserve"> здравоохранения</w:t>
      </w:r>
      <w:r>
        <w:t xml:space="preserve">, </w:t>
      </w:r>
      <w:r w:rsidRPr="00D4298B">
        <w:t>образования</w:t>
      </w:r>
      <w:r>
        <w:t xml:space="preserve"> и регистрации населения по месту жительства, что </w:t>
      </w:r>
      <w:r w:rsidRPr="00D4298B">
        <w:t>препятствует эффективному использов</w:t>
      </w:r>
      <w:r w:rsidRPr="00D4298B">
        <w:t>а</w:t>
      </w:r>
      <w:r w:rsidRPr="00D4298B">
        <w:t xml:space="preserve">нию ресурсов государства-участника и осуществлению Пакта. </w:t>
      </w:r>
    </w:p>
    <w:p w:rsidR="009C12DE" w:rsidRPr="00D4298B" w:rsidRDefault="009C12DE" w:rsidP="009C12DE">
      <w:pPr>
        <w:pStyle w:val="SingleTxtGR"/>
        <w:rPr>
          <w:b/>
        </w:rPr>
      </w:pPr>
      <w:r w:rsidRPr="00D4298B">
        <w:rPr>
          <w:b/>
        </w:rPr>
        <w:t>Комитет рекомендует государству-участнику разработать всеобъемлющую политику</w:t>
      </w:r>
      <w:r w:rsidR="001633CA" w:rsidRPr="001633CA">
        <w:rPr>
          <w:b/>
        </w:rPr>
        <w:t xml:space="preserve"> </w:t>
      </w:r>
      <w:r w:rsidR="001633CA">
        <w:rPr>
          <w:b/>
        </w:rPr>
        <w:t>и </w:t>
      </w:r>
      <w:r w:rsidR="001633CA" w:rsidRPr="00D4298B">
        <w:rPr>
          <w:b/>
        </w:rPr>
        <w:t>создать соответствующий механизм для</w:t>
      </w:r>
      <w:r w:rsidRPr="00D4298B">
        <w:rPr>
          <w:b/>
        </w:rPr>
        <w:t xml:space="preserve"> предотвращени</w:t>
      </w:r>
      <w:r w:rsidR="001633CA">
        <w:rPr>
          <w:b/>
        </w:rPr>
        <w:t>я ме</w:t>
      </w:r>
      <w:r w:rsidR="001633CA">
        <w:rPr>
          <w:b/>
        </w:rPr>
        <w:t>л</w:t>
      </w:r>
      <w:r w:rsidR="001633CA">
        <w:rPr>
          <w:b/>
        </w:rPr>
        <w:t>кой и системной</w:t>
      </w:r>
      <w:r w:rsidRPr="00D4298B">
        <w:rPr>
          <w:b/>
        </w:rPr>
        <w:t xml:space="preserve"> коррупции</w:t>
      </w:r>
      <w:r>
        <w:rPr>
          <w:b/>
        </w:rPr>
        <w:t xml:space="preserve">, </w:t>
      </w:r>
      <w:r w:rsidRPr="00D4298B">
        <w:rPr>
          <w:b/>
        </w:rPr>
        <w:t>и в частности:</w:t>
      </w:r>
    </w:p>
    <w:p w:rsidR="009C12DE" w:rsidRPr="00D4298B" w:rsidRDefault="009C12DE" w:rsidP="009C12DE">
      <w:pPr>
        <w:pStyle w:val="SingleTxtGR"/>
        <w:rPr>
          <w:b/>
        </w:rPr>
      </w:pPr>
      <w:r w:rsidRPr="00D4298B">
        <w:rPr>
          <w:b/>
        </w:rPr>
        <w:tab/>
        <w:t>а)</w:t>
      </w:r>
      <w:r w:rsidRPr="00D4298B">
        <w:rPr>
          <w:b/>
        </w:rPr>
        <w:tab/>
      </w:r>
      <w:r>
        <w:rPr>
          <w:b/>
        </w:rPr>
        <w:t>ускорить</w:t>
      </w:r>
      <w:r w:rsidRPr="00D4298B">
        <w:rPr>
          <w:b/>
        </w:rPr>
        <w:t xml:space="preserve"> принятие проекта антикоррупционного закона, н</w:t>
      </w:r>
      <w:r w:rsidRPr="00D4298B">
        <w:rPr>
          <w:b/>
        </w:rPr>
        <w:t>а</w:t>
      </w:r>
      <w:r w:rsidRPr="00D4298B">
        <w:rPr>
          <w:b/>
        </w:rPr>
        <w:t>циональной программы и планов действий, а также кодексов поведения для государственных учреждений;</w:t>
      </w:r>
    </w:p>
    <w:p w:rsidR="009C12DE" w:rsidRPr="00D4298B" w:rsidRDefault="009C12DE" w:rsidP="009C12DE">
      <w:pPr>
        <w:pStyle w:val="SingleTxtGR"/>
        <w:rPr>
          <w:b/>
        </w:rPr>
      </w:pPr>
      <w:r w:rsidRPr="00D4298B">
        <w:rPr>
          <w:b/>
        </w:rPr>
        <w:tab/>
      </w:r>
      <w:r w:rsidRPr="00D4298B">
        <w:rPr>
          <w:b/>
          <w:lang w:val="en-US"/>
        </w:rPr>
        <w:t>b</w:t>
      </w:r>
      <w:r w:rsidRPr="00D4298B">
        <w:rPr>
          <w:b/>
        </w:rPr>
        <w:t>)</w:t>
      </w:r>
      <w:r w:rsidRPr="00D4298B">
        <w:rPr>
          <w:b/>
        </w:rPr>
        <w:tab/>
        <w:t>активизировать усилия по транспарентному мониторингу ко</w:t>
      </w:r>
      <w:r w:rsidRPr="00D4298B">
        <w:rPr>
          <w:b/>
        </w:rPr>
        <w:t>р</w:t>
      </w:r>
      <w:r w:rsidRPr="00D4298B">
        <w:rPr>
          <w:b/>
        </w:rPr>
        <w:t xml:space="preserve">рупции, особенно в </w:t>
      </w:r>
      <w:r>
        <w:rPr>
          <w:b/>
        </w:rPr>
        <w:t>сфере</w:t>
      </w:r>
      <w:r w:rsidRPr="00D4298B">
        <w:rPr>
          <w:b/>
        </w:rPr>
        <w:t xml:space="preserve"> здравоохранения, образования и регистрации н</w:t>
      </w:r>
      <w:r w:rsidRPr="00D4298B">
        <w:rPr>
          <w:b/>
        </w:rPr>
        <w:t>а</w:t>
      </w:r>
      <w:r w:rsidRPr="00D4298B">
        <w:rPr>
          <w:b/>
        </w:rPr>
        <w:t xml:space="preserve">селения по месту </w:t>
      </w:r>
      <w:r>
        <w:rPr>
          <w:b/>
        </w:rPr>
        <w:t>жительства</w:t>
      </w:r>
      <w:r w:rsidR="0079789A">
        <w:rPr>
          <w:b/>
        </w:rPr>
        <w:t>,</w:t>
      </w:r>
      <w:r>
        <w:rPr>
          <w:b/>
        </w:rPr>
        <w:t xml:space="preserve"> и </w:t>
      </w:r>
      <w:r w:rsidRPr="00D4298B">
        <w:rPr>
          <w:b/>
        </w:rPr>
        <w:t xml:space="preserve">обеспечить надлежащее расследование коррупционных дел и </w:t>
      </w:r>
      <w:r>
        <w:rPr>
          <w:b/>
        </w:rPr>
        <w:t>незамедлительное наказание</w:t>
      </w:r>
      <w:r w:rsidRPr="00D4298B">
        <w:rPr>
          <w:b/>
        </w:rPr>
        <w:t xml:space="preserve"> виновных соразмерно тяжести совершенных ими </w:t>
      </w:r>
      <w:r>
        <w:rPr>
          <w:b/>
        </w:rPr>
        <w:t>преступлений</w:t>
      </w:r>
      <w:r w:rsidRPr="00D4298B">
        <w:rPr>
          <w:b/>
        </w:rPr>
        <w:t>;</w:t>
      </w:r>
    </w:p>
    <w:p w:rsidR="009C12DE" w:rsidRPr="00D4298B" w:rsidRDefault="009C12DE" w:rsidP="009C12DE">
      <w:pPr>
        <w:pStyle w:val="SingleTxtGR"/>
        <w:rPr>
          <w:b/>
        </w:rPr>
      </w:pPr>
      <w:r w:rsidRPr="00D4298B">
        <w:rPr>
          <w:b/>
        </w:rPr>
        <w:tab/>
        <w:t>с)</w:t>
      </w:r>
      <w:r w:rsidRPr="00D4298B">
        <w:rPr>
          <w:b/>
        </w:rPr>
        <w:tab/>
        <w:t xml:space="preserve">обеспечить безопасные, доступные и зримые каналы для </w:t>
      </w:r>
      <w:r>
        <w:rPr>
          <w:b/>
        </w:rPr>
        <w:t>н</w:t>
      </w:r>
      <w:r>
        <w:rPr>
          <w:b/>
        </w:rPr>
        <w:t>а</w:t>
      </w:r>
      <w:r>
        <w:rPr>
          <w:b/>
        </w:rPr>
        <w:t xml:space="preserve">правления сообщений о случаях </w:t>
      </w:r>
      <w:r w:rsidRPr="00D4298B">
        <w:rPr>
          <w:b/>
        </w:rPr>
        <w:t xml:space="preserve">коррупции, особенно в </w:t>
      </w:r>
      <w:r>
        <w:rPr>
          <w:b/>
        </w:rPr>
        <w:t>сфере</w:t>
      </w:r>
      <w:r w:rsidRPr="00D4298B">
        <w:rPr>
          <w:b/>
        </w:rPr>
        <w:t xml:space="preserve"> здравоохр</w:t>
      </w:r>
      <w:r w:rsidRPr="00D4298B">
        <w:rPr>
          <w:b/>
        </w:rPr>
        <w:t>а</w:t>
      </w:r>
      <w:r w:rsidRPr="00D4298B">
        <w:rPr>
          <w:b/>
        </w:rPr>
        <w:t xml:space="preserve">нения, образования и регистрации населения по месту </w:t>
      </w:r>
      <w:r>
        <w:rPr>
          <w:b/>
        </w:rPr>
        <w:t>жительства</w:t>
      </w:r>
      <w:r w:rsidR="005851FE">
        <w:rPr>
          <w:b/>
        </w:rPr>
        <w:t>, а также эффективную защиту антикоррупционной деятельности и занимающихся ею правозащитников</w:t>
      </w:r>
      <w:r w:rsidRPr="00D4298B">
        <w:rPr>
          <w:b/>
        </w:rPr>
        <w:t>;</w:t>
      </w:r>
    </w:p>
    <w:p w:rsidR="009C12DE" w:rsidRPr="00D4298B" w:rsidRDefault="009C12DE" w:rsidP="009C12DE">
      <w:pPr>
        <w:pStyle w:val="SingleTxtGR"/>
        <w:rPr>
          <w:b/>
        </w:rPr>
      </w:pPr>
      <w:r w:rsidRPr="00D4298B">
        <w:rPr>
          <w:b/>
        </w:rPr>
        <w:tab/>
      </w:r>
      <w:r w:rsidRPr="00D4298B">
        <w:rPr>
          <w:b/>
          <w:lang w:val="en-US"/>
        </w:rPr>
        <w:t>d</w:t>
      </w:r>
      <w:r w:rsidRPr="00D4298B">
        <w:rPr>
          <w:b/>
        </w:rPr>
        <w:t>)</w:t>
      </w:r>
      <w:r w:rsidRPr="00D4298B">
        <w:rPr>
          <w:b/>
        </w:rPr>
        <w:tab/>
        <w:t xml:space="preserve">обеспечить подготовку политиков, </w:t>
      </w:r>
      <w:r w:rsidR="005851FE">
        <w:rPr>
          <w:b/>
        </w:rPr>
        <w:t>законодателей</w:t>
      </w:r>
      <w:r>
        <w:rPr>
          <w:b/>
        </w:rPr>
        <w:t xml:space="preserve">, </w:t>
      </w:r>
      <w:r w:rsidRPr="00D4298B">
        <w:rPr>
          <w:b/>
        </w:rPr>
        <w:t>судей, с</w:t>
      </w:r>
      <w:r w:rsidRPr="00D4298B">
        <w:rPr>
          <w:b/>
        </w:rPr>
        <w:t>о</w:t>
      </w:r>
      <w:r w:rsidRPr="00D4298B">
        <w:rPr>
          <w:b/>
        </w:rPr>
        <w:t>трудников правоохранительных органов, гражданских служащих и сотру</w:t>
      </w:r>
      <w:r w:rsidRPr="00D4298B">
        <w:rPr>
          <w:b/>
        </w:rPr>
        <w:t>д</w:t>
      </w:r>
      <w:r w:rsidRPr="00D4298B">
        <w:rPr>
          <w:b/>
        </w:rPr>
        <w:t>ников государственных учреждений, особенно</w:t>
      </w:r>
      <w:r w:rsidR="005851FE">
        <w:rPr>
          <w:b/>
        </w:rPr>
        <w:t xml:space="preserve"> в областях</w:t>
      </w:r>
      <w:r>
        <w:rPr>
          <w:b/>
        </w:rPr>
        <w:t xml:space="preserve"> </w:t>
      </w:r>
      <w:r w:rsidRPr="00D4298B">
        <w:rPr>
          <w:b/>
        </w:rPr>
        <w:t>образова</w:t>
      </w:r>
      <w:r>
        <w:rPr>
          <w:b/>
        </w:rPr>
        <w:t>ни</w:t>
      </w:r>
      <w:r w:rsidR="005851FE">
        <w:rPr>
          <w:b/>
        </w:rPr>
        <w:t>я</w:t>
      </w:r>
      <w:r w:rsidRPr="00D4298B">
        <w:rPr>
          <w:b/>
        </w:rPr>
        <w:t>, здравоохране</w:t>
      </w:r>
      <w:r>
        <w:rPr>
          <w:b/>
        </w:rPr>
        <w:t>ни</w:t>
      </w:r>
      <w:r w:rsidR="005851FE">
        <w:rPr>
          <w:b/>
        </w:rPr>
        <w:t>я</w:t>
      </w:r>
      <w:r w:rsidRPr="00D4298B">
        <w:rPr>
          <w:b/>
        </w:rPr>
        <w:t xml:space="preserve"> и регистрации</w:t>
      </w:r>
      <w:r>
        <w:rPr>
          <w:b/>
        </w:rPr>
        <w:t xml:space="preserve"> населения</w:t>
      </w:r>
      <w:r w:rsidRPr="00D4298B">
        <w:rPr>
          <w:b/>
        </w:rPr>
        <w:t xml:space="preserve"> по месту жительства, по вопр</w:t>
      </w:r>
      <w:r w:rsidRPr="00D4298B">
        <w:rPr>
          <w:b/>
        </w:rPr>
        <w:t>о</w:t>
      </w:r>
      <w:r w:rsidRPr="00D4298B">
        <w:rPr>
          <w:b/>
        </w:rPr>
        <w:t>сам этики, а также по вопросам, касающимся экономических и социал</w:t>
      </w:r>
      <w:r w:rsidRPr="00D4298B">
        <w:rPr>
          <w:b/>
        </w:rPr>
        <w:t>ь</w:t>
      </w:r>
      <w:r w:rsidRPr="00D4298B">
        <w:rPr>
          <w:b/>
        </w:rPr>
        <w:t>ных последствий ко</w:t>
      </w:r>
      <w:r w:rsidRPr="00D4298B">
        <w:rPr>
          <w:b/>
        </w:rPr>
        <w:t>р</w:t>
      </w:r>
      <w:r w:rsidRPr="00D4298B">
        <w:rPr>
          <w:b/>
        </w:rPr>
        <w:t>рупции;</w:t>
      </w:r>
    </w:p>
    <w:p w:rsidR="009C12DE" w:rsidRPr="00D4298B" w:rsidRDefault="009C12DE" w:rsidP="009C12DE">
      <w:pPr>
        <w:pStyle w:val="SingleTxtGR"/>
        <w:rPr>
          <w:b/>
        </w:rPr>
      </w:pPr>
      <w:r w:rsidRPr="00D4298B">
        <w:rPr>
          <w:b/>
        </w:rPr>
        <w:tab/>
        <w:t>е)</w:t>
      </w:r>
      <w:r w:rsidRPr="00D4298B">
        <w:rPr>
          <w:b/>
        </w:rPr>
        <w:tab/>
        <w:t>проводить информационно-просветительские кампании.</w:t>
      </w:r>
    </w:p>
    <w:p w:rsidR="009C12DE" w:rsidRPr="00D4298B" w:rsidRDefault="009C12DE" w:rsidP="009C12DE">
      <w:pPr>
        <w:pStyle w:val="H23GR"/>
      </w:pPr>
      <w:r w:rsidRPr="009C12DE">
        <w:tab/>
      </w:r>
      <w:r w:rsidRPr="009C12DE">
        <w:tab/>
      </w:r>
      <w:r w:rsidR="005851FE">
        <w:t>Нед</w:t>
      </w:r>
      <w:r w:rsidRPr="00D4298B">
        <w:t>искриминация</w:t>
      </w:r>
      <w:r w:rsidR="005851FE">
        <w:t xml:space="preserve"> и равенство</w:t>
      </w:r>
    </w:p>
    <w:p w:rsidR="009C12DE" w:rsidRPr="00D4298B" w:rsidRDefault="009C12DE" w:rsidP="009C12DE">
      <w:pPr>
        <w:pStyle w:val="SingleTxtGR"/>
      </w:pPr>
      <w:r w:rsidRPr="00D4298B">
        <w:t>9.</w:t>
      </w:r>
      <w:r w:rsidRPr="00D4298B">
        <w:tab/>
        <w:t>Комитет обеспокоен тем, что национальное законодательство не обесп</w:t>
      </w:r>
      <w:r w:rsidRPr="00D4298B">
        <w:t>е</w:t>
      </w:r>
      <w:r>
        <w:t xml:space="preserve">чивает в полной мере </w:t>
      </w:r>
      <w:r w:rsidRPr="00D4298B">
        <w:t>защиты от дискриминации по признакам, пер</w:t>
      </w:r>
      <w:r w:rsidRPr="00D4298B">
        <w:t>е</w:t>
      </w:r>
      <w:r w:rsidRPr="00D4298B">
        <w:t>численным в Пакте. Он также обеспокоен отсутствием законодательства и политики, н</w:t>
      </w:r>
      <w:r w:rsidRPr="00D4298B">
        <w:t>а</w:t>
      </w:r>
      <w:r w:rsidRPr="00D4298B">
        <w:t xml:space="preserve">правленных на защиту прав этнических меньшинств и </w:t>
      </w:r>
      <w:r w:rsidR="00894886">
        <w:t>кочевых народов</w:t>
      </w:r>
      <w:r>
        <w:t>, а </w:t>
      </w:r>
      <w:r w:rsidRPr="00D4298B">
        <w:t>также последствиями обязательной регистрации по месту житель</w:t>
      </w:r>
      <w:r>
        <w:t>ства (</w:t>
      </w:r>
      <w:r w:rsidRPr="00D4298B">
        <w:t>пр</w:t>
      </w:r>
      <w:r w:rsidRPr="00D4298B">
        <w:t>о</w:t>
      </w:r>
      <w:r w:rsidRPr="00D4298B">
        <w:t>пис</w:t>
      </w:r>
      <w:r>
        <w:t>ки</w:t>
      </w:r>
      <w:r w:rsidRPr="00D4298B">
        <w:t>) для доступа внутренних мигрантов к занятости, жилью и медицинским услугам. Кроме того, он обеспокоен сообщениями о том, что лица без гражда</w:t>
      </w:r>
      <w:r w:rsidRPr="00D4298B">
        <w:t>н</w:t>
      </w:r>
      <w:r w:rsidRPr="00D4298B">
        <w:t>ства и б</w:t>
      </w:r>
      <w:r w:rsidRPr="00D4298B">
        <w:t>е</w:t>
      </w:r>
      <w:r w:rsidRPr="00D4298B">
        <w:t>женцы, проживающие в государстве-участнике</w:t>
      </w:r>
      <w:r>
        <w:t>,</w:t>
      </w:r>
      <w:r w:rsidRPr="00D4298B">
        <w:t xml:space="preserve"> лишены основных экономических и социальных прав, включая право на охрану здоровья, образ</w:t>
      </w:r>
      <w:r w:rsidRPr="00D4298B">
        <w:t>о</w:t>
      </w:r>
      <w:r w:rsidRPr="00D4298B">
        <w:t>вание и легальное трудоустройство (ст</w:t>
      </w:r>
      <w:r w:rsidRPr="00D4298B">
        <w:t>а</w:t>
      </w:r>
      <w:r w:rsidRPr="00D4298B">
        <w:t>тья 2 (2)).</w:t>
      </w:r>
    </w:p>
    <w:p w:rsidR="009C12DE" w:rsidRPr="00D4298B" w:rsidRDefault="009C12DE" w:rsidP="00C23499">
      <w:pPr>
        <w:pStyle w:val="H23GR"/>
        <w:pageBreakBefore/>
      </w:pPr>
      <w:r w:rsidRPr="00C15AFF">
        <w:tab/>
      </w:r>
      <w:r w:rsidRPr="00C15AFF">
        <w:tab/>
      </w:r>
      <w:r w:rsidRPr="00D4298B">
        <w:t>Комитет просит государство-участник:</w:t>
      </w:r>
    </w:p>
    <w:p w:rsidR="009C12DE" w:rsidRPr="00D4298B" w:rsidRDefault="009C12DE" w:rsidP="009C12DE">
      <w:pPr>
        <w:pStyle w:val="SingleTxtGR"/>
        <w:rPr>
          <w:b/>
        </w:rPr>
      </w:pPr>
      <w:r w:rsidRPr="00D4298B">
        <w:rPr>
          <w:b/>
        </w:rPr>
        <w:tab/>
        <w:t>а)</w:t>
      </w:r>
      <w:r w:rsidRPr="00D4298B">
        <w:rPr>
          <w:b/>
        </w:rPr>
        <w:tab/>
        <w:t xml:space="preserve">принять меры к </w:t>
      </w:r>
      <w:r>
        <w:rPr>
          <w:b/>
        </w:rPr>
        <w:t>обеспечению того</w:t>
      </w:r>
      <w:r w:rsidRPr="00D4298B">
        <w:rPr>
          <w:b/>
        </w:rPr>
        <w:t>, чтобы его законодательство эффективно запрещало</w:t>
      </w:r>
      <w:r>
        <w:rPr>
          <w:b/>
        </w:rPr>
        <w:t>,</w:t>
      </w:r>
      <w:r w:rsidRPr="00D4298B">
        <w:rPr>
          <w:b/>
        </w:rPr>
        <w:t xml:space="preserve"> в соответствии с положениями Пакта</w:t>
      </w:r>
      <w:r>
        <w:rPr>
          <w:b/>
        </w:rPr>
        <w:t>,</w:t>
      </w:r>
      <w:r w:rsidRPr="00D4298B">
        <w:rPr>
          <w:b/>
        </w:rPr>
        <w:t xml:space="preserve"> дискрим</w:t>
      </w:r>
      <w:r w:rsidRPr="00D4298B">
        <w:rPr>
          <w:b/>
        </w:rPr>
        <w:t>и</w:t>
      </w:r>
      <w:r w:rsidRPr="00D4298B">
        <w:rPr>
          <w:b/>
        </w:rPr>
        <w:t xml:space="preserve">нацию во всех областях экономической, социальной и культурной жизни и </w:t>
      </w:r>
      <w:r>
        <w:rPr>
          <w:b/>
        </w:rPr>
        <w:t>предусматривало</w:t>
      </w:r>
      <w:r w:rsidRPr="00D4298B">
        <w:rPr>
          <w:b/>
        </w:rPr>
        <w:t xml:space="preserve"> надлежащие механизмы защиты от такой дискримин</w:t>
      </w:r>
      <w:r w:rsidRPr="00D4298B">
        <w:rPr>
          <w:b/>
        </w:rPr>
        <w:t>а</w:t>
      </w:r>
      <w:r w:rsidRPr="00D4298B">
        <w:rPr>
          <w:b/>
        </w:rPr>
        <w:t>ции, а также к обеспечению наличия эффективных средств администр</w:t>
      </w:r>
      <w:r w:rsidRPr="00D4298B">
        <w:rPr>
          <w:b/>
        </w:rPr>
        <w:t>а</w:t>
      </w:r>
      <w:r w:rsidRPr="00D4298B">
        <w:rPr>
          <w:b/>
        </w:rPr>
        <w:t>тивной и прав</w:t>
      </w:r>
      <w:r w:rsidRPr="00D4298B">
        <w:rPr>
          <w:b/>
        </w:rPr>
        <w:t>о</w:t>
      </w:r>
      <w:r w:rsidRPr="00D4298B">
        <w:rPr>
          <w:b/>
        </w:rPr>
        <w:t>вой защиты в случае дискриминации;</w:t>
      </w:r>
    </w:p>
    <w:p w:rsidR="009C12DE" w:rsidRPr="00D4298B" w:rsidRDefault="009C12DE" w:rsidP="009C12DE">
      <w:pPr>
        <w:pStyle w:val="SingleTxtGR"/>
        <w:rPr>
          <w:b/>
        </w:rPr>
      </w:pPr>
      <w:r w:rsidRPr="00D4298B">
        <w:rPr>
          <w:b/>
        </w:rPr>
        <w:tab/>
      </w:r>
      <w:r w:rsidRPr="00D4298B">
        <w:rPr>
          <w:b/>
          <w:lang w:val="en-US"/>
        </w:rPr>
        <w:t>b</w:t>
      </w:r>
      <w:r w:rsidRPr="00D4298B">
        <w:rPr>
          <w:b/>
        </w:rPr>
        <w:t>)</w:t>
      </w:r>
      <w:r w:rsidRPr="00D4298B">
        <w:rPr>
          <w:b/>
        </w:rPr>
        <w:tab/>
        <w:t xml:space="preserve">принять </w:t>
      </w:r>
      <w:r>
        <w:rPr>
          <w:b/>
        </w:rPr>
        <w:t xml:space="preserve">законодательные меры и меры политики, </w:t>
      </w:r>
      <w:r w:rsidRPr="00D4298B">
        <w:rPr>
          <w:b/>
        </w:rPr>
        <w:t>направле</w:t>
      </w:r>
      <w:r w:rsidRPr="00D4298B">
        <w:rPr>
          <w:b/>
        </w:rPr>
        <w:t>н</w:t>
      </w:r>
      <w:r w:rsidRPr="00D4298B">
        <w:rPr>
          <w:b/>
        </w:rPr>
        <w:t>ные на обеспечение полного осуществления всеми лицами, проживающими на его территории, независимо от их этнического происхождения и наци</w:t>
      </w:r>
      <w:r w:rsidRPr="00D4298B">
        <w:rPr>
          <w:b/>
        </w:rPr>
        <w:t>о</w:t>
      </w:r>
      <w:r w:rsidRPr="00D4298B">
        <w:rPr>
          <w:b/>
        </w:rPr>
        <w:t>нальной принадлежности, прав человека, закрепленных в Пакте, без к</w:t>
      </w:r>
      <w:r w:rsidRPr="00D4298B">
        <w:rPr>
          <w:b/>
        </w:rPr>
        <w:t>а</w:t>
      </w:r>
      <w:r w:rsidRPr="00D4298B">
        <w:rPr>
          <w:b/>
        </w:rPr>
        <w:t>кой-либо дискриминации в соответствии с замечанием общего поря</w:t>
      </w:r>
      <w:r w:rsidRPr="00D4298B">
        <w:rPr>
          <w:b/>
        </w:rPr>
        <w:t>д</w:t>
      </w:r>
      <w:r w:rsidRPr="00D4298B">
        <w:rPr>
          <w:b/>
        </w:rPr>
        <w:t>ка</w:t>
      </w:r>
      <w:r>
        <w:rPr>
          <w:b/>
          <w:lang w:val="en-US"/>
        </w:rPr>
        <w:t> </w:t>
      </w:r>
      <w:r w:rsidRPr="00D4298B">
        <w:rPr>
          <w:b/>
        </w:rPr>
        <w:t>№</w:t>
      </w:r>
      <w:r>
        <w:rPr>
          <w:b/>
          <w:lang w:val="en-US"/>
        </w:rPr>
        <w:t> </w:t>
      </w:r>
      <w:r w:rsidRPr="00D4298B">
        <w:rPr>
          <w:b/>
        </w:rPr>
        <w:t xml:space="preserve">20 </w:t>
      </w:r>
      <w:r w:rsidR="00894886">
        <w:rPr>
          <w:b/>
        </w:rPr>
        <w:t xml:space="preserve">(2009 год) </w:t>
      </w:r>
      <w:r w:rsidRPr="00D4298B">
        <w:rPr>
          <w:b/>
        </w:rPr>
        <w:t>Комитета о недискриминации в отношении экономич</w:t>
      </w:r>
      <w:r w:rsidRPr="00D4298B">
        <w:rPr>
          <w:b/>
        </w:rPr>
        <w:t>е</w:t>
      </w:r>
      <w:r w:rsidRPr="00D4298B">
        <w:rPr>
          <w:b/>
        </w:rPr>
        <w:t>ских, социальных и кул</w:t>
      </w:r>
      <w:r w:rsidRPr="00D4298B">
        <w:rPr>
          <w:b/>
        </w:rPr>
        <w:t>ь</w:t>
      </w:r>
      <w:r w:rsidRPr="00D4298B">
        <w:rPr>
          <w:b/>
        </w:rPr>
        <w:t>турных прав;</w:t>
      </w:r>
    </w:p>
    <w:p w:rsidR="009C12DE" w:rsidRPr="00D4298B" w:rsidRDefault="009C12DE" w:rsidP="009C12DE">
      <w:pPr>
        <w:pStyle w:val="SingleTxtGR"/>
        <w:rPr>
          <w:b/>
        </w:rPr>
      </w:pPr>
      <w:r w:rsidRPr="00D4298B">
        <w:rPr>
          <w:b/>
        </w:rPr>
        <w:tab/>
        <w:t>с)</w:t>
      </w:r>
      <w:r w:rsidRPr="00D4298B">
        <w:rPr>
          <w:b/>
        </w:rPr>
        <w:tab/>
        <w:t>принять эффективные меры к обеспечению того, чтобы инст</w:t>
      </w:r>
      <w:r w:rsidRPr="00D4298B">
        <w:rPr>
          <w:b/>
        </w:rPr>
        <w:t>и</w:t>
      </w:r>
      <w:r w:rsidRPr="00D4298B">
        <w:rPr>
          <w:b/>
        </w:rPr>
        <w:t>тут прописки не ограничивал доступ к экономическим</w:t>
      </w:r>
      <w:r w:rsidR="00894886">
        <w:rPr>
          <w:b/>
        </w:rPr>
        <w:t>,</w:t>
      </w:r>
      <w:r w:rsidRPr="00D4298B">
        <w:rPr>
          <w:b/>
        </w:rPr>
        <w:t xml:space="preserve"> социальным </w:t>
      </w:r>
      <w:r w:rsidR="00894886">
        <w:rPr>
          <w:b/>
        </w:rPr>
        <w:t xml:space="preserve">и культурным </w:t>
      </w:r>
      <w:r w:rsidRPr="00D4298B">
        <w:rPr>
          <w:b/>
        </w:rPr>
        <w:t>правам</w:t>
      </w:r>
      <w:r>
        <w:rPr>
          <w:b/>
        </w:rPr>
        <w:t>,</w:t>
      </w:r>
      <w:r w:rsidRPr="00D4298B">
        <w:rPr>
          <w:b/>
        </w:rPr>
        <w:t xml:space="preserve"> и изучить опыт государств, заменивших систему пр</w:t>
      </w:r>
      <w:r w:rsidRPr="00D4298B">
        <w:rPr>
          <w:b/>
        </w:rPr>
        <w:t>о</w:t>
      </w:r>
      <w:r w:rsidRPr="00D4298B">
        <w:rPr>
          <w:b/>
        </w:rPr>
        <w:t>писки системами, удовлетворяющими международным стандартам в о</w:t>
      </w:r>
      <w:r w:rsidRPr="00D4298B">
        <w:rPr>
          <w:b/>
        </w:rPr>
        <w:t>б</w:t>
      </w:r>
      <w:r w:rsidRPr="00D4298B">
        <w:rPr>
          <w:b/>
        </w:rPr>
        <w:t>ласти свободы пер</w:t>
      </w:r>
      <w:r w:rsidRPr="00D4298B">
        <w:rPr>
          <w:b/>
        </w:rPr>
        <w:t>е</w:t>
      </w:r>
      <w:r w:rsidRPr="00D4298B">
        <w:rPr>
          <w:b/>
        </w:rPr>
        <w:t>движения;</w:t>
      </w:r>
    </w:p>
    <w:p w:rsidR="009C12DE" w:rsidRPr="00D4298B" w:rsidRDefault="009C12DE" w:rsidP="009C12DE">
      <w:pPr>
        <w:pStyle w:val="SingleTxtGR"/>
        <w:rPr>
          <w:b/>
        </w:rPr>
      </w:pPr>
      <w:r w:rsidRPr="00D4298B">
        <w:rPr>
          <w:b/>
        </w:rPr>
        <w:tab/>
      </w:r>
      <w:r w:rsidRPr="00D4298B">
        <w:rPr>
          <w:b/>
          <w:lang w:val="en-US"/>
        </w:rPr>
        <w:t>d</w:t>
      </w:r>
      <w:r w:rsidRPr="00D4298B">
        <w:rPr>
          <w:b/>
        </w:rPr>
        <w:t>)</w:t>
      </w:r>
      <w:r w:rsidRPr="00D4298B">
        <w:rPr>
          <w:b/>
        </w:rPr>
        <w:tab/>
        <w:t xml:space="preserve">предпринять практические шаги, </w:t>
      </w:r>
      <w:r>
        <w:rPr>
          <w:b/>
        </w:rPr>
        <w:t>в том числе принять</w:t>
      </w:r>
      <w:r w:rsidRPr="00D4298B">
        <w:rPr>
          <w:b/>
        </w:rPr>
        <w:t xml:space="preserve"> при н</w:t>
      </w:r>
      <w:r w:rsidRPr="00D4298B">
        <w:rPr>
          <w:b/>
        </w:rPr>
        <w:t>е</w:t>
      </w:r>
      <w:r w:rsidRPr="00D4298B">
        <w:rPr>
          <w:b/>
        </w:rPr>
        <w:t>обходимости законода</w:t>
      </w:r>
      <w:r>
        <w:rPr>
          <w:b/>
        </w:rPr>
        <w:t>тельные</w:t>
      </w:r>
      <w:r w:rsidRPr="00D4298B">
        <w:rPr>
          <w:b/>
        </w:rPr>
        <w:t xml:space="preserve"> мер</w:t>
      </w:r>
      <w:r>
        <w:rPr>
          <w:b/>
        </w:rPr>
        <w:t>ы</w:t>
      </w:r>
      <w:r w:rsidRPr="00D4298B">
        <w:rPr>
          <w:b/>
        </w:rPr>
        <w:t>, в целях обеспечения того, чтобы лица без гражданства и беженцы могли пользоваться экономическими, социал</w:t>
      </w:r>
      <w:r w:rsidRPr="00D4298B">
        <w:rPr>
          <w:b/>
        </w:rPr>
        <w:t>ь</w:t>
      </w:r>
      <w:r w:rsidRPr="00D4298B">
        <w:rPr>
          <w:b/>
        </w:rPr>
        <w:t>ными и культурными правами, включая право на легальное трудоустро</w:t>
      </w:r>
      <w:r w:rsidRPr="00D4298B">
        <w:rPr>
          <w:b/>
        </w:rPr>
        <w:t>й</w:t>
      </w:r>
      <w:r w:rsidRPr="00D4298B">
        <w:rPr>
          <w:b/>
        </w:rPr>
        <w:t>ство, о</w:t>
      </w:r>
      <w:r w:rsidRPr="00D4298B">
        <w:rPr>
          <w:b/>
        </w:rPr>
        <w:t>х</w:t>
      </w:r>
      <w:r w:rsidRPr="00D4298B">
        <w:rPr>
          <w:b/>
        </w:rPr>
        <w:t>рану здоровья и образование;</w:t>
      </w:r>
    </w:p>
    <w:p w:rsidR="009C12DE" w:rsidRPr="00D4298B" w:rsidRDefault="009C12DE" w:rsidP="009C12DE">
      <w:pPr>
        <w:pStyle w:val="SingleTxtGR"/>
        <w:rPr>
          <w:b/>
        </w:rPr>
      </w:pPr>
      <w:r w:rsidRPr="00D4298B">
        <w:rPr>
          <w:b/>
        </w:rPr>
        <w:tab/>
        <w:t>е)</w:t>
      </w:r>
      <w:r w:rsidRPr="00D4298B">
        <w:rPr>
          <w:b/>
        </w:rPr>
        <w:tab/>
        <w:t xml:space="preserve">присоединиться к Конвенции о беженцах 1951 года и </w:t>
      </w:r>
      <w:r w:rsidR="00223A84">
        <w:rPr>
          <w:b/>
        </w:rPr>
        <w:t>П</w:t>
      </w:r>
      <w:r w:rsidRPr="00D4298B">
        <w:rPr>
          <w:b/>
        </w:rPr>
        <w:t>роток</w:t>
      </w:r>
      <w:r w:rsidRPr="00D4298B">
        <w:rPr>
          <w:b/>
        </w:rPr>
        <w:t>о</w:t>
      </w:r>
      <w:r w:rsidRPr="00D4298B">
        <w:rPr>
          <w:b/>
        </w:rPr>
        <w:t>лу</w:t>
      </w:r>
      <w:r w:rsidR="00223A84">
        <w:rPr>
          <w:b/>
        </w:rPr>
        <w:t>, касающемуся статуса беженцев,</w:t>
      </w:r>
      <w:r w:rsidRPr="00D4298B">
        <w:rPr>
          <w:b/>
        </w:rPr>
        <w:t xml:space="preserve"> 1967 года, а также к Конвенции о стат</w:t>
      </w:r>
      <w:r w:rsidRPr="00D4298B">
        <w:rPr>
          <w:b/>
        </w:rPr>
        <w:t>у</w:t>
      </w:r>
      <w:r w:rsidRPr="00D4298B">
        <w:rPr>
          <w:b/>
        </w:rPr>
        <w:t>се апатридов 1954 года и Конвенции о сокращении безгражданства 1961 г</w:t>
      </w:r>
      <w:r w:rsidRPr="00D4298B">
        <w:rPr>
          <w:b/>
        </w:rPr>
        <w:t>о</w:t>
      </w:r>
      <w:r w:rsidRPr="00D4298B">
        <w:rPr>
          <w:b/>
        </w:rPr>
        <w:t xml:space="preserve">да. </w:t>
      </w:r>
    </w:p>
    <w:p w:rsidR="009C12DE" w:rsidRPr="00D4298B" w:rsidRDefault="009C12DE" w:rsidP="009C12DE">
      <w:pPr>
        <w:pStyle w:val="H23GR"/>
      </w:pPr>
      <w:r w:rsidRPr="009C12DE">
        <w:tab/>
      </w:r>
      <w:r w:rsidRPr="009C12DE">
        <w:tab/>
      </w:r>
      <w:r w:rsidRPr="00D4298B">
        <w:t>Инвалиды</w:t>
      </w:r>
    </w:p>
    <w:p w:rsidR="009C12DE" w:rsidRPr="00D4298B" w:rsidRDefault="009C12DE" w:rsidP="009C12DE">
      <w:pPr>
        <w:pStyle w:val="SingleTxtGR"/>
      </w:pPr>
      <w:r w:rsidRPr="00D4298B">
        <w:t>10.</w:t>
      </w:r>
      <w:r w:rsidRPr="00D4298B">
        <w:tab/>
        <w:t>Комитет обеспокоен тем, что, несмотря на принимаемые государством-участником меры по трудоустройству инвалидов, уровень занятости среди и</w:t>
      </w:r>
      <w:r w:rsidRPr="00D4298B">
        <w:t>н</w:t>
      </w:r>
      <w:r w:rsidRPr="00D4298B">
        <w:t>валидов остается весьма низким и что их доступ</w:t>
      </w:r>
      <w:r>
        <w:t>у</w:t>
      </w:r>
      <w:r w:rsidRPr="00D4298B">
        <w:t xml:space="preserve"> к</w:t>
      </w:r>
      <w:r w:rsidR="00275812">
        <w:t xml:space="preserve"> социальным услугам,</w:t>
      </w:r>
      <w:r w:rsidRPr="00D4298B">
        <w:t xml:space="preserve"> ры</w:t>
      </w:r>
      <w:r w:rsidRPr="00D4298B">
        <w:t>н</w:t>
      </w:r>
      <w:r w:rsidRPr="00D4298B">
        <w:t xml:space="preserve">ку труда и образованию, возможно, </w:t>
      </w:r>
      <w:r>
        <w:t>мешают препятствия</w:t>
      </w:r>
      <w:r w:rsidRPr="00D4298B">
        <w:t xml:space="preserve"> физического характ</w:t>
      </w:r>
      <w:r w:rsidRPr="00D4298B">
        <w:t>е</w:t>
      </w:r>
      <w:r w:rsidRPr="00D4298B">
        <w:t xml:space="preserve">ра. Он также обеспокоен нехваткой квалифицированных кадров </w:t>
      </w:r>
      <w:r w:rsidR="00275812">
        <w:t xml:space="preserve">в школах </w:t>
      </w:r>
      <w:r w:rsidRPr="00D4298B">
        <w:t>и н</w:t>
      </w:r>
      <w:r w:rsidRPr="00D4298B">
        <w:t>е</w:t>
      </w:r>
      <w:r w:rsidRPr="00D4298B">
        <w:t>совершенством учебных пр</w:t>
      </w:r>
      <w:r w:rsidRPr="00D4298B">
        <w:t>о</w:t>
      </w:r>
      <w:r w:rsidRPr="00D4298B">
        <w:t xml:space="preserve">грамм (статьи 2 (2), 6 и 13). </w:t>
      </w:r>
    </w:p>
    <w:p w:rsidR="009C12DE" w:rsidRPr="00D4298B" w:rsidRDefault="009C12DE" w:rsidP="009C12DE">
      <w:pPr>
        <w:pStyle w:val="SingleTxtGR"/>
        <w:rPr>
          <w:b/>
        </w:rPr>
      </w:pPr>
      <w:r w:rsidRPr="00D4298B">
        <w:rPr>
          <w:b/>
        </w:rPr>
        <w:t>Комитет рекомендует государству-участнику активизировать усилия по обеспечению</w:t>
      </w:r>
      <w:r>
        <w:rPr>
          <w:b/>
        </w:rPr>
        <w:t xml:space="preserve"> беспрепятственного доступа инвалидов </w:t>
      </w:r>
      <w:r w:rsidR="00275812">
        <w:rPr>
          <w:b/>
        </w:rPr>
        <w:t>ко всем видам соц</w:t>
      </w:r>
      <w:r w:rsidR="00275812">
        <w:rPr>
          <w:b/>
        </w:rPr>
        <w:t>и</w:t>
      </w:r>
      <w:r w:rsidR="00275812">
        <w:rPr>
          <w:b/>
        </w:rPr>
        <w:t xml:space="preserve">альных услуг, включая школьное </w:t>
      </w:r>
      <w:r w:rsidRPr="00D4298B">
        <w:rPr>
          <w:b/>
        </w:rPr>
        <w:t>образовани</w:t>
      </w:r>
      <w:r w:rsidR="00275812">
        <w:rPr>
          <w:b/>
        </w:rPr>
        <w:t>е</w:t>
      </w:r>
      <w:r w:rsidRPr="00D4298B">
        <w:rPr>
          <w:b/>
        </w:rPr>
        <w:t xml:space="preserve"> и занятост</w:t>
      </w:r>
      <w:r w:rsidR="005F61DF">
        <w:rPr>
          <w:b/>
        </w:rPr>
        <w:t>ь</w:t>
      </w:r>
      <w:r>
        <w:rPr>
          <w:b/>
        </w:rPr>
        <w:t>,</w:t>
      </w:r>
      <w:r w:rsidRPr="00D4298B">
        <w:rPr>
          <w:b/>
        </w:rPr>
        <w:t xml:space="preserve"> </w:t>
      </w:r>
      <w:r w:rsidR="005F61DF">
        <w:rPr>
          <w:b/>
        </w:rPr>
        <w:t>в том числе за счет создания для них различных приспособлений в уче</w:t>
      </w:r>
      <w:r>
        <w:rPr>
          <w:b/>
        </w:rPr>
        <w:t>бных заведениях и на рабочих местах</w:t>
      </w:r>
      <w:r w:rsidRPr="00D4298B">
        <w:rPr>
          <w:b/>
        </w:rPr>
        <w:t xml:space="preserve">. </w:t>
      </w:r>
      <w:r w:rsidR="005F61DF">
        <w:rPr>
          <w:b/>
        </w:rPr>
        <w:t xml:space="preserve">Он также рекомендует государству-участнику в </w:t>
      </w:r>
      <w:r w:rsidR="00E200F2">
        <w:rPr>
          <w:b/>
        </w:rPr>
        <w:t>пр</w:t>
      </w:r>
      <w:r w:rsidR="00E200F2">
        <w:rPr>
          <w:b/>
        </w:rPr>
        <w:t>и</w:t>
      </w:r>
      <w:r w:rsidR="00E200F2">
        <w:rPr>
          <w:b/>
        </w:rPr>
        <w:t>оритетном</w:t>
      </w:r>
      <w:r w:rsidR="00F756B2">
        <w:rPr>
          <w:b/>
        </w:rPr>
        <w:t xml:space="preserve"> порядке ратифицировать </w:t>
      </w:r>
      <w:r w:rsidR="00EF0825">
        <w:rPr>
          <w:b/>
        </w:rPr>
        <w:t>подписанную в 2009 году Конве</w:t>
      </w:r>
      <w:r w:rsidR="00EF0825">
        <w:rPr>
          <w:b/>
        </w:rPr>
        <w:t>н</w:t>
      </w:r>
      <w:r w:rsidR="00EF0825">
        <w:rPr>
          <w:b/>
        </w:rPr>
        <w:t>цию о правах инвалидов.</w:t>
      </w:r>
    </w:p>
    <w:p w:rsidR="009C12DE" w:rsidRPr="00D4298B" w:rsidRDefault="009C12DE" w:rsidP="009C12DE">
      <w:pPr>
        <w:pStyle w:val="H23GR"/>
      </w:pPr>
      <w:r w:rsidRPr="009C12DE">
        <w:tab/>
      </w:r>
      <w:r w:rsidRPr="009C12DE">
        <w:tab/>
      </w:r>
      <w:r w:rsidRPr="00D4298B">
        <w:t>Гендерное равенство</w:t>
      </w:r>
    </w:p>
    <w:p w:rsidR="009C12DE" w:rsidRDefault="009C12DE" w:rsidP="009C12DE">
      <w:pPr>
        <w:pStyle w:val="SingleTxtGR"/>
      </w:pPr>
      <w:r w:rsidRPr="00D4298B">
        <w:t>11.</w:t>
      </w:r>
      <w:r w:rsidRPr="00D4298B">
        <w:tab/>
        <w:t>Комитет обеспокоен тем, что государство-участник еще не приняло пр</w:t>
      </w:r>
      <w:r w:rsidRPr="00D4298B">
        <w:t>о</w:t>
      </w:r>
      <w:r w:rsidRPr="00D4298B">
        <w:t>ект закона о равных пр</w:t>
      </w:r>
      <w:r w:rsidRPr="00D4298B">
        <w:t>а</w:t>
      </w:r>
      <w:r w:rsidRPr="00D4298B">
        <w:t>вах и возможностях мужчин и женщин и что женщины по-прежнему недопредставлены в органах государственного управления,</w:t>
      </w:r>
      <w:r>
        <w:t xml:space="preserve"> и </w:t>
      </w:r>
      <w:r w:rsidRPr="00D4298B">
        <w:t>в частности в органах судебной и исполнительной власти</w:t>
      </w:r>
      <w:r>
        <w:t xml:space="preserve"> и </w:t>
      </w:r>
      <w:r w:rsidRPr="00D4298B">
        <w:t>органах местного с</w:t>
      </w:r>
      <w:r w:rsidRPr="00D4298B">
        <w:t>а</w:t>
      </w:r>
      <w:r w:rsidRPr="00D4298B">
        <w:t>моуправления, особенно на должностях высокого уровня. В этой связи Ком</w:t>
      </w:r>
      <w:r w:rsidRPr="00D4298B">
        <w:t>и</w:t>
      </w:r>
      <w:r w:rsidRPr="00D4298B">
        <w:t>тет с озабоченностью отмечает, что негативное влияние на осуществление женщ</w:t>
      </w:r>
      <w:r w:rsidRPr="00D4298B">
        <w:t>и</w:t>
      </w:r>
      <w:r w:rsidRPr="00D4298B">
        <w:t>нами их экономических, социальных и культурных прав оказывают гл</w:t>
      </w:r>
      <w:r w:rsidRPr="00D4298B">
        <w:t>у</w:t>
      </w:r>
      <w:r w:rsidRPr="00D4298B">
        <w:t>боко укоренившиеся</w:t>
      </w:r>
      <w:r>
        <w:t xml:space="preserve"> в общественном сознании</w:t>
      </w:r>
      <w:r w:rsidRPr="00D4298B">
        <w:t xml:space="preserve"> стереотипы, касающиеся роли</w:t>
      </w:r>
      <w:r>
        <w:t xml:space="preserve"> му</w:t>
      </w:r>
      <w:r>
        <w:t>ж</w:t>
      </w:r>
      <w:r>
        <w:t>чин и</w:t>
      </w:r>
      <w:r w:rsidRPr="00D4298B">
        <w:t xml:space="preserve"> женщин в семье и обществе (статьи 3, 6 и 13). </w:t>
      </w:r>
    </w:p>
    <w:p w:rsidR="009C12DE" w:rsidRPr="00B17A1B" w:rsidRDefault="009C12DE" w:rsidP="009C12DE">
      <w:pPr>
        <w:pStyle w:val="SingleTxtGR"/>
        <w:rPr>
          <w:b/>
        </w:rPr>
      </w:pPr>
      <w:r w:rsidRPr="00B17A1B">
        <w:rPr>
          <w:b/>
        </w:rPr>
        <w:t>Комитет рекомендует государству-участнику:</w:t>
      </w:r>
    </w:p>
    <w:p w:rsidR="009C12DE" w:rsidRPr="00B17A1B" w:rsidRDefault="009C12DE" w:rsidP="009C12DE">
      <w:pPr>
        <w:pStyle w:val="SingleTxtGR"/>
        <w:rPr>
          <w:b/>
        </w:rPr>
      </w:pPr>
      <w:r w:rsidRPr="00B17A1B">
        <w:rPr>
          <w:b/>
        </w:rPr>
        <w:tab/>
        <w:t>а)</w:t>
      </w:r>
      <w:r w:rsidRPr="00B17A1B">
        <w:rPr>
          <w:b/>
        </w:rPr>
        <w:tab/>
        <w:t xml:space="preserve">ускорить принятие закона о равных правах и возможностях мужчин и женщин и обеспечить распространение информации о нем среди </w:t>
      </w:r>
      <w:r w:rsidR="00A23EB9">
        <w:rPr>
          <w:b/>
        </w:rPr>
        <w:t>правительственных</w:t>
      </w:r>
      <w:r w:rsidRPr="00B17A1B">
        <w:rPr>
          <w:b/>
        </w:rPr>
        <w:t xml:space="preserve"> чиновников, судей и широкой общественности;</w:t>
      </w:r>
    </w:p>
    <w:p w:rsidR="009C12DE" w:rsidRPr="00B17A1B" w:rsidRDefault="009C12DE" w:rsidP="009C12DE">
      <w:pPr>
        <w:pStyle w:val="SingleTxtGR"/>
        <w:rPr>
          <w:b/>
        </w:rPr>
      </w:pPr>
      <w:r w:rsidRPr="00B17A1B">
        <w:rPr>
          <w:b/>
        </w:rPr>
        <w:tab/>
      </w:r>
      <w:r w:rsidRPr="00B17A1B">
        <w:rPr>
          <w:b/>
          <w:lang w:val="en-US"/>
        </w:rPr>
        <w:t>b</w:t>
      </w:r>
      <w:r w:rsidRPr="00B17A1B">
        <w:rPr>
          <w:b/>
        </w:rPr>
        <w:t>)</w:t>
      </w:r>
      <w:r w:rsidRPr="00B17A1B">
        <w:rPr>
          <w:b/>
        </w:rPr>
        <w:tab/>
        <w:t>проводить политику и осуществлять учебную и информацио</w:t>
      </w:r>
      <w:r w:rsidRPr="00B17A1B">
        <w:rPr>
          <w:b/>
        </w:rPr>
        <w:t>н</w:t>
      </w:r>
      <w:r w:rsidRPr="00B17A1B">
        <w:rPr>
          <w:b/>
        </w:rPr>
        <w:t>но-просветительскую деятельность в целях поощрения равной предста</w:t>
      </w:r>
      <w:r w:rsidRPr="00B17A1B">
        <w:rPr>
          <w:b/>
        </w:rPr>
        <w:t>в</w:t>
      </w:r>
      <w:r w:rsidRPr="00B17A1B">
        <w:rPr>
          <w:b/>
        </w:rPr>
        <w:t>ленности женщин в государственных органах и частных структурах, и ос</w:t>
      </w:r>
      <w:r w:rsidRPr="00B17A1B">
        <w:rPr>
          <w:b/>
        </w:rPr>
        <w:t>о</w:t>
      </w:r>
      <w:r w:rsidRPr="00B17A1B">
        <w:rPr>
          <w:b/>
        </w:rPr>
        <w:t>бенно на</w:t>
      </w:r>
      <w:r w:rsidR="00A23EB9" w:rsidRPr="00B17A1B">
        <w:rPr>
          <w:b/>
        </w:rPr>
        <w:t xml:space="preserve"> должностях</w:t>
      </w:r>
      <w:r w:rsidRPr="00B17A1B">
        <w:rPr>
          <w:b/>
        </w:rPr>
        <w:t xml:space="preserve"> </w:t>
      </w:r>
      <w:r w:rsidR="00A23EB9">
        <w:rPr>
          <w:b/>
        </w:rPr>
        <w:t>высокого уровня, связанных с принятием решений</w:t>
      </w:r>
      <w:r w:rsidRPr="00B17A1B">
        <w:rPr>
          <w:b/>
        </w:rPr>
        <w:t>;</w:t>
      </w:r>
    </w:p>
    <w:p w:rsidR="009C12DE" w:rsidRPr="006E25B7" w:rsidRDefault="009C12DE" w:rsidP="009C12DE">
      <w:pPr>
        <w:pStyle w:val="SingleTxtGR"/>
        <w:rPr>
          <w:b/>
        </w:rPr>
      </w:pPr>
      <w:r w:rsidRPr="00B17A1B">
        <w:rPr>
          <w:b/>
        </w:rPr>
        <w:tab/>
        <w:t>с)</w:t>
      </w:r>
      <w:r w:rsidRPr="00B17A1B">
        <w:rPr>
          <w:b/>
        </w:rPr>
        <w:tab/>
        <w:t>активизировать усилия по изменению укоренившихся в общ</w:t>
      </w:r>
      <w:r w:rsidRPr="00B17A1B">
        <w:rPr>
          <w:b/>
        </w:rPr>
        <w:t>е</w:t>
      </w:r>
      <w:r w:rsidRPr="00B17A1B">
        <w:rPr>
          <w:b/>
        </w:rPr>
        <w:t>ственном сознании представлений о роли мужчин и женщин, в том числе путем привлечения внимания мужчин и женщин к тому, что обеспечению равных во</w:t>
      </w:r>
      <w:r w:rsidRPr="00B17A1B">
        <w:rPr>
          <w:b/>
        </w:rPr>
        <w:t>з</w:t>
      </w:r>
      <w:r w:rsidRPr="00B17A1B">
        <w:rPr>
          <w:b/>
        </w:rPr>
        <w:t xml:space="preserve">можностей для них в области продвижения по службе может способствовать общая профессиональная подготовка </w:t>
      </w:r>
      <w:r w:rsidR="00F779CC">
        <w:rPr>
          <w:b/>
        </w:rPr>
        <w:t xml:space="preserve">в </w:t>
      </w:r>
      <w:r w:rsidRPr="00B17A1B">
        <w:rPr>
          <w:b/>
        </w:rPr>
        <w:t>других областях,</w:t>
      </w:r>
      <w:r w:rsidR="00F779CC">
        <w:rPr>
          <w:b/>
        </w:rPr>
        <w:t xml:space="preserve"> помимо тех, в которых</w:t>
      </w:r>
      <w:r w:rsidRPr="00B17A1B">
        <w:rPr>
          <w:b/>
        </w:rPr>
        <w:t xml:space="preserve"> традиционно </w:t>
      </w:r>
      <w:r w:rsidR="00F779CC">
        <w:rPr>
          <w:b/>
        </w:rPr>
        <w:t>преобладают лица того или иного п</w:t>
      </w:r>
      <w:r w:rsidR="00F779CC">
        <w:rPr>
          <w:b/>
        </w:rPr>
        <w:t>о</w:t>
      </w:r>
      <w:r w:rsidR="00F779CC">
        <w:rPr>
          <w:b/>
        </w:rPr>
        <w:t>ла, а также содействия в установлении равных обязанностей в семье.</w:t>
      </w:r>
    </w:p>
    <w:p w:rsidR="00926952" w:rsidRPr="00A35E40" w:rsidRDefault="00926952" w:rsidP="00CE2B94">
      <w:pPr>
        <w:pStyle w:val="H23GR"/>
      </w:pPr>
      <w:r w:rsidRPr="00A35E40">
        <w:tab/>
      </w:r>
      <w:r w:rsidRPr="00A35E40">
        <w:tab/>
        <w:t>Занятость</w:t>
      </w:r>
    </w:p>
    <w:p w:rsidR="00926952" w:rsidRPr="00A35E40" w:rsidRDefault="00926952" w:rsidP="00CE2B94">
      <w:pPr>
        <w:pStyle w:val="SingleTxtGR"/>
      </w:pPr>
      <w:r w:rsidRPr="00A35E40">
        <w:t>12.</w:t>
      </w:r>
      <w:r w:rsidRPr="00A35E40">
        <w:tab/>
        <w:t>Комитет приветствует принимаемые государством-участником меры по стимулированию занятости, особенно среди женщин и сельских жителей, п</w:t>
      </w:r>
      <w:r w:rsidRPr="00A35E40">
        <w:t>у</w:t>
      </w:r>
      <w:r w:rsidRPr="00A35E40">
        <w:t>тем развития малого бизнеса, поощрения работы на дому и создания благоприя</w:t>
      </w:r>
      <w:r w:rsidRPr="00A35E40">
        <w:t>т</w:t>
      </w:r>
      <w:r w:rsidRPr="00A35E40">
        <w:t xml:space="preserve">ных условий для предпринимательской деятельности. Вместе с тем он по-прежнему обеспокоен неполной занятостью, особенно среди </w:t>
      </w:r>
      <w:r>
        <w:t>кочевых народов</w:t>
      </w:r>
      <w:r w:rsidRPr="00A35E40">
        <w:t xml:space="preserve"> и в сельск</w:t>
      </w:r>
      <w:r w:rsidRPr="00A35E40">
        <w:t>о</w:t>
      </w:r>
      <w:r w:rsidRPr="00A35E40">
        <w:t>хозяйственном секторе, высоким уровнем безработицы среди женщин, сохр</w:t>
      </w:r>
      <w:r w:rsidRPr="00A35E40">
        <w:t>а</w:t>
      </w:r>
      <w:r w:rsidRPr="00A35E40">
        <w:t xml:space="preserve">няющимися различиями в уровнях оплаты труда мужчин и женщин, а также тем, что значительная часть трудоспособного населения занята в неформальном секторе экономики. Он выражает сожаление по поводу отсутствия информации о размере неформального сектора экономики и </w:t>
      </w:r>
      <w:r>
        <w:t>об эффективности принятых мер</w:t>
      </w:r>
      <w:r w:rsidRPr="00A35E40">
        <w:t xml:space="preserve"> по защите прав лиц, занятых в этом секторе (статьи 3, 6 и 9). </w:t>
      </w:r>
    </w:p>
    <w:p w:rsidR="00926952" w:rsidRPr="006A7CFE" w:rsidRDefault="00926952" w:rsidP="00CE2B94">
      <w:pPr>
        <w:pStyle w:val="SingleTxtGR"/>
        <w:rPr>
          <w:b/>
        </w:rPr>
      </w:pPr>
      <w:r w:rsidRPr="006A7CFE">
        <w:rPr>
          <w:b/>
        </w:rPr>
        <w:t xml:space="preserve">Комитет </w:t>
      </w:r>
      <w:r>
        <w:rPr>
          <w:b/>
        </w:rPr>
        <w:t>призывает государство-участник</w:t>
      </w:r>
      <w:r w:rsidRPr="006A7CFE">
        <w:rPr>
          <w:b/>
        </w:rPr>
        <w:t>:</w:t>
      </w:r>
    </w:p>
    <w:p w:rsidR="00926952" w:rsidRPr="006A7CFE" w:rsidRDefault="00926952" w:rsidP="00CE2B94">
      <w:pPr>
        <w:pStyle w:val="SingleTxtGR"/>
        <w:rPr>
          <w:b/>
        </w:rPr>
      </w:pPr>
      <w:r w:rsidRPr="006A7CFE">
        <w:rPr>
          <w:b/>
        </w:rPr>
        <w:tab/>
        <w:t>а)</w:t>
      </w:r>
      <w:r w:rsidRPr="006A7CFE">
        <w:rPr>
          <w:b/>
        </w:rPr>
        <w:tab/>
        <w:t>предпринять шаги в целях сокращения масштабов неполной занятости и</w:t>
      </w:r>
      <w:r>
        <w:rPr>
          <w:b/>
        </w:rPr>
        <w:t>, в частности,</w:t>
      </w:r>
      <w:r w:rsidRPr="006A7CFE">
        <w:rPr>
          <w:b/>
        </w:rPr>
        <w:t xml:space="preserve"> высокого уровня безработицы среди женщин;</w:t>
      </w:r>
    </w:p>
    <w:p w:rsidR="00926952" w:rsidRPr="006A7CFE" w:rsidRDefault="00926952" w:rsidP="00CE2B94">
      <w:pPr>
        <w:pStyle w:val="SingleTxtGR"/>
        <w:rPr>
          <w:b/>
        </w:rPr>
      </w:pPr>
      <w:r w:rsidRPr="006A7CFE">
        <w:rPr>
          <w:b/>
        </w:rPr>
        <w:tab/>
      </w:r>
      <w:r w:rsidRPr="006A7CFE">
        <w:rPr>
          <w:b/>
          <w:lang w:val="en-US"/>
        </w:rPr>
        <w:t>b</w:t>
      </w:r>
      <w:r w:rsidRPr="006A7CFE">
        <w:rPr>
          <w:b/>
        </w:rPr>
        <w:t>)</w:t>
      </w:r>
      <w:r w:rsidRPr="006A7CFE">
        <w:rPr>
          <w:b/>
        </w:rPr>
        <w:tab/>
        <w:t>активизировать усилия по уменьшению различий в уровнях оплаты труда мужчин и женщин;</w:t>
      </w:r>
    </w:p>
    <w:p w:rsidR="00926952" w:rsidRPr="006A7CFE" w:rsidRDefault="00926952" w:rsidP="00CE2B94">
      <w:pPr>
        <w:pStyle w:val="SingleTxtGR"/>
        <w:rPr>
          <w:b/>
        </w:rPr>
      </w:pPr>
      <w:r w:rsidRPr="006A7CFE">
        <w:rPr>
          <w:b/>
        </w:rPr>
        <w:tab/>
        <w:t>с)</w:t>
      </w:r>
      <w:r w:rsidRPr="006A7CFE">
        <w:rPr>
          <w:b/>
        </w:rPr>
        <w:tab/>
        <w:t>постепенно урегулировать статус всех лиц, занятых в нефо</w:t>
      </w:r>
      <w:r w:rsidRPr="006A7CFE">
        <w:rPr>
          <w:b/>
        </w:rPr>
        <w:t>р</w:t>
      </w:r>
      <w:r w:rsidRPr="006A7CFE">
        <w:rPr>
          <w:b/>
        </w:rPr>
        <w:t>мальном секторе, и обеспечить распространение на них трудового закон</w:t>
      </w:r>
      <w:r w:rsidRPr="006A7CFE">
        <w:rPr>
          <w:b/>
        </w:rPr>
        <w:t>о</w:t>
      </w:r>
      <w:r w:rsidRPr="006A7CFE">
        <w:rPr>
          <w:b/>
        </w:rPr>
        <w:t>дательства и системы социального обеспечения;</w:t>
      </w:r>
    </w:p>
    <w:p w:rsidR="00926952" w:rsidRPr="00A35E40" w:rsidRDefault="00926952" w:rsidP="00CE2B94">
      <w:pPr>
        <w:pStyle w:val="SingleTxtGR"/>
      </w:pPr>
      <w:r w:rsidRPr="006A7CFE">
        <w:rPr>
          <w:b/>
        </w:rPr>
        <w:tab/>
      </w:r>
      <w:r w:rsidRPr="006A7CFE">
        <w:rPr>
          <w:b/>
          <w:lang w:val="en-US"/>
        </w:rPr>
        <w:t>d</w:t>
      </w:r>
      <w:r w:rsidRPr="006A7CFE">
        <w:rPr>
          <w:b/>
        </w:rPr>
        <w:t>)</w:t>
      </w:r>
      <w:r w:rsidRPr="006A7CFE">
        <w:rPr>
          <w:b/>
        </w:rPr>
        <w:tab/>
        <w:t xml:space="preserve">представить в следующем периодическом докладе информацию о прогрессе в деле сокращения </w:t>
      </w:r>
      <w:r>
        <w:rPr>
          <w:b/>
        </w:rPr>
        <w:t>размера неформального сектора, в том чи</w:t>
      </w:r>
      <w:r>
        <w:rPr>
          <w:b/>
        </w:rPr>
        <w:t>с</w:t>
      </w:r>
      <w:r>
        <w:rPr>
          <w:b/>
        </w:rPr>
        <w:t>ле о процентной доле затрагиваемых работников и "малых предприятий", а также информацию о том, подвергаются ли "малые предприятия" пр</w:t>
      </w:r>
      <w:r>
        <w:rPr>
          <w:b/>
        </w:rPr>
        <w:t>о</w:t>
      </w:r>
      <w:r>
        <w:rPr>
          <w:b/>
        </w:rPr>
        <w:t>веркам со стороны трудовых инспекций и несут ли они административную ответственность за нарушения прав работников на справедливые и благ</w:t>
      </w:r>
      <w:r>
        <w:rPr>
          <w:b/>
        </w:rPr>
        <w:t>о</w:t>
      </w:r>
      <w:r>
        <w:rPr>
          <w:b/>
        </w:rPr>
        <w:t>приятные условия труда.</w:t>
      </w:r>
      <w:r w:rsidRPr="00A35E40">
        <w:t xml:space="preserve"> </w:t>
      </w:r>
    </w:p>
    <w:p w:rsidR="00926952" w:rsidRPr="00A35E40" w:rsidRDefault="00926952" w:rsidP="00CE2B94">
      <w:pPr>
        <w:pStyle w:val="H23GR"/>
      </w:pPr>
      <w:r w:rsidRPr="00A35E40">
        <w:tab/>
      </w:r>
      <w:r w:rsidRPr="00A35E40">
        <w:tab/>
        <w:t>Минимальный размер заработной платы</w:t>
      </w:r>
    </w:p>
    <w:p w:rsidR="00926952" w:rsidRPr="00A35E40" w:rsidRDefault="00926952" w:rsidP="00CE2B94">
      <w:pPr>
        <w:pStyle w:val="SingleTxtGR"/>
      </w:pPr>
      <w:r w:rsidRPr="00A35E40">
        <w:t>13.</w:t>
      </w:r>
      <w:r w:rsidRPr="00A35E40">
        <w:tab/>
        <w:t>Комитет приветствует увеличение с 2006 года минимального размера з</w:t>
      </w:r>
      <w:r w:rsidRPr="00A35E40">
        <w:t>а</w:t>
      </w:r>
      <w:r w:rsidRPr="00A35E40">
        <w:t>работной платы в государстве-участнике, однако с сожалением отмечает, что он не получил достаточной информации о том, насколько этот размер соблюд</w:t>
      </w:r>
      <w:r w:rsidRPr="00A35E40">
        <w:t>а</w:t>
      </w:r>
      <w:r w:rsidRPr="00A35E40">
        <w:t>ется и обеспечивает ли он достойный уровень жизни работников и членов их семей (статья 7).</w:t>
      </w:r>
    </w:p>
    <w:p w:rsidR="00926952" w:rsidRPr="006A7CFE" w:rsidRDefault="00926952" w:rsidP="00CE2B94">
      <w:pPr>
        <w:pStyle w:val="SingleTxtGR"/>
        <w:rPr>
          <w:b/>
          <w:bCs/>
        </w:rPr>
      </w:pPr>
      <w:r w:rsidRPr="006A7CFE">
        <w:rPr>
          <w:b/>
          <w:bCs/>
        </w:rPr>
        <w:t>Комитет настоятельно призывает государство-участник:</w:t>
      </w:r>
    </w:p>
    <w:p w:rsidR="00926952" w:rsidRPr="006A7CFE" w:rsidRDefault="00926952" w:rsidP="00CE2B94">
      <w:pPr>
        <w:pStyle w:val="SingleTxtGR"/>
        <w:rPr>
          <w:b/>
          <w:bCs/>
        </w:rPr>
      </w:pPr>
      <w:r w:rsidRPr="006A7CFE">
        <w:rPr>
          <w:b/>
          <w:bCs/>
        </w:rPr>
        <w:tab/>
        <w:t>а)</w:t>
      </w:r>
      <w:r w:rsidRPr="006A7CFE">
        <w:rPr>
          <w:b/>
          <w:bCs/>
        </w:rPr>
        <w:tab/>
        <w:t>обеспечить</w:t>
      </w:r>
      <w:r>
        <w:rPr>
          <w:b/>
          <w:bCs/>
        </w:rPr>
        <w:t>, чтобы периодически</w:t>
      </w:r>
      <w:r w:rsidRPr="006A7CFE">
        <w:rPr>
          <w:b/>
          <w:bCs/>
        </w:rPr>
        <w:t xml:space="preserve"> пересм</w:t>
      </w:r>
      <w:r>
        <w:rPr>
          <w:b/>
          <w:bCs/>
        </w:rPr>
        <w:t>атриваемый</w:t>
      </w:r>
      <w:r w:rsidRPr="006A7CFE">
        <w:rPr>
          <w:b/>
          <w:bCs/>
        </w:rPr>
        <w:t xml:space="preserve"> мин</w:t>
      </w:r>
      <w:r w:rsidRPr="006A7CFE">
        <w:rPr>
          <w:b/>
          <w:bCs/>
        </w:rPr>
        <w:t>и</w:t>
      </w:r>
      <w:r w:rsidRPr="006A7CFE">
        <w:rPr>
          <w:b/>
          <w:bCs/>
        </w:rPr>
        <w:t>мальн</w:t>
      </w:r>
      <w:r>
        <w:rPr>
          <w:b/>
          <w:bCs/>
        </w:rPr>
        <w:t>ый</w:t>
      </w:r>
      <w:r w:rsidRPr="006A7CFE">
        <w:rPr>
          <w:b/>
          <w:bCs/>
        </w:rPr>
        <w:t xml:space="preserve"> разме</w:t>
      </w:r>
      <w:r>
        <w:rPr>
          <w:b/>
          <w:bCs/>
        </w:rPr>
        <w:t>р</w:t>
      </w:r>
      <w:r w:rsidRPr="006A7CFE">
        <w:rPr>
          <w:b/>
          <w:bCs/>
        </w:rPr>
        <w:t xml:space="preserve"> заработной платы </w:t>
      </w:r>
      <w:r>
        <w:rPr>
          <w:b/>
          <w:bCs/>
        </w:rPr>
        <w:t>являлся</w:t>
      </w:r>
      <w:r w:rsidRPr="006A7CFE">
        <w:rPr>
          <w:b/>
          <w:bCs/>
        </w:rPr>
        <w:t xml:space="preserve"> достаточн</w:t>
      </w:r>
      <w:r>
        <w:rPr>
          <w:b/>
          <w:bCs/>
        </w:rPr>
        <w:t>ым</w:t>
      </w:r>
      <w:r w:rsidRPr="006A7CFE">
        <w:rPr>
          <w:b/>
          <w:bCs/>
        </w:rPr>
        <w:t xml:space="preserve"> для обеспечения достойного уровня жизни работников и членов их семей;</w:t>
      </w:r>
    </w:p>
    <w:p w:rsidR="00926952" w:rsidRPr="006A7CFE" w:rsidRDefault="00926952" w:rsidP="00CE2B94">
      <w:pPr>
        <w:pStyle w:val="SingleTxtGR"/>
        <w:rPr>
          <w:b/>
          <w:bCs/>
        </w:rPr>
      </w:pPr>
      <w:r w:rsidRPr="006A7CFE">
        <w:rPr>
          <w:b/>
          <w:bCs/>
        </w:rPr>
        <w:tab/>
      </w:r>
      <w:r w:rsidRPr="006A7CFE">
        <w:rPr>
          <w:b/>
          <w:bCs/>
          <w:lang w:val="en-US"/>
        </w:rPr>
        <w:t>b</w:t>
      </w:r>
      <w:r w:rsidRPr="006A7CFE">
        <w:rPr>
          <w:b/>
          <w:bCs/>
        </w:rPr>
        <w:t>)</w:t>
      </w:r>
      <w:r w:rsidRPr="006A7CFE">
        <w:rPr>
          <w:b/>
          <w:bCs/>
        </w:rPr>
        <w:tab/>
        <w:t>обеспечить соблюдение минимального размера заработной пл</w:t>
      </w:r>
      <w:r w:rsidRPr="006A7CFE">
        <w:rPr>
          <w:b/>
          <w:bCs/>
        </w:rPr>
        <w:t>а</w:t>
      </w:r>
      <w:r w:rsidRPr="006A7CFE">
        <w:rPr>
          <w:b/>
          <w:bCs/>
        </w:rPr>
        <w:t xml:space="preserve">ты в государственном и частном секторах, включая </w:t>
      </w:r>
      <w:r>
        <w:rPr>
          <w:b/>
          <w:bCs/>
        </w:rPr>
        <w:t>формальный</w:t>
      </w:r>
      <w:r w:rsidRPr="006A7CFE">
        <w:rPr>
          <w:b/>
          <w:bCs/>
        </w:rPr>
        <w:t xml:space="preserve"> сектор;</w:t>
      </w:r>
    </w:p>
    <w:p w:rsidR="00926952" w:rsidRPr="006A7CFE" w:rsidRDefault="00926952" w:rsidP="00CE2B94">
      <w:pPr>
        <w:pStyle w:val="SingleTxtGR"/>
        <w:rPr>
          <w:b/>
          <w:bCs/>
        </w:rPr>
      </w:pPr>
      <w:r w:rsidRPr="006A7CFE">
        <w:rPr>
          <w:b/>
          <w:bCs/>
        </w:rPr>
        <w:tab/>
        <w:t>с)</w:t>
      </w:r>
      <w:r w:rsidRPr="006A7CFE">
        <w:rPr>
          <w:b/>
          <w:bCs/>
        </w:rPr>
        <w:tab/>
        <w:t>завершить работу по установлению ставок вознаграждения в соответствии с принципом равной оплаты за труд равной ценности и обе</w:t>
      </w:r>
      <w:r w:rsidRPr="006A7CFE">
        <w:rPr>
          <w:b/>
          <w:bCs/>
        </w:rPr>
        <w:t>с</w:t>
      </w:r>
      <w:r w:rsidRPr="006A7CFE">
        <w:rPr>
          <w:b/>
          <w:bCs/>
        </w:rPr>
        <w:t>печить их применение во всех секторах зан</w:t>
      </w:r>
      <w:r w:rsidRPr="006A7CFE">
        <w:rPr>
          <w:b/>
          <w:bCs/>
        </w:rPr>
        <w:t>я</w:t>
      </w:r>
      <w:r w:rsidRPr="006A7CFE">
        <w:rPr>
          <w:b/>
          <w:bCs/>
        </w:rPr>
        <w:t>тости;</w:t>
      </w:r>
    </w:p>
    <w:p w:rsidR="00926952" w:rsidRPr="006A7CFE" w:rsidRDefault="00926952" w:rsidP="00CE2B94">
      <w:pPr>
        <w:pStyle w:val="SingleTxtGR"/>
        <w:rPr>
          <w:b/>
          <w:bCs/>
        </w:rPr>
      </w:pPr>
      <w:r w:rsidRPr="006A7CFE">
        <w:rPr>
          <w:b/>
          <w:bCs/>
        </w:rPr>
        <w:tab/>
      </w:r>
      <w:r w:rsidRPr="006A7CFE">
        <w:rPr>
          <w:b/>
          <w:bCs/>
          <w:lang w:val="en-US"/>
        </w:rPr>
        <w:t>d</w:t>
      </w:r>
      <w:r w:rsidRPr="006A7CFE">
        <w:rPr>
          <w:b/>
          <w:bCs/>
        </w:rPr>
        <w:t>)</w:t>
      </w:r>
      <w:r w:rsidRPr="006A7CFE">
        <w:rPr>
          <w:b/>
          <w:bCs/>
        </w:rPr>
        <w:tab/>
      </w:r>
      <w:r>
        <w:rPr>
          <w:b/>
          <w:bCs/>
        </w:rPr>
        <w:t>ускорить принятие разработанного в 2008 году проекта закона об оплате труда, содержащего определение минимального размера зарабо</w:t>
      </w:r>
      <w:r>
        <w:rPr>
          <w:b/>
          <w:bCs/>
        </w:rPr>
        <w:t>т</w:t>
      </w:r>
      <w:r>
        <w:rPr>
          <w:b/>
          <w:bCs/>
        </w:rPr>
        <w:t>ной платы, в соответствии со статьей 7 Пакта, и представить в следующем периодическом докладе информацию о сфере охвата системы минимальной заработной платы, о механизмах, используемых для обеспечения ее собл</w:t>
      </w:r>
      <w:r>
        <w:rPr>
          <w:b/>
          <w:bCs/>
        </w:rPr>
        <w:t>ю</w:t>
      </w:r>
      <w:r>
        <w:rPr>
          <w:b/>
          <w:bCs/>
        </w:rPr>
        <w:t>дения</w:t>
      </w:r>
      <w:r w:rsidR="008B2FF7">
        <w:rPr>
          <w:b/>
          <w:bCs/>
        </w:rPr>
        <w:t>,</w:t>
      </w:r>
      <w:r>
        <w:rPr>
          <w:b/>
          <w:bCs/>
        </w:rPr>
        <w:t xml:space="preserve"> и об эффективности функционирования.</w:t>
      </w:r>
      <w:r w:rsidRPr="006A7CFE">
        <w:rPr>
          <w:b/>
          <w:bCs/>
        </w:rPr>
        <w:t xml:space="preserve"> </w:t>
      </w:r>
    </w:p>
    <w:p w:rsidR="00926952" w:rsidRPr="00A35E40" w:rsidRDefault="00926952" w:rsidP="00CE2B94">
      <w:pPr>
        <w:pStyle w:val="H23GR"/>
      </w:pPr>
      <w:r w:rsidRPr="00A35E40">
        <w:tab/>
      </w:r>
      <w:r w:rsidRPr="00A35E40">
        <w:tab/>
        <w:t>Бедность</w:t>
      </w:r>
    </w:p>
    <w:p w:rsidR="00926952" w:rsidRPr="00A35E40" w:rsidRDefault="00926952" w:rsidP="00CE2B94">
      <w:pPr>
        <w:pStyle w:val="SingleTxtGR"/>
      </w:pPr>
      <w:r w:rsidRPr="00A35E40">
        <w:t>14.</w:t>
      </w:r>
      <w:r w:rsidRPr="00A35E40">
        <w:tab/>
        <w:t>Комитет выражает обеспокоенность по поводу того, что, несмотря на ежегодное повышение размеров заработной платы, пенсий и социальных пос</w:t>
      </w:r>
      <w:r w:rsidRPr="00A35E40">
        <w:t>о</w:t>
      </w:r>
      <w:r w:rsidRPr="00A35E40">
        <w:t>бий, значительная часть населения Узбекистана продолжает жить за чертой бедности, особенно в сельских районах. Он также выражает обеспокое</w:t>
      </w:r>
      <w:r w:rsidRPr="00A35E40">
        <w:t>н</w:t>
      </w:r>
      <w:r w:rsidRPr="00A35E40">
        <w:t>ность в связи с сообщениями о вычетах из пенсий работающих пенсионеров. Он сож</w:t>
      </w:r>
      <w:r w:rsidRPr="00A35E40">
        <w:t>а</w:t>
      </w:r>
      <w:r w:rsidRPr="00A35E40">
        <w:t xml:space="preserve">леет по поводу отсутствия данных о масштабах бедности, </w:t>
      </w:r>
      <w:r w:rsidR="008B2FF7">
        <w:t>дезагрегированных по признаку пола</w:t>
      </w:r>
      <w:r w:rsidRPr="00A35E40">
        <w:t xml:space="preserve"> и возраст</w:t>
      </w:r>
      <w:r w:rsidR="008B2FF7">
        <w:t>а</w:t>
      </w:r>
      <w:r w:rsidRPr="00A35E40">
        <w:t xml:space="preserve"> и </w:t>
      </w:r>
      <w:r>
        <w:t xml:space="preserve">по </w:t>
      </w:r>
      <w:r w:rsidRPr="00A35E40">
        <w:t xml:space="preserve">географическому признаку, </w:t>
      </w:r>
      <w:r>
        <w:t>а также</w:t>
      </w:r>
      <w:r w:rsidRPr="00A35E40">
        <w:t xml:space="preserve"> информ</w:t>
      </w:r>
      <w:r w:rsidRPr="00A35E40">
        <w:t>а</w:t>
      </w:r>
      <w:r w:rsidRPr="00A35E40">
        <w:t>ции о том, в какой степени пересмотренные размеры заработной платы, пе</w:t>
      </w:r>
      <w:r w:rsidRPr="00A35E40">
        <w:t>н</w:t>
      </w:r>
      <w:r w:rsidRPr="00A35E40">
        <w:t>сий, пособий по безработице и социальных выплат обеспечивают достаточный ур</w:t>
      </w:r>
      <w:r w:rsidRPr="00A35E40">
        <w:t>о</w:t>
      </w:r>
      <w:r w:rsidRPr="00A35E40">
        <w:t>вень жизни. Он отмечает отсутствие полной информации о требованиях, кот</w:t>
      </w:r>
      <w:r w:rsidRPr="00A35E40">
        <w:t>о</w:t>
      </w:r>
      <w:r w:rsidRPr="00A35E40">
        <w:t>рым должны соответствовать лица, претендующие на получение социальных пособий, и доле населения, охваченного системой социального обеспечения, а также о том, на какую помощь и какие услуги могут рассчитывать лица, не о</w:t>
      </w:r>
      <w:r w:rsidRPr="00A35E40">
        <w:t>х</w:t>
      </w:r>
      <w:r w:rsidRPr="00A35E40">
        <w:t>ваченные такой си</w:t>
      </w:r>
      <w:r w:rsidRPr="00A35E40">
        <w:t>с</w:t>
      </w:r>
      <w:r w:rsidRPr="00A35E40">
        <w:t xml:space="preserve">темой (статьи 9 и 11). </w:t>
      </w:r>
    </w:p>
    <w:p w:rsidR="00926952" w:rsidRPr="006A7CFE" w:rsidRDefault="00926952" w:rsidP="00CE2B94">
      <w:pPr>
        <w:pStyle w:val="SingleTxtGR"/>
        <w:rPr>
          <w:b/>
          <w:bCs/>
        </w:rPr>
      </w:pPr>
      <w:r w:rsidRPr="006A7CFE">
        <w:rPr>
          <w:b/>
          <w:bCs/>
        </w:rPr>
        <w:t>Комитет настоятельно призывает государство-участник разработать набор н</w:t>
      </w:r>
      <w:r w:rsidRPr="006A7CFE">
        <w:rPr>
          <w:b/>
          <w:bCs/>
        </w:rPr>
        <w:t>а</w:t>
      </w:r>
      <w:r w:rsidRPr="006A7CFE">
        <w:rPr>
          <w:b/>
          <w:bCs/>
        </w:rPr>
        <w:t>дежных показателей для оценки масштабов бедности в стране, включая показатели, характеризующие потребление продовольственных и непрод</w:t>
      </w:r>
      <w:r w:rsidRPr="006A7CFE">
        <w:rPr>
          <w:b/>
          <w:bCs/>
        </w:rPr>
        <w:t>о</w:t>
      </w:r>
      <w:r w:rsidRPr="006A7CFE">
        <w:rPr>
          <w:b/>
          <w:bCs/>
        </w:rPr>
        <w:t>вольстве</w:t>
      </w:r>
      <w:r w:rsidRPr="006A7CFE">
        <w:rPr>
          <w:b/>
          <w:bCs/>
        </w:rPr>
        <w:t>н</w:t>
      </w:r>
      <w:r w:rsidRPr="006A7CFE">
        <w:rPr>
          <w:b/>
          <w:bCs/>
        </w:rPr>
        <w:t>ных товаров. Государству-участнику следует активизировать усилия по обесп</w:t>
      </w:r>
      <w:r w:rsidRPr="006A7CFE">
        <w:rPr>
          <w:b/>
          <w:bCs/>
        </w:rPr>
        <w:t>е</w:t>
      </w:r>
      <w:r w:rsidRPr="006A7CFE">
        <w:rPr>
          <w:b/>
          <w:bCs/>
        </w:rPr>
        <w:t>чению того, чтобы размер пенсий, пособий по безработице и других социальных выплат был достаточным для обеспечения надлеж</w:t>
      </w:r>
      <w:r w:rsidRPr="006A7CFE">
        <w:rPr>
          <w:b/>
          <w:bCs/>
        </w:rPr>
        <w:t>а</w:t>
      </w:r>
      <w:r w:rsidRPr="006A7CFE">
        <w:rPr>
          <w:b/>
          <w:bCs/>
        </w:rPr>
        <w:t>щего уровня жизни бенефициаров и членов их семей. Работающим пенси</w:t>
      </w:r>
      <w:r w:rsidRPr="006A7CFE">
        <w:rPr>
          <w:b/>
          <w:bCs/>
        </w:rPr>
        <w:t>о</w:t>
      </w:r>
      <w:r w:rsidRPr="006A7CFE">
        <w:rPr>
          <w:b/>
          <w:bCs/>
        </w:rPr>
        <w:t>нерам пенсии должны выплачиваться в полном объеме. Комитет рекоме</w:t>
      </w:r>
      <w:r w:rsidRPr="006A7CFE">
        <w:rPr>
          <w:b/>
          <w:bCs/>
        </w:rPr>
        <w:t>н</w:t>
      </w:r>
      <w:r w:rsidRPr="006A7CFE">
        <w:rPr>
          <w:b/>
          <w:bCs/>
        </w:rPr>
        <w:t>дует определять размеры социальных выплат на основе точн</w:t>
      </w:r>
      <w:r w:rsidR="00F60896">
        <w:rPr>
          <w:b/>
          <w:bCs/>
        </w:rPr>
        <w:t>ой оценки</w:t>
      </w:r>
      <w:r w:rsidRPr="006A7CFE">
        <w:rPr>
          <w:b/>
          <w:bCs/>
        </w:rPr>
        <w:t xml:space="preserve"> масшта</w:t>
      </w:r>
      <w:r>
        <w:rPr>
          <w:b/>
          <w:bCs/>
        </w:rPr>
        <w:t>б</w:t>
      </w:r>
      <w:r w:rsidR="00F60896">
        <w:rPr>
          <w:b/>
          <w:bCs/>
        </w:rPr>
        <w:t>ов</w:t>
      </w:r>
      <w:r>
        <w:rPr>
          <w:b/>
          <w:bCs/>
        </w:rPr>
        <w:t xml:space="preserve"> бедности и установить конкретные и понятные условия для о</w:t>
      </w:r>
      <w:r>
        <w:rPr>
          <w:b/>
          <w:bCs/>
        </w:rPr>
        <w:t>х</w:t>
      </w:r>
      <w:r>
        <w:rPr>
          <w:b/>
          <w:bCs/>
        </w:rPr>
        <w:t>вата программами социального обеспечения. Он обращает внимание гос</w:t>
      </w:r>
      <w:r>
        <w:rPr>
          <w:b/>
          <w:bCs/>
        </w:rPr>
        <w:t>у</w:t>
      </w:r>
      <w:r>
        <w:rPr>
          <w:b/>
          <w:bCs/>
        </w:rPr>
        <w:t>дарства-участника на свои замечания общего порядка № 6 (1995), каса</w:t>
      </w:r>
      <w:r>
        <w:rPr>
          <w:b/>
          <w:bCs/>
        </w:rPr>
        <w:t>ю</w:t>
      </w:r>
      <w:r>
        <w:rPr>
          <w:b/>
          <w:bCs/>
        </w:rPr>
        <w:t>щееся экономических, социальных и культурных прав пожилых людей, и № 19 (2007) о праве на социальное обеспечение. Комитет просит государс</w:t>
      </w:r>
      <w:r>
        <w:rPr>
          <w:b/>
          <w:bCs/>
        </w:rPr>
        <w:t>т</w:t>
      </w:r>
      <w:r>
        <w:rPr>
          <w:b/>
          <w:bCs/>
        </w:rPr>
        <w:t>во-участник представить в следующем периодическом докладе информ</w:t>
      </w:r>
      <w:r>
        <w:rPr>
          <w:b/>
          <w:bCs/>
        </w:rPr>
        <w:t>а</w:t>
      </w:r>
      <w:r>
        <w:rPr>
          <w:b/>
          <w:bCs/>
        </w:rPr>
        <w:t>цию о прин</w:t>
      </w:r>
      <w:r>
        <w:rPr>
          <w:b/>
          <w:bCs/>
        </w:rPr>
        <w:t>я</w:t>
      </w:r>
      <w:r>
        <w:rPr>
          <w:b/>
          <w:bCs/>
        </w:rPr>
        <w:t>тых мерах и об их результативности.</w:t>
      </w:r>
    </w:p>
    <w:p w:rsidR="00926952" w:rsidRPr="00A35E40" w:rsidRDefault="00926952" w:rsidP="00CE2B94">
      <w:pPr>
        <w:pStyle w:val="H23GR"/>
      </w:pPr>
      <w:r w:rsidRPr="00A35E40">
        <w:tab/>
      </w:r>
      <w:r w:rsidRPr="00A35E40">
        <w:tab/>
        <w:t>Трудовая миграция</w:t>
      </w:r>
    </w:p>
    <w:p w:rsidR="00926952" w:rsidRPr="00A35E40" w:rsidRDefault="00926952" w:rsidP="00CE2B94">
      <w:pPr>
        <w:pStyle w:val="SingleTxtGR"/>
      </w:pPr>
      <w:r w:rsidRPr="00A35E40">
        <w:t>15.</w:t>
      </w:r>
      <w:r w:rsidRPr="00A35E40">
        <w:tab/>
        <w:t>Комитет выражает обеспокоенность в связи с сообщениями о том, что, несмотря на усилия по борьбе с торговлей людьми, значительн</w:t>
      </w:r>
      <w:r>
        <w:t>ая часть насел</w:t>
      </w:r>
      <w:r>
        <w:t>е</w:t>
      </w:r>
      <w:r>
        <w:t>ния Узбекистана</w:t>
      </w:r>
      <w:r w:rsidRPr="00A35E40">
        <w:t>, особенно женщин</w:t>
      </w:r>
      <w:r>
        <w:t>ы и молодые</w:t>
      </w:r>
      <w:r w:rsidRPr="00A35E40">
        <w:t xml:space="preserve"> люд</w:t>
      </w:r>
      <w:r>
        <w:t>и, работаю</w:t>
      </w:r>
      <w:r w:rsidRPr="00A35E40">
        <w:t xml:space="preserve">т за границей в неблагоприятных условиях, в том числе в условиях </w:t>
      </w:r>
      <w:r>
        <w:t>недостаточного вознагра</w:t>
      </w:r>
      <w:r>
        <w:t>ж</w:t>
      </w:r>
      <w:r>
        <w:t>дения</w:t>
      </w:r>
      <w:r w:rsidRPr="00A35E40">
        <w:t xml:space="preserve"> </w:t>
      </w:r>
      <w:r>
        <w:t>и</w:t>
      </w:r>
      <w:r w:rsidRPr="00A35E40">
        <w:t xml:space="preserve"> отдыха, социальной незащищенности и отсутствия доступа к медици</w:t>
      </w:r>
      <w:r w:rsidRPr="00A35E40">
        <w:t>н</w:t>
      </w:r>
      <w:r w:rsidRPr="00A35E40">
        <w:t>ским услугам и надлежащему жилью (ста</w:t>
      </w:r>
      <w:r>
        <w:t>тьи 7 и</w:t>
      </w:r>
      <w:r w:rsidRPr="00A35E40">
        <w:t xml:space="preserve"> 9</w:t>
      </w:r>
      <w:r>
        <w:t>−</w:t>
      </w:r>
      <w:r w:rsidRPr="00A35E40">
        <w:t xml:space="preserve">11). </w:t>
      </w:r>
    </w:p>
    <w:p w:rsidR="00926952" w:rsidRPr="006A7CFE" w:rsidRDefault="00926952" w:rsidP="00CE2B94">
      <w:pPr>
        <w:pStyle w:val="SingleTxtGR"/>
        <w:rPr>
          <w:b/>
          <w:bCs/>
        </w:rPr>
      </w:pPr>
      <w:r w:rsidRPr="006A7CFE">
        <w:rPr>
          <w:b/>
          <w:bCs/>
        </w:rPr>
        <w:t>Комитет настоятельно призывает государство-участник:</w:t>
      </w:r>
    </w:p>
    <w:p w:rsidR="00926952" w:rsidRPr="006A7CFE" w:rsidRDefault="00926952" w:rsidP="00CE2B94">
      <w:pPr>
        <w:pStyle w:val="SingleTxtGR"/>
        <w:rPr>
          <w:b/>
          <w:bCs/>
        </w:rPr>
      </w:pPr>
      <w:r w:rsidRPr="006A7CFE">
        <w:rPr>
          <w:b/>
          <w:bCs/>
        </w:rPr>
        <w:tab/>
        <w:t>а)</w:t>
      </w:r>
      <w:r w:rsidRPr="006A7CFE">
        <w:rPr>
          <w:b/>
          <w:bCs/>
        </w:rPr>
        <w:tab/>
        <w:t>провести анализ коренных причин и масштабов трудовой м</w:t>
      </w:r>
      <w:r w:rsidRPr="006A7CFE">
        <w:rPr>
          <w:b/>
          <w:bCs/>
        </w:rPr>
        <w:t>и</w:t>
      </w:r>
      <w:r w:rsidRPr="006A7CFE">
        <w:rPr>
          <w:b/>
          <w:bCs/>
        </w:rPr>
        <w:t>грации из Узбекистана, и в частности провести общенациональное обсл</w:t>
      </w:r>
      <w:r w:rsidRPr="006A7CFE">
        <w:rPr>
          <w:b/>
          <w:bCs/>
        </w:rPr>
        <w:t>е</w:t>
      </w:r>
      <w:r w:rsidRPr="006A7CFE">
        <w:rPr>
          <w:b/>
          <w:bCs/>
        </w:rPr>
        <w:t xml:space="preserve">дование, </w:t>
      </w:r>
      <w:r>
        <w:rPr>
          <w:b/>
          <w:bCs/>
        </w:rPr>
        <w:t>с</w:t>
      </w:r>
      <w:r w:rsidRPr="006A7CFE">
        <w:rPr>
          <w:b/>
          <w:bCs/>
        </w:rPr>
        <w:t xml:space="preserve"> цел</w:t>
      </w:r>
      <w:r>
        <w:rPr>
          <w:b/>
          <w:bCs/>
        </w:rPr>
        <w:t>ью</w:t>
      </w:r>
      <w:r w:rsidRPr="006A7CFE">
        <w:rPr>
          <w:b/>
          <w:bCs/>
        </w:rPr>
        <w:t xml:space="preserve"> принятия эффективных мер по противодействию этому явлению, </w:t>
      </w:r>
      <w:r>
        <w:rPr>
          <w:b/>
          <w:bCs/>
        </w:rPr>
        <w:t>таких как создание</w:t>
      </w:r>
      <w:r w:rsidRPr="006A7CFE">
        <w:rPr>
          <w:b/>
          <w:bCs/>
        </w:rPr>
        <w:t xml:space="preserve"> возможностей для достойной занятости в с</w:t>
      </w:r>
      <w:r w:rsidRPr="006A7CFE">
        <w:rPr>
          <w:b/>
          <w:bCs/>
        </w:rPr>
        <w:t>а</w:t>
      </w:r>
      <w:r w:rsidRPr="006A7CFE">
        <w:rPr>
          <w:b/>
          <w:bCs/>
        </w:rPr>
        <w:t>мом государстве-участнике;</w:t>
      </w:r>
    </w:p>
    <w:p w:rsidR="00926952" w:rsidRPr="006A7CFE" w:rsidRDefault="00926952" w:rsidP="00CE2B94">
      <w:pPr>
        <w:pStyle w:val="SingleTxtGR"/>
        <w:rPr>
          <w:b/>
          <w:bCs/>
        </w:rPr>
      </w:pPr>
      <w:r w:rsidRPr="006A7CFE">
        <w:rPr>
          <w:b/>
          <w:bCs/>
        </w:rPr>
        <w:tab/>
      </w:r>
      <w:r w:rsidRPr="006A7CFE">
        <w:rPr>
          <w:b/>
          <w:bCs/>
          <w:lang w:val="en-US"/>
        </w:rPr>
        <w:t>b</w:t>
      </w:r>
      <w:r w:rsidRPr="006A7CFE">
        <w:rPr>
          <w:b/>
          <w:bCs/>
        </w:rPr>
        <w:t>)</w:t>
      </w:r>
      <w:r w:rsidRPr="006A7CFE">
        <w:rPr>
          <w:b/>
          <w:bCs/>
        </w:rPr>
        <w:tab/>
      </w:r>
      <w:r>
        <w:rPr>
          <w:b/>
          <w:bCs/>
        </w:rPr>
        <w:t>укрепить роль Агентства по вопросам внешней трудовой м</w:t>
      </w:r>
      <w:r>
        <w:rPr>
          <w:b/>
          <w:bCs/>
        </w:rPr>
        <w:t>и</w:t>
      </w:r>
      <w:r>
        <w:rPr>
          <w:b/>
          <w:bCs/>
        </w:rPr>
        <w:t>грации, созданного при Министерстве труда и социальной защиты, в деле информирования</w:t>
      </w:r>
      <w:r w:rsidRPr="006A7CFE">
        <w:rPr>
          <w:b/>
          <w:bCs/>
        </w:rPr>
        <w:t xml:space="preserve"> узбекских граждан, выезжающих за рубеж, а также роль двусторонних соглашений и консульских учреждений в</w:t>
      </w:r>
      <w:r>
        <w:rPr>
          <w:b/>
          <w:bCs/>
        </w:rPr>
        <w:t xml:space="preserve"> деле</w:t>
      </w:r>
      <w:r w:rsidRPr="006A7CFE">
        <w:rPr>
          <w:b/>
          <w:bCs/>
        </w:rPr>
        <w:t xml:space="preserve"> защи</w:t>
      </w:r>
      <w:r>
        <w:rPr>
          <w:b/>
          <w:bCs/>
        </w:rPr>
        <w:t>ты</w:t>
      </w:r>
      <w:r w:rsidRPr="006A7CFE">
        <w:rPr>
          <w:b/>
          <w:bCs/>
        </w:rPr>
        <w:t xml:space="preserve"> прав трудящихся-мигрантов в принимающих странах;</w:t>
      </w:r>
    </w:p>
    <w:p w:rsidR="00926952" w:rsidRPr="006A7CFE" w:rsidRDefault="00926952" w:rsidP="00CE2B94">
      <w:pPr>
        <w:pStyle w:val="SingleTxtGR"/>
        <w:rPr>
          <w:b/>
        </w:rPr>
      </w:pPr>
      <w:r w:rsidRPr="006A7CFE">
        <w:rPr>
          <w:b/>
          <w:bCs/>
        </w:rPr>
        <w:tab/>
        <w:t>с)</w:t>
      </w:r>
      <w:r w:rsidRPr="006A7CFE">
        <w:rPr>
          <w:b/>
          <w:bCs/>
        </w:rPr>
        <w:tab/>
      </w:r>
      <w:r>
        <w:rPr>
          <w:b/>
          <w:bCs/>
        </w:rPr>
        <w:t>обеспечить</w:t>
      </w:r>
      <w:r w:rsidRPr="006A7CFE">
        <w:rPr>
          <w:b/>
          <w:bCs/>
        </w:rPr>
        <w:t xml:space="preserve"> реинтеграци</w:t>
      </w:r>
      <w:r>
        <w:rPr>
          <w:b/>
          <w:bCs/>
        </w:rPr>
        <w:t>ю возвращающихся</w:t>
      </w:r>
      <w:r w:rsidRPr="006A7CFE">
        <w:rPr>
          <w:b/>
          <w:bCs/>
        </w:rPr>
        <w:t xml:space="preserve"> узбекских труд</w:t>
      </w:r>
      <w:r w:rsidRPr="006A7CFE">
        <w:rPr>
          <w:b/>
          <w:bCs/>
        </w:rPr>
        <w:t>я</w:t>
      </w:r>
      <w:r w:rsidRPr="006A7CFE">
        <w:rPr>
          <w:b/>
          <w:bCs/>
        </w:rPr>
        <w:t xml:space="preserve">щихся-мигрантов, </w:t>
      </w:r>
      <w:r>
        <w:rPr>
          <w:b/>
          <w:bCs/>
        </w:rPr>
        <w:t>особенно</w:t>
      </w:r>
      <w:r w:rsidRPr="006A7CFE">
        <w:rPr>
          <w:b/>
          <w:bCs/>
        </w:rPr>
        <w:t xml:space="preserve"> путем предоставления им возможностей для трудоустройства и включения времени работы за границей в трудовой стаж, необходимый для получения пенсии. </w:t>
      </w:r>
    </w:p>
    <w:p w:rsidR="00926952" w:rsidRPr="00A35E40" w:rsidRDefault="00926952" w:rsidP="00CE2B94">
      <w:pPr>
        <w:pStyle w:val="H23GR"/>
      </w:pPr>
      <w:r w:rsidRPr="00A35E40">
        <w:tab/>
      </w:r>
      <w:r w:rsidRPr="00A35E40">
        <w:tab/>
        <w:t xml:space="preserve">Право на </w:t>
      </w:r>
      <w:r w:rsidR="002D702A">
        <w:t>организацию</w:t>
      </w:r>
    </w:p>
    <w:p w:rsidR="00926952" w:rsidRPr="00A35E40" w:rsidRDefault="00926952" w:rsidP="00CE2B94">
      <w:pPr>
        <w:pStyle w:val="SingleTxtGR"/>
        <w:rPr>
          <w:bCs/>
        </w:rPr>
      </w:pPr>
      <w:r w:rsidRPr="00A35E40">
        <w:rPr>
          <w:bCs/>
        </w:rPr>
        <w:t>16.</w:t>
      </w:r>
      <w:r w:rsidRPr="00A35E40">
        <w:rPr>
          <w:bCs/>
        </w:rPr>
        <w:tab/>
        <w:t xml:space="preserve">Комитет отмечает отсутствие полной информации о </w:t>
      </w:r>
      <w:r>
        <w:rPr>
          <w:bCs/>
        </w:rPr>
        <w:t>статусе</w:t>
      </w:r>
      <w:r w:rsidRPr="00A35E40">
        <w:rPr>
          <w:bCs/>
        </w:rPr>
        <w:t xml:space="preserve"> представле</w:t>
      </w:r>
      <w:r w:rsidRPr="00A35E40">
        <w:rPr>
          <w:bCs/>
        </w:rPr>
        <w:t>н</w:t>
      </w:r>
      <w:r w:rsidRPr="00A35E40">
        <w:rPr>
          <w:bCs/>
        </w:rPr>
        <w:t>н</w:t>
      </w:r>
      <w:r>
        <w:rPr>
          <w:bCs/>
        </w:rPr>
        <w:t>ых</w:t>
      </w:r>
      <w:r w:rsidRPr="00A35E40">
        <w:rPr>
          <w:bCs/>
        </w:rPr>
        <w:t xml:space="preserve"> в 2007 году </w:t>
      </w:r>
      <w:r>
        <w:rPr>
          <w:bCs/>
        </w:rPr>
        <w:t>поправок к Закону</w:t>
      </w:r>
      <w:r w:rsidRPr="00A35E40">
        <w:rPr>
          <w:bCs/>
        </w:rPr>
        <w:t xml:space="preserve"> о профессиональных союзах</w:t>
      </w:r>
      <w:r>
        <w:rPr>
          <w:bCs/>
        </w:rPr>
        <w:t>, их правах и гарантиях их деятельности</w:t>
      </w:r>
      <w:r w:rsidRPr="00A35E40">
        <w:rPr>
          <w:bCs/>
        </w:rPr>
        <w:t xml:space="preserve">, а также о механизме урегулирования коллективных </w:t>
      </w:r>
      <w:r>
        <w:rPr>
          <w:bCs/>
        </w:rPr>
        <w:t xml:space="preserve">трудовых </w:t>
      </w:r>
      <w:r w:rsidRPr="00A35E40">
        <w:rPr>
          <w:bCs/>
        </w:rPr>
        <w:t>споров. Он также отмечает отсутствие в законодательстве конкретн</w:t>
      </w:r>
      <w:r>
        <w:rPr>
          <w:bCs/>
        </w:rPr>
        <w:t>о</w:t>
      </w:r>
      <w:r>
        <w:rPr>
          <w:bCs/>
        </w:rPr>
        <w:t>го</w:t>
      </w:r>
      <w:r w:rsidRPr="00A35E40">
        <w:rPr>
          <w:bCs/>
        </w:rPr>
        <w:t xml:space="preserve"> положе</w:t>
      </w:r>
      <w:r>
        <w:rPr>
          <w:bCs/>
        </w:rPr>
        <w:t>ния о</w:t>
      </w:r>
      <w:r w:rsidRPr="00A35E40">
        <w:rPr>
          <w:bCs/>
        </w:rPr>
        <w:t xml:space="preserve"> пра</w:t>
      </w:r>
      <w:r>
        <w:rPr>
          <w:bCs/>
        </w:rPr>
        <w:t>ве</w:t>
      </w:r>
      <w:r w:rsidRPr="00A35E40">
        <w:rPr>
          <w:bCs/>
        </w:rPr>
        <w:t xml:space="preserve"> на забастовку. Он выражает обеспокоенность по поводу того, что в соответствии с Законом о неправительственных организ</w:t>
      </w:r>
      <w:r w:rsidRPr="00A35E40">
        <w:rPr>
          <w:bCs/>
        </w:rPr>
        <w:t>а</w:t>
      </w:r>
      <w:r w:rsidRPr="00A35E40">
        <w:rPr>
          <w:bCs/>
        </w:rPr>
        <w:t>циях такие организации в государстве-участнике должны быть в обязательном порядке з</w:t>
      </w:r>
      <w:r w:rsidRPr="00A35E40">
        <w:rPr>
          <w:bCs/>
        </w:rPr>
        <w:t>а</w:t>
      </w:r>
      <w:r w:rsidRPr="00A35E40">
        <w:rPr>
          <w:bCs/>
        </w:rPr>
        <w:t xml:space="preserve">регистрированы Министерством юстиции, которое осуществляет надзор за их деятельностью на предмет ее соответствия уставным целям и национальному законодательству (статья 8). </w:t>
      </w:r>
    </w:p>
    <w:p w:rsidR="00926952" w:rsidRPr="006A7CFE" w:rsidRDefault="00926952" w:rsidP="00CE2B94">
      <w:pPr>
        <w:pStyle w:val="SingleTxtGR"/>
        <w:rPr>
          <w:b/>
        </w:rPr>
      </w:pPr>
      <w:r w:rsidRPr="006A7CFE">
        <w:rPr>
          <w:b/>
          <w:bCs/>
        </w:rPr>
        <w:t xml:space="preserve">Комитет настоятельно призывает государство-участник ускорить принятие </w:t>
      </w:r>
      <w:r>
        <w:rPr>
          <w:b/>
          <w:bCs/>
        </w:rPr>
        <w:t>поправок 2007 года</w:t>
      </w:r>
      <w:r w:rsidRPr="006A7CFE">
        <w:rPr>
          <w:b/>
          <w:bCs/>
        </w:rPr>
        <w:t xml:space="preserve"> </w:t>
      </w:r>
      <w:r>
        <w:rPr>
          <w:b/>
          <w:bCs/>
        </w:rPr>
        <w:t>к Закону</w:t>
      </w:r>
      <w:r w:rsidRPr="006A7CFE">
        <w:rPr>
          <w:b/>
          <w:bCs/>
        </w:rPr>
        <w:t xml:space="preserve"> о профессиональных союзах</w:t>
      </w:r>
      <w:r>
        <w:rPr>
          <w:b/>
          <w:bCs/>
        </w:rPr>
        <w:t>, их правах и г</w:t>
      </w:r>
      <w:r>
        <w:rPr>
          <w:b/>
          <w:bCs/>
        </w:rPr>
        <w:t>а</w:t>
      </w:r>
      <w:r>
        <w:rPr>
          <w:b/>
          <w:bCs/>
        </w:rPr>
        <w:t>рантиях их деятельности</w:t>
      </w:r>
      <w:r w:rsidRPr="006A7CFE">
        <w:rPr>
          <w:b/>
          <w:bCs/>
        </w:rPr>
        <w:t>. Он рекомендует отменить требование об обяз</w:t>
      </w:r>
      <w:r w:rsidRPr="006A7CFE">
        <w:rPr>
          <w:b/>
          <w:bCs/>
        </w:rPr>
        <w:t>а</w:t>
      </w:r>
      <w:r w:rsidRPr="006A7CFE">
        <w:rPr>
          <w:b/>
          <w:bCs/>
        </w:rPr>
        <w:t xml:space="preserve">тельной регистрации неправительственных организаций и </w:t>
      </w:r>
      <w:r>
        <w:rPr>
          <w:b/>
          <w:bCs/>
        </w:rPr>
        <w:t>пересмотреть</w:t>
      </w:r>
      <w:r w:rsidRPr="006A7CFE">
        <w:rPr>
          <w:b/>
          <w:bCs/>
        </w:rPr>
        <w:t xml:space="preserve"> национальное законодательство с учетом обязательств государства-участника согласно статье 8 Пакта и положений статьи 34 Конституции Узбекистана, в которой закреплено право граждан на создание своих со</w:t>
      </w:r>
      <w:r w:rsidRPr="006A7CFE">
        <w:rPr>
          <w:b/>
          <w:bCs/>
        </w:rPr>
        <w:t>б</w:t>
      </w:r>
      <w:r w:rsidRPr="006A7CFE">
        <w:rPr>
          <w:b/>
          <w:bCs/>
        </w:rPr>
        <w:t xml:space="preserve">ственных </w:t>
      </w:r>
      <w:r>
        <w:rPr>
          <w:b/>
          <w:bCs/>
        </w:rPr>
        <w:t>организаций</w:t>
      </w:r>
      <w:r w:rsidRPr="006A7CFE">
        <w:rPr>
          <w:b/>
          <w:bCs/>
        </w:rPr>
        <w:t xml:space="preserve">. </w:t>
      </w:r>
    </w:p>
    <w:p w:rsidR="00926952" w:rsidRPr="00A35E40" w:rsidRDefault="00926952" w:rsidP="00CE2B94">
      <w:pPr>
        <w:pStyle w:val="H23GR"/>
      </w:pPr>
      <w:r w:rsidRPr="00A35E40">
        <w:tab/>
      </w:r>
      <w:r w:rsidRPr="00A35E40">
        <w:tab/>
      </w:r>
      <w:r>
        <w:t>Детские и принудительные браки</w:t>
      </w:r>
    </w:p>
    <w:p w:rsidR="00926952" w:rsidRPr="00A35E40" w:rsidRDefault="00926952" w:rsidP="00CE2B94">
      <w:pPr>
        <w:pStyle w:val="SingleTxtGR"/>
      </w:pPr>
      <w:r w:rsidRPr="00A35E40">
        <w:t>17.</w:t>
      </w:r>
      <w:r w:rsidRPr="00A35E40">
        <w:tab/>
        <w:t xml:space="preserve">Комитет с обеспокоенностью отмечает, что, несмотря на меры по защите семьи, принимаемые государством-участником согласно представленной им информации, в Узбекистане по-прежнему распространены принудительные и </w:t>
      </w:r>
      <w:r>
        <w:t>детские</w:t>
      </w:r>
      <w:r w:rsidRPr="00A35E40">
        <w:t xml:space="preserve"> браки, а также сохраняется практика похищения невест, особенно в сель</w:t>
      </w:r>
      <w:r>
        <w:t xml:space="preserve">ских районах </w:t>
      </w:r>
      <w:r w:rsidRPr="00A35E40">
        <w:t>(ст</w:t>
      </w:r>
      <w:r w:rsidRPr="00A35E40">
        <w:t>а</w:t>
      </w:r>
      <w:r w:rsidRPr="00A35E40">
        <w:t>тья 10).</w:t>
      </w:r>
    </w:p>
    <w:p w:rsidR="00926952" w:rsidRPr="006A7CFE" w:rsidRDefault="00926952" w:rsidP="00CE2B94">
      <w:pPr>
        <w:pStyle w:val="SingleTxtGR"/>
        <w:rPr>
          <w:b/>
        </w:rPr>
      </w:pPr>
      <w:r w:rsidRPr="006A7CFE">
        <w:rPr>
          <w:b/>
        </w:rPr>
        <w:t>Комитет настоятельно призывает государство-участник увеличить мин</w:t>
      </w:r>
      <w:r w:rsidRPr="006A7CFE">
        <w:rPr>
          <w:b/>
        </w:rPr>
        <w:t>и</w:t>
      </w:r>
      <w:r w:rsidRPr="006A7CFE">
        <w:rPr>
          <w:b/>
        </w:rPr>
        <w:t xml:space="preserve">мальный возраст </w:t>
      </w:r>
      <w:r>
        <w:rPr>
          <w:b/>
        </w:rPr>
        <w:t xml:space="preserve">вступления в брак </w:t>
      </w:r>
      <w:r w:rsidRPr="006A7CFE">
        <w:rPr>
          <w:b/>
        </w:rPr>
        <w:t>для мужчин и женщин до 18 лет и обеспечить его соблюдение на всей территории страны, в том числе в сел</w:t>
      </w:r>
      <w:r w:rsidRPr="006A7CFE">
        <w:rPr>
          <w:b/>
        </w:rPr>
        <w:t>ь</w:t>
      </w:r>
      <w:r w:rsidRPr="006A7CFE">
        <w:rPr>
          <w:b/>
        </w:rPr>
        <w:t xml:space="preserve">ских районах. Он рекомендует </w:t>
      </w:r>
      <w:r>
        <w:rPr>
          <w:b/>
        </w:rPr>
        <w:t>принять все необходимые меры для</w:t>
      </w:r>
      <w:r w:rsidRPr="006A7CFE">
        <w:rPr>
          <w:b/>
        </w:rPr>
        <w:t xml:space="preserve"> прот</w:t>
      </w:r>
      <w:r w:rsidRPr="006A7CFE">
        <w:rPr>
          <w:b/>
        </w:rPr>
        <w:t>и</w:t>
      </w:r>
      <w:r w:rsidRPr="006A7CFE">
        <w:rPr>
          <w:b/>
        </w:rPr>
        <w:t>водейств</w:t>
      </w:r>
      <w:r>
        <w:rPr>
          <w:b/>
        </w:rPr>
        <w:t>ия</w:t>
      </w:r>
      <w:r w:rsidRPr="006A7CFE">
        <w:rPr>
          <w:b/>
        </w:rPr>
        <w:t xml:space="preserve"> практике </w:t>
      </w:r>
      <w:r>
        <w:rPr>
          <w:b/>
        </w:rPr>
        <w:t>детских</w:t>
      </w:r>
      <w:r w:rsidRPr="006A7CFE">
        <w:rPr>
          <w:b/>
        </w:rPr>
        <w:t xml:space="preserve"> и принудительных браков и практике пох</w:t>
      </w:r>
      <w:r w:rsidRPr="006A7CFE">
        <w:rPr>
          <w:b/>
        </w:rPr>
        <w:t>и</w:t>
      </w:r>
      <w:r w:rsidRPr="006A7CFE">
        <w:rPr>
          <w:b/>
        </w:rPr>
        <w:t>щения невест.</w:t>
      </w:r>
    </w:p>
    <w:p w:rsidR="00AA6AA3" w:rsidRPr="00BC09ED" w:rsidRDefault="00AA6AA3" w:rsidP="00CE2B94">
      <w:pPr>
        <w:pStyle w:val="H23GR"/>
      </w:pPr>
      <w:r>
        <w:tab/>
      </w:r>
      <w:r>
        <w:tab/>
        <w:t>Насилие в семье</w:t>
      </w:r>
    </w:p>
    <w:p w:rsidR="00AA6AA3" w:rsidRDefault="00AA6AA3" w:rsidP="00CE2B94">
      <w:pPr>
        <w:pStyle w:val="SingleTxtGR"/>
      </w:pPr>
      <w:r w:rsidRPr="00BC09ED">
        <w:t>18.</w:t>
      </w:r>
      <w:r w:rsidRPr="00BC09ED">
        <w:tab/>
      </w:r>
      <w:r>
        <w:t>Комитет выражает обеспокоенность по поводу насилия в отношении женщин, особенно по поводу насилия в семье (статья 10).</w:t>
      </w:r>
    </w:p>
    <w:p w:rsidR="00AA6AA3" w:rsidRDefault="00AA6AA3" w:rsidP="00CE2B94">
      <w:pPr>
        <w:pStyle w:val="SingleTxtGR"/>
        <w:rPr>
          <w:b/>
        </w:rPr>
      </w:pPr>
      <w:r>
        <w:rPr>
          <w:b/>
        </w:rPr>
        <w:t>С</w:t>
      </w:r>
      <w:r w:rsidRPr="00BC09ED">
        <w:rPr>
          <w:b/>
        </w:rPr>
        <w:t>ледует активизировать усилия, направленные на предупреждение и пр</w:t>
      </w:r>
      <w:r w:rsidRPr="00BC09ED">
        <w:rPr>
          <w:b/>
        </w:rPr>
        <w:t>е</w:t>
      </w:r>
      <w:r w:rsidRPr="00BC09ED">
        <w:rPr>
          <w:b/>
        </w:rPr>
        <w:t>сечение насилия в семье, в том числе предусмотреть уголовную ответс</w:t>
      </w:r>
      <w:r w:rsidRPr="00BC09ED">
        <w:rPr>
          <w:b/>
        </w:rPr>
        <w:t>т</w:t>
      </w:r>
      <w:r w:rsidRPr="00BC09ED">
        <w:rPr>
          <w:b/>
        </w:rPr>
        <w:t>венность за такое насилие и принять проект закона о предупреждении н</w:t>
      </w:r>
      <w:r w:rsidRPr="00BC09ED">
        <w:rPr>
          <w:b/>
        </w:rPr>
        <w:t>а</w:t>
      </w:r>
      <w:r w:rsidRPr="00BC09ED">
        <w:rPr>
          <w:b/>
        </w:rPr>
        <w:t>силия в отношении женщин, а также усилия по защите жертв, и в частн</w:t>
      </w:r>
      <w:r w:rsidRPr="00BC09ED">
        <w:rPr>
          <w:b/>
        </w:rPr>
        <w:t>о</w:t>
      </w:r>
      <w:r w:rsidRPr="00BC09ED">
        <w:rPr>
          <w:b/>
        </w:rPr>
        <w:t>сти по обеспечению их доступа к правосудию, надлежащей медицинской, социальной и юридической помощи и приютам</w:t>
      </w:r>
      <w:r>
        <w:rPr>
          <w:b/>
        </w:rPr>
        <w:t>.</w:t>
      </w:r>
    </w:p>
    <w:p w:rsidR="00AA6AA3" w:rsidRDefault="00AA6AA3" w:rsidP="00CE2B94">
      <w:pPr>
        <w:pStyle w:val="H23GR"/>
      </w:pPr>
      <w:r>
        <w:tab/>
      </w:r>
      <w:r>
        <w:tab/>
        <w:t>Детский труд</w:t>
      </w:r>
    </w:p>
    <w:p w:rsidR="00AA6AA3" w:rsidRDefault="00AA6AA3" w:rsidP="00CE2B94">
      <w:pPr>
        <w:pStyle w:val="SingleTxtGR"/>
      </w:pPr>
      <w:r>
        <w:t>19.</w:t>
      </w:r>
      <w:r>
        <w:tab/>
        <w:t>Комитет вновь выражает обеспокоенность по поводу сообщений о том, что дети продолжают привлекаться к уборке хлопка и что им приходится раб</w:t>
      </w:r>
      <w:r>
        <w:t>о</w:t>
      </w:r>
      <w:r>
        <w:t>тать в опасных условиях и пропускать занятия в школах вплоть до двух месяцев в течение учебного года (статьи 7, 10 (3) и 13).</w:t>
      </w:r>
    </w:p>
    <w:p w:rsidR="00AA6AA3" w:rsidRPr="006F6D6F" w:rsidRDefault="00AA6AA3" w:rsidP="00CE2B94">
      <w:pPr>
        <w:pStyle w:val="SingleTxtGR"/>
        <w:rPr>
          <w:b/>
        </w:rPr>
      </w:pPr>
      <w:r w:rsidRPr="006F6D6F">
        <w:rPr>
          <w:b/>
        </w:rPr>
        <w:t>Комитет настоятельно призывает государство-участник:</w:t>
      </w:r>
    </w:p>
    <w:p w:rsidR="00AA6AA3" w:rsidRPr="006F6D6F" w:rsidRDefault="00AA6AA3" w:rsidP="00CE2B94">
      <w:pPr>
        <w:pStyle w:val="SingleTxtGR"/>
        <w:rPr>
          <w:b/>
        </w:rPr>
      </w:pPr>
      <w:r w:rsidRPr="006F6D6F">
        <w:rPr>
          <w:b/>
        </w:rPr>
        <w:tab/>
        <w:t>а)</w:t>
      </w:r>
      <w:r w:rsidRPr="006F6D6F">
        <w:rPr>
          <w:b/>
        </w:rPr>
        <w:tab/>
        <w:t>активизировать усилия по обеспечению защиты детей от эк</w:t>
      </w:r>
      <w:r w:rsidRPr="006F6D6F">
        <w:rPr>
          <w:b/>
        </w:rPr>
        <w:t>о</w:t>
      </w:r>
      <w:r w:rsidRPr="006F6D6F">
        <w:rPr>
          <w:b/>
        </w:rPr>
        <w:t>номической и социальной эксплуатации и созданию условий для того, чт</w:t>
      </w:r>
      <w:r w:rsidRPr="006F6D6F">
        <w:rPr>
          <w:b/>
        </w:rPr>
        <w:t>о</w:t>
      </w:r>
      <w:r w:rsidRPr="006F6D6F">
        <w:rPr>
          <w:b/>
        </w:rPr>
        <w:t>бы они могли в полной мере пользоваться своим правом на образование;</w:t>
      </w:r>
    </w:p>
    <w:p w:rsidR="00AA6AA3" w:rsidRPr="006F6D6F" w:rsidRDefault="00AA6AA3" w:rsidP="00CE2B94">
      <w:pPr>
        <w:pStyle w:val="SingleTxtGR"/>
        <w:rPr>
          <w:b/>
        </w:rPr>
      </w:pPr>
      <w:r w:rsidRPr="006F6D6F">
        <w:rPr>
          <w:b/>
        </w:rPr>
        <w:tab/>
      </w:r>
      <w:r w:rsidRPr="006F6D6F">
        <w:rPr>
          <w:b/>
          <w:lang w:val="en-US"/>
        </w:rPr>
        <w:t>b</w:t>
      </w:r>
      <w:r w:rsidRPr="006F6D6F">
        <w:rPr>
          <w:b/>
        </w:rPr>
        <w:t>)</w:t>
      </w:r>
      <w:r w:rsidRPr="006F6D6F">
        <w:rPr>
          <w:b/>
        </w:rPr>
        <w:tab/>
        <w:t>представить в следующем периодическом докладе статистич</w:t>
      </w:r>
      <w:r w:rsidRPr="006F6D6F">
        <w:rPr>
          <w:b/>
        </w:rPr>
        <w:t>е</w:t>
      </w:r>
      <w:r w:rsidRPr="006F6D6F">
        <w:rPr>
          <w:b/>
        </w:rPr>
        <w:t>ские данные, касающиеся числа и характера рассмотренных судами дел о нарушениях трудовых прав и вынесенных по ним приговоров, а также и</w:t>
      </w:r>
      <w:r w:rsidRPr="006F6D6F">
        <w:rPr>
          <w:b/>
        </w:rPr>
        <w:t>н</w:t>
      </w:r>
      <w:r w:rsidRPr="006F6D6F">
        <w:rPr>
          <w:b/>
        </w:rPr>
        <w:t>формацию об эффективности мер контроля с точки зрения предупрежд</w:t>
      </w:r>
      <w:r w:rsidRPr="006F6D6F">
        <w:rPr>
          <w:b/>
        </w:rPr>
        <w:t>е</w:t>
      </w:r>
      <w:r w:rsidRPr="006F6D6F">
        <w:rPr>
          <w:b/>
        </w:rPr>
        <w:t>ния принудительного труда и труда в опасных услов</w:t>
      </w:r>
      <w:r w:rsidRPr="006F6D6F">
        <w:rPr>
          <w:b/>
        </w:rPr>
        <w:t>и</w:t>
      </w:r>
      <w:r w:rsidRPr="006F6D6F">
        <w:rPr>
          <w:b/>
        </w:rPr>
        <w:t>ях;</w:t>
      </w:r>
    </w:p>
    <w:p w:rsidR="00AA6AA3" w:rsidRDefault="00AA6AA3" w:rsidP="00CE2B94">
      <w:pPr>
        <w:pStyle w:val="SingleTxtGR"/>
        <w:rPr>
          <w:b/>
        </w:rPr>
      </w:pPr>
      <w:r w:rsidRPr="006F6D6F">
        <w:rPr>
          <w:b/>
        </w:rPr>
        <w:tab/>
      </w:r>
      <w:r w:rsidRPr="006F6D6F">
        <w:rPr>
          <w:b/>
          <w:lang w:val="en-US"/>
        </w:rPr>
        <w:t>c</w:t>
      </w:r>
      <w:r w:rsidRPr="006F6D6F">
        <w:rPr>
          <w:b/>
        </w:rPr>
        <w:t>)</w:t>
      </w:r>
      <w:r w:rsidRPr="006F6D6F">
        <w:rPr>
          <w:b/>
        </w:rPr>
        <w:tab/>
        <w:t>дать согласие на регулярный и независимый мониторинг со стороны международных организаций</w:t>
      </w:r>
      <w:r>
        <w:rPr>
          <w:b/>
        </w:rPr>
        <w:t>.</w:t>
      </w:r>
    </w:p>
    <w:p w:rsidR="00AA6AA3" w:rsidRPr="00A777E8" w:rsidRDefault="00AA6AA3" w:rsidP="00CE2B94">
      <w:pPr>
        <w:pStyle w:val="H23GR"/>
      </w:pPr>
      <w:r>
        <w:tab/>
      </w:r>
      <w:r>
        <w:tab/>
        <w:t>Телесные наказания</w:t>
      </w:r>
    </w:p>
    <w:p w:rsidR="00AA6AA3" w:rsidRDefault="00AA6AA3" w:rsidP="00CE2B94">
      <w:pPr>
        <w:pStyle w:val="SingleTxtGR"/>
      </w:pPr>
      <w:r>
        <w:t>20.</w:t>
      </w:r>
      <w:r>
        <w:tab/>
        <w:t>Комитет обеспокоен по поводу сохранения практики телесных наказаний, которые конкретно не запрещены законом (статьи 7, 10 (3) и 13).</w:t>
      </w:r>
    </w:p>
    <w:p w:rsidR="00AA6AA3" w:rsidRDefault="00AA6AA3" w:rsidP="00CE2B94">
      <w:pPr>
        <w:pStyle w:val="SingleTxtGR"/>
        <w:rPr>
          <w:b/>
        </w:rPr>
      </w:pPr>
      <w:r w:rsidRPr="006857DF">
        <w:rPr>
          <w:b/>
        </w:rPr>
        <w:t>Комитет</w:t>
      </w:r>
      <w:r>
        <w:rPr>
          <w:b/>
        </w:rPr>
        <w:t xml:space="preserve"> настоятельно призывает государство-участник обеспечить запр</w:t>
      </w:r>
      <w:r>
        <w:rPr>
          <w:b/>
        </w:rPr>
        <w:t>е</w:t>
      </w:r>
      <w:r>
        <w:rPr>
          <w:b/>
        </w:rPr>
        <w:t>щение телесных наказаний при любых обстоятельствах, в том числе в с</w:t>
      </w:r>
      <w:r>
        <w:rPr>
          <w:b/>
        </w:rPr>
        <w:t>е</w:t>
      </w:r>
      <w:r>
        <w:rPr>
          <w:b/>
        </w:rPr>
        <w:t>мье, школе и учреждениях альтернативного ухода, и проводить соответс</w:t>
      </w:r>
      <w:r>
        <w:rPr>
          <w:b/>
        </w:rPr>
        <w:t>т</w:t>
      </w:r>
      <w:r>
        <w:rPr>
          <w:b/>
        </w:rPr>
        <w:t>вующие информационно-просветительские кампании. Комитет обращает внимание государства-участника на свою рекомендацию в отношении ди</w:t>
      </w:r>
      <w:r>
        <w:rPr>
          <w:b/>
        </w:rPr>
        <w:t>с</w:t>
      </w:r>
      <w:r>
        <w:rPr>
          <w:b/>
        </w:rPr>
        <w:t>циплины в школах, содержащуюся в его замечании общего поря</w:t>
      </w:r>
      <w:r>
        <w:rPr>
          <w:b/>
        </w:rPr>
        <w:t>д</w:t>
      </w:r>
      <w:r>
        <w:rPr>
          <w:b/>
        </w:rPr>
        <w:t>ка № 13 (1999 год) о праве на образование.</w:t>
      </w:r>
    </w:p>
    <w:p w:rsidR="00AA6AA3" w:rsidRPr="00962F7B" w:rsidRDefault="00AA6AA3" w:rsidP="00CE2B94">
      <w:pPr>
        <w:pStyle w:val="H23GR"/>
      </w:pPr>
      <w:r>
        <w:tab/>
      </w:r>
      <w:r>
        <w:tab/>
      </w:r>
      <w:r w:rsidRPr="00962F7B">
        <w:t>Аграрная реформа</w:t>
      </w:r>
    </w:p>
    <w:p w:rsidR="00AA6AA3" w:rsidRDefault="00AA6AA3" w:rsidP="00CE2B94">
      <w:pPr>
        <w:pStyle w:val="SingleTxtGR"/>
      </w:pPr>
      <w:r>
        <w:t>21</w:t>
      </w:r>
      <w:r w:rsidRPr="00962F7B">
        <w:t>.</w:t>
      </w:r>
      <w:r w:rsidRPr="00962F7B">
        <w:tab/>
        <w:t>Комитет обеспокоен тем, что, несмотря на усилия по стимулиров</w:t>
      </w:r>
      <w:r w:rsidRPr="00962F7B">
        <w:t>а</w:t>
      </w:r>
      <w:r w:rsidRPr="00962F7B">
        <w:t xml:space="preserve">нию развития сельских районов </w:t>
      </w:r>
      <w:r>
        <w:t>в рамках</w:t>
      </w:r>
      <w:r w:rsidRPr="00962F7B">
        <w:t xml:space="preserve"> аграрной реформы</w:t>
      </w:r>
      <w:r>
        <w:t>, поступают сообщения о том, что имеют место случаи, когда фермеров лишают их земельных наделов и что вопрос об их праве земле</w:t>
      </w:r>
      <w:r w:rsidR="008D5C44">
        <w:t>владения</w:t>
      </w:r>
      <w:r>
        <w:t xml:space="preserve"> до сих пор не урегулирован. </w:t>
      </w:r>
      <w:r w:rsidRPr="00076D7F">
        <w:t>Он также обеспокоен низким процентом женщин, владеющих землей, и сокращением числа ферм, возглавляемых женщинами (статьи 3 и 11).</w:t>
      </w:r>
    </w:p>
    <w:p w:rsidR="00AA6AA3" w:rsidRDefault="00AA6AA3" w:rsidP="00CE2B94">
      <w:pPr>
        <w:pStyle w:val="SingleTxtGR"/>
        <w:rPr>
          <w:b/>
        </w:rPr>
      </w:pPr>
      <w:r w:rsidRPr="00763DA8">
        <w:rPr>
          <w:b/>
        </w:rPr>
        <w:t>Комитет рекомендует государству-участнику принять все необходимые м</w:t>
      </w:r>
      <w:r w:rsidRPr="00763DA8">
        <w:rPr>
          <w:b/>
        </w:rPr>
        <w:t>е</w:t>
      </w:r>
      <w:r w:rsidRPr="00763DA8">
        <w:rPr>
          <w:b/>
        </w:rPr>
        <w:t xml:space="preserve">ры, в том числе меры законодательного </w:t>
      </w:r>
      <w:r>
        <w:rPr>
          <w:b/>
        </w:rPr>
        <w:t xml:space="preserve">и политического </w:t>
      </w:r>
      <w:r w:rsidRPr="00763DA8">
        <w:rPr>
          <w:b/>
        </w:rPr>
        <w:t>характера</w:t>
      </w:r>
      <w:r>
        <w:rPr>
          <w:b/>
        </w:rPr>
        <w:t>, н</w:t>
      </w:r>
      <w:r>
        <w:rPr>
          <w:b/>
        </w:rPr>
        <w:t>а</w:t>
      </w:r>
      <w:r>
        <w:rPr>
          <w:b/>
        </w:rPr>
        <w:t>правленные на скорейшее рассмотрение и</w:t>
      </w:r>
      <w:r w:rsidRPr="00763DA8">
        <w:rPr>
          <w:b/>
        </w:rPr>
        <w:t xml:space="preserve"> реше</w:t>
      </w:r>
      <w:r>
        <w:rPr>
          <w:b/>
        </w:rPr>
        <w:t>ние</w:t>
      </w:r>
      <w:r w:rsidRPr="00763DA8">
        <w:rPr>
          <w:b/>
        </w:rPr>
        <w:t xml:space="preserve"> проблем, связанных с владением землей, с учетом потребностей и земельных прав фермеров; </w:t>
      </w:r>
      <w:r>
        <w:rPr>
          <w:b/>
        </w:rPr>
        <w:t xml:space="preserve">на </w:t>
      </w:r>
      <w:r w:rsidRPr="00763DA8">
        <w:rPr>
          <w:b/>
        </w:rPr>
        <w:t>обеспе</w:t>
      </w:r>
      <w:r>
        <w:rPr>
          <w:b/>
        </w:rPr>
        <w:t>чение</w:t>
      </w:r>
      <w:r w:rsidRPr="00763DA8">
        <w:rPr>
          <w:b/>
        </w:rPr>
        <w:t xml:space="preserve"> доступ</w:t>
      </w:r>
      <w:r>
        <w:rPr>
          <w:b/>
        </w:rPr>
        <w:t>а</w:t>
      </w:r>
      <w:r w:rsidRPr="00763DA8">
        <w:rPr>
          <w:b/>
        </w:rPr>
        <w:t xml:space="preserve"> к правосудию в случае лишения земли; </w:t>
      </w:r>
      <w:r>
        <w:rPr>
          <w:b/>
        </w:rPr>
        <w:t>на обеспеч</w:t>
      </w:r>
      <w:r>
        <w:rPr>
          <w:b/>
        </w:rPr>
        <w:t>е</w:t>
      </w:r>
      <w:r>
        <w:rPr>
          <w:b/>
        </w:rPr>
        <w:t>ние</w:t>
      </w:r>
      <w:r w:rsidRPr="00763DA8">
        <w:rPr>
          <w:b/>
        </w:rPr>
        <w:t xml:space="preserve"> расследо</w:t>
      </w:r>
      <w:r>
        <w:rPr>
          <w:b/>
        </w:rPr>
        <w:t>вания</w:t>
      </w:r>
      <w:r w:rsidRPr="00763DA8">
        <w:rPr>
          <w:b/>
        </w:rPr>
        <w:t xml:space="preserve"> случаев лишения земли и</w:t>
      </w:r>
      <w:r>
        <w:rPr>
          <w:b/>
        </w:rPr>
        <w:t xml:space="preserve"> на</w:t>
      </w:r>
      <w:r w:rsidRPr="00763DA8">
        <w:rPr>
          <w:b/>
        </w:rPr>
        <w:t xml:space="preserve"> привлечение к ответстве</w:t>
      </w:r>
      <w:r w:rsidRPr="00763DA8">
        <w:rPr>
          <w:b/>
        </w:rPr>
        <w:t>н</w:t>
      </w:r>
      <w:r w:rsidRPr="00763DA8">
        <w:rPr>
          <w:b/>
        </w:rPr>
        <w:t xml:space="preserve">ности </w:t>
      </w:r>
      <w:r>
        <w:rPr>
          <w:b/>
        </w:rPr>
        <w:t xml:space="preserve">и наказание </w:t>
      </w:r>
      <w:r w:rsidRPr="00763DA8">
        <w:rPr>
          <w:b/>
        </w:rPr>
        <w:t>ви</w:t>
      </w:r>
      <w:r>
        <w:rPr>
          <w:b/>
        </w:rPr>
        <w:t>новных; а также на обеспечение</w:t>
      </w:r>
      <w:r w:rsidRPr="00763DA8">
        <w:rPr>
          <w:b/>
        </w:rPr>
        <w:t xml:space="preserve"> </w:t>
      </w:r>
      <w:r>
        <w:rPr>
          <w:b/>
        </w:rPr>
        <w:t xml:space="preserve">возмещения вреда </w:t>
      </w:r>
      <w:r w:rsidRPr="00763DA8">
        <w:rPr>
          <w:b/>
        </w:rPr>
        <w:t>пострадав</w:t>
      </w:r>
      <w:r>
        <w:rPr>
          <w:b/>
        </w:rPr>
        <w:t>шим</w:t>
      </w:r>
      <w:r w:rsidRPr="00763DA8">
        <w:rPr>
          <w:b/>
        </w:rPr>
        <w:t>. Он призывает государство-участник продолжать проводить аграрную реформу, уделяя особое внимание вопросам гендерного равенс</w:t>
      </w:r>
      <w:r w:rsidRPr="00763DA8">
        <w:rPr>
          <w:b/>
        </w:rPr>
        <w:t>т</w:t>
      </w:r>
      <w:r w:rsidRPr="00763DA8">
        <w:rPr>
          <w:b/>
        </w:rPr>
        <w:t>ва.</w:t>
      </w:r>
      <w:r>
        <w:rPr>
          <w:b/>
        </w:rPr>
        <w:t xml:space="preserve"> Комитет предлагает государству-участнику представить в его следу</w:t>
      </w:r>
      <w:r>
        <w:rPr>
          <w:b/>
        </w:rPr>
        <w:t>ю</w:t>
      </w:r>
      <w:r>
        <w:rPr>
          <w:b/>
        </w:rPr>
        <w:t>щем периодическом докладе информацию о принятых мерах и об их р</w:t>
      </w:r>
      <w:r>
        <w:rPr>
          <w:b/>
        </w:rPr>
        <w:t>е</w:t>
      </w:r>
      <w:r>
        <w:rPr>
          <w:b/>
        </w:rPr>
        <w:t>зультативности.</w:t>
      </w:r>
    </w:p>
    <w:p w:rsidR="00AA6AA3" w:rsidRPr="00F4135B" w:rsidRDefault="00AA6AA3" w:rsidP="00CE2B94">
      <w:pPr>
        <w:pStyle w:val="H23GR"/>
      </w:pPr>
      <w:r>
        <w:tab/>
      </w:r>
      <w:r>
        <w:tab/>
      </w:r>
      <w:r w:rsidRPr="00F4135B">
        <w:t>Жилье</w:t>
      </w:r>
    </w:p>
    <w:p w:rsidR="00AA6AA3" w:rsidRDefault="00AA6AA3" w:rsidP="00CE2B94">
      <w:pPr>
        <w:pStyle w:val="SingleTxtGR"/>
      </w:pPr>
      <w:r>
        <w:t>22</w:t>
      </w:r>
      <w:r w:rsidRPr="00F4135B">
        <w:t>.</w:t>
      </w:r>
      <w:r w:rsidRPr="00F4135B">
        <w:tab/>
        <w:t>Комитет вновь выражает обеспокоенность по поводу того, что, предст</w:t>
      </w:r>
      <w:r w:rsidRPr="00F4135B">
        <w:t>а</w:t>
      </w:r>
      <w:r w:rsidRPr="00F4135B">
        <w:t>вив информацию о мерах по улучшению жилищной ситуации, особенно в сел</w:t>
      </w:r>
      <w:r w:rsidRPr="00F4135B">
        <w:t>ь</w:t>
      </w:r>
      <w:r w:rsidRPr="00F4135B">
        <w:t>ских районах, государство-участник не представило никаких данных о колич</w:t>
      </w:r>
      <w:r w:rsidRPr="00F4135B">
        <w:t>е</w:t>
      </w:r>
      <w:r w:rsidRPr="00F4135B">
        <w:t>стве бездомных и числе случаев принудительного выселения, а также о числе лиц, стоящих в очереди на муниципальное и социальное жилье. Он с</w:t>
      </w:r>
      <w:r w:rsidRPr="00F4135B">
        <w:t>о</w:t>
      </w:r>
      <w:r w:rsidRPr="00F4135B">
        <w:t xml:space="preserve">жалеет по поводу отсутствия информации о </w:t>
      </w:r>
      <w:r>
        <w:t>выплате адекватной</w:t>
      </w:r>
      <w:r w:rsidRPr="00F4135B">
        <w:t xml:space="preserve"> компенсации</w:t>
      </w:r>
      <w:r>
        <w:t xml:space="preserve"> в случае выселения</w:t>
      </w:r>
      <w:r w:rsidRPr="00F4135B">
        <w:t xml:space="preserve">. Его </w:t>
      </w:r>
      <w:r>
        <w:t xml:space="preserve">также </w:t>
      </w:r>
      <w:r w:rsidRPr="00F4135B">
        <w:t>беспокоит то, что альтернативное жилье в случае высел</w:t>
      </w:r>
      <w:r w:rsidRPr="00F4135B">
        <w:t>е</w:t>
      </w:r>
      <w:r w:rsidRPr="00F4135B">
        <w:t xml:space="preserve">ния может быть </w:t>
      </w:r>
      <w:r>
        <w:t>пред</w:t>
      </w:r>
      <w:r w:rsidR="008D5C44">
        <w:t>о</w:t>
      </w:r>
      <w:r>
        <w:t>ставлено</w:t>
      </w:r>
      <w:r w:rsidRPr="00F4135B">
        <w:t xml:space="preserve"> лишь некоторым категориям граждан и что л</w:t>
      </w:r>
      <w:r w:rsidRPr="00F4135B">
        <w:t>и</w:t>
      </w:r>
      <w:r w:rsidRPr="00F4135B">
        <w:t>ца, лишенные родительских прав, могут быть выселены без предоставления им альтернативного жилья, если их совместное проживание с детьми б</w:t>
      </w:r>
      <w:r>
        <w:t>ыло</w:t>
      </w:r>
      <w:r w:rsidRPr="00F4135B">
        <w:t xml:space="preserve"> призн</w:t>
      </w:r>
      <w:r w:rsidRPr="00F4135B">
        <w:t>а</w:t>
      </w:r>
      <w:r w:rsidRPr="00F4135B">
        <w:t>но н</w:t>
      </w:r>
      <w:r w:rsidRPr="00F4135B">
        <w:t>е</w:t>
      </w:r>
      <w:r w:rsidRPr="00F4135B">
        <w:t>возможным (статья 11).</w:t>
      </w:r>
    </w:p>
    <w:p w:rsidR="00AA6AA3" w:rsidRPr="007F0D84" w:rsidRDefault="00AA6AA3" w:rsidP="00CE2B94">
      <w:pPr>
        <w:pStyle w:val="SingleTxtGR"/>
        <w:rPr>
          <w:b/>
        </w:rPr>
      </w:pPr>
      <w:r>
        <w:rPr>
          <w:b/>
        </w:rPr>
        <w:t>Комитет вновь рекомендует государству-участнику принять надлежащие меры, в том числе законодательного и иного характера с целью предоста</w:t>
      </w:r>
      <w:r>
        <w:rPr>
          <w:b/>
        </w:rPr>
        <w:t>в</w:t>
      </w:r>
      <w:r>
        <w:rPr>
          <w:b/>
        </w:rPr>
        <w:t>ления всем выселяемым лицам альтернативного жилья или достаточной компенсации с учетом сформулированного Комитетом замечания общего порядка № 7 (1997 год) о праве на достаточное жилище. Комитет насто</w:t>
      </w:r>
      <w:r>
        <w:rPr>
          <w:b/>
        </w:rPr>
        <w:t>я</w:t>
      </w:r>
      <w:r>
        <w:rPr>
          <w:b/>
        </w:rPr>
        <w:t>тельно призывает государство-участник активизировать усилия по предо</w:t>
      </w:r>
      <w:r>
        <w:rPr>
          <w:b/>
        </w:rPr>
        <w:t>с</w:t>
      </w:r>
      <w:r>
        <w:rPr>
          <w:b/>
        </w:rPr>
        <w:t>тавлению достаточного жилья, включая социальное жилье, особенно сем</w:t>
      </w:r>
      <w:r>
        <w:rPr>
          <w:b/>
        </w:rPr>
        <w:t>ь</w:t>
      </w:r>
      <w:r>
        <w:rPr>
          <w:b/>
        </w:rPr>
        <w:t>ям с низкими доходами, а также находящимся в неблагоприятном полож</w:t>
      </w:r>
      <w:r>
        <w:rPr>
          <w:b/>
        </w:rPr>
        <w:t>е</w:t>
      </w:r>
      <w:r>
        <w:rPr>
          <w:b/>
        </w:rPr>
        <w:t>нии и маргинализированным лицам и группам. В этой связи Комитет пр</w:t>
      </w:r>
      <w:r>
        <w:rPr>
          <w:b/>
        </w:rPr>
        <w:t>и</w:t>
      </w:r>
      <w:r>
        <w:rPr>
          <w:b/>
        </w:rPr>
        <w:t>зывает государство-участник обеспечить сбор данных о жилищных усл</w:t>
      </w:r>
      <w:r>
        <w:rPr>
          <w:b/>
        </w:rPr>
        <w:t>о</w:t>
      </w:r>
      <w:r>
        <w:rPr>
          <w:b/>
        </w:rPr>
        <w:t xml:space="preserve">виях в разбивке по видам, качеству и рыночной стоимости жилья на </w:t>
      </w:r>
      <w:r w:rsidRPr="007F0D84">
        <w:rPr>
          <w:b/>
        </w:rPr>
        <w:t>р</w:t>
      </w:r>
      <w:r w:rsidRPr="007F0D84">
        <w:rPr>
          <w:b/>
        </w:rPr>
        <w:t>е</w:t>
      </w:r>
      <w:r w:rsidRPr="007F0D84">
        <w:rPr>
          <w:b/>
        </w:rPr>
        <w:t>гионал</w:t>
      </w:r>
      <w:r w:rsidRPr="007F0D84">
        <w:rPr>
          <w:b/>
        </w:rPr>
        <w:t>ь</w:t>
      </w:r>
      <w:r w:rsidRPr="007F0D84">
        <w:rPr>
          <w:b/>
        </w:rPr>
        <w:t>ном и местном уровнях в целях выявления имеющихся проблем и разр</w:t>
      </w:r>
      <w:r w:rsidRPr="007F0D84">
        <w:rPr>
          <w:b/>
        </w:rPr>
        <w:t>а</w:t>
      </w:r>
      <w:r w:rsidRPr="007F0D84">
        <w:rPr>
          <w:b/>
        </w:rPr>
        <w:t>ботки соответствующих стратегий.</w:t>
      </w:r>
    </w:p>
    <w:p w:rsidR="00AA6AA3" w:rsidRPr="007F0D84" w:rsidRDefault="00AA6AA3" w:rsidP="00CE2B94">
      <w:pPr>
        <w:pStyle w:val="H23GR"/>
      </w:pPr>
      <w:r w:rsidRPr="007F0D84">
        <w:tab/>
      </w:r>
      <w:r w:rsidRPr="007F0D84">
        <w:tab/>
        <w:t>Система здравоохранения</w:t>
      </w:r>
    </w:p>
    <w:p w:rsidR="00AA6AA3" w:rsidRPr="00880D79" w:rsidRDefault="00AA6AA3" w:rsidP="00CE2B94">
      <w:pPr>
        <w:pStyle w:val="SingleTxtGR"/>
      </w:pPr>
      <w:r>
        <w:t>23</w:t>
      </w:r>
      <w:r w:rsidRPr="00880D79">
        <w:t>.</w:t>
      </w:r>
      <w:r w:rsidRPr="00880D79">
        <w:tab/>
        <w:t>Комитет обеспокоен нехваткой больниц и квалифицированного медици</w:t>
      </w:r>
      <w:r w:rsidRPr="00880D79">
        <w:t>н</w:t>
      </w:r>
      <w:r w:rsidRPr="00880D79">
        <w:t xml:space="preserve">ского персонала в сельских районах, хотя на </w:t>
      </w:r>
      <w:r>
        <w:t>долю сельских районов</w:t>
      </w:r>
      <w:r w:rsidRPr="00880D79">
        <w:t xml:space="preserve"> приходи</w:t>
      </w:r>
      <w:r w:rsidRPr="00880D79">
        <w:t>т</w:t>
      </w:r>
      <w:r w:rsidRPr="00880D79">
        <w:t xml:space="preserve">ся как минимум половина всех </w:t>
      </w:r>
      <w:r>
        <w:t>пациентов</w:t>
      </w:r>
      <w:r w:rsidRPr="00880D79">
        <w:t>, проходящих лечение. Он с озабоче</w:t>
      </w:r>
      <w:r w:rsidRPr="00880D79">
        <w:t>н</w:t>
      </w:r>
      <w:r w:rsidRPr="00880D79">
        <w:t>ностью отмечает, что основные медицинские услуги не включены в перечень гарантированных государством услуг и что в государстве-участнике нет общ</w:t>
      </w:r>
      <w:r w:rsidRPr="00880D79">
        <w:t>е</w:t>
      </w:r>
      <w:r w:rsidRPr="00880D79">
        <w:t>национальной системы медицинского страхования. Он сожалеет по поводу о</w:t>
      </w:r>
      <w:r w:rsidRPr="00880D79">
        <w:t>т</w:t>
      </w:r>
      <w:r w:rsidRPr="00880D79">
        <w:t>сутствия полной информации, касающейся охраны психического здоровья, ос</w:t>
      </w:r>
      <w:r w:rsidRPr="00880D79">
        <w:t>о</w:t>
      </w:r>
      <w:r w:rsidRPr="00880D79">
        <w:t>бенно</w:t>
      </w:r>
      <w:r>
        <w:t xml:space="preserve"> в отношении</w:t>
      </w:r>
      <w:r w:rsidRPr="00880D79">
        <w:t xml:space="preserve"> использования альтернативных методов лечения психич</w:t>
      </w:r>
      <w:r w:rsidRPr="00880D79">
        <w:t>е</w:t>
      </w:r>
      <w:r w:rsidRPr="00880D79">
        <w:t>ских расстройств и возможности пересмотра в судебном порядке решений о принудительном помещении на лечение в психиа</w:t>
      </w:r>
      <w:r w:rsidRPr="00880D79">
        <w:t>т</w:t>
      </w:r>
      <w:r w:rsidRPr="00880D79">
        <w:t>рические клиники (статья 12).</w:t>
      </w:r>
    </w:p>
    <w:p w:rsidR="00AA6AA3" w:rsidRDefault="00AA6AA3" w:rsidP="00CE2B94">
      <w:pPr>
        <w:pStyle w:val="SingleTxtGR"/>
        <w:rPr>
          <w:b/>
        </w:rPr>
      </w:pPr>
      <w:r w:rsidRPr="00304D28">
        <w:rPr>
          <w:b/>
        </w:rPr>
        <w:t>Комитет настоятельно призывает государство-участник продолжать работу по совершенствованию своей системы здравоохранения, и в частности принять необходимые меры к обеспечению достаточного количества бол</w:t>
      </w:r>
      <w:r w:rsidRPr="00304D28">
        <w:rPr>
          <w:b/>
        </w:rPr>
        <w:t>ь</w:t>
      </w:r>
      <w:r w:rsidRPr="00304D28">
        <w:rPr>
          <w:b/>
        </w:rPr>
        <w:t>ниц в сельских районах, а также к их надлежащему оснащению и уко</w:t>
      </w:r>
      <w:r w:rsidRPr="00304D28">
        <w:rPr>
          <w:b/>
        </w:rPr>
        <w:t>м</w:t>
      </w:r>
      <w:r w:rsidRPr="00304D28">
        <w:rPr>
          <w:b/>
        </w:rPr>
        <w:t>плектованию медици</w:t>
      </w:r>
      <w:r w:rsidRPr="00304D28">
        <w:rPr>
          <w:b/>
        </w:rPr>
        <w:t>н</w:t>
      </w:r>
      <w:r w:rsidRPr="00304D28">
        <w:rPr>
          <w:b/>
        </w:rPr>
        <w:t>ским персоналом. Он рекомендует государству-участнику включить в гарант</w:t>
      </w:r>
      <w:r w:rsidRPr="00304D28">
        <w:rPr>
          <w:b/>
        </w:rPr>
        <w:t>и</w:t>
      </w:r>
      <w:r w:rsidRPr="00304D28">
        <w:rPr>
          <w:b/>
        </w:rPr>
        <w:t>рованный государством набор услуг услуги вторичного и третичного уровня, а также лекарственные препараты для амбулаторных пациентов. Он призывает государство-участник создать о</w:t>
      </w:r>
      <w:r w:rsidRPr="00304D28">
        <w:rPr>
          <w:b/>
        </w:rPr>
        <w:t>б</w:t>
      </w:r>
      <w:r w:rsidRPr="00304D28">
        <w:rPr>
          <w:b/>
        </w:rPr>
        <w:t>щенациональную систему медицинского страхования с универсальным о</w:t>
      </w:r>
      <w:r w:rsidRPr="00304D28">
        <w:rPr>
          <w:b/>
        </w:rPr>
        <w:t>х</w:t>
      </w:r>
      <w:r w:rsidRPr="00304D28">
        <w:rPr>
          <w:b/>
        </w:rPr>
        <w:t xml:space="preserve">ватом, о планах в отношении которой было объявлено в ходе диалога. Он </w:t>
      </w:r>
      <w:r>
        <w:rPr>
          <w:b/>
        </w:rPr>
        <w:t>обращает внимание государства</w:t>
      </w:r>
      <w:r w:rsidRPr="00304D28">
        <w:rPr>
          <w:b/>
        </w:rPr>
        <w:t>-участник</w:t>
      </w:r>
      <w:r>
        <w:rPr>
          <w:b/>
        </w:rPr>
        <w:t>а</w:t>
      </w:r>
      <w:r w:rsidRPr="00304D28">
        <w:rPr>
          <w:b/>
        </w:rPr>
        <w:t xml:space="preserve"> </w:t>
      </w:r>
      <w:r>
        <w:rPr>
          <w:b/>
        </w:rPr>
        <w:t>на замечание</w:t>
      </w:r>
      <w:r w:rsidRPr="00304D28">
        <w:rPr>
          <w:b/>
        </w:rPr>
        <w:t xml:space="preserve"> общего поря</w:t>
      </w:r>
      <w:r w:rsidRPr="00304D28">
        <w:rPr>
          <w:b/>
        </w:rPr>
        <w:t>д</w:t>
      </w:r>
      <w:r w:rsidRPr="00304D28">
        <w:rPr>
          <w:b/>
        </w:rPr>
        <w:t xml:space="preserve">ка № 14 </w:t>
      </w:r>
      <w:r>
        <w:rPr>
          <w:b/>
        </w:rPr>
        <w:t xml:space="preserve">(2000 год) </w:t>
      </w:r>
      <w:r w:rsidRPr="00304D28">
        <w:rPr>
          <w:b/>
        </w:rPr>
        <w:t>о праве на наивысший достижимый уровень здоровья.</w:t>
      </w:r>
    </w:p>
    <w:p w:rsidR="00AA6AA3" w:rsidRDefault="00AA6AA3" w:rsidP="00CE2B94">
      <w:pPr>
        <w:pStyle w:val="H23GR"/>
      </w:pPr>
      <w:r>
        <w:tab/>
      </w:r>
      <w:r>
        <w:tab/>
        <w:t>Состояние здоровья населения</w:t>
      </w:r>
    </w:p>
    <w:p w:rsidR="00AA6AA3" w:rsidRPr="00F848EF" w:rsidRDefault="00AA6AA3" w:rsidP="00CE2B94">
      <w:pPr>
        <w:pStyle w:val="SingleTxtGR"/>
      </w:pPr>
      <w:r>
        <w:t>24</w:t>
      </w:r>
      <w:r w:rsidRPr="00F848EF">
        <w:t>.</w:t>
      </w:r>
      <w:r w:rsidRPr="00F848EF">
        <w:tab/>
        <w:t>Комитет отмечает, что, несмотря на значительное снижение матери</w:t>
      </w:r>
      <w:r w:rsidRPr="00F848EF">
        <w:t>н</w:t>
      </w:r>
      <w:r w:rsidRPr="00F848EF">
        <w:t>ской и детской смертности, ее уровень все еще остается сравнительно высоким. Он вновь с обеспокоенностью отмечает, что, несмотря на усилия, предпринима</w:t>
      </w:r>
      <w:r w:rsidRPr="00F848EF">
        <w:t>е</w:t>
      </w:r>
      <w:r w:rsidRPr="00F848EF">
        <w:t xml:space="preserve">мые государством-участником, в стране по-прежнему остро стоит проблема </w:t>
      </w:r>
      <w:r>
        <w:t>н</w:t>
      </w:r>
      <w:r>
        <w:t>е</w:t>
      </w:r>
      <w:r>
        <w:t>достаточности питания</w:t>
      </w:r>
      <w:r w:rsidRPr="00F848EF">
        <w:t>. Он также обеспокоен все более широким распростр</w:t>
      </w:r>
      <w:r w:rsidRPr="00F848EF">
        <w:t>а</w:t>
      </w:r>
      <w:r w:rsidRPr="00F848EF">
        <w:t xml:space="preserve">нением заболеваний, связанных с </w:t>
      </w:r>
      <w:r>
        <w:t>рационом питания</w:t>
      </w:r>
      <w:r w:rsidRPr="00F848EF">
        <w:t xml:space="preserve">, </w:t>
      </w:r>
      <w:r>
        <w:t>таких как</w:t>
      </w:r>
      <w:r w:rsidRPr="00F848EF">
        <w:t xml:space="preserve"> избыточ</w:t>
      </w:r>
      <w:r>
        <w:t>ная</w:t>
      </w:r>
      <w:r w:rsidRPr="00F848EF">
        <w:t xml:space="preserve"> мас</w:t>
      </w:r>
      <w:r>
        <w:t>са тела; увеличение</w:t>
      </w:r>
      <w:r w:rsidRPr="00F848EF">
        <w:t xml:space="preserve"> потребления алкоголя и табака, особенно среди детей; </w:t>
      </w:r>
      <w:r>
        <w:t>стойкие формы туберкулеза</w:t>
      </w:r>
      <w:r w:rsidRPr="00F848EF">
        <w:t>; и увеличение числа ВИЧ-инфицированных/</w:t>
      </w:r>
      <w:r w:rsidR="00043FAF">
        <w:br/>
      </w:r>
      <w:r w:rsidRPr="00F848EF">
        <w:t>больных СПИДом, особенно среди инъекцион</w:t>
      </w:r>
      <w:r>
        <w:t>ных нарком</w:t>
      </w:r>
      <w:r>
        <w:t>а</w:t>
      </w:r>
      <w:r>
        <w:t>нов</w:t>
      </w:r>
      <w:r w:rsidRPr="00F848EF">
        <w:t xml:space="preserve"> (статьи 10−12).</w:t>
      </w:r>
    </w:p>
    <w:p w:rsidR="00AA6AA3" w:rsidRDefault="00AA6AA3" w:rsidP="00CE2B94">
      <w:pPr>
        <w:pStyle w:val="SingleTxtGR"/>
        <w:rPr>
          <w:b/>
        </w:rPr>
      </w:pPr>
      <w:r w:rsidRPr="00F848EF">
        <w:rPr>
          <w:b/>
        </w:rPr>
        <w:t>Комитет настоятельно призывает государство-участник активизировать усилия по охране здоровья матери и ребенка, особенно в дородовый и п</w:t>
      </w:r>
      <w:r w:rsidRPr="00F848EF">
        <w:rPr>
          <w:b/>
        </w:rPr>
        <w:t>о</w:t>
      </w:r>
      <w:r w:rsidRPr="00F848EF">
        <w:rPr>
          <w:b/>
        </w:rPr>
        <w:t>слеродовый период</w:t>
      </w:r>
      <w:r>
        <w:rPr>
          <w:b/>
        </w:rPr>
        <w:t>ы</w:t>
      </w:r>
      <w:r w:rsidRPr="00F848EF">
        <w:rPr>
          <w:b/>
        </w:rPr>
        <w:t>, а также по лечению и профила</w:t>
      </w:r>
      <w:r>
        <w:rPr>
          <w:b/>
        </w:rPr>
        <w:t>ктике туберкулеза и ВИЧ/СПИДа,</w:t>
      </w:r>
      <w:r w:rsidRPr="00F848EF">
        <w:rPr>
          <w:b/>
        </w:rPr>
        <w:t xml:space="preserve"> в частности возобновить практику заместительной тер</w:t>
      </w:r>
      <w:r w:rsidRPr="00F848EF">
        <w:rPr>
          <w:b/>
        </w:rPr>
        <w:t>а</w:t>
      </w:r>
      <w:r w:rsidRPr="00F848EF">
        <w:rPr>
          <w:b/>
        </w:rPr>
        <w:t>пии опиоидной зависимости, о чем говорилось в ходе диалога. Он призыв</w:t>
      </w:r>
      <w:r w:rsidRPr="00F848EF">
        <w:rPr>
          <w:b/>
        </w:rPr>
        <w:t>а</w:t>
      </w:r>
      <w:r w:rsidRPr="00F848EF">
        <w:rPr>
          <w:b/>
        </w:rPr>
        <w:t xml:space="preserve">ет государство-участник бороться с </w:t>
      </w:r>
      <w:r>
        <w:rPr>
          <w:b/>
        </w:rPr>
        <w:t>недостаточностью питания</w:t>
      </w:r>
      <w:r w:rsidRPr="00F848EF">
        <w:rPr>
          <w:b/>
        </w:rPr>
        <w:t xml:space="preserve"> и болезн</w:t>
      </w:r>
      <w:r w:rsidRPr="00F848EF">
        <w:rPr>
          <w:b/>
        </w:rPr>
        <w:t>я</w:t>
      </w:r>
      <w:r w:rsidRPr="00F848EF">
        <w:rPr>
          <w:b/>
        </w:rPr>
        <w:t xml:space="preserve">ми, связанными с </w:t>
      </w:r>
      <w:r>
        <w:rPr>
          <w:b/>
        </w:rPr>
        <w:t xml:space="preserve">рационом </w:t>
      </w:r>
      <w:r w:rsidRPr="00F848EF">
        <w:rPr>
          <w:b/>
        </w:rPr>
        <w:t>пи</w:t>
      </w:r>
      <w:r>
        <w:rPr>
          <w:b/>
        </w:rPr>
        <w:t>тания</w:t>
      </w:r>
      <w:r w:rsidRPr="00F848EF">
        <w:rPr>
          <w:b/>
        </w:rPr>
        <w:t>, а также с употреблением алкоголя и табака. Основное внимание следует уделять профилактическим меропри</w:t>
      </w:r>
      <w:r w:rsidRPr="00F848EF">
        <w:rPr>
          <w:b/>
        </w:rPr>
        <w:t>я</w:t>
      </w:r>
      <w:r w:rsidRPr="00F848EF">
        <w:rPr>
          <w:b/>
        </w:rPr>
        <w:t>тиям, и в частности распространению информации о негативных после</w:t>
      </w:r>
      <w:r w:rsidRPr="00F848EF">
        <w:rPr>
          <w:b/>
        </w:rPr>
        <w:t>д</w:t>
      </w:r>
      <w:r w:rsidRPr="00F848EF">
        <w:rPr>
          <w:b/>
        </w:rPr>
        <w:t xml:space="preserve">ствиях нездорового </w:t>
      </w:r>
      <w:r>
        <w:rPr>
          <w:b/>
        </w:rPr>
        <w:t xml:space="preserve">рациона </w:t>
      </w:r>
      <w:r w:rsidRPr="00F848EF">
        <w:rPr>
          <w:b/>
        </w:rPr>
        <w:t>питания и употребления алкоголя и табака, мониторингу такой практики, установлению запрета на продажу алкоголя и табака несовершеннолетним и проп</w:t>
      </w:r>
      <w:r w:rsidRPr="00F848EF">
        <w:rPr>
          <w:b/>
        </w:rPr>
        <w:t>а</w:t>
      </w:r>
      <w:r w:rsidRPr="00F848EF">
        <w:rPr>
          <w:b/>
        </w:rPr>
        <w:t>ганде здорового образа жизни.</w:t>
      </w:r>
    </w:p>
    <w:p w:rsidR="00AA6AA3" w:rsidRPr="00AC03C8" w:rsidRDefault="00AA6AA3" w:rsidP="00CE2B94">
      <w:pPr>
        <w:pStyle w:val="H23GR"/>
      </w:pPr>
      <w:r>
        <w:tab/>
      </w:r>
      <w:r>
        <w:tab/>
      </w:r>
      <w:r w:rsidRPr="00AC03C8">
        <w:t>Водоснабжение и санитарные услуги</w:t>
      </w:r>
    </w:p>
    <w:p w:rsidR="00AA6AA3" w:rsidRPr="00AC03C8" w:rsidRDefault="00AA6AA3" w:rsidP="00CE2B94">
      <w:pPr>
        <w:pStyle w:val="SingleTxtGR"/>
      </w:pPr>
      <w:r>
        <w:t>25</w:t>
      </w:r>
      <w:r w:rsidRPr="00AC03C8">
        <w:t>.</w:t>
      </w:r>
      <w:r w:rsidRPr="00AC03C8">
        <w:tab/>
        <w:t xml:space="preserve">Комитет обеспокоен тем, что, несмотря на </w:t>
      </w:r>
      <w:r>
        <w:t>усилия государства-участника</w:t>
      </w:r>
      <w:r w:rsidRPr="00AC03C8">
        <w:t xml:space="preserve"> </w:t>
      </w:r>
      <w:r>
        <w:t xml:space="preserve">по </w:t>
      </w:r>
      <w:r w:rsidRPr="00AC03C8">
        <w:t>со</w:t>
      </w:r>
      <w:r>
        <w:t>вершенствованию</w:t>
      </w:r>
      <w:r w:rsidRPr="00AC03C8">
        <w:t xml:space="preserve"> систем водоснабжения и санитар</w:t>
      </w:r>
      <w:r>
        <w:t>ии</w:t>
      </w:r>
      <w:r w:rsidRPr="00AC03C8">
        <w:t>, значительное чи</w:t>
      </w:r>
      <w:r w:rsidRPr="00AC03C8">
        <w:t>с</w:t>
      </w:r>
      <w:r w:rsidRPr="00AC03C8">
        <w:t>ло жителей Узбекистана не имеет доступа к надлежащим санитарным услугам и безопасной питьевой воде, особенно в Хорезмской области и Республике Кар</w:t>
      </w:r>
      <w:r w:rsidRPr="00AC03C8">
        <w:t>а</w:t>
      </w:r>
      <w:r w:rsidRPr="00AC03C8">
        <w:t>калпакстан, пострадавших от засухи и испытывающих на себе негативные п</w:t>
      </w:r>
      <w:r w:rsidRPr="00AC03C8">
        <w:t>о</w:t>
      </w:r>
      <w:r w:rsidRPr="00AC03C8">
        <w:t xml:space="preserve">следствия </w:t>
      </w:r>
      <w:r>
        <w:t xml:space="preserve">экологической </w:t>
      </w:r>
      <w:r w:rsidRPr="00AC03C8">
        <w:t xml:space="preserve">катастрофы, которая </w:t>
      </w:r>
      <w:r>
        <w:t>произошла в Аральском море</w:t>
      </w:r>
      <w:r w:rsidRPr="00AC03C8">
        <w:t>. Он с обеспокоенностью отмечает, что нехватка и загрязнение воды, отсутствие надлежащих канализационных систем и загрязнение почвы в результате шир</w:t>
      </w:r>
      <w:r w:rsidRPr="00AC03C8">
        <w:t>о</w:t>
      </w:r>
      <w:r w:rsidRPr="00AC03C8">
        <w:t>кого использования химикатов в сельском хозяйстве способствовали распр</w:t>
      </w:r>
      <w:r w:rsidRPr="00AC03C8">
        <w:t>о</w:t>
      </w:r>
      <w:r w:rsidRPr="00AC03C8">
        <w:t xml:space="preserve">странению болезней, передаваемых через воду, и </w:t>
      </w:r>
      <w:r>
        <w:t xml:space="preserve">общему </w:t>
      </w:r>
      <w:r w:rsidRPr="00AC03C8">
        <w:t>увеличению забол</w:t>
      </w:r>
      <w:r w:rsidRPr="00AC03C8">
        <w:t>е</w:t>
      </w:r>
      <w:r w:rsidRPr="00AC03C8">
        <w:t>ваемости населения. Его также беспокоит то, что второе место среди причин смертности и заболеваемости в стране занимают, согласно имеющейся инфо</w:t>
      </w:r>
      <w:r w:rsidRPr="00AC03C8">
        <w:t>р</w:t>
      </w:r>
      <w:r w:rsidRPr="00AC03C8">
        <w:t xml:space="preserve">мации, болезни, передаваемые </w:t>
      </w:r>
      <w:r>
        <w:t>воздушным путем</w:t>
      </w:r>
      <w:r w:rsidRPr="00AC03C8">
        <w:t xml:space="preserve"> (ст</w:t>
      </w:r>
      <w:r w:rsidRPr="00AC03C8">
        <w:t>а</w:t>
      </w:r>
      <w:r>
        <w:t>тья 12).</w:t>
      </w:r>
    </w:p>
    <w:p w:rsidR="00AA6AA3" w:rsidRPr="00AC03C8" w:rsidRDefault="00AA6AA3" w:rsidP="00CE2B94">
      <w:pPr>
        <w:pStyle w:val="SingleTxtGR"/>
        <w:rPr>
          <w:b/>
        </w:rPr>
      </w:pPr>
      <w:r w:rsidRPr="00AC03C8">
        <w:rPr>
          <w:b/>
        </w:rPr>
        <w:t>Комитет настоятельно призывает государство-участник инвестировать больше ресурсов в совершенствование систем водоснабжения и санитарии, особенно в сельских районах, и прин</w:t>
      </w:r>
      <w:r>
        <w:rPr>
          <w:b/>
        </w:rPr>
        <w:t>ять скорейшие меры по</w:t>
      </w:r>
      <w:r w:rsidRPr="00AC03C8">
        <w:rPr>
          <w:b/>
        </w:rPr>
        <w:t xml:space="preserve"> защите воды, почв</w:t>
      </w:r>
      <w:r>
        <w:rPr>
          <w:b/>
        </w:rPr>
        <w:t>ы</w:t>
      </w:r>
      <w:r w:rsidRPr="00AC03C8">
        <w:rPr>
          <w:b/>
        </w:rPr>
        <w:t xml:space="preserve"> и воздуха от загрязнения. Он призывает государство-участник пре</w:t>
      </w:r>
      <w:r w:rsidRPr="00AC03C8">
        <w:rPr>
          <w:b/>
        </w:rPr>
        <w:t>д</w:t>
      </w:r>
      <w:r w:rsidRPr="00AC03C8">
        <w:rPr>
          <w:b/>
        </w:rPr>
        <w:t>принять необходимые шаги</w:t>
      </w:r>
      <w:r>
        <w:rPr>
          <w:b/>
        </w:rPr>
        <w:t>,</w:t>
      </w:r>
      <w:r w:rsidRPr="00C44BB2">
        <w:rPr>
          <w:b/>
        </w:rPr>
        <w:t xml:space="preserve"> </w:t>
      </w:r>
      <w:r w:rsidRPr="00AC03C8">
        <w:rPr>
          <w:b/>
        </w:rPr>
        <w:t>включая принятие соответствующих мер п</w:t>
      </w:r>
      <w:r w:rsidRPr="00AC03C8">
        <w:rPr>
          <w:b/>
        </w:rPr>
        <w:t>о</w:t>
      </w:r>
      <w:r w:rsidRPr="00AC03C8">
        <w:rPr>
          <w:b/>
        </w:rPr>
        <w:t>литики и информационно-просветительск</w:t>
      </w:r>
      <w:r>
        <w:rPr>
          <w:b/>
        </w:rPr>
        <w:t>их мер,</w:t>
      </w:r>
      <w:r w:rsidRPr="00AC03C8">
        <w:rPr>
          <w:b/>
        </w:rPr>
        <w:t xml:space="preserve"> в целях профилактики и лечения болезней, передаваемых через воду и воздух. Он также призывает государство-участник сотрудничать в вопросах использования водных р</w:t>
      </w:r>
      <w:r w:rsidRPr="00AC03C8">
        <w:rPr>
          <w:b/>
        </w:rPr>
        <w:t>е</w:t>
      </w:r>
      <w:r w:rsidRPr="00AC03C8">
        <w:rPr>
          <w:b/>
        </w:rPr>
        <w:t xml:space="preserve">сурсов с соседними странами в целях спасения Аральского моря. Он </w:t>
      </w:r>
      <w:r>
        <w:rPr>
          <w:b/>
        </w:rPr>
        <w:t>обр</w:t>
      </w:r>
      <w:r>
        <w:rPr>
          <w:b/>
        </w:rPr>
        <w:t>а</w:t>
      </w:r>
      <w:r>
        <w:rPr>
          <w:b/>
        </w:rPr>
        <w:t>щает внимание</w:t>
      </w:r>
      <w:r w:rsidRPr="00AC03C8">
        <w:rPr>
          <w:b/>
        </w:rPr>
        <w:t xml:space="preserve"> госу</w:t>
      </w:r>
      <w:r>
        <w:rPr>
          <w:b/>
        </w:rPr>
        <w:t>дарства</w:t>
      </w:r>
      <w:r w:rsidRPr="00AC03C8">
        <w:rPr>
          <w:b/>
        </w:rPr>
        <w:t>-участник</w:t>
      </w:r>
      <w:r>
        <w:rPr>
          <w:b/>
        </w:rPr>
        <w:t>а на свое замечание</w:t>
      </w:r>
      <w:r w:rsidRPr="00AC03C8">
        <w:rPr>
          <w:b/>
        </w:rPr>
        <w:t xml:space="preserve"> общего поря</w:t>
      </w:r>
      <w:r w:rsidRPr="00AC03C8">
        <w:rPr>
          <w:b/>
        </w:rPr>
        <w:t>д</w:t>
      </w:r>
      <w:r w:rsidRPr="00AC03C8">
        <w:rPr>
          <w:b/>
        </w:rPr>
        <w:t>ка</w:t>
      </w:r>
      <w:r w:rsidR="00981F52">
        <w:rPr>
          <w:b/>
        </w:rPr>
        <w:t> </w:t>
      </w:r>
      <w:r w:rsidRPr="00AC03C8">
        <w:rPr>
          <w:b/>
        </w:rPr>
        <w:t xml:space="preserve">№ 15 </w:t>
      </w:r>
      <w:r>
        <w:rPr>
          <w:b/>
        </w:rPr>
        <w:t xml:space="preserve">(2000 год) </w:t>
      </w:r>
      <w:r w:rsidRPr="00AC03C8">
        <w:rPr>
          <w:b/>
        </w:rPr>
        <w:t xml:space="preserve">о праве на воду и </w:t>
      </w:r>
      <w:r>
        <w:rPr>
          <w:b/>
        </w:rPr>
        <w:t>на свое заявление</w:t>
      </w:r>
      <w:r w:rsidRPr="00AC03C8">
        <w:rPr>
          <w:b/>
        </w:rPr>
        <w:t xml:space="preserve"> о праве на санит</w:t>
      </w:r>
      <w:r w:rsidRPr="00AC03C8">
        <w:rPr>
          <w:b/>
        </w:rPr>
        <w:t>а</w:t>
      </w:r>
      <w:r w:rsidRPr="00AC03C8">
        <w:rPr>
          <w:b/>
        </w:rPr>
        <w:t>рию.</w:t>
      </w:r>
    </w:p>
    <w:p w:rsidR="00AA6AA3" w:rsidRPr="004A4CBD" w:rsidRDefault="00AA6AA3" w:rsidP="00CE2B94">
      <w:pPr>
        <w:pStyle w:val="H23GR"/>
      </w:pPr>
      <w:r w:rsidRPr="004A4CBD">
        <w:tab/>
      </w:r>
      <w:r w:rsidRPr="004A4CBD">
        <w:tab/>
        <w:t>Образование</w:t>
      </w:r>
    </w:p>
    <w:p w:rsidR="00AA6AA3" w:rsidRPr="00AC03C8" w:rsidRDefault="00AA6AA3" w:rsidP="00CE2B94">
      <w:pPr>
        <w:pStyle w:val="SingleTxtGR"/>
      </w:pPr>
      <w:r>
        <w:t>26</w:t>
      </w:r>
      <w:r w:rsidRPr="00AC03C8">
        <w:t>.</w:t>
      </w:r>
      <w:r w:rsidRPr="00AC03C8">
        <w:tab/>
        <w:t xml:space="preserve">Комитет </w:t>
      </w:r>
      <w:r>
        <w:t>с</w:t>
      </w:r>
      <w:r w:rsidRPr="00AC03C8">
        <w:t xml:space="preserve"> озабоченность</w:t>
      </w:r>
      <w:r>
        <w:t>ю отмечает</w:t>
      </w:r>
      <w:r w:rsidRPr="00AC03C8">
        <w:t xml:space="preserve">, что, несмотря на почти всеобщую грамотность населения в государстве-участнике, качество образования и </w:t>
      </w:r>
      <w:r>
        <w:t>ур</w:t>
      </w:r>
      <w:r>
        <w:t>о</w:t>
      </w:r>
      <w:r>
        <w:t xml:space="preserve">вень </w:t>
      </w:r>
      <w:r w:rsidRPr="00AC03C8">
        <w:t>подготовк</w:t>
      </w:r>
      <w:r>
        <w:t>и</w:t>
      </w:r>
      <w:r w:rsidRPr="00AC03C8">
        <w:t xml:space="preserve"> учебно-преподавательск</w:t>
      </w:r>
      <w:r>
        <w:t>их кадров</w:t>
      </w:r>
      <w:r w:rsidRPr="00AC03C8">
        <w:t xml:space="preserve"> в сельских районах остаю</w:t>
      </w:r>
      <w:r w:rsidRPr="00AC03C8">
        <w:t>т</w:t>
      </w:r>
      <w:r w:rsidRPr="00AC03C8">
        <w:t>ся низкими. Его беспокоит то, что, несмотря на улучшение показателей соо</w:t>
      </w:r>
      <w:r w:rsidRPr="00AC03C8">
        <w:t>т</w:t>
      </w:r>
      <w:r w:rsidRPr="00AC03C8">
        <w:t xml:space="preserve">ношения </w:t>
      </w:r>
      <w:r>
        <w:t xml:space="preserve">учащихся </w:t>
      </w:r>
      <w:r w:rsidRPr="00AC03C8">
        <w:t>мужского и женского пола в средних школах и професси</w:t>
      </w:r>
      <w:r w:rsidRPr="00AC03C8">
        <w:t>о</w:t>
      </w:r>
      <w:r w:rsidRPr="00AC03C8">
        <w:t xml:space="preserve">нально-технических учебных заведениях, </w:t>
      </w:r>
      <w:r>
        <w:t xml:space="preserve">в </w:t>
      </w:r>
      <w:r w:rsidRPr="00AC03C8">
        <w:t xml:space="preserve">высших учебных заведениях доля студентов женского пола </w:t>
      </w:r>
      <w:r>
        <w:t xml:space="preserve">составляет </w:t>
      </w:r>
      <w:r w:rsidRPr="00AC03C8">
        <w:t xml:space="preserve">почти </w:t>
      </w:r>
      <w:r>
        <w:t>треть от числа</w:t>
      </w:r>
      <w:r w:rsidRPr="00AC03C8">
        <w:t xml:space="preserve"> студентов мужского пола. Он также обеспокоен сокращением числа школ с преподаванием на яз</w:t>
      </w:r>
      <w:r w:rsidRPr="00AC03C8">
        <w:t>ы</w:t>
      </w:r>
      <w:r w:rsidRPr="00AC03C8">
        <w:t xml:space="preserve">ках меньшинств, особенно на казахском и туркменском языках, </w:t>
      </w:r>
      <w:r>
        <w:t>и</w:t>
      </w:r>
      <w:r w:rsidRPr="00AC03C8">
        <w:t xml:space="preserve"> недостато</w:t>
      </w:r>
      <w:r w:rsidRPr="00AC03C8">
        <w:t>ч</w:t>
      </w:r>
      <w:r w:rsidRPr="00AC03C8">
        <w:t>ной поддержкой усили</w:t>
      </w:r>
      <w:r>
        <w:t>й</w:t>
      </w:r>
      <w:r w:rsidRPr="00AC03C8">
        <w:t xml:space="preserve"> по поощрению таджикского языка (ст</w:t>
      </w:r>
      <w:r w:rsidRPr="00AC03C8">
        <w:t>а</w:t>
      </w:r>
      <w:r w:rsidRPr="00AC03C8">
        <w:t>тьи 3 и 13).</w:t>
      </w:r>
    </w:p>
    <w:p w:rsidR="00AA6AA3" w:rsidRDefault="00AA6AA3" w:rsidP="00CE2B94">
      <w:pPr>
        <w:pStyle w:val="SingleTxtGR"/>
        <w:rPr>
          <w:b/>
        </w:rPr>
      </w:pPr>
      <w:r w:rsidRPr="00AC03C8">
        <w:rPr>
          <w:b/>
        </w:rPr>
        <w:t>Комитет рекомендует государству-участнику прин</w:t>
      </w:r>
      <w:r>
        <w:rPr>
          <w:b/>
        </w:rPr>
        <w:t>имать</w:t>
      </w:r>
      <w:r w:rsidRPr="00AC03C8">
        <w:rPr>
          <w:b/>
        </w:rPr>
        <w:t xml:space="preserve"> все необходимые меры к повышению качества образования, особенно в сельских рай</w:t>
      </w:r>
      <w:r>
        <w:rPr>
          <w:b/>
        </w:rPr>
        <w:t>онах. Он также рекомендует</w:t>
      </w:r>
      <w:r w:rsidRPr="00AC03C8">
        <w:rPr>
          <w:b/>
        </w:rPr>
        <w:t xml:space="preserve"> уделять</w:t>
      </w:r>
      <w:r>
        <w:rPr>
          <w:b/>
        </w:rPr>
        <w:t xml:space="preserve"> повышенное</w:t>
      </w:r>
      <w:r w:rsidRPr="00AC03C8">
        <w:rPr>
          <w:b/>
        </w:rPr>
        <w:t xml:space="preserve"> внимание обеспече</w:t>
      </w:r>
      <w:r>
        <w:rPr>
          <w:b/>
        </w:rPr>
        <w:t>нию</w:t>
      </w:r>
      <w:r w:rsidRPr="00AC03C8">
        <w:rPr>
          <w:b/>
        </w:rPr>
        <w:t xml:space="preserve"> ге</w:t>
      </w:r>
      <w:r w:rsidRPr="00AC03C8">
        <w:rPr>
          <w:b/>
        </w:rPr>
        <w:t>н</w:t>
      </w:r>
      <w:r w:rsidRPr="00AC03C8">
        <w:rPr>
          <w:b/>
        </w:rPr>
        <w:t>дерного баланса</w:t>
      </w:r>
      <w:r>
        <w:rPr>
          <w:b/>
        </w:rPr>
        <w:t xml:space="preserve"> с целью обеспечения равного доступа к высшему образ</w:t>
      </w:r>
      <w:r>
        <w:rPr>
          <w:b/>
        </w:rPr>
        <w:t>о</w:t>
      </w:r>
      <w:r>
        <w:rPr>
          <w:b/>
        </w:rPr>
        <w:t>ванию.</w:t>
      </w:r>
      <w:r w:rsidRPr="00AC03C8">
        <w:rPr>
          <w:b/>
        </w:rPr>
        <w:t xml:space="preserve"> Он призывает государство-участник активизировать усилия по п</w:t>
      </w:r>
      <w:r w:rsidRPr="00AC03C8">
        <w:rPr>
          <w:b/>
        </w:rPr>
        <w:t>о</w:t>
      </w:r>
      <w:r w:rsidRPr="00AC03C8">
        <w:rPr>
          <w:b/>
        </w:rPr>
        <w:t xml:space="preserve">ощрению языков меньшинств и обеспечению </w:t>
      </w:r>
      <w:r>
        <w:rPr>
          <w:b/>
        </w:rPr>
        <w:t>возможностей</w:t>
      </w:r>
      <w:r w:rsidRPr="00AC03C8">
        <w:rPr>
          <w:b/>
        </w:rPr>
        <w:t xml:space="preserve"> для обучения на языках меньшинств в уче</w:t>
      </w:r>
      <w:r w:rsidRPr="00AC03C8">
        <w:rPr>
          <w:b/>
        </w:rPr>
        <w:t>б</w:t>
      </w:r>
      <w:r w:rsidRPr="00AC03C8">
        <w:rPr>
          <w:b/>
        </w:rPr>
        <w:t>ных заведениях всех уровней. Он предлагает государству-участнику увел</w:t>
      </w:r>
      <w:r w:rsidRPr="00AC03C8">
        <w:rPr>
          <w:b/>
        </w:rPr>
        <w:t>и</w:t>
      </w:r>
      <w:r w:rsidRPr="00AC03C8">
        <w:rPr>
          <w:b/>
        </w:rPr>
        <w:t>чить инвестиции в подготовку учителей и рас</w:t>
      </w:r>
      <w:r>
        <w:rPr>
          <w:b/>
        </w:rPr>
        <w:t>ширя</w:t>
      </w:r>
      <w:r w:rsidRPr="00AC03C8">
        <w:rPr>
          <w:b/>
        </w:rPr>
        <w:t>ть доступ к Интернету по всей стр</w:t>
      </w:r>
      <w:r w:rsidRPr="00AC03C8">
        <w:rPr>
          <w:b/>
        </w:rPr>
        <w:t>а</w:t>
      </w:r>
      <w:r w:rsidRPr="00AC03C8">
        <w:rPr>
          <w:b/>
        </w:rPr>
        <w:t>не.</w:t>
      </w:r>
    </w:p>
    <w:p w:rsidR="00AA6AA3" w:rsidRDefault="00AA6AA3" w:rsidP="00CE2B94">
      <w:pPr>
        <w:pStyle w:val="H23GR"/>
      </w:pPr>
      <w:r>
        <w:tab/>
      </w:r>
      <w:r>
        <w:tab/>
        <w:t>Культурная жизнь</w:t>
      </w:r>
    </w:p>
    <w:p w:rsidR="00AA6AA3" w:rsidRDefault="00AA6AA3" w:rsidP="00CE2B94">
      <w:pPr>
        <w:pStyle w:val="SingleTxtGR"/>
      </w:pPr>
      <w:r>
        <w:t>27.</w:t>
      </w:r>
      <w:r>
        <w:tab/>
        <w:t>Комитет обеспокоен тем, что в государстве-участнике этнические мен</w:t>
      </w:r>
      <w:r>
        <w:t>ь</w:t>
      </w:r>
      <w:r>
        <w:t>шинства не пользуются достаточным признанием, и ему трудно согласиться с тем, что гармоничные межэтнические отношения могут быть обеспечены без признания права на культурную самобытность. Он выражает озабоченность по поводу заявления государства-участника в его докладе (</w:t>
      </w:r>
      <w:r>
        <w:rPr>
          <w:lang w:val="en-US"/>
        </w:rPr>
        <w:t>E</w:t>
      </w:r>
      <w:r w:rsidRPr="00AB0230">
        <w:t>/</w:t>
      </w:r>
      <w:r>
        <w:rPr>
          <w:lang w:val="en-US"/>
        </w:rPr>
        <w:t>C</w:t>
      </w:r>
      <w:r w:rsidRPr="00AB0230">
        <w:t>.12/</w:t>
      </w:r>
      <w:r>
        <w:rPr>
          <w:lang w:val="en-US"/>
        </w:rPr>
        <w:t>UZB</w:t>
      </w:r>
      <w:r w:rsidRPr="00AB0230">
        <w:t>/2</w:t>
      </w:r>
      <w:r>
        <w:t xml:space="preserve">, пункт 968) о том, что </w:t>
      </w:r>
      <w:r w:rsidRPr="00AC03C8">
        <w:t>благодаря работе национальных культурных центров н</w:t>
      </w:r>
      <w:r w:rsidRPr="00AC03C8">
        <w:t>а</w:t>
      </w:r>
      <w:r w:rsidRPr="00AC03C8">
        <w:t xml:space="preserve">ции и народности, живущие в республике, не </w:t>
      </w:r>
      <w:r>
        <w:t>считают</w:t>
      </w:r>
      <w:r w:rsidRPr="00AC03C8">
        <w:t xml:space="preserve"> себя этническими мен</w:t>
      </w:r>
      <w:r w:rsidRPr="00AC03C8">
        <w:t>ь</w:t>
      </w:r>
      <w:r w:rsidRPr="00AC03C8">
        <w:t>шинс</w:t>
      </w:r>
      <w:r w:rsidRPr="00AC03C8">
        <w:t>т</w:t>
      </w:r>
      <w:r>
        <w:t>вами.</w:t>
      </w:r>
    </w:p>
    <w:p w:rsidR="00AA6AA3" w:rsidRDefault="00AA6AA3" w:rsidP="00CE2B94">
      <w:pPr>
        <w:pStyle w:val="SingleTxtGR"/>
        <w:rPr>
          <w:b/>
        </w:rPr>
      </w:pPr>
      <w:r w:rsidRPr="00AC03C8">
        <w:rPr>
          <w:b/>
        </w:rPr>
        <w:t xml:space="preserve">Комитет настоятельно призывает государство-участник принять меры к </w:t>
      </w:r>
      <w:r>
        <w:rPr>
          <w:b/>
        </w:rPr>
        <w:t xml:space="preserve">обеспечению </w:t>
      </w:r>
      <w:r w:rsidRPr="00AC03C8">
        <w:rPr>
          <w:b/>
        </w:rPr>
        <w:t>законодатель</w:t>
      </w:r>
      <w:r>
        <w:rPr>
          <w:b/>
        </w:rPr>
        <w:t>ной</w:t>
      </w:r>
      <w:r w:rsidRPr="00AC03C8">
        <w:rPr>
          <w:b/>
        </w:rPr>
        <w:t xml:space="preserve"> защит</w:t>
      </w:r>
      <w:r>
        <w:rPr>
          <w:b/>
        </w:rPr>
        <w:t>ы</w:t>
      </w:r>
      <w:r w:rsidRPr="00AC03C8">
        <w:rPr>
          <w:b/>
        </w:rPr>
        <w:t xml:space="preserve"> прав, гарантированных всем этн</w:t>
      </w:r>
      <w:r w:rsidRPr="00AC03C8">
        <w:rPr>
          <w:b/>
        </w:rPr>
        <w:t>и</w:t>
      </w:r>
      <w:r w:rsidRPr="00AC03C8">
        <w:rPr>
          <w:b/>
        </w:rPr>
        <w:t xml:space="preserve">ческим </w:t>
      </w:r>
      <w:r>
        <w:rPr>
          <w:b/>
        </w:rPr>
        <w:t>группам</w:t>
      </w:r>
      <w:r w:rsidRPr="00AC03C8">
        <w:rPr>
          <w:b/>
        </w:rPr>
        <w:t>, в том числе прав</w:t>
      </w:r>
      <w:r>
        <w:rPr>
          <w:b/>
        </w:rPr>
        <w:t>а</w:t>
      </w:r>
      <w:r w:rsidRPr="00AC03C8">
        <w:rPr>
          <w:b/>
        </w:rPr>
        <w:t xml:space="preserve"> на культурную самобытность, на со</w:t>
      </w:r>
      <w:r w:rsidRPr="00AC03C8">
        <w:rPr>
          <w:b/>
        </w:rPr>
        <w:t>б</w:t>
      </w:r>
      <w:r w:rsidRPr="00AC03C8">
        <w:rPr>
          <w:b/>
        </w:rPr>
        <w:t>ственные традиции и обычаи и пользование своими языками, а также на все другие проявления своей идентичности и своих культурных связей. Он</w:t>
      </w:r>
      <w:r>
        <w:rPr>
          <w:b/>
        </w:rPr>
        <w:t> обращает внимание государства</w:t>
      </w:r>
      <w:r w:rsidRPr="00AC03C8">
        <w:rPr>
          <w:b/>
        </w:rPr>
        <w:t>-участник</w:t>
      </w:r>
      <w:r>
        <w:rPr>
          <w:b/>
        </w:rPr>
        <w:t>а на свое</w:t>
      </w:r>
      <w:r w:rsidRPr="00AC03C8">
        <w:rPr>
          <w:b/>
        </w:rPr>
        <w:t xml:space="preserve"> </w:t>
      </w:r>
      <w:r>
        <w:rPr>
          <w:b/>
        </w:rPr>
        <w:t>замечание</w:t>
      </w:r>
      <w:r w:rsidRPr="00AC03C8">
        <w:rPr>
          <w:b/>
        </w:rPr>
        <w:t xml:space="preserve"> общего порядка</w:t>
      </w:r>
      <w:r>
        <w:rPr>
          <w:b/>
        </w:rPr>
        <w:t> </w:t>
      </w:r>
      <w:r w:rsidRPr="00AC03C8">
        <w:rPr>
          <w:b/>
        </w:rPr>
        <w:t>№</w:t>
      </w:r>
      <w:r>
        <w:rPr>
          <w:b/>
        </w:rPr>
        <w:t> </w:t>
      </w:r>
      <w:r w:rsidRPr="00AC03C8">
        <w:rPr>
          <w:b/>
        </w:rPr>
        <w:t>21 (2009</w:t>
      </w:r>
      <w:r>
        <w:rPr>
          <w:b/>
        </w:rPr>
        <w:t xml:space="preserve"> год</w:t>
      </w:r>
      <w:r w:rsidRPr="00AC03C8">
        <w:rPr>
          <w:b/>
        </w:rPr>
        <w:t>) о праве каждого человека на участие в культурной жизни.</w:t>
      </w:r>
    </w:p>
    <w:p w:rsidR="00AA6AA3" w:rsidRPr="00013B9D" w:rsidRDefault="00AA6AA3" w:rsidP="00CE2B94">
      <w:pPr>
        <w:pStyle w:val="H1GR"/>
      </w:pPr>
      <w:r>
        <w:tab/>
      </w:r>
      <w:r>
        <w:rPr>
          <w:lang w:val="en-US"/>
        </w:rPr>
        <w:t>D</w:t>
      </w:r>
      <w:r>
        <w:t>.</w:t>
      </w:r>
      <w:r>
        <w:tab/>
        <w:t>Другие рекомендации</w:t>
      </w:r>
    </w:p>
    <w:p w:rsidR="00AA6AA3" w:rsidRPr="00AC03C8" w:rsidRDefault="00AA6AA3" w:rsidP="00CE2B94">
      <w:pPr>
        <w:pStyle w:val="SingleTxtGR"/>
        <w:rPr>
          <w:b/>
        </w:rPr>
      </w:pPr>
      <w:r>
        <w:t>28</w:t>
      </w:r>
      <w:r w:rsidRPr="00AC03C8">
        <w:t>.</w:t>
      </w:r>
      <w:r w:rsidRPr="00AC03C8">
        <w:tab/>
      </w:r>
      <w:r w:rsidRPr="00AC03C8">
        <w:rPr>
          <w:b/>
        </w:rPr>
        <w:t>Комитет призывает государство-участник подписать и ратифицир</w:t>
      </w:r>
      <w:r w:rsidRPr="00AC03C8">
        <w:rPr>
          <w:b/>
        </w:rPr>
        <w:t>о</w:t>
      </w:r>
      <w:r w:rsidRPr="00AC03C8">
        <w:rPr>
          <w:b/>
        </w:rPr>
        <w:t>вать Факультативный протокол к Пакту.</w:t>
      </w:r>
    </w:p>
    <w:p w:rsidR="00AA6AA3" w:rsidRPr="00AC03C8" w:rsidRDefault="00AA6AA3" w:rsidP="00CE2B94">
      <w:pPr>
        <w:pStyle w:val="SingleTxtGR"/>
        <w:rPr>
          <w:b/>
        </w:rPr>
      </w:pPr>
      <w:r>
        <w:t>29</w:t>
      </w:r>
      <w:r w:rsidRPr="00AC03C8">
        <w:t>.</w:t>
      </w:r>
      <w:r w:rsidRPr="00AC03C8">
        <w:tab/>
      </w:r>
      <w:r w:rsidRPr="00AC03C8">
        <w:rPr>
          <w:b/>
        </w:rPr>
        <w:t>Комитет также призывает государство-участник подписать и рат</w:t>
      </w:r>
      <w:r w:rsidRPr="00AC03C8">
        <w:rPr>
          <w:b/>
        </w:rPr>
        <w:t>и</w:t>
      </w:r>
      <w:r w:rsidRPr="00AC03C8">
        <w:rPr>
          <w:b/>
        </w:rPr>
        <w:t>фицировать Международную конвенцию о защите прав всех трудящихся-мигрантов и членов их семей и Международную конвенцию для защиты всех лиц от насильственных исчезновений, а также дать согласие на и</w:t>
      </w:r>
      <w:r w:rsidRPr="00AC03C8">
        <w:rPr>
          <w:b/>
        </w:rPr>
        <w:t>с</w:t>
      </w:r>
      <w:r w:rsidRPr="00AC03C8">
        <w:rPr>
          <w:b/>
        </w:rPr>
        <w:t>пользование механизмов подачи и рассмотрения индивидуальных жалоб, предусмотрен</w:t>
      </w:r>
      <w:r>
        <w:rPr>
          <w:b/>
        </w:rPr>
        <w:t>ных</w:t>
      </w:r>
      <w:r w:rsidRPr="00AC03C8">
        <w:rPr>
          <w:b/>
        </w:rPr>
        <w:t xml:space="preserve"> в рамках различных </w:t>
      </w:r>
      <w:r>
        <w:rPr>
          <w:b/>
        </w:rPr>
        <w:t xml:space="preserve">основополагающих </w:t>
      </w:r>
      <w:r w:rsidRPr="00AC03C8">
        <w:rPr>
          <w:b/>
        </w:rPr>
        <w:t>международных договоров по правам человека</w:t>
      </w:r>
      <w:r>
        <w:rPr>
          <w:b/>
        </w:rPr>
        <w:t xml:space="preserve">, которые государство-участник не признает, в </w:t>
      </w:r>
      <w:r w:rsidRPr="00AC03C8">
        <w:rPr>
          <w:b/>
        </w:rPr>
        <w:t>целях дальнейшего укрепления системы защиты прав человека посре</w:t>
      </w:r>
      <w:r w:rsidRPr="00AC03C8">
        <w:rPr>
          <w:b/>
        </w:rPr>
        <w:t>д</w:t>
      </w:r>
      <w:r w:rsidRPr="00AC03C8">
        <w:rPr>
          <w:b/>
        </w:rPr>
        <w:t>ством предоставления носителям таких прав дополнительных возможн</w:t>
      </w:r>
      <w:r w:rsidRPr="00AC03C8">
        <w:rPr>
          <w:b/>
        </w:rPr>
        <w:t>о</w:t>
      </w:r>
      <w:r w:rsidRPr="00AC03C8">
        <w:rPr>
          <w:b/>
        </w:rPr>
        <w:t xml:space="preserve">стей </w:t>
      </w:r>
      <w:r>
        <w:rPr>
          <w:b/>
        </w:rPr>
        <w:t>для</w:t>
      </w:r>
      <w:r w:rsidRPr="00AC03C8">
        <w:rPr>
          <w:b/>
        </w:rPr>
        <w:t xml:space="preserve"> их от</w:t>
      </w:r>
      <w:r>
        <w:rPr>
          <w:b/>
        </w:rPr>
        <w:t>стаивания</w:t>
      </w:r>
      <w:r w:rsidRPr="00AC03C8">
        <w:rPr>
          <w:b/>
        </w:rPr>
        <w:t xml:space="preserve"> на международном уровне, когда все внутренние средства пр</w:t>
      </w:r>
      <w:r w:rsidRPr="00AC03C8">
        <w:rPr>
          <w:b/>
        </w:rPr>
        <w:t>а</w:t>
      </w:r>
      <w:r w:rsidRPr="00AC03C8">
        <w:rPr>
          <w:b/>
        </w:rPr>
        <w:t>вовой защиты</w:t>
      </w:r>
      <w:r>
        <w:rPr>
          <w:b/>
        </w:rPr>
        <w:t xml:space="preserve"> </w:t>
      </w:r>
      <w:r w:rsidRPr="00AC03C8">
        <w:rPr>
          <w:b/>
        </w:rPr>
        <w:t>исчерпаны.</w:t>
      </w:r>
    </w:p>
    <w:p w:rsidR="00AA6AA3" w:rsidRDefault="00AA6AA3" w:rsidP="00CE2B94">
      <w:pPr>
        <w:pStyle w:val="SingleTxtGR"/>
        <w:rPr>
          <w:b/>
        </w:rPr>
      </w:pPr>
      <w:r>
        <w:t>30</w:t>
      </w:r>
      <w:r w:rsidRPr="00AC03C8">
        <w:t>.</w:t>
      </w:r>
      <w:r w:rsidRPr="00AC03C8">
        <w:tab/>
      </w:r>
      <w:r w:rsidRPr="00AC03C8">
        <w:rPr>
          <w:b/>
        </w:rPr>
        <w:t>Комитет просит государство-участник обеспечить широкое распр</w:t>
      </w:r>
      <w:r w:rsidRPr="00AC03C8">
        <w:rPr>
          <w:b/>
        </w:rPr>
        <w:t>о</w:t>
      </w:r>
      <w:r w:rsidRPr="00AC03C8">
        <w:rPr>
          <w:b/>
        </w:rPr>
        <w:t xml:space="preserve">странение настоящих </w:t>
      </w:r>
      <w:r>
        <w:rPr>
          <w:b/>
        </w:rPr>
        <w:t xml:space="preserve">заключительных </w:t>
      </w:r>
      <w:r w:rsidRPr="00AC03C8">
        <w:rPr>
          <w:b/>
        </w:rPr>
        <w:t>замечаний среди всех слоев общ</w:t>
      </w:r>
      <w:r w:rsidRPr="00AC03C8">
        <w:rPr>
          <w:b/>
        </w:rPr>
        <w:t>е</w:t>
      </w:r>
      <w:r w:rsidRPr="00AC03C8">
        <w:rPr>
          <w:b/>
        </w:rPr>
        <w:t xml:space="preserve">ства, и в частности среди </w:t>
      </w:r>
      <w:r>
        <w:rPr>
          <w:b/>
        </w:rPr>
        <w:t xml:space="preserve">депутатов парламента, </w:t>
      </w:r>
      <w:r w:rsidRPr="00AC03C8">
        <w:rPr>
          <w:b/>
        </w:rPr>
        <w:t>государственных должн</w:t>
      </w:r>
      <w:r w:rsidRPr="00AC03C8">
        <w:rPr>
          <w:b/>
        </w:rPr>
        <w:t>о</w:t>
      </w:r>
      <w:r w:rsidRPr="00AC03C8">
        <w:rPr>
          <w:b/>
        </w:rPr>
        <w:t xml:space="preserve">стных лиц и судей, и включить в </w:t>
      </w:r>
      <w:r>
        <w:rPr>
          <w:b/>
        </w:rPr>
        <w:t xml:space="preserve">свой </w:t>
      </w:r>
      <w:r w:rsidRPr="00AC03C8">
        <w:rPr>
          <w:b/>
        </w:rPr>
        <w:t xml:space="preserve">следующий периодический доклад информацию о шагах, предпринятых в целях выполнения содержащихся в них рекомендаций. Он также призывает государство-участник </w:t>
      </w:r>
      <w:r>
        <w:rPr>
          <w:b/>
        </w:rPr>
        <w:t xml:space="preserve">обеспечить привлечение </w:t>
      </w:r>
      <w:r w:rsidRPr="00AC03C8">
        <w:rPr>
          <w:b/>
        </w:rPr>
        <w:t>неправ</w:t>
      </w:r>
      <w:r w:rsidRPr="00AC03C8">
        <w:rPr>
          <w:b/>
        </w:rPr>
        <w:t>и</w:t>
      </w:r>
      <w:r w:rsidRPr="00AC03C8">
        <w:rPr>
          <w:b/>
        </w:rPr>
        <w:t>тельственны</w:t>
      </w:r>
      <w:r>
        <w:rPr>
          <w:b/>
        </w:rPr>
        <w:t>х организаций</w:t>
      </w:r>
      <w:r w:rsidRPr="00AC03C8">
        <w:rPr>
          <w:b/>
        </w:rPr>
        <w:t xml:space="preserve"> и других </w:t>
      </w:r>
      <w:r>
        <w:rPr>
          <w:b/>
        </w:rPr>
        <w:t xml:space="preserve">представителей </w:t>
      </w:r>
      <w:r w:rsidRPr="00AC03C8">
        <w:rPr>
          <w:b/>
        </w:rPr>
        <w:t xml:space="preserve">гражданского общества к </w:t>
      </w:r>
      <w:r>
        <w:rPr>
          <w:b/>
        </w:rPr>
        <w:t xml:space="preserve">общенациональному </w:t>
      </w:r>
      <w:r w:rsidRPr="00AC03C8">
        <w:rPr>
          <w:b/>
        </w:rPr>
        <w:t xml:space="preserve">обсуждению </w:t>
      </w:r>
      <w:r>
        <w:rPr>
          <w:b/>
        </w:rPr>
        <w:t>до представл</w:t>
      </w:r>
      <w:r>
        <w:rPr>
          <w:b/>
        </w:rPr>
        <w:t>е</w:t>
      </w:r>
      <w:r>
        <w:rPr>
          <w:b/>
        </w:rPr>
        <w:t xml:space="preserve">ния </w:t>
      </w:r>
      <w:r w:rsidRPr="00AC03C8">
        <w:rPr>
          <w:b/>
        </w:rPr>
        <w:t>его следующего периодического доклада.</w:t>
      </w:r>
    </w:p>
    <w:p w:rsidR="00AA6AA3" w:rsidRPr="00032816" w:rsidRDefault="00AA6AA3" w:rsidP="00CE2B94">
      <w:pPr>
        <w:pStyle w:val="SingleTxtGR"/>
      </w:pPr>
      <w:r w:rsidRPr="00032816">
        <w:t>31.</w:t>
      </w:r>
      <w:r>
        <w:tab/>
      </w:r>
      <w:r w:rsidRPr="000426F2">
        <w:rPr>
          <w:b/>
        </w:rPr>
        <w:t>Комитет просит государство-участник обновить свой общий базовый документ в соответствии с согласованными руководящими принципами, касающимися представления общего базового документа (</w:t>
      </w:r>
      <w:r w:rsidRPr="000426F2">
        <w:rPr>
          <w:b/>
          <w:lang w:val="en-US"/>
        </w:rPr>
        <w:t>HRI</w:t>
      </w:r>
      <w:r w:rsidRPr="000426F2">
        <w:rPr>
          <w:b/>
        </w:rPr>
        <w:t>/</w:t>
      </w:r>
      <w:r w:rsidRPr="000426F2">
        <w:rPr>
          <w:b/>
          <w:lang w:val="en-US"/>
        </w:rPr>
        <w:t>GEN</w:t>
      </w:r>
      <w:r w:rsidRPr="000426F2">
        <w:rPr>
          <w:b/>
        </w:rPr>
        <w:t>/2/</w:t>
      </w:r>
      <w:r w:rsidR="006E6A65">
        <w:rPr>
          <w:b/>
        </w:rPr>
        <w:br/>
      </w:r>
      <w:r w:rsidRPr="000426F2">
        <w:rPr>
          <w:b/>
          <w:lang w:val="en-US"/>
        </w:rPr>
        <w:t>Rev</w:t>
      </w:r>
      <w:r w:rsidRPr="000426F2">
        <w:rPr>
          <w:b/>
        </w:rPr>
        <w:t xml:space="preserve">.6, глава </w:t>
      </w:r>
      <w:r w:rsidRPr="000426F2">
        <w:rPr>
          <w:b/>
          <w:lang w:val="en-US"/>
        </w:rPr>
        <w:t>I</w:t>
      </w:r>
      <w:r w:rsidRPr="000426F2">
        <w:rPr>
          <w:b/>
        </w:rPr>
        <w:t>).</w:t>
      </w:r>
    </w:p>
    <w:p w:rsidR="00AA6AA3" w:rsidRDefault="00AA6AA3" w:rsidP="00CE2B94">
      <w:pPr>
        <w:pStyle w:val="SingleTxtGR"/>
        <w:rPr>
          <w:b/>
        </w:rPr>
      </w:pPr>
      <w:r>
        <w:t>32</w:t>
      </w:r>
      <w:r w:rsidRPr="00AC03C8">
        <w:t>.</w:t>
      </w:r>
      <w:r w:rsidRPr="00AC03C8">
        <w:tab/>
      </w:r>
      <w:r w:rsidRPr="00AC03C8">
        <w:rPr>
          <w:b/>
        </w:rPr>
        <w:t>Комитет просит государство-участник представить</w:t>
      </w:r>
      <w:r>
        <w:rPr>
          <w:b/>
        </w:rPr>
        <w:t xml:space="preserve">  к </w:t>
      </w:r>
      <w:r w:rsidRPr="00AC03C8">
        <w:rPr>
          <w:b/>
        </w:rPr>
        <w:t>30 мая 2019 г</w:t>
      </w:r>
      <w:r w:rsidRPr="00AC03C8">
        <w:rPr>
          <w:b/>
        </w:rPr>
        <w:t>о</w:t>
      </w:r>
      <w:r>
        <w:rPr>
          <w:b/>
        </w:rPr>
        <w:t>да свой</w:t>
      </w:r>
      <w:r w:rsidRPr="00AC03C8">
        <w:rPr>
          <w:b/>
        </w:rPr>
        <w:t xml:space="preserve"> третий периодический доклад, подготовленный в соответствии с пересмотренными руководящими принципами </w:t>
      </w:r>
      <w:r>
        <w:rPr>
          <w:b/>
        </w:rPr>
        <w:t>представления</w:t>
      </w:r>
      <w:r w:rsidRPr="00AC03C8">
        <w:rPr>
          <w:b/>
        </w:rPr>
        <w:t xml:space="preserve"> докладов, принятыми Комитетом в 2008 году (Е/С.12/2008/2)</w:t>
      </w:r>
      <w:r>
        <w:rPr>
          <w:b/>
        </w:rPr>
        <w:t>.</w:t>
      </w:r>
    </w:p>
    <w:p w:rsidR="00AA6AA3" w:rsidRPr="006B175A" w:rsidRDefault="00AA6AA3" w:rsidP="00CE2B94">
      <w:pPr>
        <w:spacing w:before="240"/>
        <w:jc w:val="center"/>
        <w:rPr>
          <w:u w:val="single"/>
        </w:rPr>
      </w:pPr>
      <w:r>
        <w:rPr>
          <w:u w:val="single"/>
        </w:rPr>
        <w:tab/>
      </w:r>
      <w:r>
        <w:rPr>
          <w:u w:val="single"/>
        </w:rPr>
        <w:tab/>
      </w:r>
      <w:r>
        <w:rPr>
          <w:u w:val="single"/>
        </w:rPr>
        <w:tab/>
      </w:r>
    </w:p>
    <w:sectPr w:rsidR="00AA6AA3" w:rsidRPr="006B175A"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BE" w:rsidRDefault="009D3DBE">
      <w:r>
        <w:rPr>
          <w:lang w:val="en-US"/>
        </w:rPr>
        <w:tab/>
      </w:r>
      <w:r>
        <w:separator/>
      </w:r>
    </w:p>
  </w:endnote>
  <w:endnote w:type="continuationSeparator" w:id="0">
    <w:p w:rsidR="009D3DBE" w:rsidRDefault="009D3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BE" w:rsidRPr="009A6F4A" w:rsidRDefault="009D3DBE">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lang w:val="en-US"/>
      </w:rPr>
      <w:tab/>
      <w:t>GE.14-05074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BE" w:rsidRPr="009A6F4A" w:rsidRDefault="009D3DBE">
    <w:pPr>
      <w:pStyle w:val="Footer"/>
      <w:rPr>
        <w:lang w:val="en-US"/>
      </w:rPr>
    </w:pPr>
    <w:r>
      <w:rPr>
        <w:lang w:val="en-US"/>
      </w:rPr>
      <w:t>GE.14-05074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9D3DBE" w:rsidTr="000B3266">
      <w:trPr>
        <w:trHeight w:val="438"/>
      </w:trPr>
      <w:tc>
        <w:tcPr>
          <w:tcW w:w="4068" w:type="dxa"/>
          <w:vAlign w:val="bottom"/>
        </w:tcPr>
        <w:p w:rsidR="009D3DBE" w:rsidRDefault="009D3DBE" w:rsidP="000B3266">
          <w:r>
            <w:rPr>
              <w:lang w:val="en-US"/>
            </w:rPr>
            <w:t>GE.14-05074   (R)  260614  260614</w:t>
          </w:r>
        </w:p>
      </w:tc>
      <w:tc>
        <w:tcPr>
          <w:tcW w:w="4663" w:type="dxa"/>
          <w:vMerge w:val="restart"/>
          <w:vAlign w:val="bottom"/>
        </w:tcPr>
        <w:p w:rsidR="009D3DBE" w:rsidRDefault="009D3DBE" w:rsidP="000B3266">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9D3DBE" w:rsidRDefault="009D3DBE" w:rsidP="000B3266">
          <w:pPr>
            <w:jc w:val="right"/>
          </w:pPr>
          <w:r>
            <w:pict>
              <v:shape id="_x0000_i1027" type="#_x0000_t75" style="width:50.25pt;height:50.25pt">
                <v:imagedata r:id="rId2" o:title="2&amp;Size=2&amp;Lang=R"/>
              </v:shape>
            </w:pict>
          </w:r>
        </w:p>
      </w:tc>
    </w:tr>
    <w:tr w:rsidR="009D3DBE" w:rsidTr="000B3266">
      <w:tc>
        <w:tcPr>
          <w:tcW w:w="4068" w:type="dxa"/>
          <w:vAlign w:val="bottom"/>
        </w:tcPr>
        <w:p w:rsidR="009D3DBE" w:rsidRPr="001729B2" w:rsidRDefault="009D3DBE" w:rsidP="000B3266">
          <w:pPr>
            <w:spacing w:after="40"/>
            <w:rPr>
              <w:rFonts w:ascii="C39T30Lfz" w:hAnsi="C39T30Lfz"/>
              <w:spacing w:val="0"/>
              <w:w w:val="100"/>
              <w:kern w:val="0"/>
              <w:sz w:val="56"/>
              <w:szCs w:val="56"/>
              <w:lang w:val="en-US" w:eastAsia="ru-RU"/>
            </w:rPr>
          </w:pP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r w:rsidRPr="001729B2">
            <w:rPr>
              <w:rFonts w:ascii="C39T30Lfz" w:hAnsi="C39T30Lfz"/>
              <w:spacing w:val="0"/>
              <w:w w:val="100"/>
              <w:kern w:val="0"/>
              <w:sz w:val="56"/>
              <w:szCs w:val="56"/>
              <w:lang w:val="en-US" w:eastAsia="ru-RU"/>
            </w:rPr>
            <w:t></w:t>
          </w:r>
        </w:p>
      </w:tc>
      <w:tc>
        <w:tcPr>
          <w:tcW w:w="4663" w:type="dxa"/>
          <w:vMerge/>
        </w:tcPr>
        <w:p w:rsidR="009D3DBE" w:rsidRDefault="009D3DBE" w:rsidP="000B3266"/>
      </w:tc>
      <w:tc>
        <w:tcPr>
          <w:tcW w:w="1124" w:type="dxa"/>
          <w:vMerge/>
        </w:tcPr>
        <w:p w:rsidR="009D3DBE" w:rsidRDefault="009D3DBE" w:rsidP="000B3266"/>
      </w:tc>
    </w:tr>
  </w:tbl>
  <w:p w:rsidR="009D3DBE" w:rsidRPr="007A36B5" w:rsidRDefault="009D3DBE" w:rsidP="007A36B5">
    <w:pP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BE" w:rsidRPr="00F71F63" w:rsidRDefault="009D3DB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9D3DBE" w:rsidRPr="00F71F63" w:rsidRDefault="009D3DBE" w:rsidP="00635E86">
      <w:pPr>
        <w:tabs>
          <w:tab w:val="right" w:pos="2155"/>
        </w:tabs>
        <w:spacing w:after="80" w:line="240" w:lineRule="auto"/>
        <w:rPr>
          <w:u w:val="single"/>
          <w:lang w:val="en-US"/>
        </w:rPr>
      </w:pPr>
      <w:r w:rsidRPr="00F71F63">
        <w:rPr>
          <w:u w:val="single"/>
          <w:lang w:val="en-US"/>
        </w:rPr>
        <w:tab/>
      </w:r>
    </w:p>
    <w:p w:rsidR="009D3DBE" w:rsidRPr="00635E86" w:rsidRDefault="009D3DBE" w:rsidP="00635E86">
      <w:pPr>
        <w:pStyle w:val="Footer"/>
      </w:pPr>
    </w:p>
  </w:footnote>
  <w:footnote w:id="1">
    <w:p w:rsidR="009D3DBE" w:rsidRPr="00623EC1" w:rsidRDefault="009D3DBE" w:rsidP="009C12DE">
      <w:pPr>
        <w:pStyle w:val="FootnoteText"/>
        <w:spacing w:line="240" w:lineRule="auto"/>
        <w:rPr>
          <w:sz w:val="20"/>
          <w:lang w:val="ru-RU"/>
        </w:rPr>
      </w:pPr>
      <w:r>
        <w:tab/>
      </w:r>
      <w:r w:rsidRPr="003E6B0E">
        <w:rPr>
          <w:rStyle w:val="FootnoteReference"/>
          <w:szCs w:val="18"/>
          <w:vertAlign w:val="baseline"/>
          <w:lang w:val="ru-RU"/>
        </w:rPr>
        <w:t>*</w:t>
      </w:r>
      <w:r w:rsidRPr="00D4298B">
        <w:rPr>
          <w:lang w:val="ru-RU"/>
        </w:rPr>
        <w:tab/>
      </w:r>
      <w:r>
        <w:rPr>
          <w:lang w:val="ru-RU"/>
        </w:rPr>
        <w:t>Принято Комитетом на его пятьдесят второй сессии (28 апреля − 23 мая 2014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BE" w:rsidRPr="00E71A0F" w:rsidRDefault="009D3DBE">
    <w:pPr>
      <w:pStyle w:val="Header"/>
      <w:rPr>
        <w:lang w:val="en-US"/>
      </w:rPr>
    </w:pPr>
    <w:r>
      <w:t>E/C.12/UZB/CO/2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DBE" w:rsidRPr="009A6F4A" w:rsidRDefault="009D3DBE">
    <w:pPr>
      <w:pStyle w:val="Header"/>
      <w:rPr>
        <w:lang w:val="en-US"/>
      </w:rPr>
    </w:pPr>
    <w:r>
      <w:rPr>
        <w:lang w:val="en-US"/>
      </w:rPr>
      <w:tab/>
    </w:r>
    <w:r>
      <w:t>E/C.12/UZB/CO/2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5C9"/>
    <w:rsid w:val="000033D8"/>
    <w:rsid w:val="00005C1C"/>
    <w:rsid w:val="00016553"/>
    <w:rsid w:val="000233B3"/>
    <w:rsid w:val="00023E9E"/>
    <w:rsid w:val="00026B0C"/>
    <w:rsid w:val="0003638E"/>
    <w:rsid w:val="00036FF2"/>
    <w:rsid w:val="0004010A"/>
    <w:rsid w:val="00043D88"/>
    <w:rsid w:val="00043FAF"/>
    <w:rsid w:val="00046E4D"/>
    <w:rsid w:val="0006401A"/>
    <w:rsid w:val="00072C27"/>
    <w:rsid w:val="00086182"/>
    <w:rsid w:val="00090891"/>
    <w:rsid w:val="00092E62"/>
    <w:rsid w:val="00097227"/>
    <w:rsid w:val="00097975"/>
    <w:rsid w:val="000A3DDF"/>
    <w:rsid w:val="000A60A0"/>
    <w:rsid w:val="000B3266"/>
    <w:rsid w:val="000C3688"/>
    <w:rsid w:val="000D6863"/>
    <w:rsid w:val="000E3C8E"/>
    <w:rsid w:val="00111256"/>
    <w:rsid w:val="00117AEE"/>
    <w:rsid w:val="001334A6"/>
    <w:rsid w:val="001463F7"/>
    <w:rsid w:val="00147BC5"/>
    <w:rsid w:val="0015769C"/>
    <w:rsid w:val="001633CA"/>
    <w:rsid w:val="001729B2"/>
    <w:rsid w:val="00180752"/>
    <w:rsid w:val="00185076"/>
    <w:rsid w:val="0018543C"/>
    <w:rsid w:val="00190231"/>
    <w:rsid w:val="00192056"/>
    <w:rsid w:val="00192ABD"/>
    <w:rsid w:val="001A75D5"/>
    <w:rsid w:val="001A7D40"/>
    <w:rsid w:val="001D00F2"/>
    <w:rsid w:val="001D07F7"/>
    <w:rsid w:val="001D7B8F"/>
    <w:rsid w:val="001E12DC"/>
    <w:rsid w:val="001E48EE"/>
    <w:rsid w:val="001F2D04"/>
    <w:rsid w:val="0020059C"/>
    <w:rsid w:val="002019BD"/>
    <w:rsid w:val="00215704"/>
    <w:rsid w:val="00223115"/>
    <w:rsid w:val="00223A84"/>
    <w:rsid w:val="00232D42"/>
    <w:rsid w:val="00237334"/>
    <w:rsid w:val="002444F4"/>
    <w:rsid w:val="002629A0"/>
    <w:rsid w:val="00275812"/>
    <w:rsid w:val="0028492B"/>
    <w:rsid w:val="00291C8F"/>
    <w:rsid w:val="002C5036"/>
    <w:rsid w:val="002C6A71"/>
    <w:rsid w:val="002C6D5F"/>
    <w:rsid w:val="002D15EA"/>
    <w:rsid w:val="002D6C07"/>
    <w:rsid w:val="002D702A"/>
    <w:rsid w:val="002E0CE6"/>
    <w:rsid w:val="002E1163"/>
    <w:rsid w:val="002E43F3"/>
    <w:rsid w:val="00306D2D"/>
    <w:rsid w:val="00312218"/>
    <w:rsid w:val="003126EC"/>
    <w:rsid w:val="003215F5"/>
    <w:rsid w:val="00332891"/>
    <w:rsid w:val="00356BB2"/>
    <w:rsid w:val="00360477"/>
    <w:rsid w:val="0036614D"/>
    <w:rsid w:val="00367FC9"/>
    <w:rsid w:val="003711A1"/>
    <w:rsid w:val="00372123"/>
    <w:rsid w:val="00382B38"/>
    <w:rsid w:val="00386581"/>
    <w:rsid w:val="00387100"/>
    <w:rsid w:val="003951D3"/>
    <w:rsid w:val="003978C6"/>
    <w:rsid w:val="003A3F16"/>
    <w:rsid w:val="003B40A9"/>
    <w:rsid w:val="003C016E"/>
    <w:rsid w:val="003D5EBD"/>
    <w:rsid w:val="003E40E4"/>
    <w:rsid w:val="003E6B0E"/>
    <w:rsid w:val="00401CE0"/>
    <w:rsid w:val="00403234"/>
    <w:rsid w:val="00407AC3"/>
    <w:rsid w:val="00414586"/>
    <w:rsid w:val="00415059"/>
    <w:rsid w:val="00424FDD"/>
    <w:rsid w:val="0043033D"/>
    <w:rsid w:val="00435FE4"/>
    <w:rsid w:val="00457634"/>
    <w:rsid w:val="00474F42"/>
    <w:rsid w:val="0048244D"/>
    <w:rsid w:val="004911F8"/>
    <w:rsid w:val="004A0DE8"/>
    <w:rsid w:val="004A4CB7"/>
    <w:rsid w:val="004A57B5"/>
    <w:rsid w:val="004A78A4"/>
    <w:rsid w:val="004B19DA"/>
    <w:rsid w:val="004C2A53"/>
    <w:rsid w:val="004C3B35"/>
    <w:rsid w:val="004C43EC"/>
    <w:rsid w:val="004E6729"/>
    <w:rsid w:val="004F0E47"/>
    <w:rsid w:val="004F2B0F"/>
    <w:rsid w:val="0051339C"/>
    <w:rsid w:val="0051412F"/>
    <w:rsid w:val="00517978"/>
    <w:rsid w:val="00522B6F"/>
    <w:rsid w:val="0052430E"/>
    <w:rsid w:val="005276AD"/>
    <w:rsid w:val="00540A9A"/>
    <w:rsid w:val="00542CE2"/>
    <w:rsid w:val="00543522"/>
    <w:rsid w:val="00545680"/>
    <w:rsid w:val="005473DE"/>
    <w:rsid w:val="00552F85"/>
    <w:rsid w:val="0056618E"/>
    <w:rsid w:val="00574DDE"/>
    <w:rsid w:val="00576F59"/>
    <w:rsid w:val="00577A34"/>
    <w:rsid w:val="00580AAD"/>
    <w:rsid w:val="005851FE"/>
    <w:rsid w:val="00593A04"/>
    <w:rsid w:val="005A6D5A"/>
    <w:rsid w:val="005B1B28"/>
    <w:rsid w:val="005B7D51"/>
    <w:rsid w:val="005B7F35"/>
    <w:rsid w:val="005C2081"/>
    <w:rsid w:val="005C678A"/>
    <w:rsid w:val="005D346D"/>
    <w:rsid w:val="005E74AB"/>
    <w:rsid w:val="005F61DF"/>
    <w:rsid w:val="00606A3E"/>
    <w:rsid w:val="006115AA"/>
    <w:rsid w:val="006120AE"/>
    <w:rsid w:val="00635E86"/>
    <w:rsid w:val="00636A37"/>
    <w:rsid w:val="00637FFC"/>
    <w:rsid w:val="0064774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C594A"/>
    <w:rsid w:val="006D5E4E"/>
    <w:rsid w:val="006E25B7"/>
    <w:rsid w:val="006E6860"/>
    <w:rsid w:val="006E6A65"/>
    <w:rsid w:val="006E7183"/>
    <w:rsid w:val="006F5FBF"/>
    <w:rsid w:val="0070327E"/>
    <w:rsid w:val="00707B5F"/>
    <w:rsid w:val="00735602"/>
    <w:rsid w:val="0075279B"/>
    <w:rsid w:val="00753748"/>
    <w:rsid w:val="00762446"/>
    <w:rsid w:val="00781ACB"/>
    <w:rsid w:val="0079789A"/>
    <w:rsid w:val="007A36B5"/>
    <w:rsid w:val="007A79EB"/>
    <w:rsid w:val="007D4CA0"/>
    <w:rsid w:val="007D7A23"/>
    <w:rsid w:val="007E38C3"/>
    <w:rsid w:val="007E549E"/>
    <w:rsid w:val="007E71C9"/>
    <w:rsid w:val="007F7553"/>
    <w:rsid w:val="0080755E"/>
    <w:rsid w:val="008120D4"/>
    <w:rsid w:val="008139A5"/>
    <w:rsid w:val="008178A5"/>
    <w:rsid w:val="00817F73"/>
    <w:rsid w:val="0082228E"/>
    <w:rsid w:val="00830402"/>
    <w:rsid w:val="008305D7"/>
    <w:rsid w:val="00834887"/>
    <w:rsid w:val="00842FED"/>
    <w:rsid w:val="008455CF"/>
    <w:rsid w:val="00847689"/>
    <w:rsid w:val="00861C52"/>
    <w:rsid w:val="008727A1"/>
    <w:rsid w:val="00886B0F"/>
    <w:rsid w:val="00891C08"/>
    <w:rsid w:val="00894886"/>
    <w:rsid w:val="008A2C8F"/>
    <w:rsid w:val="008A3879"/>
    <w:rsid w:val="008A5FA8"/>
    <w:rsid w:val="008A7575"/>
    <w:rsid w:val="008B2FF7"/>
    <w:rsid w:val="008B5F47"/>
    <w:rsid w:val="008C7B87"/>
    <w:rsid w:val="008D5C44"/>
    <w:rsid w:val="008D6A7A"/>
    <w:rsid w:val="008E3E87"/>
    <w:rsid w:val="008E7F13"/>
    <w:rsid w:val="008F3185"/>
    <w:rsid w:val="00907617"/>
    <w:rsid w:val="00915B0A"/>
    <w:rsid w:val="00926904"/>
    <w:rsid w:val="00926952"/>
    <w:rsid w:val="009372F0"/>
    <w:rsid w:val="00937FBD"/>
    <w:rsid w:val="00955022"/>
    <w:rsid w:val="00957B4D"/>
    <w:rsid w:val="00964EEA"/>
    <w:rsid w:val="00980C86"/>
    <w:rsid w:val="00981F52"/>
    <w:rsid w:val="009B1D9B"/>
    <w:rsid w:val="009B4074"/>
    <w:rsid w:val="009C12DE"/>
    <w:rsid w:val="009C30BB"/>
    <w:rsid w:val="009C60BE"/>
    <w:rsid w:val="009D3DBE"/>
    <w:rsid w:val="009E6279"/>
    <w:rsid w:val="009F00A6"/>
    <w:rsid w:val="009F56A7"/>
    <w:rsid w:val="009F5B05"/>
    <w:rsid w:val="00A026CA"/>
    <w:rsid w:val="00A07232"/>
    <w:rsid w:val="00A10348"/>
    <w:rsid w:val="00A14800"/>
    <w:rsid w:val="00A156DE"/>
    <w:rsid w:val="00A157ED"/>
    <w:rsid w:val="00A23EB9"/>
    <w:rsid w:val="00A2446A"/>
    <w:rsid w:val="00A25C22"/>
    <w:rsid w:val="00A4025D"/>
    <w:rsid w:val="00A545C9"/>
    <w:rsid w:val="00A800D1"/>
    <w:rsid w:val="00A92699"/>
    <w:rsid w:val="00AA6AA3"/>
    <w:rsid w:val="00AB5BF0"/>
    <w:rsid w:val="00AC1C95"/>
    <w:rsid w:val="00AC2CCB"/>
    <w:rsid w:val="00AC443A"/>
    <w:rsid w:val="00AE60E2"/>
    <w:rsid w:val="00AE6C3F"/>
    <w:rsid w:val="00B0169F"/>
    <w:rsid w:val="00B05F21"/>
    <w:rsid w:val="00B138AB"/>
    <w:rsid w:val="00B14EA9"/>
    <w:rsid w:val="00B15AC3"/>
    <w:rsid w:val="00B30A3C"/>
    <w:rsid w:val="00B64634"/>
    <w:rsid w:val="00B801F8"/>
    <w:rsid w:val="00B81305"/>
    <w:rsid w:val="00B82962"/>
    <w:rsid w:val="00BB17DC"/>
    <w:rsid w:val="00BB1AF9"/>
    <w:rsid w:val="00BB4C4A"/>
    <w:rsid w:val="00BC2A14"/>
    <w:rsid w:val="00BD3CAE"/>
    <w:rsid w:val="00BD449C"/>
    <w:rsid w:val="00BD5F3C"/>
    <w:rsid w:val="00C01BD3"/>
    <w:rsid w:val="00C07C0F"/>
    <w:rsid w:val="00C145C4"/>
    <w:rsid w:val="00C20D2F"/>
    <w:rsid w:val="00C2131B"/>
    <w:rsid w:val="00C23499"/>
    <w:rsid w:val="00C37AF8"/>
    <w:rsid w:val="00C37C79"/>
    <w:rsid w:val="00C4144A"/>
    <w:rsid w:val="00C41BBC"/>
    <w:rsid w:val="00C51419"/>
    <w:rsid w:val="00C54056"/>
    <w:rsid w:val="00C663A3"/>
    <w:rsid w:val="00C75CB2"/>
    <w:rsid w:val="00C847FC"/>
    <w:rsid w:val="00C90723"/>
    <w:rsid w:val="00C90D5C"/>
    <w:rsid w:val="00CA609E"/>
    <w:rsid w:val="00CA7DA4"/>
    <w:rsid w:val="00CB31FB"/>
    <w:rsid w:val="00CE2B94"/>
    <w:rsid w:val="00CE3D6F"/>
    <w:rsid w:val="00CE79A5"/>
    <w:rsid w:val="00CF0042"/>
    <w:rsid w:val="00CF262F"/>
    <w:rsid w:val="00D025D5"/>
    <w:rsid w:val="00D14A2A"/>
    <w:rsid w:val="00D228FF"/>
    <w:rsid w:val="00D26B13"/>
    <w:rsid w:val="00D26CC1"/>
    <w:rsid w:val="00D30662"/>
    <w:rsid w:val="00D32A0B"/>
    <w:rsid w:val="00D46AA6"/>
    <w:rsid w:val="00D61CAA"/>
    <w:rsid w:val="00D6236B"/>
    <w:rsid w:val="00D809D1"/>
    <w:rsid w:val="00D84ECF"/>
    <w:rsid w:val="00DA2851"/>
    <w:rsid w:val="00DA2B7C"/>
    <w:rsid w:val="00DA5686"/>
    <w:rsid w:val="00DB0EDF"/>
    <w:rsid w:val="00DB2FC0"/>
    <w:rsid w:val="00DF18FA"/>
    <w:rsid w:val="00DF49CA"/>
    <w:rsid w:val="00DF775B"/>
    <w:rsid w:val="00E007F3"/>
    <w:rsid w:val="00E00DEA"/>
    <w:rsid w:val="00E06EF0"/>
    <w:rsid w:val="00E11679"/>
    <w:rsid w:val="00E200F2"/>
    <w:rsid w:val="00E307D1"/>
    <w:rsid w:val="00E42D4C"/>
    <w:rsid w:val="00E43639"/>
    <w:rsid w:val="00E46A04"/>
    <w:rsid w:val="00E717F3"/>
    <w:rsid w:val="00E72C5E"/>
    <w:rsid w:val="00E73451"/>
    <w:rsid w:val="00E7489F"/>
    <w:rsid w:val="00E75147"/>
    <w:rsid w:val="00E7637D"/>
    <w:rsid w:val="00E8167D"/>
    <w:rsid w:val="00E85B51"/>
    <w:rsid w:val="00E907E9"/>
    <w:rsid w:val="00E96BE7"/>
    <w:rsid w:val="00EA2CD0"/>
    <w:rsid w:val="00EB3533"/>
    <w:rsid w:val="00EC0044"/>
    <w:rsid w:val="00EC6B9F"/>
    <w:rsid w:val="00EE516D"/>
    <w:rsid w:val="00EF0825"/>
    <w:rsid w:val="00EF28D9"/>
    <w:rsid w:val="00EF4D1B"/>
    <w:rsid w:val="00EF7295"/>
    <w:rsid w:val="00F069D1"/>
    <w:rsid w:val="00F1503D"/>
    <w:rsid w:val="00F22712"/>
    <w:rsid w:val="00F247FF"/>
    <w:rsid w:val="00F275F5"/>
    <w:rsid w:val="00F33188"/>
    <w:rsid w:val="00F35BDE"/>
    <w:rsid w:val="00F52A0E"/>
    <w:rsid w:val="00F60896"/>
    <w:rsid w:val="00F71F63"/>
    <w:rsid w:val="00F756B2"/>
    <w:rsid w:val="00F779CC"/>
    <w:rsid w:val="00F85CFF"/>
    <w:rsid w:val="00F87506"/>
    <w:rsid w:val="00F92C41"/>
    <w:rsid w:val="00FA5522"/>
    <w:rsid w:val="00FA5B97"/>
    <w:rsid w:val="00FA6E4A"/>
    <w:rsid w:val="00FB2B35"/>
    <w:rsid w:val="00FC4AE1"/>
    <w:rsid w:val="00FD22B8"/>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Car Car,Fago Fußnotentext Char Char,Fago Fußnotentext Char Car Car,Fago Fußnotentext Char Car,Fago Footnotes Char Car Car,Fago Footnotes Char Car Car Car Car,Fago Footnotes Char Car Car Car Car Car Car Ca Car,Fago Fußnotentext"/>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callout,Footnote Refernece,Footnote Reference Number,Fußnotenzeichen_Raxen,BVI fnr,Fago Fußnotenzeichen,Footnote symbol,ftref,Char Char,Carattere Char1,Carattere Char Char Carattere Carattere Char Char,Footnotes refss"/>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noteTextChar">
    <w:name w:val="Footnote Text Char"/>
    <w:aliases w:val="5_GR Char,5_G Char,Car Car Char,Fago Fußnotentext Char Char Char,Fago Fußnotentext Char Car Car Char,Fago Fußnotentext Char Car Char,Fago Footnotes Char Car Car Char,Fago Footnotes Char Car Car Car Car Char,Fago Fußnotentext Char"/>
    <w:link w:val="FootnoteText"/>
    <w:rsid w:val="009C12DE"/>
    <w:rPr>
      <w:spacing w:val="5"/>
      <w:w w:val="104"/>
      <w:kern w:val="14"/>
      <w:sz w:val="18"/>
      <w:lang w:val="en-GB"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13</Pages>
  <Words>4434</Words>
  <Characters>31017</Characters>
  <Application>Microsoft Office Outlook</Application>
  <DocSecurity>4</DocSecurity>
  <Lines>585</Lines>
  <Paragraphs>131</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Chvets</dc:creator>
  <cp:keywords/>
  <dc:description/>
  <cp:lastModifiedBy>Chvets</cp:lastModifiedBy>
  <cp:revision>2</cp:revision>
  <cp:lastPrinted>1601-01-01T00:00:00Z</cp:lastPrinted>
  <dcterms:created xsi:type="dcterms:W3CDTF">2014-06-27T13:06:00Z</dcterms:created>
  <dcterms:modified xsi:type="dcterms:W3CDTF">2014-06-27T13:06:00Z</dcterms:modified>
</cp:coreProperties>
</file>