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C59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C59E7" w:rsidP="002C59E7">
            <w:pPr>
              <w:jc w:val="right"/>
            </w:pPr>
            <w:r w:rsidRPr="002C59E7">
              <w:rPr>
                <w:sz w:val="40"/>
              </w:rPr>
              <w:t>E</w:t>
            </w:r>
            <w:r>
              <w:t>/C.12/</w:t>
            </w:r>
            <w:proofErr w:type="spellStart"/>
            <w:r>
              <w:t>MDA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/3</w:t>
            </w:r>
          </w:p>
        </w:tc>
      </w:tr>
      <w:tr w:rsidR="002D5AAC" w:rsidRPr="002C59E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54A2DC9" wp14:editId="49CB3F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C59E7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C59E7" w:rsidRDefault="002C59E7" w:rsidP="002C59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2017</w:t>
            </w:r>
          </w:p>
          <w:p w:rsidR="002C59E7" w:rsidRDefault="002C59E7" w:rsidP="002C59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C59E7" w:rsidRPr="00D62A45" w:rsidRDefault="002C59E7" w:rsidP="002C59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C4070" w:rsidRPr="006C4070" w:rsidRDefault="006C4070" w:rsidP="006C4070">
      <w:pPr>
        <w:spacing w:before="120"/>
        <w:rPr>
          <w:b/>
          <w:bCs/>
          <w:sz w:val="24"/>
          <w:szCs w:val="24"/>
        </w:rPr>
      </w:pPr>
      <w:r w:rsidRPr="006C4070">
        <w:rPr>
          <w:b/>
          <w:bCs/>
          <w:sz w:val="24"/>
          <w:szCs w:val="24"/>
        </w:rPr>
        <w:t xml:space="preserve">Комитет по экономическим, социальным </w:t>
      </w:r>
      <w:r w:rsidRPr="006C4070">
        <w:rPr>
          <w:b/>
          <w:bCs/>
          <w:sz w:val="24"/>
          <w:szCs w:val="24"/>
        </w:rPr>
        <w:br/>
        <w:t>и культурным правам</w:t>
      </w:r>
    </w:p>
    <w:p w:rsidR="006C4070" w:rsidRPr="006C4070" w:rsidRDefault="006C4070" w:rsidP="00872B6E">
      <w:pPr>
        <w:pStyle w:val="HChGR"/>
      </w:pPr>
      <w:r w:rsidRPr="006C4070">
        <w:tab/>
      </w:r>
      <w:r w:rsidRPr="006C4070">
        <w:tab/>
        <w:t>Заключительные замечания по третьему периодическому д</w:t>
      </w:r>
      <w:r w:rsidRPr="006C4070">
        <w:t>о</w:t>
      </w:r>
      <w:r w:rsidRPr="006C4070">
        <w:t>кладу Республики Молдова</w:t>
      </w:r>
      <w:r w:rsidRPr="00872B6E">
        <w:rPr>
          <w:b w:val="0"/>
          <w:bCs/>
          <w:sz w:val="20"/>
        </w:rPr>
        <w:footnoteReference w:customMarkFollows="1" w:id="1"/>
        <w:t>*</w:t>
      </w:r>
    </w:p>
    <w:p w:rsidR="006C4070" w:rsidRPr="006C4070" w:rsidRDefault="006C4070" w:rsidP="006C4070">
      <w:pPr>
        <w:pStyle w:val="SingleTxtGR"/>
      </w:pPr>
      <w:r w:rsidRPr="006C4070">
        <w:t>1.</w:t>
      </w:r>
      <w:r w:rsidRPr="006C4070">
        <w:tab/>
      </w:r>
      <w:proofErr w:type="gramStart"/>
      <w:r w:rsidRPr="006C4070">
        <w:t>Комитет по экономическим, социальным и культурным правам рассмо</w:t>
      </w:r>
      <w:r w:rsidRPr="006C4070">
        <w:t>т</w:t>
      </w:r>
      <w:r w:rsidRPr="006C4070">
        <w:t>рел третий периодический доклад Республики Молдова об осуществлении Международного пакта об экономических, социальных и культурных правах (E/C.12/</w:t>
      </w:r>
      <w:proofErr w:type="spellStart"/>
      <w:r w:rsidRPr="006C4070">
        <w:t>MDA</w:t>
      </w:r>
      <w:proofErr w:type="spellEnd"/>
      <w:r w:rsidRPr="006C4070">
        <w:t>/3) на своих 56-м и 57-м заседаниях (E/C.12/2016/SR.56 и 57), с</w:t>
      </w:r>
      <w:r w:rsidRPr="006C4070">
        <w:t>о</w:t>
      </w:r>
      <w:r w:rsidRPr="006C4070">
        <w:t>стоявшихся 21 и 22 сентября 2017 года, и на своем 78-м заседании, состоя</w:t>
      </w:r>
      <w:r w:rsidRPr="006C4070">
        <w:t>в</w:t>
      </w:r>
      <w:r w:rsidRPr="006C4070">
        <w:t>шемся 6 октября 2017 года, принял</w:t>
      </w:r>
      <w:proofErr w:type="gramEnd"/>
      <w:r w:rsidRPr="006C4070">
        <w:t xml:space="preserve"> следующие заключительные замечания.</w:t>
      </w:r>
    </w:p>
    <w:p w:rsidR="006C4070" w:rsidRPr="006C4070" w:rsidRDefault="006C4070" w:rsidP="00872B6E">
      <w:pPr>
        <w:pStyle w:val="H1GR"/>
      </w:pPr>
      <w:r w:rsidRPr="006C4070">
        <w:tab/>
        <w:t>A.</w:t>
      </w:r>
      <w:r w:rsidRPr="006C4070">
        <w:tab/>
        <w:t>Введение</w:t>
      </w:r>
    </w:p>
    <w:p w:rsidR="006C4070" w:rsidRPr="006C4070" w:rsidRDefault="006C4070" w:rsidP="006C4070">
      <w:pPr>
        <w:pStyle w:val="SingleTxtGR"/>
      </w:pPr>
      <w:r w:rsidRPr="006C4070">
        <w:t>2.</w:t>
      </w:r>
      <w:r w:rsidRPr="006C4070">
        <w:tab/>
        <w:t>Комитет приветствует третий периодический доклад, представленный государством-участником, и дополнительную информацию, предоставленную в ответах на перечень вопросов (E/C.12/</w:t>
      </w:r>
      <w:proofErr w:type="spellStart"/>
      <w:r w:rsidRPr="006C4070">
        <w:t>MDA</w:t>
      </w:r>
      <w:proofErr w:type="spellEnd"/>
      <w:r w:rsidRPr="006C4070">
        <w:t xml:space="preserve">/Q/3/Add.1). Кроме того, Комитет высоко оценивает конструктивный диалог, состоявшийся с </w:t>
      </w:r>
      <w:proofErr w:type="gramStart"/>
      <w:r w:rsidRPr="006C4070">
        <w:t>межведомственной</w:t>
      </w:r>
      <w:proofErr w:type="gramEnd"/>
      <w:r w:rsidRPr="006C4070">
        <w:t xml:space="preserve"> делегацией высокого уровня государства-участника.</w:t>
      </w:r>
    </w:p>
    <w:p w:rsidR="006C4070" w:rsidRPr="006C4070" w:rsidRDefault="006C4070" w:rsidP="00872B6E">
      <w:pPr>
        <w:pStyle w:val="H1GR"/>
      </w:pPr>
      <w:r w:rsidRPr="006C4070">
        <w:tab/>
        <w:t>B.</w:t>
      </w:r>
      <w:r w:rsidRPr="006C4070">
        <w:tab/>
        <w:t>Позитивные аспекты</w:t>
      </w:r>
    </w:p>
    <w:p w:rsidR="006C4070" w:rsidRPr="006C4070" w:rsidRDefault="006C4070" w:rsidP="006C4070">
      <w:pPr>
        <w:pStyle w:val="SingleTxtGR"/>
      </w:pPr>
      <w:r w:rsidRPr="006C4070">
        <w:t>3.</w:t>
      </w:r>
      <w:r w:rsidRPr="006C4070">
        <w:tab/>
        <w:t>Комитет приветствует принятие государством-участником следующих документов:</w:t>
      </w:r>
    </w:p>
    <w:p w:rsidR="006C4070" w:rsidRPr="006C4070" w:rsidRDefault="006C4070" w:rsidP="006C4070">
      <w:pPr>
        <w:pStyle w:val="SingleTxtGR"/>
      </w:pPr>
      <w:r w:rsidRPr="006C4070">
        <w:tab/>
        <w:t>a)</w:t>
      </w:r>
      <w:r w:rsidRPr="006C4070">
        <w:tab/>
        <w:t>Закона (№ 52) о Народном адвок</w:t>
      </w:r>
      <w:r w:rsidR="00872B6E">
        <w:t>ате (Омбудсмене) в 2014 году, в</w:t>
      </w:r>
      <w:r w:rsidR="00872B6E">
        <w:rPr>
          <w:lang w:val="en-US"/>
        </w:rPr>
        <w:t> </w:t>
      </w:r>
      <w:r w:rsidRPr="006C4070">
        <w:t xml:space="preserve">соответствии с которым в 2014 году было создан аппарат Народного адвоката (Омбудсмена); </w:t>
      </w:r>
    </w:p>
    <w:p w:rsidR="006C4070" w:rsidRPr="006C4070" w:rsidRDefault="006C4070" w:rsidP="006C4070">
      <w:pPr>
        <w:pStyle w:val="SingleTxtGR"/>
      </w:pPr>
      <w:r w:rsidRPr="006C4070">
        <w:tab/>
        <w:t>b)</w:t>
      </w:r>
      <w:r w:rsidRPr="006C4070">
        <w:tab/>
        <w:t xml:space="preserve">Закона № 121 об обеспечении равенства в 2012 году, в соответствии с которым в 2013 году был учрежден Совет по предупреждению и ликвидации дискриминации и обеспечению равенства; </w:t>
      </w:r>
    </w:p>
    <w:p w:rsidR="006C4070" w:rsidRPr="006C4070" w:rsidRDefault="006C4070" w:rsidP="00872B6E">
      <w:pPr>
        <w:pStyle w:val="SingleTxtGR"/>
      </w:pPr>
      <w:r w:rsidRPr="006C4070">
        <w:tab/>
        <w:t>c)</w:t>
      </w:r>
      <w:r w:rsidRPr="006C4070">
        <w:tab/>
        <w:t>Н</w:t>
      </w:r>
      <w:r w:rsidR="00872B6E">
        <w:t>ациональной стратегии развития «</w:t>
      </w:r>
      <w:r w:rsidRPr="006C4070">
        <w:t>Молдова 2020</w:t>
      </w:r>
      <w:r w:rsidR="00872B6E">
        <w:t>»</w:t>
      </w:r>
      <w:r w:rsidRPr="006C4070">
        <w:t xml:space="preserve"> на период </w:t>
      </w:r>
      <w:r w:rsidR="00872B6E" w:rsidRPr="00872B6E">
        <w:br/>
      </w:r>
      <w:r w:rsidRPr="006C4070">
        <w:t>2012</w:t>
      </w:r>
      <w:r w:rsidR="00872B6E" w:rsidRPr="00872B6E">
        <w:t>–</w:t>
      </w:r>
      <w:r w:rsidRPr="006C4070">
        <w:t>2020 годов в 2012 году.</w:t>
      </w:r>
    </w:p>
    <w:p w:rsidR="006C4070" w:rsidRPr="006C4070" w:rsidRDefault="006C4070" w:rsidP="00872B6E">
      <w:pPr>
        <w:pStyle w:val="H1GR"/>
      </w:pPr>
      <w:r w:rsidRPr="006C4070">
        <w:lastRenderedPageBreak/>
        <w:tab/>
        <w:t>C.</w:t>
      </w:r>
      <w:r w:rsidRPr="006C4070">
        <w:tab/>
        <w:t>Основные вопросы, вызывающие обеспокоенность, и</w:t>
      </w:r>
      <w:r w:rsidR="00872B6E">
        <w:t> </w:t>
      </w:r>
      <w:r w:rsidRPr="006C4070">
        <w:t>рекомендации</w:t>
      </w:r>
    </w:p>
    <w:p w:rsidR="006C4070" w:rsidRPr="006C4070" w:rsidRDefault="006C4070" w:rsidP="00872B6E">
      <w:pPr>
        <w:pStyle w:val="H23GR"/>
      </w:pPr>
      <w:r w:rsidRPr="006C4070">
        <w:tab/>
      </w:r>
      <w:r w:rsidRPr="006C4070">
        <w:tab/>
        <w:t xml:space="preserve">Применение Пакта </w:t>
      </w:r>
    </w:p>
    <w:p w:rsidR="006C4070" w:rsidRPr="006C4070" w:rsidRDefault="006C4070" w:rsidP="006C4070">
      <w:pPr>
        <w:pStyle w:val="SingleTxtGR"/>
      </w:pPr>
      <w:r w:rsidRPr="006C4070">
        <w:t>4.</w:t>
      </w:r>
      <w:r w:rsidRPr="006C4070">
        <w:tab/>
        <w:t>Комитет выражает сожаление по поводу отсутствия информации от гос</w:t>
      </w:r>
      <w:r w:rsidRPr="006C4070">
        <w:t>у</w:t>
      </w:r>
      <w:r w:rsidRPr="006C4070">
        <w:t>дарства-участника о случаях, когда на положения Пакта делались ссылки в с</w:t>
      </w:r>
      <w:r w:rsidRPr="006C4070">
        <w:t>у</w:t>
      </w:r>
      <w:r w:rsidRPr="006C4070">
        <w:t>дах или когда они применялись судами. Он обеспокоен тем, что государство-участник не предприняло достаточных усилий по повышению осведомленности судей, адвокатов и других должностных лиц государства о Пакте и наличии возможностей отстаивать закрепленные в нем права в судебном порядке.</w:t>
      </w:r>
    </w:p>
    <w:p w:rsidR="006C4070" w:rsidRPr="006C4070" w:rsidRDefault="006C4070" w:rsidP="00872B6E">
      <w:pPr>
        <w:pStyle w:val="SingleTxtGR"/>
      </w:pPr>
      <w:r w:rsidRPr="006C4070">
        <w:t>5.</w:t>
      </w:r>
      <w:r w:rsidRPr="006C4070">
        <w:tab/>
      </w:r>
      <w:r w:rsidRPr="006C4070">
        <w:rPr>
          <w:b/>
          <w:bCs/>
        </w:rPr>
        <w:t>Он рекомендует государству-участнику улучшать подготовку судей, адвокатов и должностных лиц государства по вопросам, касающимся п</w:t>
      </w:r>
      <w:r w:rsidRPr="006C4070">
        <w:rPr>
          <w:b/>
          <w:bCs/>
        </w:rPr>
        <w:t>о</w:t>
      </w:r>
      <w:r w:rsidRPr="006C4070">
        <w:rPr>
          <w:b/>
          <w:bCs/>
        </w:rPr>
        <w:t>ложений Пакта и возможностей их отстаивания в судебном порядке.</w:t>
      </w:r>
      <w:r w:rsidRPr="006C4070">
        <w:t xml:space="preserve"> </w:t>
      </w:r>
      <w:r w:rsidRPr="006C4070">
        <w:rPr>
          <w:b/>
          <w:bCs/>
        </w:rPr>
        <w:t>Он</w:t>
      </w:r>
      <w:r w:rsidR="00872B6E">
        <w:rPr>
          <w:b/>
          <w:bCs/>
        </w:rPr>
        <w:t> </w:t>
      </w:r>
      <w:r w:rsidRPr="006C4070">
        <w:rPr>
          <w:b/>
          <w:bCs/>
        </w:rPr>
        <w:t>подтверждает свою предыдущую рекомендацию государству-участнику представить в его следующем периодическом докладе информацию о соо</w:t>
      </w:r>
      <w:r w:rsidRPr="006C4070">
        <w:rPr>
          <w:b/>
          <w:bCs/>
        </w:rPr>
        <w:t>т</w:t>
      </w:r>
      <w:r w:rsidRPr="006C4070">
        <w:rPr>
          <w:b/>
          <w:bCs/>
        </w:rPr>
        <w:t>ветствующей судебной практике.</w:t>
      </w:r>
      <w:r w:rsidRPr="006C4070">
        <w:t xml:space="preserve"> </w:t>
      </w:r>
      <w:r w:rsidRPr="006C4070">
        <w:rPr>
          <w:b/>
          <w:bCs/>
        </w:rPr>
        <w:t>В этой связи Комитет обращает внимание государства-участника на свое замечание общего порядка № 9 (1998) о применении Пакта во внутреннем праве.</w:t>
      </w:r>
      <w:r w:rsidRPr="006C4070">
        <w:t xml:space="preserve"> </w:t>
      </w:r>
    </w:p>
    <w:p w:rsidR="006C4070" w:rsidRPr="006C4070" w:rsidRDefault="006C4070" w:rsidP="00872B6E">
      <w:pPr>
        <w:pStyle w:val="H23GR"/>
      </w:pPr>
      <w:r w:rsidRPr="006C4070">
        <w:tab/>
      </w:r>
      <w:r w:rsidRPr="006C4070">
        <w:tab/>
        <w:t>Сбор данных</w:t>
      </w:r>
    </w:p>
    <w:p w:rsidR="006C4070" w:rsidRPr="006C4070" w:rsidRDefault="006C4070" w:rsidP="006C4070">
      <w:pPr>
        <w:pStyle w:val="SingleTxtGR"/>
      </w:pPr>
      <w:r w:rsidRPr="006C4070">
        <w:t>6.</w:t>
      </w:r>
      <w:r w:rsidRPr="006C4070">
        <w:tab/>
        <w:t>Комитет выражает сожаление в связи с отсутствием в достаточном объ</w:t>
      </w:r>
      <w:r w:rsidRPr="006C4070">
        <w:t>е</w:t>
      </w:r>
      <w:r w:rsidRPr="006C4070">
        <w:t>ме достоверных и актуальных статистических данных в отношении постепе</w:t>
      </w:r>
      <w:r w:rsidRPr="006C4070">
        <w:t>н</w:t>
      </w:r>
      <w:r w:rsidRPr="006C4070">
        <w:t>ного осуществления закрепленных в Пакте прав. Он обеспокоен тем, что в го</w:t>
      </w:r>
      <w:r w:rsidRPr="006C4070">
        <w:t>с</w:t>
      </w:r>
      <w:r w:rsidRPr="006C4070">
        <w:t>ударстве-участнике нет системы сбора всеобъемлющих данных об экономич</w:t>
      </w:r>
      <w:r w:rsidRPr="006C4070">
        <w:t>е</w:t>
      </w:r>
      <w:r w:rsidRPr="006C4070">
        <w:t>ских, социальных и культурных правах и что имеющиеся данные в основном не являются дезагрегированными.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>7.</w:t>
      </w:r>
      <w:r w:rsidRPr="006C4070">
        <w:tab/>
      </w:r>
      <w:r w:rsidRPr="006C4070">
        <w:rPr>
          <w:b/>
          <w:bCs/>
        </w:rPr>
        <w:t xml:space="preserve">Комитет рекомендует государству-участнику улучшить свою систему сбора данных с целью сбора всеобъемлющих и сопоставимых данных, что позволило бы оценивать степень осуществления закрепленных в Пакте прав, особенно находящимися в неблагоприятном положении и </w:t>
      </w:r>
      <w:proofErr w:type="spellStart"/>
      <w:r w:rsidRPr="006C4070">
        <w:rPr>
          <w:b/>
          <w:bCs/>
        </w:rPr>
        <w:t>маргинал</w:t>
      </w:r>
      <w:r w:rsidRPr="006C4070">
        <w:rPr>
          <w:b/>
          <w:bCs/>
        </w:rPr>
        <w:t>и</w:t>
      </w:r>
      <w:r w:rsidRPr="006C4070">
        <w:rPr>
          <w:b/>
          <w:bCs/>
        </w:rPr>
        <w:t>зированными</w:t>
      </w:r>
      <w:proofErr w:type="spellEnd"/>
      <w:r w:rsidRPr="006C4070">
        <w:rPr>
          <w:b/>
          <w:bCs/>
        </w:rPr>
        <w:t xml:space="preserve"> лицами и группами.</w:t>
      </w:r>
      <w:r w:rsidRPr="006C4070">
        <w:t xml:space="preserve"> </w:t>
      </w:r>
      <w:r w:rsidRPr="006C4070">
        <w:rPr>
          <w:b/>
          <w:bCs/>
        </w:rPr>
        <w:t>Он также рекомендует государству-участнику представить в своем следующем периодическом докладе сра</w:t>
      </w:r>
      <w:r w:rsidRPr="006C4070">
        <w:rPr>
          <w:b/>
          <w:bCs/>
        </w:rPr>
        <w:t>в</w:t>
      </w:r>
      <w:r w:rsidRPr="006C4070">
        <w:rPr>
          <w:b/>
          <w:bCs/>
        </w:rPr>
        <w:t>нительные годовые статистические данные, необходимые для оценки п</w:t>
      </w:r>
      <w:r w:rsidRPr="006C4070">
        <w:rPr>
          <w:b/>
          <w:bCs/>
        </w:rPr>
        <w:t>о</w:t>
      </w:r>
      <w:r w:rsidRPr="006C4070">
        <w:rPr>
          <w:b/>
          <w:bCs/>
        </w:rPr>
        <w:t>степенного осуществления закрепленных в Пакте прав, и обеспечить, чт</w:t>
      </w:r>
      <w:r w:rsidRPr="006C4070">
        <w:rPr>
          <w:b/>
          <w:bCs/>
        </w:rPr>
        <w:t>о</w:t>
      </w:r>
      <w:r w:rsidRPr="006C4070">
        <w:rPr>
          <w:b/>
          <w:bCs/>
        </w:rPr>
        <w:t>бы такие данные были представлены в разбивке по полу, возрасту, геогр</w:t>
      </w:r>
      <w:r w:rsidRPr="006C4070">
        <w:rPr>
          <w:b/>
          <w:bCs/>
        </w:rPr>
        <w:t>а</w:t>
      </w:r>
      <w:r w:rsidRPr="006C4070">
        <w:rPr>
          <w:b/>
          <w:bCs/>
        </w:rPr>
        <w:t>фическому местоположению, инвалидности, вероисповеданию и другим признакам.</w:t>
      </w:r>
    </w:p>
    <w:p w:rsidR="006C4070" w:rsidRPr="006C4070" w:rsidRDefault="006C4070" w:rsidP="00872B6E">
      <w:pPr>
        <w:pStyle w:val="H23GR"/>
      </w:pPr>
      <w:r w:rsidRPr="006C4070">
        <w:tab/>
      </w:r>
      <w:r w:rsidRPr="006C4070">
        <w:tab/>
        <w:t>Национальные правозащитные учреждения</w:t>
      </w:r>
    </w:p>
    <w:p w:rsidR="006C4070" w:rsidRPr="006C4070" w:rsidRDefault="006C4070" w:rsidP="006C4070">
      <w:pPr>
        <w:pStyle w:val="SingleTxtGR"/>
      </w:pPr>
      <w:r w:rsidRPr="006C4070">
        <w:t>8.</w:t>
      </w:r>
      <w:r w:rsidRPr="006C4070">
        <w:tab/>
        <w:t>Комитет отмечает, что государство-участник учредило два национальных правозащитных учреждения: институт Народного адвоката (Омбудсмена) и С</w:t>
      </w:r>
      <w:r w:rsidRPr="006C4070">
        <w:t>о</w:t>
      </w:r>
      <w:r w:rsidRPr="006C4070">
        <w:t>вет по предупреждению и ликвидации дискриминации и обеспечению раве</w:t>
      </w:r>
      <w:r w:rsidRPr="006C4070">
        <w:t>н</w:t>
      </w:r>
      <w:r w:rsidRPr="006C4070">
        <w:t>ства (Совет по вопросам равенства). Комитет обеспокоен тем, что объем ф</w:t>
      </w:r>
      <w:r w:rsidRPr="006C4070">
        <w:t>и</w:t>
      </w:r>
      <w:r w:rsidRPr="006C4070">
        <w:t>нансовых и людских ресурсов, предоставляемых этим учреждениям, недостат</w:t>
      </w:r>
      <w:r w:rsidRPr="006C4070">
        <w:t>о</w:t>
      </w:r>
      <w:r w:rsidRPr="006C4070">
        <w:t>чен для выполнения ими своих соответствующих мандатов и что эффекти</w:t>
      </w:r>
      <w:r w:rsidRPr="006C4070">
        <w:t>в</w:t>
      </w:r>
      <w:r w:rsidRPr="006C4070">
        <w:t>ность осуществления государственными органами выносимых ими рекоменд</w:t>
      </w:r>
      <w:r w:rsidRPr="006C4070">
        <w:t>а</w:t>
      </w:r>
      <w:r w:rsidRPr="006C4070">
        <w:t xml:space="preserve">ций или решений является низкой. 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>9.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принять все необход</w:t>
      </w:r>
      <w:r w:rsidRPr="006C4070">
        <w:rPr>
          <w:b/>
          <w:bCs/>
        </w:rPr>
        <w:t>и</w:t>
      </w:r>
      <w:r w:rsidRPr="006C4070">
        <w:rPr>
          <w:b/>
          <w:bCs/>
        </w:rPr>
        <w:t>мые меры для того, чтобы:</w:t>
      </w:r>
      <w:r w:rsidRPr="006C4070">
        <w:t xml:space="preserve"> 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a)</w:t>
      </w:r>
      <w:r w:rsidRPr="006C4070">
        <w:tab/>
      </w:r>
      <w:r w:rsidRPr="006C4070">
        <w:rPr>
          <w:b/>
          <w:bCs/>
        </w:rPr>
        <w:t>выделять как Омбудсмену, так и Совету по вопросам равенства достаточные финансовые и людские ресурсы и обеспечивать, чтобы пор</w:t>
      </w:r>
      <w:r w:rsidRPr="006C4070">
        <w:rPr>
          <w:b/>
          <w:bCs/>
        </w:rPr>
        <w:t>я</w:t>
      </w:r>
      <w:r w:rsidRPr="006C4070">
        <w:rPr>
          <w:b/>
          <w:bCs/>
        </w:rPr>
        <w:t>док финансирования этих учреждений не подрывал их независимость;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b)</w:t>
      </w:r>
      <w:r w:rsidRPr="006C4070">
        <w:tab/>
      </w:r>
      <w:r w:rsidRPr="006C4070">
        <w:rPr>
          <w:b/>
          <w:bCs/>
        </w:rPr>
        <w:t>обеспечивать принятие надлежащих последующих мер по в</w:t>
      </w:r>
      <w:r w:rsidRPr="006C4070">
        <w:rPr>
          <w:b/>
          <w:bCs/>
        </w:rPr>
        <w:t>ы</w:t>
      </w:r>
      <w:r w:rsidRPr="006C4070">
        <w:rPr>
          <w:b/>
          <w:bCs/>
        </w:rPr>
        <w:t>полнению рекомендаций и решений, выносимых этими учреждениями;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lastRenderedPageBreak/>
        <w:tab/>
      </w:r>
      <w:r w:rsidRPr="006C4070">
        <w:rPr>
          <w:b/>
          <w:bCs/>
        </w:rPr>
        <w:t>c)</w:t>
      </w:r>
      <w:r w:rsidRPr="006C4070">
        <w:tab/>
      </w:r>
      <w:r w:rsidRPr="006C4070">
        <w:rPr>
          <w:b/>
          <w:bCs/>
        </w:rPr>
        <w:t>обеспечивать их полное соответствие принципам, касающимся статуса национальных учреждений, занимающихся поощрением и защитой прав человека (Парижские принципы).</w:t>
      </w:r>
    </w:p>
    <w:p w:rsidR="006C4070" w:rsidRPr="006C4070" w:rsidRDefault="006C4070" w:rsidP="00872B6E">
      <w:pPr>
        <w:pStyle w:val="H23GR"/>
      </w:pPr>
      <w:r w:rsidRPr="006C4070">
        <w:tab/>
      </w:r>
      <w:r w:rsidRPr="006C4070">
        <w:tab/>
        <w:t>Национальный план действий в области прав человека</w:t>
      </w:r>
    </w:p>
    <w:p w:rsidR="006C4070" w:rsidRPr="006C4070" w:rsidRDefault="006C4070" w:rsidP="006C4070">
      <w:pPr>
        <w:pStyle w:val="SingleTxtGR"/>
      </w:pPr>
      <w:r w:rsidRPr="006C4070">
        <w:t>10.</w:t>
      </w:r>
      <w:r w:rsidRPr="006C4070">
        <w:tab/>
      </w:r>
      <w:proofErr w:type="gramStart"/>
      <w:r w:rsidRPr="006C4070">
        <w:t>Отметив принятие нового национального плана действий в облас</w:t>
      </w:r>
      <w:r w:rsidR="00E266F1">
        <w:t>ти прав человека на период 2017–</w:t>
      </w:r>
      <w:r w:rsidRPr="006C4070">
        <w:t xml:space="preserve">2021 годов, Комитет выражает обеспокоенность в </w:t>
      </w:r>
      <w:r w:rsidR="00872B6E">
        <w:br/>
      </w:r>
      <w:r w:rsidRPr="006C4070">
        <w:t>св</w:t>
      </w:r>
      <w:r w:rsidRPr="006C4070">
        <w:t>я</w:t>
      </w:r>
      <w:r w:rsidRPr="006C4070">
        <w:t>зи с тем, что предыдущий национальн</w:t>
      </w:r>
      <w:r w:rsidR="00872B6E">
        <w:t xml:space="preserve">ый план действий на период </w:t>
      </w:r>
      <w:r w:rsidR="00872B6E">
        <w:br/>
        <w:t>2011–</w:t>
      </w:r>
      <w:r w:rsidRPr="006C4070">
        <w:t>2014 годов не был в полном объеме выполнен, проконтролирован и оц</w:t>
      </w:r>
      <w:r w:rsidRPr="006C4070">
        <w:t>е</w:t>
      </w:r>
      <w:r w:rsidRPr="006C4070">
        <w:t xml:space="preserve">нен, главным образом из-за </w:t>
      </w:r>
      <w:proofErr w:type="spellStart"/>
      <w:r w:rsidRPr="006C4070">
        <w:t>невыделения</w:t>
      </w:r>
      <w:proofErr w:type="spellEnd"/>
      <w:r w:rsidRPr="006C4070">
        <w:t xml:space="preserve"> финансовых средств на его осущест</w:t>
      </w:r>
      <w:r w:rsidRPr="006C4070">
        <w:t>в</w:t>
      </w:r>
      <w:r w:rsidRPr="006C4070">
        <w:t>ление и пр</w:t>
      </w:r>
      <w:r w:rsidRPr="006C4070">
        <w:t>о</w:t>
      </w:r>
      <w:r w:rsidRPr="006C4070">
        <w:t>цесса децентрализации.</w:t>
      </w:r>
      <w:proofErr w:type="gramEnd"/>
    </w:p>
    <w:p w:rsidR="006C4070" w:rsidRPr="006C4070" w:rsidRDefault="006C4070" w:rsidP="006C4070">
      <w:pPr>
        <w:pStyle w:val="SingleTxtGR"/>
        <w:rPr>
          <w:b/>
        </w:rPr>
      </w:pPr>
      <w:r w:rsidRPr="00872B6E">
        <w:t>11.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принять все меры для обеспечения того, чтобы национальный план действий в области прав ч</w:t>
      </w:r>
      <w:r w:rsidRPr="006C4070">
        <w:rPr>
          <w:b/>
          <w:bCs/>
        </w:rPr>
        <w:t>е</w:t>
      </w:r>
      <w:r w:rsidR="00E266F1">
        <w:rPr>
          <w:b/>
          <w:bCs/>
        </w:rPr>
        <w:t>ловека на период 2017–</w:t>
      </w:r>
      <w:r w:rsidRPr="006C4070">
        <w:rPr>
          <w:b/>
          <w:bCs/>
        </w:rPr>
        <w:t>2021 годов был выполнен в полном объеме, в том числе путем выделения достаточных финансовых средств на его выполн</w:t>
      </w:r>
      <w:r w:rsidRPr="006C4070">
        <w:rPr>
          <w:b/>
          <w:bCs/>
        </w:rPr>
        <w:t>е</w:t>
      </w:r>
      <w:r w:rsidRPr="006C4070">
        <w:rPr>
          <w:b/>
          <w:bCs/>
        </w:rPr>
        <w:t xml:space="preserve">ние и регулярного </w:t>
      </w:r>
      <w:proofErr w:type="gramStart"/>
      <w:r w:rsidRPr="006C4070">
        <w:rPr>
          <w:b/>
          <w:bCs/>
        </w:rPr>
        <w:t>контроля за</w:t>
      </w:r>
      <w:proofErr w:type="gramEnd"/>
      <w:r w:rsidRPr="006C4070">
        <w:rPr>
          <w:b/>
          <w:bCs/>
        </w:rPr>
        <w:t xml:space="preserve"> этим процессом.</w:t>
      </w:r>
      <w:r w:rsidRPr="006C4070">
        <w:t xml:space="preserve"> </w:t>
      </w:r>
      <w:r w:rsidRPr="006C4070">
        <w:rPr>
          <w:b/>
          <w:bCs/>
        </w:rPr>
        <w:t>Он также рекомендует го</w:t>
      </w:r>
      <w:r w:rsidRPr="006C4070">
        <w:rPr>
          <w:b/>
          <w:bCs/>
        </w:rPr>
        <w:t>с</w:t>
      </w:r>
      <w:r w:rsidRPr="006C4070">
        <w:rPr>
          <w:b/>
          <w:bCs/>
        </w:rPr>
        <w:t>ударству-участнику привлекать к процессу его выполнения оба наци</w:t>
      </w:r>
      <w:r w:rsidRPr="006C4070">
        <w:rPr>
          <w:b/>
          <w:bCs/>
        </w:rPr>
        <w:t>о</w:t>
      </w:r>
      <w:r w:rsidRPr="006C4070">
        <w:rPr>
          <w:b/>
          <w:bCs/>
        </w:rPr>
        <w:t>нальных правозащитных учреждения, организации гражданского общ</w:t>
      </w:r>
      <w:r w:rsidRPr="006C4070">
        <w:rPr>
          <w:b/>
          <w:bCs/>
        </w:rPr>
        <w:t>е</w:t>
      </w:r>
      <w:r w:rsidRPr="006C4070">
        <w:rPr>
          <w:b/>
          <w:bCs/>
        </w:rPr>
        <w:t>ства и другие соответствующие заинтересованные стороны с учетом наст</w:t>
      </w:r>
      <w:r w:rsidRPr="006C4070">
        <w:rPr>
          <w:b/>
          <w:bCs/>
        </w:rPr>
        <w:t>о</w:t>
      </w:r>
      <w:r w:rsidRPr="006C4070">
        <w:rPr>
          <w:b/>
          <w:bCs/>
        </w:rPr>
        <w:t>ящих заключительных замечаний.</w:t>
      </w:r>
    </w:p>
    <w:p w:rsidR="006C4070" w:rsidRPr="006C4070" w:rsidRDefault="006C4070" w:rsidP="00872B6E">
      <w:pPr>
        <w:pStyle w:val="H23GR"/>
      </w:pPr>
      <w:r w:rsidRPr="006C4070">
        <w:tab/>
      </w:r>
      <w:r w:rsidRPr="006C4070">
        <w:tab/>
        <w:t>Неравенство между сельскими и городскими районами и д</w:t>
      </w:r>
      <w:r w:rsidRPr="006C4070">
        <w:t>е</w:t>
      </w:r>
      <w:r w:rsidRPr="006C4070">
        <w:t>централизация</w:t>
      </w:r>
    </w:p>
    <w:p w:rsidR="006C4070" w:rsidRPr="006C4070" w:rsidRDefault="006C4070" w:rsidP="006C4070">
      <w:pPr>
        <w:pStyle w:val="SingleTxtGR"/>
      </w:pPr>
      <w:r w:rsidRPr="006C4070">
        <w:t>12.</w:t>
      </w:r>
      <w:r w:rsidRPr="006C4070">
        <w:tab/>
        <w:t>Комитет обеспокоен значительным неравенством при осуществлении з</w:t>
      </w:r>
      <w:r w:rsidRPr="006C4070">
        <w:t>а</w:t>
      </w:r>
      <w:r w:rsidRPr="006C4070">
        <w:t>крепленных в Пакте прав между сельскими и городскими районами, особенно в таких сферах, как занятость, жилье, медицинское обслуживание, образование и другие услуги. Он особенно обеспокоен тем, что проведенная в последнее вр</w:t>
      </w:r>
      <w:r w:rsidRPr="006C4070">
        <w:t>е</w:t>
      </w:r>
      <w:r w:rsidRPr="006C4070">
        <w:t>мя децентрализация системы государственного управления привела, как пре</w:t>
      </w:r>
      <w:r w:rsidRPr="006C4070">
        <w:t>д</w:t>
      </w:r>
      <w:r w:rsidRPr="006C4070">
        <w:t>ставляется, к еще большему усугублению ситуации из-за различий в потенци</w:t>
      </w:r>
      <w:r w:rsidRPr="006C4070">
        <w:t>а</w:t>
      </w:r>
      <w:r w:rsidRPr="006C4070">
        <w:t>ле местных органов власти и их готовности проявлять политическую волю. Кроме того, Комитет обеспокоен тем, что это оказывает непропорционально негативное воздействие на находящихся в неблагоприятном положении и ма</w:t>
      </w:r>
      <w:r w:rsidRPr="006C4070">
        <w:t>р</w:t>
      </w:r>
      <w:r w:rsidRPr="006C4070">
        <w:t xml:space="preserve">гинализированных лиц, таких, как рома и инвалиды. </w:t>
      </w:r>
    </w:p>
    <w:p w:rsidR="006C4070" w:rsidRPr="006C4070" w:rsidRDefault="006C4070" w:rsidP="00872B6E">
      <w:pPr>
        <w:pStyle w:val="SingleTxtGR"/>
        <w:rPr>
          <w:b/>
        </w:rPr>
      </w:pPr>
      <w:r w:rsidRPr="00872B6E">
        <w:t>13.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усилия по решению проблемы неравенства между сельскими и городскими рай</w:t>
      </w:r>
      <w:r w:rsidRPr="006C4070">
        <w:rPr>
          <w:b/>
          <w:bCs/>
        </w:rPr>
        <w:t>о</w:t>
      </w:r>
      <w:r w:rsidRPr="006C4070">
        <w:rPr>
          <w:b/>
          <w:bCs/>
        </w:rPr>
        <w:t xml:space="preserve">нами в целях обеспечения осуществления в полной мере закрепленных в Пакте прав всеми </w:t>
      </w:r>
      <w:proofErr w:type="gramStart"/>
      <w:r w:rsidRPr="006C4070">
        <w:rPr>
          <w:b/>
          <w:bCs/>
        </w:rPr>
        <w:t>людьми</w:t>
      </w:r>
      <w:proofErr w:type="gramEnd"/>
      <w:r w:rsidRPr="006C4070">
        <w:rPr>
          <w:b/>
          <w:bCs/>
        </w:rPr>
        <w:t xml:space="preserve"> как в сельских, так и в городских районах.</w:t>
      </w:r>
      <w:r w:rsidRPr="006C4070">
        <w:t xml:space="preserve"> </w:t>
      </w:r>
      <w:proofErr w:type="gramStart"/>
      <w:r w:rsidRPr="006C4070">
        <w:rPr>
          <w:b/>
          <w:bCs/>
        </w:rPr>
        <w:t>Он</w:t>
      </w:r>
      <w:r w:rsidR="00872B6E">
        <w:rPr>
          <w:b/>
          <w:bCs/>
        </w:rPr>
        <w:t> </w:t>
      </w:r>
      <w:r w:rsidRPr="006C4070">
        <w:rPr>
          <w:b/>
          <w:bCs/>
        </w:rPr>
        <w:t>также рекомендует государству-участнику укреплять финансовый, а</w:t>
      </w:r>
      <w:r w:rsidRPr="006C4070">
        <w:rPr>
          <w:b/>
          <w:bCs/>
        </w:rPr>
        <w:t>д</w:t>
      </w:r>
      <w:r w:rsidRPr="006C4070">
        <w:rPr>
          <w:b/>
          <w:bCs/>
        </w:rPr>
        <w:t>министративный и инфраструктурный потенциал местных органов власти на уровне районов и муниципий;</w:t>
      </w:r>
      <w:r w:rsidRPr="006C4070">
        <w:t xml:space="preserve"> </w:t>
      </w:r>
      <w:r w:rsidRPr="006C4070">
        <w:rPr>
          <w:b/>
          <w:bCs/>
        </w:rPr>
        <w:t>совершенствовать координацию между центральными и местными органами власти, а также контроль за оказ</w:t>
      </w:r>
      <w:r w:rsidRPr="006C4070">
        <w:rPr>
          <w:b/>
          <w:bCs/>
        </w:rPr>
        <w:t>а</w:t>
      </w:r>
      <w:r w:rsidRPr="006C4070">
        <w:rPr>
          <w:b/>
          <w:bCs/>
        </w:rPr>
        <w:t>нием социальных услуг местными органами власти;</w:t>
      </w:r>
      <w:r w:rsidRPr="006C4070">
        <w:t xml:space="preserve"> </w:t>
      </w:r>
      <w:r w:rsidRPr="006C4070">
        <w:rPr>
          <w:b/>
          <w:bCs/>
        </w:rPr>
        <w:t>обеспечивать, чтобы процесс децентрализации не сказывался негативным образом на наход</w:t>
      </w:r>
      <w:r w:rsidRPr="006C4070">
        <w:rPr>
          <w:b/>
          <w:bCs/>
        </w:rPr>
        <w:t>я</w:t>
      </w:r>
      <w:r w:rsidRPr="006C4070">
        <w:rPr>
          <w:b/>
          <w:bCs/>
        </w:rPr>
        <w:t>щихся в неблагоприятном положении и маргинализированных лицах и группах;</w:t>
      </w:r>
      <w:proofErr w:type="gramEnd"/>
      <w:r w:rsidRPr="006C4070">
        <w:t xml:space="preserve"> </w:t>
      </w:r>
      <w:r w:rsidRPr="006C4070">
        <w:rPr>
          <w:b/>
          <w:bCs/>
        </w:rPr>
        <w:t>и провести всеобъемлющий анализ последствий процесса деце</w:t>
      </w:r>
      <w:r w:rsidRPr="006C4070">
        <w:rPr>
          <w:b/>
          <w:bCs/>
        </w:rPr>
        <w:t>н</w:t>
      </w:r>
      <w:r w:rsidRPr="006C4070">
        <w:rPr>
          <w:b/>
          <w:bCs/>
        </w:rPr>
        <w:t xml:space="preserve">трализации для </w:t>
      </w:r>
      <w:proofErr w:type="gramStart"/>
      <w:r w:rsidRPr="006C4070">
        <w:rPr>
          <w:b/>
          <w:bCs/>
        </w:rPr>
        <w:t>осуществления</w:t>
      </w:r>
      <w:proofErr w:type="gramEnd"/>
      <w:r w:rsidRPr="006C4070">
        <w:rPr>
          <w:b/>
          <w:bCs/>
        </w:rPr>
        <w:t xml:space="preserve"> закрепленных в Пакте прав.</w:t>
      </w:r>
      <w:r w:rsidRPr="006C4070">
        <w:t xml:space="preserve"> </w:t>
      </w:r>
      <w:r w:rsidRPr="006C4070">
        <w:rPr>
          <w:b/>
          <w:bCs/>
        </w:rPr>
        <w:t>Кроме того, напоминая государству-участнику о том, что децентрализация никоим о</w:t>
      </w:r>
      <w:r w:rsidRPr="006C4070">
        <w:rPr>
          <w:b/>
          <w:bCs/>
        </w:rPr>
        <w:t>б</w:t>
      </w:r>
      <w:r w:rsidRPr="006C4070">
        <w:rPr>
          <w:b/>
          <w:bCs/>
        </w:rPr>
        <w:t>разом не уменьшает ответственность за выполнение закрепленных в Пакте обязательств, Комитет рекомендует государству-участнику повышать осв</w:t>
      </w:r>
      <w:r w:rsidRPr="006C4070">
        <w:rPr>
          <w:b/>
          <w:bCs/>
        </w:rPr>
        <w:t>е</w:t>
      </w:r>
      <w:r w:rsidRPr="006C4070">
        <w:rPr>
          <w:b/>
          <w:bCs/>
        </w:rPr>
        <w:t>домленность местных органов власти о лежащих на них обязательствах в соответствии с Пактом.</w:t>
      </w:r>
    </w:p>
    <w:p w:rsidR="006C4070" w:rsidRPr="006C4070" w:rsidRDefault="006C4070" w:rsidP="00872B6E">
      <w:pPr>
        <w:pStyle w:val="H23GR"/>
      </w:pPr>
      <w:r w:rsidRPr="006C4070">
        <w:tab/>
      </w:r>
      <w:r w:rsidRPr="006C4070">
        <w:tab/>
        <w:t>Максимальные пределы имеющихся ресурсов</w:t>
      </w:r>
    </w:p>
    <w:p w:rsidR="006C4070" w:rsidRPr="006C4070" w:rsidRDefault="006C4070" w:rsidP="006C4070">
      <w:pPr>
        <w:pStyle w:val="SingleTxtGR"/>
      </w:pPr>
      <w:r w:rsidRPr="006C4070">
        <w:t>14.</w:t>
      </w:r>
      <w:r w:rsidRPr="006C4070">
        <w:tab/>
        <w:t>Комитет обеспокоен тем, что в течение отчетного периода произошло снижение доли государственных расходов на социальное обеспечение, жилье и базовые услуги, а также здравоохранение и образование в валовом внутреннем продукте (ВВП) и что она остается незначительной (пункт 1 статьи 2).</w:t>
      </w:r>
    </w:p>
    <w:p w:rsidR="006C4070" w:rsidRPr="006C4070" w:rsidRDefault="006C4070" w:rsidP="006C4070">
      <w:pPr>
        <w:pStyle w:val="SingleTxtGR"/>
        <w:rPr>
          <w:b/>
        </w:rPr>
      </w:pPr>
      <w:r w:rsidRPr="00872B6E">
        <w:lastRenderedPageBreak/>
        <w:t>15.</w:t>
      </w:r>
      <w:r w:rsidRPr="006C4070">
        <w:tab/>
      </w:r>
      <w:r w:rsidRPr="006C4070">
        <w:rPr>
          <w:b/>
          <w:bCs/>
        </w:rPr>
        <w:t xml:space="preserve">Комитет рекомендует государству-участнику существенно увеличить объем государственных расходов на социальные </w:t>
      </w:r>
      <w:proofErr w:type="gramStart"/>
      <w:r w:rsidRPr="006C4070">
        <w:rPr>
          <w:b/>
          <w:bCs/>
        </w:rPr>
        <w:t>нужды</w:t>
      </w:r>
      <w:proofErr w:type="gramEnd"/>
      <w:r w:rsidRPr="006C4070">
        <w:rPr>
          <w:b/>
          <w:bCs/>
        </w:rPr>
        <w:t xml:space="preserve"> как на национал</w:t>
      </w:r>
      <w:r w:rsidRPr="006C4070">
        <w:rPr>
          <w:b/>
          <w:bCs/>
        </w:rPr>
        <w:t>ь</w:t>
      </w:r>
      <w:r w:rsidRPr="006C4070">
        <w:rPr>
          <w:b/>
          <w:bCs/>
        </w:rPr>
        <w:t>ном, так и на местном уровнях, с тем чтобы обеспечить постепенное ос</w:t>
      </w:r>
      <w:r w:rsidRPr="006C4070">
        <w:rPr>
          <w:b/>
          <w:bCs/>
        </w:rPr>
        <w:t>у</w:t>
      </w:r>
      <w:r w:rsidRPr="006C4070">
        <w:rPr>
          <w:b/>
          <w:bCs/>
        </w:rPr>
        <w:t>ществление экономических, социальных и культурных прав, особенно в том, что касается социального обеспечения, жилья, водоснабжения и сан</w:t>
      </w:r>
      <w:r w:rsidRPr="006C4070">
        <w:rPr>
          <w:b/>
          <w:bCs/>
        </w:rPr>
        <w:t>и</w:t>
      </w:r>
      <w:r w:rsidRPr="006C4070">
        <w:rPr>
          <w:b/>
          <w:bCs/>
        </w:rPr>
        <w:t>тарии, здравоохранения и образования.</w:t>
      </w:r>
    </w:p>
    <w:p w:rsidR="006C4070" w:rsidRPr="006C4070" w:rsidRDefault="006C4070" w:rsidP="00872B6E">
      <w:pPr>
        <w:pStyle w:val="H23GR"/>
      </w:pPr>
      <w:r w:rsidRPr="006C4070">
        <w:tab/>
      </w:r>
      <w:r w:rsidRPr="006C4070">
        <w:tab/>
        <w:t>Коррупция</w:t>
      </w:r>
    </w:p>
    <w:p w:rsidR="006C4070" w:rsidRPr="006C4070" w:rsidRDefault="006C4070" w:rsidP="006C4070">
      <w:pPr>
        <w:pStyle w:val="SingleTxtGR"/>
      </w:pPr>
      <w:r w:rsidRPr="006C4070">
        <w:t>16.</w:t>
      </w:r>
      <w:r w:rsidRPr="006C4070">
        <w:tab/>
        <w:t>Принимая к сведению меры государства-участника по борьбе с коррупц</w:t>
      </w:r>
      <w:r w:rsidRPr="006C4070">
        <w:t>и</w:t>
      </w:r>
      <w:r w:rsidRPr="006C4070">
        <w:t>ей, Комитет по-прежнему испытывает обеспокоенность масштабами коррупции в государственном секторе, в частности в судебных органах, а также широко распространенной практикой взяток при оказании государственных услуг, ос</w:t>
      </w:r>
      <w:r w:rsidRPr="006C4070">
        <w:t>о</w:t>
      </w:r>
      <w:r w:rsidRPr="006C4070">
        <w:t>бенно в сферах здравоохранения и образования. Он также обеспокоен тем, что, несмотря на увеличение числа сообщений о заведенных делах и числа обвин</w:t>
      </w:r>
      <w:r w:rsidRPr="006C4070">
        <w:t>и</w:t>
      </w:r>
      <w:r w:rsidRPr="006C4070">
        <w:t>тельных приговоров, в большинстве случаев круг лиц, привлекаемых к отве</w:t>
      </w:r>
      <w:r w:rsidRPr="006C4070">
        <w:t>т</w:t>
      </w:r>
      <w:r w:rsidRPr="006C4070">
        <w:t>ственности за коррупцию, ограничивается должностными лицами низового уровня (пункт 1 статьи 2).</w:t>
      </w:r>
    </w:p>
    <w:p w:rsidR="006C4070" w:rsidRPr="006C4070" w:rsidRDefault="006C4070" w:rsidP="006C4070">
      <w:pPr>
        <w:pStyle w:val="SingleTxtGR"/>
        <w:rPr>
          <w:b/>
        </w:rPr>
      </w:pPr>
      <w:r w:rsidRPr="00872B6E">
        <w:t>17.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по борьбе с коррупцией и, в частности:</w:t>
      </w:r>
      <w:r w:rsidRPr="006C4070">
        <w:t xml:space="preserve"> 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a)</w:t>
      </w:r>
      <w:r w:rsidRPr="006C4070">
        <w:tab/>
      </w:r>
      <w:r w:rsidRPr="006C4070">
        <w:rPr>
          <w:b/>
          <w:bCs/>
        </w:rPr>
        <w:t>повышать осведомленность широкой общественности и гос</w:t>
      </w:r>
      <w:r w:rsidRPr="006C4070">
        <w:rPr>
          <w:b/>
          <w:bCs/>
        </w:rPr>
        <w:t>у</w:t>
      </w:r>
      <w:r w:rsidRPr="006C4070">
        <w:rPr>
          <w:b/>
          <w:bCs/>
        </w:rPr>
        <w:t xml:space="preserve">дарственных должностных лиц о необходимости борьбы с коррупцией, в том числе </w:t>
      </w:r>
      <w:proofErr w:type="gramStart"/>
      <w:r w:rsidRPr="006C4070">
        <w:rPr>
          <w:b/>
          <w:bCs/>
        </w:rPr>
        <w:t>со</w:t>
      </w:r>
      <w:proofErr w:type="gramEnd"/>
      <w:r w:rsidRPr="006C4070">
        <w:rPr>
          <w:b/>
          <w:bCs/>
        </w:rPr>
        <w:t xml:space="preserve"> взяточничеством;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b)</w:t>
      </w:r>
      <w:r w:rsidRPr="006C4070">
        <w:tab/>
      </w:r>
      <w:r w:rsidRPr="006C4070">
        <w:rPr>
          <w:b/>
          <w:bCs/>
        </w:rPr>
        <w:t>наращивать усилия по обеспечению применения законов о борьбе с коррупцией и безнаказанностью за коррупцию, в частности среди высокопоставленных должностных лиц;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c)</w:t>
      </w:r>
      <w:r w:rsidRPr="006C4070">
        <w:tab/>
      </w:r>
      <w:r w:rsidRPr="006C4070">
        <w:rPr>
          <w:b/>
          <w:bCs/>
        </w:rPr>
        <w:t>расширять возможности реагирования судебной системы на коррупцию и обеспечивать эффективную защиту жертв коррупции, их а</w:t>
      </w:r>
      <w:r w:rsidRPr="006C4070">
        <w:rPr>
          <w:b/>
          <w:bCs/>
        </w:rPr>
        <w:t>д</w:t>
      </w:r>
      <w:r w:rsidRPr="006C4070">
        <w:rPr>
          <w:b/>
          <w:bCs/>
        </w:rPr>
        <w:t>вокатов, активистов, борющихся с коррупцией, лиц, сообщающих о случ</w:t>
      </w:r>
      <w:r w:rsidRPr="006C4070">
        <w:rPr>
          <w:b/>
          <w:bCs/>
        </w:rPr>
        <w:t>а</w:t>
      </w:r>
      <w:r w:rsidRPr="006C4070">
        <w:rPr>
          <w:b/>
          <w:bCs/>
        </w:rPr>
        <w:t>ях коррупции, и свидетелей;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d)</w:t>
      </w:r>
      <w:r w:rsidRPr="006C4070">
        <w:tab/>
      </w:r>
      <w:r w:rsidRPr="006C4070">
        <w:rPr>
          <w:b/>
          <w:bCs/>
        </w:rPr>
        <w:t>укреплять систему государственного управления и обеспеч</w:t>
      </w:r>
      <w:r w:rsidRPr="006C4070">
        <w:rPr>
          <w:b/>
          <w:bCs/>
        </w:rPr>
        <w:t>и</w:t>
      </w:r>
      <w:r w:rsidRPr="006C4070">
        <w:rPr>
          <w:b/>
          <w:bCs/>
        </w:rPr>
        <w:t>вать прозрачность в ведении государственных дел.</w:t>
      </w:r>
    </w:p>
    <w:p w:rsidR="006C4070" w:rsidRPr="006C4070" w:rsidRDefault="006C4070" w:rsidP="00872B6E">
      <w:pPr>
        <w:pStyle w:val="H23GR"/>
      </w:pPr>
      <w:r w:rsidRPr="006C4070">
        <w:tab/>
      </w:r>
      <w:r w:rsidRPr="006C4070">
        <w:tab/>
        <w:t>Недискриминация</w:t>
      </w:r>
    </w:p>
    <w:p w:rsidR="006C4070" w:rsidRPr="006C4070" w:rsidRDefault="006C4070" w:rsidP="006C4070">
      <w:pPr>
        <w:pStyle w:val="SingleTxtGR"/>
      </w:pPr>
      <w:r w:rsidRPr="006C4070">
        <w:t>18.</w:t>
      </w:r>
      <w:r w:rsidRPr="006C4070">
        <w:tab/>
        <w:t>Комитет обеспокоен тем, что положения о борьбе с дискриминацией, включая Закон № 121 об обеспечении равенства, не предусматривают запрещ</w:t>
      </w:r>
      <w:r w:rsidRPr="006C4070">
        <w:t>е</w:t>
      </w:r>
      <w:r w:rsidRPr="006C4070">
        <w:t>ние дискриминации по признакам, предусмотренным в пункте 2 статьи 2 Пакта, и во всех сферах жизни и не охватывают все аспекты множественной и межсе</w:t>
      </w:r>
      <w:r w:rsidRPr="006C4070">
        <w:t>к</w:t>
      </w:r>
      <w:r w:rsidRPr="006C4070">
        <w:t>торальной дискриминации (пункт 2 статьи 2).</w:t>
      </w:r>
    </w:p>
    <w:p w:rsidR="006C4070" w:rsidRPr="006C4070" w:rsidRDefault="006C4070" w:rsidP="006C4070">
      <w:pPr>
        <w:pStyle w:val="SingleTxtGR"/>
        <w:rPr>
          <w:b/>
        </w:rPr>
      </w:pPr>
      <w:r w:rsidRPr="00C062A4">
        <w:t>19.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пересмотреть свое зак</w:t>
      </w:r>
      <w:r w:rsidRPr="006C4070">
        <w:rPr>
          <w:b/>
          <w:bCs/>
        </w:rPr>
        <w:t>о</w:t>
      </w:r>
      <w:r w:rsidRPr="006C4070">
        <w:rPr>
          <w:b/>
          <w:bCs/>
        </w:rPr>
        <w:t>нодательство о борьбе с дискриминацией, в частности Закон об обеспеч</w:t>
      </w:r>
      <w:r w:rsidRPr="006C4070">
        <w:rPr>
          <w:b/>
          <w:bCs/>
        </w:rPr>
        <w:t>е</w:t>
      </w:r>
      <w:r w:rsidRPr="006C4070">
        <w:rPr>
          <w:b/>
          <w:bCs/>
        </w:rPr>
        <w:t>нии равенства, с тем чтобы предусмотреть прямое запрещение всех форм - пря</w:t>
      </w:r>
      <w:r w:rsidR="00BC6814">
        <w:rPr>
          <w:b/>
          <w:bCs/>
        </w:rPr>
        <w:t>мой, косвенной и множественной –</w:t>
      </w:r>
      <w:r w:rsidRPr="006C4070">
        <w:rPr>
          <w:b/>
          <w:bCs/>
        </w:rPr>
        <w:t xml:space="preserve"> дискриминации по всем признакам, включая состояние здоровья, благосостояние, социальное происхождение, сексуальную ориентацию и гендерную идентичность.</w:t>
      </w:r>
      <w:r w:rsidRPr="006C4070">
        <w:t xml:space="preserve"> </w:t>
      </w:r>
      <w:r w:rsidRPr="006C4070">
        <w:rPr>
          <w:b/>
          <w:bCs/>
        </w:rPr>
        <w:t>Такой закон должен обеспечить эффективные средства защиты жертвам дискриминации, в том числе в рамках судебных и административных разбирательств.</w:t>
      </w:r>
      <w:r w:rsidRPr="006C4070">
        <w:t xml:space="preserve"> </w:t>
      </w:r>
      <w:r w:rsidRPr="006C4070">
        <w:rPr>
          <w:b/>
          <w:bCs/>
        </w:rPr>
        <w:t>Он пр</w:t>
      </w:r>
      <w:r w:rsidRPr="006C4070">
        <w:rPr>
          <w:b/>
          <w:bCs/>
        </w:rPr>
        <w:t>и</w:t>
      </w:r>
      <w:r w:rsidRPr="006C4070">
        <w:rPr>
          <w:b/>
          <w:bCs/>
        </w:rPr>
        <w:t>влекает внимание государства-участника к своему замечанию общего п</w:t>
      </w:r>
      <w:r w:rsidRPr="006C4070">
        <w:rPr>
          <w:b/>
          <w:bCs/>
        </w:rPr>
        <w:t>о</w:t>
      </w:r>
      <w:r w:rsidRPr="006C4070">
        <w:rPr>
          <w:b/>
          <w:bCs/>
        </w:rPr>
        <w:t>рядка № 20 (2009) о недискриминации в области экономических, социал</w:t>
      </w:r>
      <w:r w:rsidRPr="006C4070">
        <w:rPr>
          <w:b/>
          <w:bCs/>
        </w:rPr>
        <w:t>ь</w:t>
      </w:r>
      <w:r w:rsidRPr="006C4070">
        <w:rPr>
          <w:b/>
          <w:bCs/>
        </w:rPr>
        <w:t>ных и культурных прав.</w:t>
      </w:r>
    </w:p>
    <w:p w:rsidR="006C4070" w:rsidRPr="006C4070" w:rsidRDefault="006C4070" w:rsidP="00C062A4">
      <w:pPr>
        <w:pStyle w:val="H23GR"/>
      </w:pPr>
      <w:r w:rsidRPr="006C4070">
        <w:tab/>
      </w:r>
      <w:r w:rsidRPr="006C4070">
        <w:tab/>
        <w:t>Система подтверждения инвалидности</w:t>
      </w:r>
    </w:p>
    <w:p w:rsidR="006C4070" w:rsidRPr="006C4070" w:rsidRDefault="006C4070" w:rsidP="006C4070">
      <w:pPr>
        <w:pStyle w:val="SingleTxtGR"/>
      </w:pPr>
      <w:r w:rsidRPr="006C4070">
        <w:t>20.</w:t>
      </w:r>
      <w:r w:rsidRPr="006C4070">
        <w:tab/>
        <w:t xml:space="preserve">Комитет обеспокоен тем, что, несмотря на усилия государства-участника по реформированию системы </w:t>
      </w:r>
      <w:proofErr w:type="spellStart"/>
      <w:r w:rsidRPr="006C4070">
        <w:t>поддтверждения</w:t>
      </w:r>
      <w:proofErr w:type="spellEnd"/>
      <w:r w:rsidRPr="006C4070">
        <w:t xml:space="preserve"> инвалидности, в ее основе до сих пор в значительной степени лежит медицинский подход. Он отмечает, что доля лиц, признанных инвалидами, является весьма низкой (5,1%), что, как </w:t>
      </w:r>
      <w:r w:rsidRPr="006C4070">
        <w:lastRenderedPageBreak/>
        <w:t>представляется, свидетельствуют о неадекватности системы подтверждения и</w:t>
      </w:r>
      <w:r w:rsidRPr="006C4070">
        <w:t>н</w:t>
      </w:r>
      <w:r w:rsidRPr="006C4070">
        <w:t>валидности. Он также обеспокоен тем, что из-за нехватки финансовых средств лишь очень небольшая доля лиц с тяжелыми формами инвалидности обеспеч</w:t>
      </w:r>
      <w:r w:rsidRPr="006C4070">
        <w:t>и</w:t>
      </w:r>
      <w:r w:rsidRPr="006C4070">
        <w:t>вается персональными помощниками (пункт 2 статьи 2).</w:t>
      </w:r>
    </w:p>
    <w:p w:rsidR="006C4070" w:rsidRPr="006C4070" w:rsidRDefault="006C4070" w:rsidP="006C4070">
      <w:pPr>
        <w:pStyle w:val="SingleTxtGR"/>
        <w:rPr>
          <w:b/>
          <w:bCs/>
        </w:rPr>
      </w:pPr>
      <w:r w:rsidRPr="00C062A4">
        <w:t>21.</w:t>
      </w:r>
      <w:r w:rsidRPr="006C4070">
        <w:rPr>
          <w:b/>
          <w:bCs/>
        </w:rPr>
        <w:tab/>
        <w:t>Комитет рекомендует государству-участнику пересмотреть систему подтверждения инвалидности</w:t>
      </w:r>
      <w:r w:rsidR="00C0463C">
        <w:rPr>
          <w:b/>
          <w:bCs/>
        </w:rPr>
        <w:t>, для того</w:t>
      </w:r>
      <w:r w:rsidRPr="006C4070">
        <w:rPr>
          <w:b/>
          <w:bCs/>
        </w:rPr>
        <w:t xml:space="preserve"> чтобы оценка отражала особенн</w:t>
      </w:r>
      <w:r w:rsidRPr="006C4070">
        <w:rPr>
          <w:b/>
          <w:bCs/>
        </w:rPr>
        <w:t>о</w:t>
      </w:r>
      <w:r w:rsidRPr="006C4070">
        <w:rPr>
          <w:b/>
          <w:bCs/>
        </w:rPr>
        <w:t>сти, обстоятельства и потребности инвалидов, и выделять достаточные финансовые средства для обеспечения всех лиц с тяжелыми формами и</w:t>
      </w:r>
      <w:r w:rsidRPr="006C4070">
        <w:rPr>
          <w:b/>
          <w:bCs/>
        </w:rPr>
        <w:t>н</w:t>
      </w:r>
      <w:r w:rsidRPr="006C4070">
        <w:rPr>
          <w:b/>
          <w:bCs/>
        </w:rPr>
        <w:t>валидности персональными помощниками.</w:t>
      </w:r>
    </w:p>
    <w:p w:rsidR="006C4070" w:rsidRPr="006C4070" w:rsidRDefault="006C4070" w:rsidP="00C062A4">
      <w:pPr>
        <w:pStyle w:val="H23GR"/>
      </w:pPr>
      <w:r w:rsidRPr="006C4070">
        <w:tab/>
      </w:r>
      <w:r w:rsidRPr="006C4070">
        <w:tab/>
        <w:t>Рома</w:t>
      </w:r>
    </w:p>
    <w:p w:rsidR="006C4070" w:rsidRPr="006C4070" w:rsidRDefault="006C4070" w:rsidP="006C4070">
      <w:pPr>
        <w:pStyle w:val="SingleTxtGR"/>
      </w:pPr>
      <w:r w:rsidRPr="006C4070">
        <w:t>22.</w:t>
      </w:r>
      <w:r w:rsidRPr="006C4070">
        <w:tab/>
        <w:t>Принимая к сведению утверждение плана действий по поддержке нас</w:t>
      </w:r>
      <w:r w:rsidRPr="006C4070">
        <w:t>е</w:t>
      </w:r>
      <w:r w:rsidR="00C062A4">
        <w:t>ления рома на период 2016–</w:t>
      </w:r>
      <w:r w:rsidRPr="006C4070">
        <w:t>2020 годов, Комитет выражает сожаление по поводу недовыполнения п</w:t>
      </w:r>
      <w:r w:rsidR="00C062A4">
        <w:t>редыдущего плана на период 2011–</w:t>
      </w:r>
      <w:r w:rsidRPr="006C4070">
        <w:t>2015 года из-за неприн</w:t>
      </w:r>
      <w:r w:rsidRPr="006C4070">
        <w:t>я</w:t>
      </w:r>
      <w:r w:rsidRPr="006C4070">
        <w:t>тия необходимых мер и нехватки финансовых средств и по-прежнему обеспок</w:t>
      </w:r>
      <w:r w:rsidRPr="006C4070">
        <w:t>о</w:t>
      </w:r>
      <w:r w:rsidRPr="006C4070">
        <w:t xml:space="preserve">ен тем, что рома продолжают сталкиваться с дискриминацией во всех сферах жизни. </w:t>
      </w:r>
      <w:proofErr w:type="gramStart"/>
      <w:r w:rsidRPr="006C4070">
        <w:t>Несмотря на прогресс, достигнутый с помощью посредников для общ</w:t>
      </w:r>
      <w:r w:rsidRPr="006C4070">
        <w:t>и</w:t>
      </w:r>
      <w:r w:rsidRPr="006C4070">
        <w:t>ны рома в сферах социального обеспечения, здравоохранения и образования, Комитет выражает обеспокоенность тем, что большинство вакансий посредн</w:t>
      </w:r>
      <w:r w:rsidRPr="006C4070">
        <w:t>и</w:t>
      </w:r>
      <w:r w:rsidRPr="006C4070">
        <w:t>ков не заполнены из-за отсутствия финансовых средств и политической воли у местных органов власти, которые в результате децентрализации отвечают за решение проблем рома (пункт 2 статьи 2 и статьи 9, 12 и 13</w:t>
      </w:r>
      <w:r w:rsidR="00D92DEA">
        <w:t>)</w:t>
      </w:r>
      <w:r w:rsidRPr="006C4070">
        <w:t xml:space="preserve">. </w:t>
      </w:r>
      <w:proofErr w:type="gramEnd"/>
    </w:p>
    <w:p w:rsidR="006C4070" w:rsidRPr="006C4070" w:rsidRDefault="006C4070" w:rsidP="00B444FE">
      <w:pPr>
        <w:pStyle w:val="SingleTxtGR"/>
        <w:rPr>
          <w:b/>
        </w:rPr>
      </w:pPr>
      <w:r w:rsidRPr="00C062A4">
        <w:t>23.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в полной мере осущ</w:t>
      </w:r>
      <w:r w:rsidRPr="006C4070">
        <w:rPr>
          <w:b/>
          <w:bCs/>
        </w:rPr>
        <w:t>е</w:t>
      </w:r>
      <w:r w:rsidRPr="006C4070">
        <w:rPr>
          <w:b/>
          <w:bCs/>
        </w:rPr>
        <w:t xml:space="preserve">ствить план действий по поддержке населения рома на период </w:t>
      </w:r>
      <w:r w:rsidR="00B444FE">
        <w:rPr>
          <w:b/>
          <w:bCs/>
        </w:rPr>
        <w:br/>
      </w:r>
      <w:r w:rsidRPr="006C4070">
        <w:rPr>
          <w:b/>
          <w:bCs/>
        </w:rPr>
        <w:t>2016</w:t>
      </w:r>
      <w:r w:rsidR="00B444FE">
        <w:rPr>
          <w:b/>
          <w:bCs/>
        </w:rPr>
        <w:t>–2020 годов, в частности</w:t>
      </w:r>
      <w:r w:rsidRPr="006C4070">
        <w:rPr>
          <w:b/>
          <w:bCs/>
        </w:rPr>
        <w:t xml:space="preserve"> путем выделения достаточных финансовых сре</w:t>
      </w:r>
      <w:proofErr w:type="gramStart"/>
      <w:r w:rsidRPr="006C4070">
        <w:rPr>
          <w:b/>
          <w:bCs/>
        </w:rPr>
        <w:t>дств дл</w:t>
      </w:r>
      <w:proofErr w:type="gramEnd"/>
      <w:r w:rsidRPr="006C4070">
        <w:rPr>
          <w:b/>
          <w:bCs/>
        </w:rPr>
        <w:t>я его осуществления, а также обеспечить заполнение всех 48 в</w:t>
      </w:r>
      <w:r w:rsidRPr="006C4070">
        <w:rPr>
          <w:b/>
          <w:bCs/>
        </w:rPr>
        <w:t>а</w:t>
      </w:r>
      <w:r w:rsidRPr="006C4070">
        <w:rPr>
          <w:b/>
          <w:bCs/>
        </w:rPr>
        <w:t>кансий п</w:t>
      </w:r>
      <w:r w:rsidRPr="006C4070">
        <w:rPr>
          <w:b/>
          <w:bCs/>
        </w:rPr>
        <w:t>о</w:t>
      </w:r>
      <w:r w:rsidRPr="006C4070">
        <w:rPr>
          <w:b/>
          <w:bCs/>
        </w:rPr>
        <w:t>средников для общин рома.</w:t>
      </w:r>
    </w:p>
    <w:p w:rsidR="006C4070" w:rsidRPr="006C4070" w:rsidRDefault="006C4070" w:rsidP="00C062A4">
      <w:pPr>
        <w:pStyle w:val="H23GR"/>
      </w:pPr>
      <w:r w:rsidRPr="006C4070">
        <w:tab/>
      </w:r>
      <w:r w:rsidRPr="006C4070">
        <w:tab/>
        <w:t>Равенство мужчин и женщин</w:t>
      </w:r>
    </w:p>
    <w:p w:rsidR="006C4070" w:rsidRPr="006C4070" w:rsidRDefault="006C4070" w:rsidP="006C4070">
      <w:pPr>
        <w:pStyle w:val="SingleTxtGR"/>
      </w:pPr>
      <w:r w:rsidRPr="006C4070">
        <w:t>24.</w:t>
      </w:r>
      <w:r w:rsidRPr="006C4070">
        <w:tab/>
        <w:t xml:space="preserve">Комитет обеспокоен тем, что общий уровень представленности женщин на руководящих должностях в государственном и частном секторах остается весьма низким. Приветствуя </w:t>
      </w:r>
      <w:proofErr w:type="gramStart"/>
      <w:r w:rsidRPr="006C4070">
        <w:t>минимальную</w:t>
      </w:r>
      <w:proofErr w:type="gramEnd"/>
      <w:r w:rsidRPr="006C4070">
        <w:t xml:space="preserve"> 40-процентную представленность обоих полов в списках кандидатов на парламентских и местных выборах, он обеспокоен тем, что формула для достижения этой квоты до сих пор не ясна. Он также обеспокоен сохранением стереотипных представлений о роли же</w:t>
      </w:r>
      <w:r w:rsidRPr="006C4070">
        <w:t>н</w:t>
      </w:r>
      <w:r w:rsidRPr="006C4070">
        <w:t>щин и мужчин и тем, что ответственность по уходу возлагается в государстве-участнике главным образом на женщин, что не позволяет им заниматься своей профессиональной карьерой (статья 3).</w:t>
      </w:r>
    </w:p>
    <w:p w:rsidR="006C4070" w:rsidRPr="006C4070" w:rsidRDefault="006C4070" w:rsidP="00C062A4">
      <w:pPr>
        <w:pStyle w:val="SingleTxtGR"/>
        <w:rPr>
          <w:b/>
        </w:rPr>
      </w:pPr>
      <w:r w:rsidRPr="006C4070">
        <w:t>25.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принять все необход</w:t>
      </w:r>
      <w:r w:rsidRPr="006C4070">
        <w:rPr>
          <w:b/>
          <w:bCs/>
        </w:rPr>
        <w:t>и</w:t>
      </w:r>
      <w:r w:rsidRPr="006C4070">
        <w:rPr>
          <w:b/>
          <w:bCs/>
        </w:rPr>
        <w:t>мые меры для полного достижения 40-процентной минимальной квоты, в</w:t>
      </w:r>
      <w:r w:rsidR="00C062A4">
        <w:rPr>
          <w:b/>
          <w:bCs/>
        </w:rPr>
        <w:t> </w:t>
      </w:r>
      <w:r w:rsidRPr="006C4070">
        <w:rPr>
          <w:b/>
          <w:bCs/>
        </w:rPr>
        <w:t>том числе путем введения системы чередования кандидатов-женщин и кандидатов-мужчин, и повысить степень представленности женщин, включая женщин из числа рома и женщин-инвалидов, на руководящих должностях в государственном и частном секторах.</w:t>
      </w:r>
      <w:r w:rsidRPr="006C4070">
        <w:t xml:space="preserve"> </w:t>
      </w:r>
      <w:proofErr w:type="gramStart"/>
      <w:r w:rsidRPr="006C4070">
        <w:rPr>
          <w:b/>
          <w:bCs/>
        </w:rPr>
        <w:t>Кроме того, он насто</w:t>
      </w:r>
      <w:r w:rsidRPr="006C4070">
        <w:rPr>
          <w:b/>
          <w:bCs/>
        </w:rPr>
        <w:t>я</w:t>
      </w:r>
      <w:r w:rsidRPr="006C4070">
        <w:rPr>
          <w:b/>
          <w:bCs/>
        </w:rPr>
        <w:t>тельно призывает государство-участник активизировать свои усилия по искоренению гендерных стереотипов и поощрять равное распределение между мужчинами и женщинами семейных обязанностей и обязанностей по уходу, в том числе путем расширения государственных услуг по уходу за детьми, пожилыми людьми и инвалидами, и побуждения мужчин к тому, чтобы они брали отпуск по уходу за ребенком.</w:t>
      </w:r>
      <w:proofErr w:type="gramEnd"/>
    </w:p>
    <w:p w:rsidR="006C4070" w:rsidRPr="006C4070" w:rsidRDefault="006C4070" w:rsidP="00C062A4">
      <w:pPr>
        <w:pStyle w:val="H23GR"/>
      </w:pPr>
      <w:r w:rsidRPr="006C4070">
        <w:tab/>
      </w:r>
      <w:r w:rsidRPr="006C4070">
        <w:tab/>
        <w:t>Право на труд</w:t>
      </w:r>
    </w:p>
    <w:p w:rsidR="006C4070" w:rsidRPr="006C4070" w:rsidRDefault="006C4070" w:rsidP="0045455B">
      <w:pPr>
        <w:pStyle w:val="SingleTxtGR"/>
      </w:pPr>
      <w:r w:rsidRPr="006C4070">
        <w:t>26.</w:t>
      </w:r>
      <w:r w:rsidRPr="006C4070">
        <w:tab/>
        <w:t>Комитет сожалеет по поводу отсутствия дезагрегированных статистич</w:t>
      </w:r>
      <w:r w:rsidRPr="006C4070">
        <w:t>е</w:t>
      </w:r>
      <w:r w:rsidRPr="006C4070">
        <w:t>ских данных, касающихся права на труд, за отчетный период. Комитет обесп</w:t>
      </w:r>
      <w:r w:rsidRPr="006C4070">
        <w:t>о</w:t>
      </w:r>
      <w:r w:rsidRPr="006C4070">
        <w:t xml:space="preserve">коен тем, что уровень занятости является весьма низким в целом и среди рома, </w:t>
      </w:r>
      <w:r w:rsidRPr="006C4070">
        <w:lastRenderedPageBreak/>
        <w:t xml:space="preserve">особенно женщин из числа рома и инвалидов, несмотря на установление </w:t>
      </w:r>
      <w:r w:rsidR="0045455B">
        <w:br/>
      </w:r>
      <w:r w:rsidRPr="006C4070">
        <w:t>5-процентной квоты на трудоустройство инвалидов (пункт 2 статьи 2 и ст</w:t>
      </w:r>
      <w:r w:rsidRPr="006C4070">
        <w:t>а</w:t>
      </w:r>
      <w:r w:rsidRPr="006C4070">
        <w:t>тья</w:t>
      </w:r>
      <w:r w:rsidR="0045455B">
        <w:t> </w:t>
      </w:r>
      <w:r w:rsidRPr="006C4070">
        <w:t>6).</w:t>
      </w:r>
    </w:p>
    <w:p w:rsidR="006C4070" w:rsidRPr="006C4070" w:rsidRDefault="006C4070" w:rsidP="006C4070">
      <w:pPr>
        <w:pStyle w:val="SingleTxtGR"/>
        <w:rPr>
          <w:b/>
        </w:rPr>
      </w:pPr>
      <w:r w:rsidRPr="00C062A4">
        <w:t>27.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по улучшению общего положения в сфере занятости и, в частности: a) добиваться реального заполнения 5-процентной квоты на трудоустро</w:t>
      </w:r>
      <w:r w:rsidRPr="006C4070">
        <w:rPr>
          <w:b/>
          <w:bCs/>
        </w:rPr>
        <w:t>й</w:t>
      </w:r>
      <w:r w:rsidRPr="006C4070">
        <w:rPr>
          <w:b/>
          <w:bCs/>
        </w:rPr>
        <w:t>ство инвалидов и обеспечивать им разумное приспособление на рабочем месте;</w:t>
      </w:r>
      <w:r w:rsidRPr="006C4070">
        <w:t xml:space="preserve"> </w:t>
      </w:r>
      <w:r w:rsidRPr="006C4070">
        <w:rPr>
          <w:b/>
          <w:bCs/>
        </w:rPr>
        <w:t>b) улучшать показатели занятости рома, включая женщин, посре</w:t>
      </w:r>
      <w:r w:rsidRPr="006C4070">
        <w:rPr>
          <w:b/>
          <w:bCs/>
        </w:rPr>
        <w:t>д</w:t>
      </w:r>
      <w:r w:rsidRPr="006C4070">
        <w:rPr>
          <w:b/>
          <w:bCs/>
        </w:rPr>
        <w:t>ством расширения услуг в сфере профессионально-технической подготовки и трудоустройства;</w:t>
      </w:r>
      <w:r w:rsidRPr="006C4070">
        <w:t xml:space="preserve"> </w:t>
      </w:r>
      <w:r w:rsidRPr="006C4070">
        <w:rPr>
          <w:b/>
          <w:bCs/>
        </w:rPr>
        <w:t>и c) поощрять работодателей к найму инвалидов и р</w:t>
      </w:r>
      <w:r w:rsidRPr="006C4070">
        <w:rPr>
          <w:b/>
          <w:bCs/>
        </w:rPr>
        <w:t>о</w:t>
      </w:r>
      <w:r w:rsidRPr="006C4070">
        <w:rPr>
          <w:b/>
          <w:bCs/>
        </w:rPr>
        <w:t>ма, в том числе в рамках программ стимулирования.</w:t>
      </w:r>
      <w:r w:rsidRPr="006C4070">
        <w:t xml:space="preserve"> </w:t>
      </w:r>
    </w:p>
    <w:p w:rsidR="006C4070" w:rsidRPr="006C4070" w:rsidRDefault="006C4070" w:rsidP="00C062A4">
      <w:pPr>
        <w:pStyle w:val="H23GR"/>
      </w:pPr>
      <w:r w:rsidRPr="006C4070">
        <w:tab/>
      </w:r>
      <w:r w:rsidRPr="006C4070">
        <w:tab/>
        <w:t>Молдавские трудящиеся-мигранты за рубежом</w:t>
      </w:r>
    </w:p>
    <w:p w:rsidR="006C4070" w:rsidRPr="006C4070" w:rsidRDefault="006C4070" w:rsidP="0045455B">
      <w:pPr>
        <w:pStyle w:val="SingleTxtGR"/>
      </w:pPr>
      <w:r w:rsidRPr="006C4070">
        <w:t>28.</w:t>
      </w:r>
      <w:r w:rsidRPr="006C4070">
        <w:tab/>
        <w:t>Комитет отмечает, что общее число молдавских трудящихся-мигрантов за рубежом составляет 30</w:t>
      </w:r>
      <w:r w:rsidR="0045455B">
        <w:t>%</w:t>
      </w:r>
      <w:r w:rsidRPr="006C4070">
        <w:t xml:space="preserve"> от общей численности рабочей силы госуда</w:t>
      </w:r>
      <w:r w:rsidRPr="006C4070">
        <w:t>р</w:t>
      </w:r>
      <w:r w:rsidRPr="006C4070">
        <w:t>ства-участника, при этом большинство из них являются выходцами из сельских ра</w:t>
      </w:r>
      <w:r w:rsidRPr="006C4070">
        <w:t>й</w:t>
      </w:r>
      <w:r w:rsidRPr="006C4070">
        <w:t>онов, и что денежные переводы от них составляют четверть ВВП. Вм</w:t>
      </w:r>
      <w:r w:rsidRPr="006C4070">
        <w:t>е</w:t>
      </w:r>
      <w:r w:rsidRPr="006C4070">
        <w:t>сте с тем Комитет испытывает обеспокоенность по поводу негативных последствий так</w:t>
      </w:r>
      <w:r w:rsidRPr="006C4070">
        <w:t>о</w:t>
      </w:r>
      <w:r w:rsidRPr="006C4070">
        <w:t>го большого числа людей, покидающих государство-участник, в частности:</w:t>
      </w:r>
    </w:p>
    <w:p w:rsidR="006C4070" w:rsidRPr="006C4070" w:rsidRDefault="006C4070" w:rsidP="006C4070">
      <w:pPr>
        <w:pStyle w:val="SingleTxtGR"/>
      </w:pPr>
      <w:r w:rsidRPr="006C4070">
        <w:tab/>
        <w:t>a)</w:t>
      </w:r>
      <w:r w:rsidRPr="006C4070">
        <w:tab/>
        <w:t>вызывающег</w:t>
      </w:r>
      <w:r w:rsidR="00C062A4">
        <w:t>о сожаление положения около 100 </w:t>
      </w:r>
      <w:r w:rsidRPr="006C4070">
        <w:t>000 детей, оста</w:t>
      </w:r>
      <w:r w:rsidRPr="006C4070">
        <w:t>в</w:t>
      </w:r>
      <w:r w:rsidRPr="006C4070">
        <w:t>ленных родителями-мигрантами, о котором свидетельствуют высокие показат</w:t>
      </w:r>
      <w:r w:rsidRPr="006C4070">
        <w:t>е</w:t>
      </w:r>
      <w:r w:rsidRPr="006C4070">
        <w:t>ли отсева учащихся из школ, ухудшение питания и состояния здоровья и пр</w:t>
      </w:r>
      <w:r w:rsidRPr="006C4070">
        <w:t>о</w:t>
      </w:r>
      <w:r w:rsidRPr="006C4070">
        <w:t>блемы психоэмоционального характера;</w:t>
      </w:r>
    </w:p>
    <w:p w:rsidR="006C4070" w:rsidRPr="006C4070" w:rsidRDefault="006C4070" w:rsidP="006C4070">
      <w:pPr>
        <w:pStyle w:val="SingleTxtGR"/>
      </w:pPr>
      <w:r w:rsidRPr="006C4070">
        <w:tab/>
        <w:t>b)</w:t>
      </w:r>
      <w:r w:rsidRPr="006C4070">
        <w:tab/>
        <w:t>острой нехватки квалифицированных работников и хорошо об</w:t>
      </w:r>
      <w:r w:rsidRPr="006C4070">
        <w:t>у</w:t>
      </w:r>
      <w:r w:rsidRPr="006C4070">
        <w:t>ченных квалифицированных специалистов, особенно в сферах здравоохранения и образования;</w:t>
      </w:r>
    </w:p>
    <w:p w:rsidR="006C4070" w:rsidRPr="006C4070" w:rsidRDefault="006C4070" w:rsidP="006C4070">
      <w:pPr>
        <w:pStyle w:val="SingleTxtGR"/>
      </w:pPr>
      <w:r w:rsidRPr="006C4070">
        <w:tab/>
        <w:t>c)</w:t>
      </w:r>
      <w:r w:rsidRPr="006C4070">
        <w:tab/>
        <w:t>дифференциации предусмотренных в двусторонних соглашениях между государством-участником и странами-работодателями мер социальной защиты, что может привести к исключению некоторых мигрантов из системы социального страхования после их возвращения на родину;</w:t>
      </w:r>
    </w:p>
    <w:p w:rsidR="006C4070" w:rsidRPr="006C4070" w:rsidRDefault="0045455B" w:rsidP="006C4070">
      <w:pPr>
        <w:pStyle w:val="SingleTxtGR"/>
      </w:pPr>
      <w:r>
        <w:tab/>
        <w:t>d)</w:t>
      </w:r>
      <w:r>
        <w:tab/>
        <w:t xml:space="preserve">трудностей с </w:t>
      </w:r>
      <w:proofErr w:type="spellStart"/>
      <w:r>
        <w:t>реинтеграцией</w:t>
      </w:r>
      <w:proofErr w:type="spellEnd"/>
      <w:r w:rsidR="006C4070" w:rsidRPr="006C4070">
        <w:t xml:space="preserve"> на рынке труда, с которыми сталкив</w:t>
      </w:r>
      <w:r w:rsidR="006C4070" w:rsidRPr="006C4070">
        <w:t>а</w:t>
      </w:r>
      <w:r w:rsidR="006C4070" w:rsidRPr="006C4070">
        <w:t>ются возвращающиеся в страну граждане (статьи 6, 7, 9 и 10).</w:t>
      </w:r>
    </w:p>
    <w:p w:rsidR="006C4070" w:rsidRPr="006C4070" w:rsidRDefault="006C4070" w:rsidP="006C4070">
      <w:pPr>
        <w:pStyle w:val="SingleTxtGR"/>
        <w:rPr>
          <w:b/>
        </w:rPr>
      </w:pPr>
      <w:r w:rsidRPr="00C062A4">
        <w:t>29.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с целью: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a)</w:t>
      </w:r>
      <w:r w:rsidRPr="006C4070">
        <w:tab/>
      </w:r>
      <w:r w:rsidRPr="006C4070">
        <w:rPr>
          <w:b/>
          <w:bCs/>
        </w:rPr>
        <w:t>обеспечения того, чтобы дети находящихся за рубежом молда</w:t>
      </w:r>
      <w:r w:rsidRPr="006C4070">
        <w:rPr>
          <w:b/>
          <w:bCs/>
        </w:rPr>
        <w:t>в</w:t>
      </w:r>
      <w:r w:rsidRPr="006C4070">
        <w:rPr>
          <w:b/>
          <w:bCs/>
        </w:rPr>
        <w:t>ских трудящихся-мигрантов были полностью под присмотром членов с</w:t>
      </w:r>
      <w:r w:rsidRPr="006C4070">
        <w:rPr>
          <w:b/>
          <w:bCs/>
        </w:rPr>
        <w:t>е</w:t>
      </w:r>
      <w:r w:rsidRPr="006C4070">
        <w:rPr>
          <w:b/>
          <w:bCs/>
        </w:rPr>
        <w:t>мьи или назначенных лиц, осуществляющих уход, и не лишались эконом</w:t>
      </w:r>
      <w:r w:rsidRPr="006C4070">
        <w:rPr>
          <w:b/>
          <w:bCs/>
        </w:rPr>
        <w:t>и</w:t>
      </w:r>
      <w:r w:rsidRPr="006C4070">
        <w:rPr>
          <w:b/>
          <w:bCs/>
        </w:rPr>
        <w:t>ческих, социальных и культурных прав, в том числе на охрану здоровья и образование, и оказания в этой связи поддержки лицам, осуществляющим альтернативный уход;</w:t>
      </w:r>
      <w:r w:rsidRPr="006C4070">
        <w:t xml:space="preserve"> 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b)</w:t>
      </w:r>
      <w:r w:rsidRPr="006C4070">
        <w:tab/>
      </w:r>
      <w:r w:rsidRPr="006C4070">
        <w:rPr>
          <w:b/>
          <w:bCs/>
        </w:rPr>
        <w:t>удерживания своих кадров, особенно квалифицированных р</w:t>
      </w:r>
      <w:r w:rsidRPr="006C4070">
        <w:rPr>
          <w:b/>
          <w:bCs/>
        </w:rPr>
        <w:t>а</w:t>
      </w:r>
      <w:r w:rsidRPr="006C4070">
        <w:rPr>
          <w:b/>
          <w:bCs/>
        </w:rPr>
        <w:t>ботников и квалифицированных врачей и специалистов в сфере образов</w:t>
      </w:r>
      <w:r w:rsidRPr="006C4070">
        <w:rPr>
          <w:b/>
          <w:bCs/>
        </w:rPr>
        <w:t>а</w:t>
      </w:r>
      <w:r w:rsidRPr="006C4070">
        <w:rPr>
          <w:b/>
          <w:bCs/>
        </w:rPr>
        <w:t>ния, в том числе посредством надлежащих стимулов;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c)</w:t>
      </w:r>
      <w:r w:rsidRPr="006C4070">
        <w:tab/>
      </w:r>
      <w:r w:rsidRPr="006C4070">
        <w:rPr>
          <w:b/>
          <w:bCs/>
        </w:rPr>
        <w:t>расширения сферы охвата двусторонних соглашений для обе</w:t>
      </w:r>
      <w:r w:rsidRPr="006C4070">
        <w:rPr>
          <w:b/>
          <w:bCs/>
        </w:rPr>
        <w:t>с</w:t>
      </w:r>
      <w:r w:rsidRPr="006C4070">
        <w:rPr>
          <w:b/>
          <w:bCs/>
        </w:rPr>
        <w:t>печения полной трудовой и социальной защиты трудящихся-мигрантов в стране-работодателе и возможности в полной мере пользоваться благами системы социального обеспечения после их возвращения;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d)</w:t>
      </w:r>
      <w:r w:rsidRPr="006C4070">
        <w:tab/>
      </w:r>
      <w:r w:rsidRPr="006C4070">
        <w:rPr>
          <w:b/>
          <w:bCs/>
        </w:rPr>
        <w:t>содействия выходу возвращающихся трудящихся-мигрантов на рынок труда путем расширения программ профессиональной подготовки и создания возможностей трудоустройства.</w:t>
      </w:r>
    </w:p>
    <w:p w:rsidR="006C4070" w:rsidRPr="006C4070" w:rsidRDefault="00C062A4" w:rsidP="00C062A4">
      <w:pPr>
        <w:pStyle w:val="H23GR"/>
      </w:pPr>
      <w:r>
        <w:br w:type="page"/>
      </w:r>
      <w:r w:rsidR="006C4070" w:rsidRPr="006C4070">
        <w:lastRenderedPageBreak/>
        <w:tab/>
      </w:r>
      <w:r w:rsidR="006C4070" w:rsidRPr="006C4070">
        <w:tab/>
        <w:t xml:space="preserve">Минимальный </w:t>
      </w:r>
      <w:proofErr w:type="gramStart"/>
      <w:r w:rsidR="006C4070" w:rsidRPr="006C4070">
        <w:t>размер оплаты труда</w:t>
      </w:r>
      <w:proofErr w:type="gramEnd"/>
    </w:p>
    <w:p w:rsidR="006C4070" w:rsidRPr="006C4070" w:rsidRDefault="006C4070" w:rsidP="006C4070">
      <w:pPr>
        <w:pStyle w:val="SingleTxtGR"/>
      </w:pPr>
      <w:r w:rsidRPr="006C4070">
        <w:t>30.</w:t>
      </w:r>
      <w:r w:rsidRPr="006C4070">
        <w:tab/>
        <w:t xml:space="preserve">Комитет обеспокоен тем, что минимальный </w:t>
      </w:r>
      <w:proofErr w:type="gramStart"/>
      <w:r w:rsidRPr="006C4070">
        <w:t>размер оплаты труда</w:t>
      </w:r>
      <w:proofErr w:type="gramEnd"/>
      <w:r w:rsidRPr="006C4070">
        <w:t xml:space="preserve"> знач</w:t>
      </w:r>
      <w:r w:rsidRPr="006C4070">
        <w:t>и</w:t>
      </w:r>
      <w:r w:rsidRPr="006C4070">
        <w:t>тельно ниже прожиточного минимума и что минимальный размер оплаты труда в государственном секторе не индексировался с 2014 года и в два раза меньше минимального размера оплаты труда в частном секторе (статья 7).</w:t>
      </w:r>
    </w:p>
    <w:p w:rsidR="006C4070" w:rsidRPr="006C4070" w:rsidRDefault="006C4070" w:rsidP="006C4070">
      <w:pPr>
        <w:pStyle w:val="SingleTxtGR"/>
        <w:rPr>
          <w:b/>
        </w:rPr>
      </w:pPr>
      <w:r w:rsidRPr="00C062A4">
        <w:t>31.</w:t>
      </w:r>
      <w:r w:rsidRPr="006C4070">
        <w:tab/>
      </w:r>
      <w:proofErr w:type="gramStart"/>
      <w:r w:rsidRPr="006C4070">
        <w:rPr>
          <w:b/>
          <w:bCs/>
        </w:rPr>
        <w:t>Комитет рекомендует государству-участнику</w:t>
      </w:r>
      <w:r w:rsidR="00DB03C7">
        <w:rPr>
          <w:b/>
          <w:bCs/>
        </w:rPr>
        <w:t>:</w:t>
      </w:r>
      <w:r w:rsidRPr="006C4070">
        <w:rPr>
          <w:b/>
          <w:bCs/>
        </w:rPr>
        <w:t xml:space="preserve"> a) увеличить мин</w:t>
      </w:r>
      <w:r w:rsidRPr="006C4070">
        <w:rPr>
          <w:b/>
          <w:bCs/>
        </w:rPr>
        <w:t>и</w:t>
      </w:r>
      <w:r w:rsidRPr="006C4070">
        <w:rPr>
          <w:b/>
          <w:bCs/>
        </w:rPr>
        <w:t>мальный размер оплаты, особенно в государственном секторе, до уровня, который обеспечивает трудящимся и их семьям достойную жизнь;</w:t>
      </w:r>
      <w:r w:rsidRPr="006C4070">
        <w:t xml:space="preserve"> </w:t>
      </w:r>
      <w:r w:rsidRPr="006C4070">
        <w:rPr>
          <w:b/>
          <w:bCs/>
        </w:rPr>
        <w:t>b) рег</w:t>
      </w:r>
      <w:r w:rsidRPr="006C4070">
        <w:rPr>
          <w:b/>
          <w:bCs/>
        </w:rPr>
        <w:t>у</w:t>
      </w:r>
      <w:r w:rsidRPr="006C4070">
        <w:rPr>
          <w:b/>
          <w:bCs/>
        </w:rPr>
        <w:t>лярно корректировать минимальный размер оплаты с учетом стоимости жизни;</w:t>
      </w:r>
      <w:r w:rsidRPr="006C4070">
        <w:t xml:space="preserve"> </w:t>
      </w:r>
      <w:r w:rsidRPr="006C4070">
        <w:rPr>
          <w:b/>
          <w:bCs/>
        </w:rPr>
        <w:t>c) улучшать положение с соблюдением работодателями требований в отношении минимального размера оплаты труда посредством трудовых инспекций и механизмов рассмотрения жалоб;</w:t>
      </w:r>
      <w:proofErr w:type="gramEnd"/>
      <w:r w:rsidRPr="006C4070">
        <w:t xml:space="preserve"> </w:t>
      </w:r>
      <w:r w:rsidRPr="006C4070">
        <w:rPr>
          <w:b/>
          <w:bCs/>
        </w:rPr>
        <w:t>и d) обеспечивать примен</w:t>
      </w:r>
      <w:r w:rsidRPr="006C4070">
        <w:rPr>
          <w:b/>
          <w:bCs/>
        </w:rPr>
        <w:t>е</w:t>
      </w:r>
      <w:r w:rsidRPr="006C4070">
        <w:rPr>
          <w:b/>
          <w:bCs/>
        </w:rPr>
        <w:t xml:space="preserve">ние </w:t>
      </w:r>
      <w:proofErr w:type="spellStart"/>
      <w:r w:rsidRPr="006C4070">
        <w:rPr>
          <w:b/>
          <w:bCs/>
        </w:rPr>
        <w:t>спнкций</w:t>
      </w:r>
      <w:proofErr w:type="spellEnd"/>
      <w:r w:rsidRPr="006C4070">
        <w:rPr>
          <w:b/>
          <w:bCs/>
        </w:rPr>
        <w:t xml:space="preserve"> к тем, кто не выплачивает минимальную заработную плату.</w:t>
      </w:r>
    </w:p>
    <w:p w:rsidR="006C4070" w:rsidRPr="006C4070" w:rsidRDefault="006C4070" w:rsidP="00C062A4">
      <w:pPr>
        <w:pStyle w:val="H23GR"/>
      </w:pPr>
      <w:r w:rsidRPr="006C4070">
        <w:tab/>
      </w:r>
      <w:r w:rsidRPr="006C4070">
        <w:tab/>
        <w:t>Право на справедливые и благоприятные условия труда</w:t>
      </w:r>
    </w:p>
    <w:p w:rsidR="006C4070" w:rsidRPr="006C4070" w:rsidRDefault="006C4070" w:rsidP="00C062A4">
      <w:pPr>
        <w:pStyle w:val="SingleTxtGR"/>
      </w:pPr>
      <w:r w:rsidRPr="006C4070">
        <w:t>32.</w:t>
      </w:r>
      <w:r w:rsidRPr="006C4070">
        <w:tab/>
        <w:t xml:space="preserve">Комитет выражает обеспокоенность в связи с широко распространенной практикой </w:t>
      </w:r>
      <w:proofErr w:type="spellStart"/>
      <w:r w:rsidRPr="006C4070">
        <w:t>недекларируемой</w:t>
      </w:r>
      <w:proofErr w:type="spellEnd"/>
      <w:r w:rsidRPr="006C4070">
        <w:t xml:space="preserve"> заработной платы (так называемый </w:t>
      </w:r>
      <w:r w:rsidR="00872B6E">
        <w:t>«</w:t>
      </w:r>
      <w:r w:rsidRPr="006C4070">
        <w:t>зарплаты в конверте</w:t>
      </w:r>
      <w:r w:rsidR="00872B6E">
        <w:t>»</w:t>
      </w:r>
      <w:r w:rsidRPr="006C4070">
        <w:t>), которая является одним из основных препятствий в деле создания всеобъемлющей системы социального обеспечения в стране и оказывает сущ</w:t>
      </w:r>
      <w:r w:rsidRPr="006C4070">
        <w:t>е</w:t>
      </w:r>
      <w:r w:rsidRPr="006C4070">
        <w:t xml:space="preserve">ственное негативное воздействие </w:t>
      </w:r>
      <w:proofErr w:type="gramStart"/>
      <w:r w:rsidRPr="006C4070">
        <w:t>на право на</w:t>
      </w:r>
      <w:proofErr w:type="gramEnd"/>
      <w:r w:rsidRPr="006C4070">
        <w:t xml:space="preserve"> социальное обеспечение лиц, з</w:t>
      </w:r>
      <w:r w:rsidRPr="006C4070">
        <w:t>а</w:t>
      </w:r>
      <w:r w:rsidRPr="006C4070">
        <w:t xml:space="preserve">работная плата которых декларируется </w:t>
      </w:r>
      <w:proofErr w:type="spellStart"/>
      <w:r w:rsidRPr="006C4070">
        <w:t>неполностью</w:t>
      </w:r>
      <w:proofErr w:type="spellEnd"/>
      <w:r w:rsidRPr="006C4070">
        <w:t>. Он также обеспокоен огромной задолженностью по заработной плате, которая составляет почти 140</w:t>
      </w:r>
      <w:r w:rsidR="00C062A4">
        <w:t> </w:t>
      </w:r>
      <w:proofErr w:type="gramStart"/>
      <w:r w:rsidR="00C062A4">
        <w:t>млн</w:t>
      </w:r>
      <w:proofErr w:type="gramEnd"/>
      <w:r w:rsidRPr="006C4070">
        <w:t xml:space="preserve"> леев и затрагивают более 17 000 работников (статья 7)</w:t>
      </w:r>
      <w:r w:rsidR="00C062A4">
        <w:t>.</w:t>
      </w:r>
    </w:p>
    <w:p w:rsidR="006C4070" w:rsidRPr="006C4070" w:rsidRDefault="006C4070" w:rsidP="006C4070">
      <w:pPr>
        <w:pStyle w:val="SingleTxtGR"/>
        <w:rPr>
          <w:b/>
        </w:rPr>
      </w:pPr>
      <w:r w:rsidRPr="00DB03C7">
        <w:t>33.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принять все необход</w:t>
      </w:r>
      <w:r w:rsidRPr="006C4070">
        <w:rPr>
          <w:b/>
          <w:bCs/>
        </w:rPr>
        <w:t>и</w:t>
      </w:r>
      <w:r w:rsidRPr="006C4070">
        <w:rPr>
          <w:b/>
          <w:bCs/>
        </w:rPr>
        <w:t>мые меры для обеспечения того, чтобы вся заработная плата работников полностью декларировалась и чтобы без дальнейших задержек была пог</w:t>
      </w:r>
      <w:r w:rsidRPr="006C4070">
        <w:rPr>
          <w:b/>
          <w:bCs/>
        </w:rPr>
        <w:t>а</w:t>
      </w:r>
      <w:r w:rsidRPr="006C4070">
        <w:rPr>
          <w:b/>
          <w:bCs/>
        </w:rPr>
        <w:t>шена вся задолженность по заработной плате и выплачена вся невыпл</w:t>
      </w:r>
      <w:r w:rsidRPr="006C4070">
        <w:rPr>
          <w:b/>
          <w:bCs/>
        </w:rPr>
        <w:t>а</w:t>
      </w:r>
      <w:r w:rsidRPr="006C4070">
        <w:rPr>
          <w:b/>
          <w:bCs/>
        </w:rPr>
        <w:t>ченная заработная плата.</w:t>
      </w:r>
      <w:r w:rsidRPr="006C4070">
        <w:t xml:space="preserve"> 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Гендерные различия в оплате труда и равная оплата за труд равной ценности</w:t>
      </w:r>
    </w:p>
    <w:p w:rsidR="006C4070" w:rsidRPr="006C4070" w:rsidRDefault="006C4070" w:rsidP="006C4070">
      <w:pPr>
        <w:pStyle w:val="SingleTxtGR"/>
      </w:pPr>
      <w:r w:rsidRPr="006C4070">
        <w:t>34.</w:t>
      </w:r>
      <w:r w:rsidRPr="006C4070">
        <w:tab/>
        <w:t>Приветствуя 50-процентное сокращение за отчетный период гендерного разрыва в оплате труда, Комитет выражает обеспокоенность в связи с его с</w:t>
      </w:r>
      <w:r w:rsidRPr="006C4070">
        <w:t>о</w:t>
      </w:r>
      <w:r w:rsidRPr="006C4070">
        <w:t>хранением, что приводит к возникновению более широких гендерных различий в размере пособий по социальному страхованию, таких как пенсии. Он также обеспокоен отсутствием законодательной базы, которая обеспечивала бы с</w:t>
      </w:r>
      <w:r w:rsidRPr="006C4070">
        <w:t>о</w:t>
      </w:r>
      <w:r w:rsidRPr="006C4070">
        <w:t>блюдение принципа равной оплаты за труд равной ценности (статья 7).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35.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подвести законодател</w:t>
      </w:r>
      <w:r w:rsidRPr="006C4070">
        <w:rPr>
          <w:b/>
          <w:bCs/>
        </w:rPr>
        <w:t>ь</w:t>
      </w:r>
      <w:r w:rsidRPr="006C4070">
        <w:rPr>
          <w:b/>
          <w:bCs/>
        </w:rPr>
        <w:t>ную базу под принцип равной платы за труд равной ценности и добиваться дальнейшего сокращения гендерного разрыва в оплате труда, в том числе посредством борьбы с гендерными стереотипами и повышения професси</w:t>
      </w:r>
      <w:r w:rsidRPr="006C4070">
        <w:rPr>
          <w:b/>
          <w:bCs/>
        </w:rPr>
        <w:t>о</w:t>
      </w:r>
      <w:r w:rsidRPr="006C4070">
        <w:rPr>
          <w:b/>
          <w:bCs/>
        </w:rPr>
        <w:t>нальной квалификации женщин и расширения их возможностей в сфере занятости применительно к нетрадиционным для них профессиям.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Безопасность и гигиена труда</w:t>
      </w:r>
    </w:p>
    <w:p w:rsidR="006C4070" w:rsidRPr="006C4070" w:rsidRDefault="006C4070" w:rsidP="006C4070">
      <w:pPr>
        <w:pStyle w:val="SingleTxtGR"/>
      </w:pPr>
      <w:r w:rsidRPr="006C4070">
        <w:t>36.</w:t>
      </w:r>
      <w:r w:rsidRPr="006C4070">
        <w:tab/>
        <w:t>Комитет с обеспокоенностью отмечает большое число несчастных случ</w:t>
      </w:r>
      <w:r w:rsidRPr="006C4070">
        <w:t>а</w:t>
      </w:r>
      <w:r w:rsidRPr="006C4070">
        <w:t xml:space="preserve">ев на производстве, которые приводят к гибели людей и серьезным травмам, а также неэффективность трудовых инспекций. </w:t>
      </w:r>
      <w:proofErr w:type="gramStart"/>
      <w:r w:rsidRPr="006C4070">
        <w:t>Он выражает особую обеспок</w:t>
      </w:r>
      <w:r w:rsidRPr="006C4070">
        <w:t>о</w:t>
      </w:r>
      <w:r w:rsidRPr="006C4070">
        <w:t>енность по поводу положений Закона № 131 о государственном контроле за предпринимательской деятельности, в соответствии которыми трудовые и</w:t>
      </w:r>
      <w:r w:rsidRPr="006C4070">
        <w:t>н</w:t>
      </w:r>
      <w:r w:rsidRPr="006C4070">
        <w:t>спекции можно проводить не чаще одного раза в год с уведомлением работод</w:t>
      </w:r>
      <w:r w:rsidRPr="006C4070">
        <w:t>а</w:t>
      </w:r>
      <w:r w:rsidRPr="006C4070">
        <w:t>телей за пять дней до проведения инспекций, и по поводу недостаточности ф</w:t>
      </w:r>
      <w:r w:rsidRPr="006C4070">
        <w:t>и</w:t>
      </w:r>
      <w:r w:rsidRPr="006C4070">
        <w:t>нансовых и людских ресурсов, выделяемых для трудовых инспекций (статья 7).</w:t>
      </w:r>
      <w:proofErr w:type="gramEnd"/>
    </w:p>
    <w:p w:rsidR="006C4070" w:rsidRPr="006C4070" w:rsidRDefault="00160419" w:rsidP="006C4070">
      <w:pPr>
        <w:pStyle w:val="SingleTxtGR"/>
        <w:rPr>
          <w:b/>
        </w:rPr>
      </w:pPr>
      <w:r>
        <w:br w:type="page"/>
      </w:r>
      <w:r w:rsidR="006C4070" w:rsidRPr="00160419">
        <w:lastRenderedPageBreak/>
        <w:t>37.</w:t>
      </w:r>
      <w:r w:rsidR="006C4070" w:rsidRPr="006C4070">
        <w:tab/>
      </w:r>
      <w:r w:rsidR="006C4070" w:rsidRPr="006C4070">
        <w:rPr>
          <w:b/>
          <w:bCs/>
        </w:rPr>
        <w:t>Комитет рекомендует государству-участнику принимать все необх</w:t>
      </w:r>
      <w:r w:rsidR="006C4070" w:rsidRPr="006C4070">
        <w:rPr>
          <w:b/>
          <w:bCs/>
        </w:rPr>
        <w:t>о</w:t>
      </w:r>
      <w:r w:rsidR="006C4070" w:rsidRPr="006C4070">
        <w:rPr>
          <w:b/>
          <w:bCs/>
        </w:rPr>
        <w:t>димые меры по предупреждению несчастных случаев на производстве, п</w:t>
      </w:r>
      <w:r w:rsidR="006C4070" w:rsidRPr="006C4070">
        <w:rPr>
          <w:b/>
          <w:bCs/>
        </w:rPr>
        <w:t>о</w:t>
      </w:r>
      <w:r w:rsidR="006C4070" w:rsidRPr="006C4070">
        <w:rPr>
          <w:b/>
          <w:bCs/>
        </w:rPr>
        <w:t>вышать уровень безопасности и гигиены труда и укреплять трудовые и</w:t>
      </w:r>
      <w:r w:rsidR="006C4070" w:rsidRPr="006C4070">
        <w:rPr>
          <w:b/>
          <w:bCs/>
        </w:rPr>
        <w:t>н</w:t>
      </w:r>
      <w:r w:rsidR="006C4070" w:rsidRPr="006C4070">
        <w:rPr>
          <w:b/>
          <w:bCs/>
        </w:rPr>
        <w:t xml:space="preserve">спекции, в том числе путем пересмотра Закона № 131 о государственном </w:t>
      </w:r>
      <w:proofErr w:type="gramStart"/>
      <w:r w:rsidR="006C4070" w:rsidRPr="006C4070">
        <w:rPr>
          <w:b/>
          <w:bCs/>
        </w:rPr>
        <w:t>контроле за</w:t>
      </w:r>
      <w:proofErr w:type="gramEnd"/>
      <w:r w:rsidR="006C4070" w:rsidRPr="006C4070">
        <w:rPr>
          <w:b/>
          <w:bCs/>
        </w:rPr>
        <w:t xml:space="preserve"> предпринимательской деятельностью и выделения достато</w:t>
      </w:r>
      <w:r w:rsidR="006C4070" w:rsidRPr="006C4070">
        <w:rPr>
          <w:b/>
          <w:bCs/>
        </w:rPr>
        <w:t>ч</w:t>
      </w:r>
      <w:r w:rsidR="006C4070" w:rsidRPr="006C4070">
        <w:rPr>
          <w:b/>
          <w:bCs/>
        </w:rPr>
        <w:t>ных людских и финансовых ресурсов для трудовых инспекций.</w:t>
      </w:r>
      <w:r w:rsidR="006C4070" w:rsidRPr="006C4070">
        <w:t xml:space="preserve"> </w:t>
      </w:r>
      <w:r w:rsidR="006C4070" w:rsidRPr="006C4070">
        <w:rPr>
          <w:b/>
          <w:bCs/>
        </w:rPr>
        <w:t>Комитет обращает внимание государства-участника на свое замечание общего п</w:t>
      </w:r>
      <w:r w:rsidR="006C4070" w:rsidRPr="006C4070">
        <w:rPr>
          <w:b/>
          <w:bCs/>
        </w:rPr>
        <w:t>о</w:t>
      </w:r>
      <w:r w:rsidR="006C4070" w:rsidRPr="006C4070">
        <w:rPr>
          <w:b/>
          <w:bCs/>
        </w:rPr>
        <w:t>рядка № 23 (2016) о праве на справедливые и благоприятные условия тр</w:t>
      </w:r>
      <w:r w:rsidR="006C4070" w:rsidRPr="006C4070">
        <w:rPr>
          <w:b/>
          <w:bCs/>
        </w:rPr>
        <w:t>у</w:t>
      </w:r>
      <w:r w:rsidR="006C4070" w:rsidRPr="006C4070">
        <w:rPr>
          <w:b/>
          <w:bCs/>
        </w:rPr>
        <w:t>да.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Свободные экономические зоны</w:t>
      </w:r>
    </w:p>
    <w:p w:rsidR="006C4070" w:rsidRPr="006C4070" w:rsidRDefault="006C4070" w:rsidP="006C4070">
      <w:pPr>
        <w:pStyle w:val="SingleTxtGR"/>
      </w:pPr>
      <w:r w:rsidRPr="006C4070">
        <w:t>38.</w:t>
      </w:r>
      <w:r w:rsidRPr="006C4070">
        <w:tab/>
        <w:t>Комитет обеспокоен тем, что применяемый к свободным экономическим зонам режим стимулирования, в частности введение 10-летнего моратория на соблюдение законодательства в отношении тех, кто инвестирует в свободные экономические зоны, может иметь серьезные негативные последствия для ос</w:t>
      </w:r>
      <w:r w:rsidRPr="006C4070">
        <w:t>у</w:t>
      </w:r>
      <w:r w:rsidRPr="006C4070">
        <w:t xml:space="preserve">ществления трудящимися в этих </w:t>
      </w:r>
      <w:proofErr w:type="gramStart"/>
      <w:r w:rsidRPr="006C4070">
        <w:t>зонах</w:t>
      </w:r>
      <w:proofErr w:type="gramEnd"/>
      <w:r w:rsidRPr="006C4070">
        <w:t xml:space="preserve"> закрепленных в Пакте прав.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39.</w:t>
      </w:r>
      <w:r w:rsidRPr="006C4070">
        <w:tab/>
      </w:r>
      <w:proofErr w:type="gramStart"/>
      <w:r w:rsidRPr="006C4070">
        <w:rPr>
          <w:b/>
          <w:bCs/>
        </w:rPr>
        <w:t>Комитет рекомендует государству-участнику принять все меры для обеспечения того, чтобы закрепленные в Пакте права лиц, работающих в свободных экономических зонах, были в полной мере гарантированы и защищены, в том числе право на справедливые и благоприятные условия труда, право создавать профсоюзы и вступать в них и право на забастовку, право на здоровье и право на социальное обеспечение.</w:t>
      </w:r>
      <w:r w:rsidRPr="006C4070">
        <w:t xml:space="preserve"> </w:t>
      </w:r>
      <w:proofErr w:type="gramEnd"/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Право на социальное обеспечение</w:t>
      </w:r>
    </w:p>
    <w:p w:rsidR="006C4070" w:rsidRPr="006C4070" w:rsidRDefault="006C4070" w:rsidP="006C4070">
      <w:pPr>
        <w:pStyle w:val="SingleTxtGR"/>
      </w:pPr>
      <w:r w:rsidRPr="006C4070">
        <w:t>40.</w:t>
      </w:r>
      <w:r w:rsidRPr="006C4070">
        <w:tab/>
        <w:t>Комитет по-прежнему обеспокоен тем, что выплачиваемые из паевых взносов пенсии в государстве-участнике гораздо ниже прожиточного минимума и что не предусматривающие взносов соц</w:t>
      </w:r>
      <w:r w:rsidR="00160419">
        <w:t>иальные пособия еще меньше (см. </w:t>
      </w:r>
      <w:r w:rsidRPr="006C4070">
        <w:t>E/C.12/</w:t>
      </w:r>
      <w:proofErr w:type="spellStart"/>
      <w:r w:rsidRPr="006C4070">
        <w:t>MDA</w:t>
      </w:r>
      <w:proofErr w:type="spellEnd"/>
      <w:r w:rsidRPr="006C4070">
        <w:t>/</w:t>
      </w:r>
      <w:proofErr w:type="spellStart"/>
      <w:r w:rsidRPr="006C4070">
        <w:t>CO</w:t>
      </w:r>
      <w:proofErr w:type="spellEnd"/>
      <w:r w:rsidRPr="006C4070">
        <w:t>/2, пункт 12). Он также обеспокоен тем, что:</w:t>
      </w:r>
    </w:p>
    <w:p w:rsidR="006C4070" w:rsidRPr="006C4070" w:rsidRDefault="006C4070" w:rsidP="006C4070">
      <w:pPr>
        <w:pStyle w:val="SingleTxtGR"/>
      </w:pPr>
      <w:r w:rsidRPr="006C4070">
        <w:tab/>
        <w:t>a)</w:t>
      </w:r>
      <w:r w:rsidRPr="006C4070">
        <w:tab/>
        <w:t>время, затраченное родителями детей с тяжелыми формами инв</w:t>
      </w:r>
      <w:r w:rsidRPr="006C4070">
        <w:t>а</w:t>
      </w:r>
      <w:r w:rsidRPr="006C4070">
        <w:t>лидности на уход за ними, н</w:t>
      </w:r>
      <w:r w:rsidR="00160419">
        <w:t>е было засчитано за период 1999–</w:t>
      </w:r>
      <w:r w:rsidRPr="006C4070">
        <w:t>2017 годов при установлении прав на получение социальных выплат;</w:t>
      </w:r>
    </w:p>
    <w:p w:rsidR="006C4070" w:rsidRPr="006C4070" w:rsidRDefault="006C4070" w:rsidP="006C4070">
      <w:pPr>
        <w:pStyle w:val="SingleTxtGR"/>
      </w:pPr>
      <w:r w:rsidRPr="006C4070">
        <w:tab/>
        <w:t>b)</w:t>
      </w:r>
      <w:r w:rsidRPr="006C4070">
        <w:tab/>
        <w:t>отсутствуют гарантии непрерывности стажа при начислении соц</w:t>
      </w:r>
      <w:r w:rsidRPr="006C4070">
        <w:t>и</w:t>
      </w:r>
      <w:r w:rsidRPr="006C4070">
        <w:t>альных пособий, что приводит к тому, что многие люди выпадают из системы социальной защиты;</w:t>
      </w:r>
    </w:p>
    <w:p w:rsidR="006C4070" w:rsidRPr="006C4070" w:rsidRDefault="006C4070" w:rsidP="006C4070">
      <w:pPr>
        <w:pStyle w:val="SingleTxtGR"/>
      </w:pPr>
      <w:r w:rsidRPr="006C4070">
        <w:tab/>
        <w:t>c)</w:t>
      </w:r>
      <w:r w:rsidRPr="006C4070">
        <w:tab/>
        <w:t>юристы, нотариусы, переводчики и другие специалисты, занима</w:t>
      </w:r>
      <w:r w:rsidRPr="006C4070">
        <w:t>ю</w:t>
      </w:r>
      <w:r w:rsidRPr="006C4070">
        <w:t>щиеся самостоятельной трудовой деятельностью, имеют ограниченный доступ к программам социального обеспечения, что особенно негативно сказывается на женщинах;</w:t>
      </w:r>
    </w:p>
    <w:p w:rsidR="006C4070" w:rsidRPr="006C4070" w:rsidRDefault="006C4070" w:rsidP="006C4070">
      <w:pPr>
        <w:pStyle w:val="SingleTxtGR"/>
      </w:pPr>
      <w:r w:rsidRPr="006C4070">
        <w:tab/>
        <w:t>d)</w:t>
      </w:r>
      <w:r w:rsidRPr="006C4070">
        <w:tab/>
        <w:t xml:space="preserve">отсутствует информация о программах социального обеспечения и усложнена процедура подачи заявлений на получение социальных </w:t>
      </w:r>
      <w:proofErr w:type="spellStart"/>
      <w:r w:rsidRPr="006C4070">
        <w:t>пособийт</w:t>
      </w:r>
      <w:proofErr w:type="spellEnd"/>
      <w:r w:rsidRPr="006C4070">
        <w:t xml:space="preserve">, что не позволяет находящимся в неблагоприятном положении и </w:t>
      </w:r>
      <w:proofErr w:type="spellStart"/>
      <w:r w:rsidRPr="006C4070">
        <w:t>маргинализ</w:t>
      </w:r>
      <w:r w:rsidRPr="006C4070">
        <w:t>и</w:t>
      </w:r>
      <w:r w:rsidRPr="006C4070">
        <w:t>рованным</w:t>
      </w:r>
      <w:proofErr w:type="spellEnd"/>
      <w:r w:rsidRPr="006C4070">
        <w:t xml:space="preserve"> лицам, в частности рома и жителям сельских районов, пользоваться этими программами (пункт 2 статьи 2 и статья 9).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41.</w:t>
      </w:r>
      <w:r w:rsidRPr="006C4070">
        <w:tab/>
      </w:r>
      <w:r w:rsidRPr="006C4070">
        <w:rPr>
          <w:b/>
          <w:bCs/>
        </w:rPr>
        <w:t>Комитет повторяет свою предыдущую рекомендацию о том, чтобы размер пенсии был увеличен до уровня, обеспечивающего достойную жизнь, и в качестве первого шага достиг прожиточного минимума.</w:t>
      </w:r>
      <w:r w:rsidRPr="006C4070">
        <w:t xml:space="preserve"> </w:t>
      </w:r>
      <w:r w:rsidR="00160419">
        <w:rPr>
          <w:b/>
          <w:bCs/>
        </w:rPr>
        <w:t>Он </w:t>
      </w:r>
      <w:r w:rsidRPr="006C4070">
        <w:rPr>
          <w:b/>
          <w:bCs/>
        </w:rPr>
        <w:t>также рекомендует государству-участнику: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proofErr w:type="gramStart"/>
      <w:r w:rsidRPr="006C4070">
        <w:rPr>
          <w:b/>
          <w:bCs/>
        </w:rPr>
        <w:t>a)</w:t>
      </w:r>
      <w:r w:rsidRPr="006C4070">
        <w:tab/>
      </w:r>
      <w:r w:rsidRPr="006C4070">
        <w:rPr>
          <w:b/>
          <w:bCs/>
        </w:rPr>
        <w:t>незамедлительно исправить положение родителей, осущест</w:t>
      </w:r>
      <w:r w:rsidRPr="006C4070">
        <w:rPr>
          <w:b/>
          <w:bCs/>
        </w:rPr>
        <w:t>в</w:t>
      </w:r>
      <w:r w:rsidRPr="006C4070">
        <w:rPr>
          <w:b/>
          <w:bCs/>
        </w:rPr>
        <w:t>ляющих уход за детьми-инвалидами;</w:t>
      </w:r>
      <w:proofErr w:type="gramEnd"/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b)</w:t>
      </w:r>
      <w:r w:rsidRPr="006C4070">
        <w:tab/>
      </w:r>
      <w:r w:rsidRPr="006C4070">
        <w:rPr>
          <w:b/>
          <w:bCs/>
        </w:rPr>
        <w:t>пересмотреть условия программ социального обеспечения, укрепить координацию между различными программами социального обеспечения и рационализировать процесс выплаты социальных пособий в целях гарантирования непрерывности страхового покрытия;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lastRenderedPageBreak/>
        <w:tab/>
      </w:r>
      <w:r w:rsidRPr="006C4070">
        <w:rPr>
          <w:b/>
          <w:bCs/>
        </w:rPr>
        <w:t>c)</w:t>
      </w:r>
      <w:r w:rsidRPr="006C4070">
        <w:tab/>
      </w:r>
      <w:r w:rsidRPr="006C4070">
        <w:rPr>
          <w:b/>
          <w:bCs/>
        </w:rPr>
        <w:t>обеспечивать, чтобы услуги внештатных специалистов, бол</w:t>
      </w:r>
      <w:r w:rsidRPr="006C4070">
        <w:rPr>
          <w:b/>
          <w:bCs/>
        </w:rPr>
        <w:t>ь</w:t>
      </w:r>
      <w:r w:rsidRPr="006C4070">
        <w:rPr>
          <w:b/>
          <w:bCs/>
        </w:rPr>
        <w:t>шинство из которых составляют женщины, имели равный доступ к пр</w:t>
      </w:r>
      <w:r w:rsidRPr="006C4070">
        <w:rPr>
          <w:b/>
          <w:bCs/>
        </w:rPr>
        <w:t>о</w:t>
      </w:r>
      <w:r w:rsidRPr="006C4070">
        <w:rPr>
          <w:b/>
          <w:bCs/>
        </w:rPr>
        <w:t>граммам социального обеспечения;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d)</w:t>
      </w:r>
      <w:r w:rsidRPr="006C4070">
        <w:tab/>
      </w:r>
      <w:r w:rsidRPr="006C4070">
        <w:rPr>
          <w:b/>
          <w:bCs/>
        </w:rPr>
        <w:t>повышать осведомленность общественности о программах с</w:t>
      </w:r>
      <w:r w:rsidRPr="006C4070">
        <w:rPr>
          <w:b/>
          <w:bCs/>
        </w:rPr>
        <w:t>о</w:t>
      </w:r>
      <w:r w:rsidRPr="006C4070">
        <w:rPr>
          <w:b/>
          <w:bCs/>
        </w:rPr>
        <w:t>циального обеспечения и процедурах подачи заявлений и оказывать рома и жителям сельских районов помощь в подаче заявлений на получение соц</w:t>
      </w:r>
      <w:r w:rsidRPr="006C4070">
        <w:rPr>
          <w:b/>
          <w:bCs/>
        </w:rPr>
        <w:t>и</w:t>
      </w:r>
      <w:r w:rsidRPr="006C4070">
        <w:rPr>
          <w:b/>
          <w:bCs/>
        </w:rPr>
        <w:t>альных пособий и оформление необходимых удостоверений личности.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Детский труд</w:t>
      </w:r>
    </w:p>
    <w:p w:rsidR="006C4070" w:rsidRPr="006C4070" w:rsidRDefault="006C4070" w:rsidP="006C4070">
      <w:pPr>
        <w:pStyle w:val="SingleTxtGR"/>
      </w:pPr>
      <w:r w:rsidRPr="006C4070">
        <w:t>42.</w:t>
      </w:r>
      <w:r w:rsidRPr="006C4070">
        <w:tab/>
        <w:t>Комитет обеспокоен широкой распространенностью практики детского труда в государстве-участнике, в частности в сельском хозяйстве и в сфере то</w:t>
      </w:r>
      <w:r w:rsidRPr="006C4070">
        <w:t>р</w:t>
      </w:r>
      <w:r w:rsidRPr="006C4070">
        <w:t>говли и услуг (статьи 7 и 10).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43.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по борьбе с детским трудом, в том числе путем укрепления труд</w:t>
      </w:r>
      <w:r w:rsidRPr="006C4070">
        <w:rPr>
          <w:b/>
          <w:bCs/>
        </w:rPr>
        <w:t>о</w:t>
      </w:r>
      <w:r w:rsidRPr="006C4070">
        <w:rPr>
          <w:b/>
          <w:bCs/>
        </w:rPr>
        <w:t>вых инспекций и обеспечения применения соответствующих правовых и административных мер, включая постановление № 393 Министерства о</w:t>
      </w:r>
      <w:r w:rsidRPr="006C4070">
        <w:rPr>
          <w:b/>
          <w:bCs/>
        </w:rPr>
        <w:t>б</w:t>
      </w:r>
      <w:r w:rsidRPr="006C4070">
        <w:rPr>
          <w:b/>
          <w:bCs/>
        </w:rPr>
        <w:t>разования от 29 сентября 2014 года.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Насилие в отношении женщин, включая насилие в семье</w:t>
      </w:r>
    </w:p>
    <w:p w:rsidR="006C4070" w:rsidRPr="006C4070" w:rsidRDefault="006C4070" w:rsidP="006C4070">
      <w:pPr>
        <w:pStyle w:val="SingleTxtGR"/>
      </w:pPr>
      <w:r w:rsidRPr="006C4070">
        <w:t>44.</w:t>
      </w:r>
      <w:r w:rsidRPr="006C4070">
        <w:tab/>
        <w:t>Отмечая прогресс, достигнутый государством-участником, Комитет по-прежнему обеспокоен тем, что насилие в отношении женщин, включая насилие в семье, распространено в государстве-участнике по-прежнему широко и что судебное преследование виновных и защита жертв остаются сложной задачей (статьи 3 и 10)</w:t>
      </w:r>
      <w:r w:rsidR="00690F3B">
        <w:t>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45.</w:t>
      </w:r>
      <w:r w:rsidRPr="006C4070">
        <w:tab/>
      </w:r>
      <w:r w:rsidRPr="006C4070">
        <w:rPr>
          <w:b/>
          <w:bCs/>
        </w:rPr>
        <w:t>Комитет настоятельно призывает государство-участник удвоить свои усилия, чтобы:</w:t>
      </w:r>
      <w:r w:rsidRPr="006C4070">
        <w:t xml:space="preserve"> 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a)</w:t>
      </w:r>
      <w:r w:rsidRPr="006C4070">
        <w:tab/>
      </w:r>
      <w:r w:rsidRPr="006C4070">
        <w:rPr>
          <w:b/>
          <w:bCs/>
        </w:rPr>
        <w:t>обеспечивать проведение оперативных и тщательных рассл</w:t>
      </w:r>
      <w:r w:rsidRPr="006C4070">
        <w:rPr>
          <w:b/>
          <w:bCs/>
        </w:rPr>
        <w:t>е</w:t>
      </w:r>
      <w:r w:rsidRPr="006C4070">
        <w:rPr>
          <w:b/>
          <w:bCs/>
        </w:rPr>
        <w:t>дований всех сообщений о насилии в отношении женщин и насилии в с</w:t>
      </w:r>
      <w:r w:rsidRPr="006C4070">
        <w:rPr>
          <w:b/>
          <w:bCs/>
        </w:rPr>
        <w:t>е</w:t>
      </w:r>
      <w:r w:rsidRPr="006C4070">
        <w:rPr>
          <w:b/>
          <w:bCs/>
        </w:rPr>
        <w:t>мье и назначение виновным наказаний, соразмерных тяжести соверше</w:t>
      </w:r>
      <w:r w:rsidRPr="006C4070">
        <w:rPr>
          <w:b/>
          <w:bCs/>
        </w:rPr>
        <w:t>н</w:t>
      </w:r>
      <w:r w:rsidRPr="006C4070">
        <w:rPr>
          <w:b/>
          <w:bCs/>
        </w:rPr>
        <w:t>ных ими деяний;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b)</w:t>
      </w:r>
      <w:r w:rsidRPr="006C4070">
        <w:tab/>
      </w:r>
      <w:r w:rsidRPr="006C4070">
        <w:rPr>
          <w:b/>
          <w:bCs/>
        </w:rPr>
        <w:t>оказывать жертвам надлежащую поддержку посредством ув</w:t>
      </w:r>
      <w:r w:rsidRPr="006C4070">
        <w:rPr>
          <w:b/>
          <w:bCs/>
        </w:rPr>
        <w:t>е</w:t>
      </w:r>
      <w:r w:rsidRPr="006C4070">
        <w:rPr>
          <w:b/>
          <w:bCs/>
        </w:rPr>
        <w:t>личения числа приютов и выделения достаточного объема финансовых средств на юридическую помощь, а также физиотерапию и психологич</w:t>
      </w:r>
      <w:r w:rsidRPr="006C4070">
        <w:rPr>
          <w:b/>
          <w:bCs/>
        </w:rPr>
        <w:t>е</w:t>
      </w:r>
      <w:r w:rsidRPr="006C4070">
        <w:rPr>
          <w:b/>
          <w:bCs/>
        </w:rPr>
        <w:t>ское лечение;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c)</w:t>
      </w:r>
      <w:r w:rsidRPr="006C4070">
        <w:tab/>
      </w:r>
      <w:r w:rsidRPr="006C4070">
        <w:rPr>
          <w:b/>
          <w:bCs/>
        </w:rPr>
        <w:t>обеспечивать подготовку сотрудников правоохранительных о</w:t>
      </w:r>
      <w:r w:rsidRPr="006C4070">
        <w:rPr>
          <w:b/>
          <w:bCs/>
        </w:rPr>
        <w:t>р</w:t>
      </w:r>
      <w:r w:rsidRPr="006C4070">
        <w:rPr>
          <w:b/>
          <w:bCs/>
        </w:rPr>
        <w:t>ганов, учителей, медицинского персонала и социальных работников по в</w:t>
      </w:r>
      <w:r w:rsidRPr="006C4070">
        <w:rPr>
          <w:b/>
          <w:bCs/>
        </w:rPr>
        <w:t>о</w:t>
      </w:r>
      <w:r w:rsidRPr="006C4070">
        <w:rPr>
          <w:b/>
          <w:bCs/>
        </w:rPr>
        <w:t>просам насилия в отношении женщин, включая насилие в семье;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d)</w:t>
      </w:r>
      <w:r w:rsidRPr="006C4070">
        <w:tab/>
      </w:r>
      <w:r w:rsidRPr="006C4070">
        <w:rPr>
          <w:b/>
          <w:bCs/>
        </w:rPr>
        <w:t>проводить широкие информационно-просветительские камп</w:t>
      </w:r>
      <w:r w:rsidRPr="006C4070">
        <w:rPr>
          <w:b/>
          <w:bCs/>
        </w:rPr>
        <w:t>а</w:t>
      </w:r>
      <w:r w:rsidRPr="006C4070">
        <w:rPr>
          <w:b/>
          <w:bCs/>
        </w:rPr>
        <w:t>нии по предотвращению насилия в отношении женщин.</w:t>
      </w:r>
      <w:r w:rsidRPr="006C4070">
        <w:t xml:space="preserve"> 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Торговля людьми</w:t>
      </w:r>
    </w:p>
    <w:p w:rsidR="006C4070" w:rsidRPr="006C4070" w:rsidRDefault="006C4070" w:rsidP="006C4070">
      <w:pPr>
        <w:pStyle w:val="SingleTxtGR"/>
      </w:pPr>
      <w:r w:rsidRPr="006C4070">
        <w:t>46.</w:t>
      </w:r>
      <w:r w:rsidRPr="006C4070">
        <w:tab/>
        <w:t>Отмечая ряд мер, принятых государством-участником в рамках борьбы с торговлей людьми, Комитет выражает обеспокоенность в связи с тем, что число виновных, привлекаемых к ответственности, остается весьма незначительным и что назначаемые им наказания, как сообщается, являются мягкими. Он также обеспокоен недостаточным предоставлением услуг по реабилитации и реинт</w:t>
      </w:r>
      <w:r w:rsidRPr="006C4070">
        <w:t>е</w:t>
      </w:r>
      <w:r w:rsidRPr="006C4070">
        <w:t>грации жертв (статья 10).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47.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усилия по эффективному расследованию актов торговли, преследованию вино</w:t>
      </w:r>
      <w:r w:rsidRPr="006C4070">
        <w:rPr>
          <w:b/>
          <w:bCs/>
        </w:rPr>
        <w:t>в</w:t>
      </w:r>
      <w:r w:rsidRPr="006C4070">
        <w:rPr>
          <w:b/>
          <w:bCs/>
        </w:rPr>
        <w:t>ных в судебном порядке и назначению им наказания, соразмерного тяжести их деяний;</w:t>
      </w:r>
      <w:r w:rsidRPr="006C4070">
        <w:t xml:space="preserve"> </w:t>
      </w:r>
      <w:r w:rsidRPr="006C4070">
        <w:rPr>
          <w:b/>
          <w:bCs/>
        </w:rPr>
        <w:t>предоставлять приюты жертвам торговли людьми;</w:t>
      </w:r>
      <w:r w:rsidRPr="006C4070">
        <w:t xml:space="preserve"> </w:t>
      </w:r>
      <w:r w:rsidRPr="006C4070">
        <w:rPr>
          <w:b/>
          <w:bCs/>
        </w:rPr>
        <w:t>и обеспеч</w:t>
      </w:r>
      <w:r w:rsidRPr="006C4070">
        <w:rPr>
          <w:b/>
          <w:bCs/>
        </w:rPr>
        <w:t>и</w:t>
      </w:r>
      <w:r w:rsidRPr="006C4070">
        <w:rPr>
          <w:b/>
          <w:bCs/>
        </w:rPr>
        <w:t>вать им доступ к услугам по оказанию помощи, реабилитации и реинт</w:t>
      </w:r>
      <w:r w:rsidRPr="006C4070">
        <w:rPr>
          <w:b/>
          <w:bCs/>
        </w:rPr>
        <w:t>е</w:t>
      </w:r>
      <w:r w:rsidRPr="006C4070">
        <w:rPr>
          <w:b/>
          <w:bCs/>
        </w:rPr>
        <w:t>грации.</w:t>
      </w:r>
    </w:p>
    <w:p w:rsidR="006C4070" w:rsidRPr="006C4070" w:rsidRDefault="006C4070" w:rsidP="00160419">
      <w:pPr>
        <w:pStyle w:val="H23GR"/>
      </w:pPr>
      <w:r w:rsidRPr="006C4070">
        <w:lastRenderedPageBreak/>
        <w:tab/>
      </w:r>
      <w:r w:rsidRPr="006C4070">
        <w:tab/>
        <w:t>Право на достаточный жизненный уровень</w:t>
      </w:r>
    </w:p>
    <w:p w:rsidR="006C4070" w:rsidRPr="006C4070" w:rsidRDefault="006C4070" w:rsidP="006C4070">
      <w:pPr>
        <w:pStyle w:val="SingleTxtGR"/>
      </w:pPr>
      <w:r w:rsidRPr="006C4070">
        <w:t>48.</w:t>
      </w:r>
      <w:r w:rsidRPr="006C4070">
        <w:tab/>
        <w:t>С удовлетворением отмечая значительное снижение уровня нищеты, К</w:t>
      </w:r>
      <w:r w:rsidRPr="006C4070">
        <w:t>о</w:t>
      </w:r>
      <w:r w:rsidRPr="006C4070">
        <w:t>митет по-прежнему обеспокоен тем, что нищета все еще широко распростран</w:t>
      </w:r>
      <w:r w:rsidRPr="006C4070">
        <w:t>е</w:t>
      </w:r>
      <w:r w:rsidRPr="006C4070">
        <w:t xml:space="preserve">на, особенно в сельских районах и среди пенсионеров. </w:t>
      </w:r>
      <w:proofErr w:type="gramStart"/>
      <w:r w:rsidRPr="006C4070">
        <w:t xml:space="preserve">Он также обеспокоен тем, что программа социальной помощи </w:t>
      </w:r>
      <w:r w:rsidR="00872B6E">
        <w:t>«</w:t>
      </w:r>
      <w:r w:rsidRPr="006C4070">
        <w:t>Социальный помощник</w:t>
      </w:r>
      <w:r w:rsidR="00872B6E">
        <w:t>»</w:t>
      </w:r>
      <w:r w:rsidRPr="006C4070">
        <w:t>, являющаяся основной программой по сокращению масштабов нищеты в государстве-участнике, охватывает лишь 50% лиц, имеющих на это право, что размеры п</w:t>
      </w:r>
      <w:r w:rsidRPr="006C4070">
        <w:t>о</w:t>
      </w:r>
      <w:r w:rsidRPr="006C4070">
        <w:t>собий гораздо ниже прожиточного минимума и что требования, предъявляемые к соискателям, носят чрезмерно ограничительный характер (статьи 9 и 11).</w:t>
      </w:r>
      <w:proofErr w:type="gramEnd"/>
    </w:p>
    <w:p w:rsidR="006C4070" w:rsidRPr="006C4070" w:rsidRDefault="006C4070" w:rsidP="006C4070">
      <w:pPr>
        <w:pStyle w:val="SingleTxtGR"/>
        <w:rPr>
          <w:b/>
        </w:rPr>
      </w:pPr>
      <w:r w:rsidRPr="00160419">
        <w:t>49.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по борьбе с нищетой, уделяя особое внимание жителям сельских районов и пенсионерам.</w:t>
      </w:r>
      <w:r w:rsidRPr="006C4070">
        <w:t xml:space="preserve"> </w:t>
      </w:r>
      <w:r w:rsidRPr="006C4070">
        <w:rPr>
          <w:b/>
          <w:bCs/>
        </w:rPr>
        <w:t xml:space="preserve">Он также настоятельно призывает государство-участник обеспечить, чтобы программа социальной помощи </w:t>
      </w:r>
      <w:r w:rsidR="00872B6E">
        <w:rPr>
          <w:b/>
          <w:bCs/>
        </w:rPr>
        <w:t>«</w:t>
      </w:r>
      <w:r w:rsidRPr="006C4070">
        <w:rPr>
          <w:b/>
          <w:bCs/>
        </w:rPr>
        <w:t>Социальный помощник</w:t>
      </w:r>
      <w:r w:rsidR="00872B6E">
        <w:rPr>
          <w:b/>
          <w:bCs/>
        </w:rPr>
        <w:t>»</w:t>
      </w:r>
      <w:r w:rsidRPr="006C4070">
        <w:rPr>
          <w:b/>
          <w:bCs/>
        </w:rPr>
        <w:t xml:space="preserve"> распространялась на всех лиц, имеющих на это право, и ув</w:t>
      </w:r>
      <w:r w:rsidRPr="006C4070">
        <w:rPr>
          <w:b/>
          <w:bCs/>
        </w:rPr>
        <w:t>е</w:t>
      </w:r>
      <w:r w:rsidRPr="006C4070">
        <w:rPr>
          <w:b/>
          <w:bCs/>
        </w:rPr>
        <w:t>личить размер пособий до уровня, который обеспечивал бы бенефициарам достойную жизнь.</w:t>
      </w:r>
      <w:r w:rsidRPr="006C4070">
        <w:t xml:space="preserve"> </w:t>
      </w:r>
      <w:r w:rsidRPr="006C4070">
        <w:rPr>
          <w:b/>
          <w:bCs/>
        </w:rPr>
        <w:t>Кроме того, он рекомендует государству-участнику пер</w:t>
      </w:r>
      <w:r w:rsidRPr="006C4070">
        <w:rPr>
          <w:b/>
          <w:bCs/>
        </w:rPr>
        <w:t>е</w:t>
      </w:r>
      <w:r w:rsidRPr="006C4070">
        <w:rPr>
          <w:b/>
          <w:bCs/>
        </w:rPr>
        <w:t xml:space="preserve">смотреть требования, предъявляемые к соискателям, включая перечень активов, в целях обеспечения того, чтобы программа социальной помощи </w:t>
      </w:r>
      <w:r w:rsidR="00872B6E">
        <w:rPr>
          <w:b/>
          <w:bCs/>
        </w:rPr>
        <w:t>«</w:t>
      </w:r>
      <w:r w:rsidRPr="006C4070">
        <w:rPr>
          <w:b/>
          <w:bCs/>
        </w:rPr>
        <w:t>Социальный работник</w:t>
      </w:r>
      <w:r w:rsidR="00872B6E">
        <w:rPr>
          <w:b/>
          <w:bCs/>
        </w:rPr>
        <w:t>»</w:t>
      </w:r>
      <w:r w:rsidRPr="006C4070">
        <w:rPr>
          <w:b/>
          <w:bCs/>
        </w:rPr>
        <w:t xml:space="preserve"> охватывала всех нуждающихся.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 xml:space="preserve">Право на питание </w:t>
      </w:r>
    </w:p>
    <w:p w:rsidR="006C4070" w:rsidRPr="006C4070" w:rsidRDefault="006C4070" w:rsidP="006C4070">
      <w:pPr>
        <w:pStyle w:val="SingleTxtGR"/>
      </w:pPr>
      <w:r w:rsidRPr="006C4070">
        <w:t>50.</w:t>
      </w:r>
      <w:r w:rsidRPr="006C4070">
        <w:tab/>
        <w:t>Комитет выражает обеспокоенность в связи с распространенностью недоедания, включая задержку роста и дефицит питательных микроэлементов, а также проблемой избыточного веса и ожирения, особенно среди детей, же</w:t>
      </w:r>
      <w:r w:rsidRPr="006C4070">
        <w:t>н</w:t>
      </w:r>
      <w:r w:rsidRPr="006C4070">
        <w:t xml:space="preserve">щин и жителей сельских районов (статьи 11 и 12). </w:t>
      </w:r>
    </w:p>
    <w:p w:rsidR="006C4070" w:rsidRPr="006C4070" w:rsidRDefault="006C4070" w:rsidP="00160419">
      <w:pPr>
        <w:pStyle w:val="SingleTxtGR"/>
        <w:rPr>
          <w:b/>
        </w:rPr>
      </w:pPr>
      <w:r w:rsidRPr="00160419">
        <w:t>51.</w:t>
      </w:r>
      <w:r w:rsidRPr="006A2410">
        <w:rPr>
          <w:b/>
          <w:bCs/>
        </w:rPr>
        <w:tab/>
        <w:t>Ко</w:t>
      </w:r>
      <w:r w:rsidRPr="006C4070">
        <w:rPr>
          <w:b/>
          <w:bCs/>
        </w:rPr>
        <w:t>митет рекомендует государству-участнику принять все необход</w:t>
      </w:r>
      <w:r w:rsidRPr="006C4070">
        <w:rPr>
          <w:b/>
          <w:bCs/>
        </w:rPr>
        <w:t>и</w:t>
      </w:r>
      <w:r w:rsidRPr="006C4070">
        <w:rPr>
          <w:b/>
          <w:bCs/>
        </w:rPr>
        <w:t>мые меры для решения проблемы недоедания среди детей, женщин и ж</w:t>
      </w:r>
      <w:r w:rsidRPr="006C4070">
        <w:rPr>
          <w:b/>
          <w:bCs/>
        </w:rPr>
        <w:t>и</w:t>
      </w:r>
      <w:r w:rsidRPr="006C4070">
        <w:rPr>
          <w:b/>
          <w:bCs/>
        </w:rPr>
        <w:t>телей сельских районов, в том числе посредством полного осуществления национальной программы в области продовольствия и питания, принятой в 2016 году.</w:t>
      </w:r>
      <w:r w:rsidRPr="006C4070">
        <w:t xml:space="preserve"> </w:t>
      </w:r>
      <w:r w:rsidRPr="006C4070">
        <w:rPr>
          <w:b/>
          <w:bCs/>
        </w:rPr>
        <w:t>Он обращает внимание государства-участника на свое замеч</w:t>
      </w:r>
      <w:r w:rsidRPr="006C4070">
        <w:rPr>
          <w:b/>
          <w:bCs/>
        </w:rPr>
        <w:t>а</w:t>
      </w:r>
      <w:r w:rsidRPr="006C4070">
        <w:rPr>
          <w:b/>
          <w:bCs/>
        </w:rPr>
        <w:t>ние общего порядка № 12 (1999) о праве на достаточное питание и на До</w:t>
      </w:r>
      <w:r w:rsidRPr="006C4070">
        <w:rPr>
          <w:b/>
          <w:bCs/>
        </w:rPr>
        <w:t>б</w:t>
      </w:r>
      <w:r w:rsidRPr="006C4070">
        <w:rPr>
          <w:b/>
          <w:bCs/>
        </w:rPr>
        <w:t>ровольные руководящие принципы в поддержку постепенного осуществл</w:t>
      </w:r>
      <w:r w:rsidRPr="006C4070">
        <w:rPr>
          <w:b/>
          <w:bCs/>
        </w:rPr>
        <w:t>е</w:t>
      </w:r>
      <w:r w:rsidRPr="006C4070">
        <w:rPr>
          <w:b/>
          <w:bCs/>
        </w:rPr>
        <w:t>ния права на достаточное питание в контексте национальной продовол</w:t>
      </w:r>
      <w:r w:rsidRPr="006C4070">
        <w:rPr>
          <w:b/>
          <w:bCs/>
        </w:rPr>
        <w:t>ь</w:t>
      </w:r>
      <w:r w:rsidRPr="006C4070">
        <w:rPr>
          <w:b/>
          <w:bCs/>
        </w:rPr>
        <w:t>ственной безопасности, которые были приняты Советом Продовольстве</w:t>
      </w:r>
      <w:r w:rsidRPr="006C4070">
        <w:rPr>
          <w:b/>
          <w:bCs/>
        </w:rPr>
        <w:t>н</w:t>
      </w:r>
      <w:r w:rsidRPr="006C4070">
        <w:rPr>
          <w:b/>
          <w:bCs/>
        </w:rPr>
        <w:t>ной и сельскохозяйственной организации Объединенных Наций.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Водоснабжение и санитария</w:t>
      </w:r>
    </w:p>
    <w:p w:rsidR="006C4070" w:rsidRPr="006C4070" w:rsidRDefault="006C4070" w:rsidP="006C4070">
      <w:pPr>
        <w:pStyle w:val="SingleTxtGR"/>
      </w:pPr>
      <w:r w:rsidRPr="006C4070">
        <w:t>52.</w:t>
      </w:r>
      <w:r w:rsidRPr="006C4070">
        <w:tab/>
        <w:t>Отмечая принятие стратегии в области водоснабж</w:t>
      </w:r>
      <w:r w:rsidR="00160419">
        <w:t>ения и санитарии на период 2014–</w:t>
      </w:r>
      <w:r w:rsidRPr="006C4070">
        <w:t>2029 годов, Комитет по-прежнему обеспокоен тем, что общий уровень доступа к улучшенным источникам воды и адекватным санитарным услугам является низким, при этом существуют значительные различия между сел</w:t>
      </w:r>
      <w:r w:rsidRPr="006C4070">
        <w:t>ь</w:t>
      </w:r>
      <w:r w:rsidRPr="006C4070">
        <w:t>скими и городскими районами (статья 11).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53.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по улучшению доступа к безопасной питьевой воде и адекватным санитарным услугам с уделением особо</w:t>
      </w:r>
      <w:r w:rsidR="00160419">
        <w:rPr>
          <w:b/>
          <w:bCs/>
        </w:rPr>
        <w:t>го внимания сельским районам, в </w:t>
      </w:r>
      <w:r w:rsidRPr="006C4070">
        <w:rPr>
          <w:b/>
          <w:bCs/>
        </w:rPr>
        <w:t>том числе посредством полного осуществления стратегии.</w:t>
      </w:r>
      <w:r w:rsidRPr="006C4070">
        <w:t xml:space="preserve"> </w:t>
      </w:r>
      <w:r w:rsidRPr="006C4070">
        <w:rPr>
          <w:b/>
          <w:bCs/>
        </w:rPr>
        <w:t>Комитет о</w:t>
      </w:r>
      <w:r w:rsidRPr="006C4070">
        <w:rPr>
          <w:b/>
          <w:bCs/>
        </w:rPr>
        <w:t>б</w:t>
      </w:r>
      <w:r w:rsidRPr="006C4070">
        <w:rPr>
          <w:b/>
          <w:bCs/>
        </w:rPr>
        <w:t>ращает внимание государства-участника на с</w:t>
      </w:r>
      <w:r w:rsidR="00160419">
        <w:rPr>
          <w:b/>
          <w:bCs/>
        </w:rPr>
        <w:t>вое замечание общего поря</w:t>
      </w:r>
      <w:r w:rsidR="00160419">
        <w:rPr>
          <w:b/>
          <w:bCs/>
        </w:rPr>
        <w:t>д</w:t>
      </w:r>
      <w:r w:rsidR="00160419">
        <w:rPr>
          <w:b/>
          <w:bCs/>
        </w:rPr>
        <w:t>ка </w:t>
      </w:r>
      <w:r w:rsidRPr="006C4070">
        <w:rPr>
          <w:b/>
          <w:bCs/>
        </w:rPr>
        <w:t>№ 15 (2002) о праве на воду и свое заявление о праве на санитарию (E/C.12/2010/1).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Жилье</w:t>
      </w:r>
    </w:p>
    <w:p w:rsidR="006C4070" w:rsidRPr="006C4070" w:rsidRDefault="006C4070" w:rsidP="006C4070">
      <w:pPr>
        <w:pStyle w:val="SingleTxtGR"/>
      </w:pPr>
      <w:r w:rsidRPr="006C4070">
        <w:t>54.</w:t>
      </w:r>
      <w:r w:rsidRPr="006C4070">
        <w:tab/>
        <w:t>Несмотря на меры, принимаемые государством-участником, Комитет в</w:t>
      </w:r>
      <w:r w:rsidRPr="006C4070">
        <w:t>ы</w:t>
      </w:r>
      <w:r w:rsidRPr="006C4070">
        <w:t>ражает обеспокоенность в связи с недостаточным предоставлением социальн</w:t>
      </w:r>
      <w:r w:rsidRPr="006C4070">
        <w:t>о</w:t>
      </w:r>
      <w:r w:rsidRPr="006C4070">
        <w:t xml:space="preserve">го жилья находящимся в неблагоприятном положении и </w:t>
      </w:r>
      <w:proofErr w:type="spellStart"/>
      <w:r w:rsidRPr="006C4070">
        <w:t>маргинализированным</w:t>
      </w:r>
      <w:proofErr w:type="spellEnd"/>
      <w:r w:rsidRPr="006C4070">
        <w:t xml:space="preserve"> лицам и группам. Комитет выражает сожаление по поводу отсутствия подро</w:t>
      </w:r>
      <w:r w:rsidRPr="006C4070">
        <w:t>б</w:t>
      </w:r>
      <w:r w:rsidRPr="006C4070">
        <w:t xml:space="preserve">ной информации об осуществлении политики в области социального жилья, </w:t>
      </w:r>
      <w:r w:rsidRPr="006C4070">
        <w:lastRenderedPageBreak/>
        <w:t>включая финансирование со стороны центральных и местных органов власти, а также дезагрегированных данных о числе лиц, претендующих на социальное жилье, и лиц, получивших его (статья 11).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55.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по расширению программ предоставления социального жилья с адекватными коммунальными услугами молодежи, инвалидам, рома и многодетным семьям, а также повышать и поддерживать качество име</w:t>
      </w:r>
      <w:r w:rsidRPr="006C4070">
        <w:rPr>
          <w:b/>
          <w:bCs/>
        </w:rPr>
        <w:t>ю</w:t>
      </w:r>
      <w:r w:rsidRPr="006C4070">
        <w:rPr>
          <w:b/>
          <w:bCs/>
        </w:rPr>
        <w:t>щегося государственного жилья.</w:t>
      </w:r>
      <w:r w:rsidRPr="006C4070">
        <w:t xml:space="preserve"> </w:t>
      </w:r>
      <w:r w:rsidRPr="006C4070">
        <w:rPr>
          <w:b/>
          <w:bCs/>
        </w:rPr>
        <w:t>Он также рекомендует государству-участнику принимать все необходимые меры для вовлечения всех соотве</w:t>
      </w:r>
      <w:r w:rsidRPr="006C4070">
        <w:rPr>
          <w:b/>
          <w:bCs/>
        </w:rPr>
        <w:t>т</w:t>
      </w:r>
      <w:r w:rsidRPr="006C4070">
        <w:rPr>
          <w:b/>
          <w:bCs/>
        </w:rPr>
        <w:t>ствующих заинтересованных сторон, включая лиц, нуждающихся в соц</w:t>
      </w:r>
      <w:r w:rsidRPr="006C4070">
        <w:rPr>
          <w:b/>
          <w:bCs/>
        </w:rPr>
        <w:t>и</w:t>
      </w:r>
      <w:r w:rsidRPr="006C4070">
        <w:rPr>
          <w:b/>
          <w:bCs/>
        </w:rPr>
        <w:t xml:space="preserve">альном жилье, в процесс разработки жилищной политики и </w:t>
      </w:r>
      <w:proofErr w:type="gramStart"/>
      <w:r w:rsidRPr="006C4070">
        <w:rPr>
          <w:b/>
          <w:bCs/>
        </w:rPr>
        <w:t>контроля за</w:t>
      </w:r>
      <w:proofErr w:type="gramEnd"/>
      <w:r w:rsidRPr="006C4070">
        <w:rPr>
          <w:b/>
          <w:bCs/>
        </w:rPr>
        <w:t xml:space="preserve"> осуществлением жилищной политики в целях обеспечения транспарентн</w:t>
      </w:r>
      <w:r w:rsidRPr="006C4070">
        <w:rPr>
          <w:b/>
          <w:bCs/>
        </w:rPr>
        <w:t>о</w:t>
      </w:r>
      <w:r w:rsidRPr="006C4070">
        <w:rPr>
          <w:b/>
          <w:bCs/>
        </w:rPr>
        <w:t>сти и эффективности этих стратегий.</w:t>
      </w:r>
      <w:r w:rsidRPr="006C4070">
        <w:t xml:space="preserve"> 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Право на здоровье</w:t>
      </w:r>
    </w:p>
    <w:p w:rsidR="006C4070" w:rsidRPr="006C4070" w:rsidRDefault="006C4070" w:rsidP="006C4070">
      <w:pPr>
        <w:pStyle w:val="SingleTxtGR"/>
      </w:pPr>
      <w:r w:rsidRPr="006C4070">
        <w:t>56.</w:t>
      </w:r>
      <w:r w:rsidRPr="006C4070">
        <w:tab/>
        <w:t>Комитет выражает обеспокоенность по поводу проблем, с которыми сталкивается система здравоохранения в государстве-участнике, в частности тем, что:</w:t>
      </w:r>
    </w:p>
    <w:p w:rsidR="006C4070" w:rsidRPr="006C4070" w:rsidRDefault="006C4070" w:rsidP="006C4070">
      <w:pPr>
        <w:pStyle w:val="SingleTxtGR"/>
      </w:pPr>
      <w:r w:rsidRPr="006C4070">
        <w:tab/>
        <w:t>a)</w:t>
      </w:r>
      <w:r w:rsidRPr="006C4070">
        <w:tab/>
        <w:t>около 20% населения оказались не охваченными системой обяз</w:t>
      </w:r>
      <w:r w:rsidRPr="006C4070">
        <w:t>а</w:t>
      </w:r>
      <w:r w:rsidRPr="006C4070">
        <w:t>тельного медицинского страхования;</w:t>
      </w:r>
    </w:p>
    <w:p w:rsidR="006C4070" w:rsidRPr="006C4070" w:rsidRDefault="006C4070" w:rsidP="006C4070">
      <w:pPr>
        <w:pStyle w:val="SingleTxtGR"/>
      </w:pPr>
      <w:r w:rsidRPr="006C4070">
        <w:tab/>
        <w:t>b)</w:t>
      </w:r>
      <w:r w:rsidRPr="006C4070">
        <w:tab/>
        <w:t>процесс оптимизации в сфере здравоохранения еще больше огр</w:t>
      </w:r>
      <w:r w:rsidRPr="006C4070">
        <w:t>а</w:t>
      </w:r>
      <w:r w:rsidRPr="006C4070">
        <w:t>ничивает доступ к медицинским услугам, особенно в сельских районах;</w:t>
      </w:r>
    </w:p>
    <w:p w:rsidR="006C4070" w:rsidRPr="006C4070" w:rsidRDefault="006C4070" w:rsidP="006C4070">
      <w:pPr>
        <w:pStyle w:val="SingleTxtGR"/>
      </w:pPr>
      <w:r w:rsidRPr="006C4070">
        <w:tab/>
        <w:t>c)</w:t>
      </w:r>
      <w:r w:rsidRPr="006C4070">
        <w:tab/>
        <w:t xml:space="preserve">общее качество услуг в сфере здравоохранения является низким, и отсутствуют механизмы надзора и </w:t>
      </w:r>
      <w:proofErr w:type="gramStart"/>
      <w:r w:rsidRPr="006C4070">
        <w:t>контроля за</w:t>
      </w:r>
      <w:proofErr w:type="gramEnd"/>
      <w:r w:rsidRPr="006C4070">
        <w:t xml:space="preserve"> государственными медицинск</w:t>
      </w:r>
      <w:r w:rsidRPr="006C4070">
        <w:t>и</w:t>
      </w:r>
      <w:r w:rsidRPr="006C4070">
        <w:t>ми учреждениями;</w:t>
      </w:r>
    </w:p>
    <w:p w:rsidR="006C4070" w:rsidRPr="006C4070" w:rsidRDefault="006C4070" w:rsidP="006C4070">
      <w:pPr>
        <w:pStyle w:val="SingleTxtGR"/>
      </w:pPr>
      <w:r w:rsidRPr="006C4070">
        <w:tab/>
        <w:t>d)</w:t>
      </w:r>
      <w:r w:rsidRPr="006C4070">
        <w:tab/>
        <w:t xml:space="preserve">имеет место </w:t>
      </w:r>
      <w:proofErr w:type="spellStart"/>
      <w:r w:rsidRPr="006C4070">
        <w:t>дискримнация</w:t>
      </w:r>
      <w:proofErr w:type="spellEnd"/>
      <w:r w:rsidRPr="006C4070">
        <w:t xml:space="preserve"> в отношении рома, инвалидов, лиц, ж</w:t>
      </w:r>
      <w:r w:rsidRPr="006C4070">
        <w:t>и</w:t>
      </w:r>
      <w:r w:rsidRPr="006C4070">
        <w:t>вущих с ВИЧ/СПИДом, беженцев и лиц, ищущих убежище, и других наход</w:t>
      </w:r>
      <w:r w:rsidRPr="006C4070">
        <w:t>я</w:t>
      </w:r>
      <w:r w:rsidRPr="006C4070">
        <w:t xml:space="preserve">щихся в неблагоприятном положении и </w:t>
      </w:r>
      <w:proofErr w:type="spellStart"/>
      <w:r w:rsidRPr="006C4070">
        <w:t>маргинализованных</w:t>
      </w:r>
      <w:proofErr w:type="spellEnd"/>
      <w:r w:rsidRPr="006C4070">
        <w:t xml:space="preserve"> лиц и групп нас</w:t>
      </w:r>
      <w:r w:rsidRPr="006C4070">
        <w:t>е</w:t>
      </w:r>
      <w:r w:rsidRPr="006C4070">
        <w:t>ления, подвергающихся дискриминации при обращении в медицинские учр</w:t>
      </w:r>
      <w:r w:rsidRPr="006C4070">
        <w:t>е</w:t>
      </w:r>
      <w:r w:rsidRPr="006C4070">
        <w:t>ждения (пункт 2 статьи 2 и статьи 9 и 12).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57.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принять все необход</w:t>
      </w:r>
      <w:r w:rsidRPr="006C4070">
        <w:rPr>
          <w:b/>
          <w:bCs/>
        </w:rPr>
        <w:t>и</w:t>
      </w:r>
      <w:r w:rsidRPr="006C4070">
        <w:rPr>
          <w:b/>
          <w:bCs/>
        </w:rPr>
        <w:t>мые меры для того, чтобы:</w:t>
      </w:r>
      <w:r w:rsidRPr="006C4070">
        <w:t xml:space="preserve"> 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a)</w:t>
      </w:r>
      <w:r w:rsidRPr="006C4070">
        <w:tab/>
      </w:r>
      <w:r w:rsidRPr="006C4070">
        <w:rPr>
          <w:b/>
          <w:bCs/>
        </w:rPr>
        <w:t>обеспечить охват системой обязательного медицинского стр</w:t>
      </w:r>
      <w:r w:rsidRPr="006C4070">
        <w:rPr>
          <w:b/>
          <w:bCs/>
        </w:rPr>
        <w:t>а</w:t>
      </w:r>
      <w:r w:rsidRPr="006C4070">
        <w:rPr>
          <w:b/>
          <w:bCs/>
        </w:rPr>
        <w:t>хования каждого человека в государстве-участнике;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b)</w:t>
      </w:r>
      <w:r w:rsidRPr="006C4070">
        <w:tab/>
      </w:r>
      <w:r w:rsidRPr="006C4070">
        <w:rPr>
          <w:b/>
          <w:bCs/>
        </w:rPr>
        <w:t>обеспечить, чтобы процесс оптимизации не приводил к огран</w:t>
      </w:r>
      <w:r w:rsidRPr="006C4070">
        <w:rPr>
          <w:b/>
          <w:bCs/>
        </w:rPr>
        <w:t>и</w:t>
      </w:r>
      <w:r w:rsidRPr="006C4070">
        <w:rPr>
          <w:b/>
          <w:bCs/>
        </w:rPr>
        <w:t>чению физической и финансовой доступности медицинских услуг, особенно для инвалидов, пожилых людей и жителей сельских районов;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c)</w:t>
      </w:r>
      <w:r w:rsidRPr="006C4070">
        <w:tab/>
      </w:r>
      <w:r w:rsidRPr="006C4070">
        <w:rPr>
          <w:b/>
          <w:bCs/>
        </w:rPr>
        <w:t>повышать качество медицинского обслуживания путем подг</w:t>
      </w:r>
      <w:r w:rsidRPr="006C4070">
        <w:rPr>
          <w:b/>
          <w:bCs/>
        </w:rPr>
        <w:t>о</w:t>
      </w:r>
      <w:r w:rsidRPr="006C4070">
        <w:rPr>
          <w:b/>
          <w:bCs/>
        </w:rPr>
        <w:t>товки достаточного числа квалифицированных медицинских работников, модернизации медицинского оборудования и объектов и создания механи</w:t>
      </w:r>
      <w:r w:rsidRPr="006C4070">
        <w:rPr>
          <w:b/>
          <w:bCs/>
        </w:rPr>
        <w:t>з</w:t>
      </w:r>
      <w:r w:rsidRPr="006C4070">
        <w:rPr>
          <w:b/>
          <w:bCs/>
        </w:rPr>
        <w:t>мов регулирования государственных медицинских учреждений;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d)</w:t>
      </w:r>
      <w:r w:rsidRPr="006C4070">
        <w:tab/>
      </w:r>
      <w:r w:rsidRPr="006C4070">
        <w:rPr>
          <w:b/>
          <w:bCs/>
        </w:rPr>
        <w:t>бороться с дискриминацией, с которой сталкиваются наход</w:t>
      </w:r>
      <w:r w:rsidRPr="006C4070">
        <w:rPr>
          <w:b/>
          <w:bCs/>
        </w:rPr>
        <w:t>я</w:t>
      </w:r>
      <w:r w:rsidRPr="006C4070">
        <w:rPr>
          <w:b/>
          <w:bCs/>
        </w:rPr>
        <w:t xml:space="preserve">щиеся в неблагоприятном положении и </w:t>
      </w:r>
      <w:proofErr w:type="spellStart"/>
      <w:r w:rsidRPr="006C4070">
        <w:rPr>
          <w:b/>
          <w:bCs/>
        </w:rPr>
        <w:t>маргинализированные</w:t>
      </w:r>
      <w:proofErr w:type="spellEnd"/>
      <w:r w:rsidRPr="006C4070">
        <w:rPr>
          <w:b/>
          <w:bCs/>
        </w:rPr>
        <w:t xml:space="preserve"> лица и группы, в частности рома, инвалиды, лица, живущие с ВИЧ/СПИДом, б</w:t>
      </w:r>
      <w:r w:rsidRPr="006C4070">
        <w:rPr>
          <w:b/>
          <w:bCs/>
        </w:rPr>
        <w:t>е</w:t>
      </w:r>
      <w:r w:rsidRPr="006C4070">
        <w:rPr>
          <w:b/>
          <w:bCs/>
        </w:rPr>
        <w:t>женцы и лица, ищущие убежища, при обращении в медицинские учрежд</w:t>
      </w:r>
      <w:r w:rsidRPr="006C4070">
        <w:rPr>
          <w:b/>
          <w:bCs/>
        </w:rPr>
        <w:t>е</w:t>
      </w:r>
      <w:r w:rsidRPr="006C4070">
        <w:rPr>
          <w:b/>
          <w:bCs/>
        </w:rPr>
        <w:t>ния, и повышать уровень информированности медицинских работников об особых потребностях этих категорий лиц.</w:t>
      </w:r>
    </w:p>
    <w:p w:rsidR="006C4070" w:rsidRPr="006C4070" w:rsidRDefault="006C4070" w:rsidP="006C4070">
      <w:pPr>
        <w:pStyle w:val="SingleTxtGR"/>
      </w:pPr>
      <w:r w:rsidRPr="006C4070">
        <w:t>58.</w:t>
      </w:r>
      <w:r w:rsidRPr="006C4070">
        <w:tab/>
        <w:t>Комитет отмечает, что государство-участник подготовило проект кодекса о здравоохранении для решения проблем, с которыми сталкивается в настоящее время система здравоохранения, и ее совершенствования. Вместе с тем Комитет обеспокоен многочисленными сообщениями о том, что в проекте кодекса нед</w:t>
      </w:r>
      <w:r w:rsidRPr="006C4070">
        <w:t>о</w:t>
      </w:r>
      <w:r w:rsidRPr="006C4070">
        <w:t>статки нынешней системы устранены не полностью (статья 12).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lastRenderedPageBreak/>
        <w:t>59.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пересмотреть проект кодекса о здравоохранении в целях устранения всех проблем, с которыми сталкивается в настоящее время сектор здравоохранения, в частности тех, которые упомянуты в пункте 56 выше, и обеспечения того, чтобы этот пр</w:t>
      </w:r>
      <w:r w:rsidRPr="006C4070">
        <w:rPr>
          <w:b/>
          <w:bCs/>
        </w:rPr>
        <w:t>о</w:t>
      </w:r>
      <w:r w:rsidRPr="006C4070">
        <w:rPr>
          <w:b/>
          <w:bCs/>
        </w:rPr>
        <w:t>ект был основан на правозащитном подходе в полном соответствии со ст</w:t>
      </w:r>
      <w:r w:rsidRPr="006C4070">
        <w:rPr>
          <w:b/>
          <w:bCs/>
        </w:rPr>
        <w:t>а</w:t>
      </w:r>
      <w:r w:rsidRPr="006C4070">
        <w:rPr>
          <w:b/>
          <w:bCs/>
        </w:rPr>
        <w:t>тьей 12 Пакта.</w:t>
      </w:r>
    </w:p>
    <w:p w:rsidR="006C4070" w:rsidRPr="006C4070" w:rsidRDefault="006C4070" w:rsidP="006C4070">
      <w:pPr>
        <w:pStyle w:val="SingleTxtGR"/>
      </w:pPr>
      <w:r w:rsidRPr="006C4070">
        <w:t>60.</w:t>
      </w:r>
      <w:r w:rsidRPr="006C4070">
        <w:tab/>
        <w:t>Комитет выражает обеспокоенность по поводу неудовлетворительного состояния здоровья женщин из числа рома, в том числе большого числа кур</w:t>
      </w:r>
      <w:r w:rsidRPr="006C4070">
        <w:t>я</w:t>
      </w:r>
      <w:r w:rsidRPr="006C4070">
        <w:t>щих и страдающих легочными заболеваниями. Он также обеспокоен тем, что рома имеют ограниченный доступ к медицинским услугам из-за отсутствия и</w:t>
      </w:r>
      <w:r w:rsidRPr="006C4070">
        <w:t>н</w:t>
      </w:r>
      <w:r w:rsidRPr="006C4070">
        <w:t>формации о медицинских услугах и документов, удостоверяющих личность (пункт 2 статьи 2 и статья</w:t>
      </w:r>
      <w:r w:rsidR="001F72A6">
        <w:t xml:space="preserve"> </w:t>
      </w:r>
      <w:r w:rsidRPr="006C4070">
        <w:t>12).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61.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принять эффективные меры по борьбе с чрезмерным потреблением табака и распространенн</w:t>
      </w:r>
      <w:r w:rsidRPr="006C4070">
        <w:rPr>
          <w:b/>
          <w:bCs/>
        </w:rPr>
        <w:t>о</w:t>
      </w:r>
      <w:r w:rsidRPr="006C4070">
        <w:rPr>
          <w:b/>
          <w:bCs/>
        </w:rPr>
        <w:t>стью легочных заболеваний среди женщин из числа рома, а также провести исследование по вопросу об общем состоянии их здоровья.</w:t>
      </w:r>
      <w:r w:rsidRPr="006C4070">
        <w:t xml:space="preserve"> </w:t>
      </w:r>
      <w:r w:rsidRPr="006C4070">
        <w:rPr>
          <w:b/>
          <w:bCs/>
        </w:rPr>
        <w:t>Он также рек</w:t>
      </w:r>
      <w:r w:rsidRPr="006C4070">
        <w:rPr>
          <w:b/>
          <w:bCs/>
        </w:rPr>
        <w:t>о</w:t>
      </w:r>
      <w:r w:rsidRPr="006C4070">
        <w:rPr>
          <w:b/>
          <w:bCs/>
        </w:rPr>
        <w:t>мендует государству-участнику проводить информационные кампании о доступности бесплатной первичной медико-санитарной помощи и других медицинских услуг и обеспечивать выдачу удостоверений личности тем рома, которые их не имеют.</w:t>
      </w:r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Сексуальное и репродуктивное здоровье</w:t>
      </w:r>
    </w:p>
    <w:p w:rsidR="006C4070" w:rsidRPr="006C4070" w:rsidRDefault="006C4070" w:rsidP="006C4070">
      <w:pPr>
        <w:pStyle w:val="SingleTxtGR"/>
      </w:pPr>
      <w:r w:rsidRPr="006C4070">
        <w:t>62.</w:t>
      </w:r>
      <w:r w:rsidRPr="006C4070">
        <w:tab/>
        <w:t>Комитет обеспокоен:</w:t>
      </w:r>
    </w:p>
    <w:p w:rsidR="006C4070" w:rsidRPr="006C4070" w:rsidRDefault="006C4070" w:rsidP="006C4070">
      <w:pPr>
        <w:pStyle w:val="SingleTxtGR"/>
      </w:pPr>
      <w:r w:rsidRPr="006C4070">
        <w:tab/>
        <w:t>a)</w:t>
      </w:r>
      <w:r w:rsidRPr="006C4070">
        <w:tab/>
        <w:t>ограниченностью доступа к информации о сексуальном и репр</w:t>
      </w:r>
      <w:r w:rsidRPr="006C4070">
        <w:t>о</w:t>
      </w:r>
      <w:r w:rsidRPr="006C4070">
        <w:t>дуктивном здоровье и соответствующим услугам, включая современные сре</w:t>
      </w:r>
      <w:r w:rsidRPr="006C4070">
        <w:t>д</w:t>
      </w:r>
      <w:r w:rsidRPr="006C4070">
        <w:t>ства контрацепции, особенно молодежи, женщин из числа рома и женщин-инвалидов;</w:t>
      </w:r>
    </w:p>
    <w:p w:rsidR="006C4070" w:rsidRPr="006C4070" w:rsidRDefault="006C4070" w:rsidP="006C4070">
      <w:pPr>
        <w:pStyle w:val="SingleTxtGR"/>
      </w:pPr>
      <w:r w:rsidRPr="006C4070">
        <w:tab/>
        <w:t>b)</w:t>
      </w:r>
      <w:r w:rsidRPr="006C4070">
        <w:tab/>
        <w:t>отсутствием обязательного полового просвещения в школах, н</w:t>
      </w:r>
      <w:r w:rsidRPr="006C4070">
        <w:t>е</w:t>
      </w:r>
      <w:r w:rsidRPr="006C4070">
        <w:t>смотря на взятые правовые обязательства, что приводит к большому числу сл</w:t>
      </w:r>
      <w:r w:rsidRPr="006C4070">
        <w:t>у</w:t>
      </w:r>
      <w:r w:rsidRPr="006C4070">
        <w:t>чаев беременности в подростковом возрасте и ранних браков по причине бер</w:t>
      </w:r>
      <w:r w:rsidRPr="006C4070">
        <w:t>е</w:t>
      </w:r>
      <w:r w:rsidRPr="006C4070">
        <w:t>менности, а также распространением ВИЧ и инфекций, передаваемых половым путем, среди подростков;</w:t>
      </w:r>
    </w:p>
    <w:p w:rsidR="006C4070" w:rsidRPr="006C4070" w:rsidRDefault="006C4070" w:rsidP="006C4070">
      <w:pPr>
        <w:pStyle w:val="SingleTxtGR"/>
      </w:pPr>
      <w:r w:rsidRPr="006C4070">
        <w:tab/>
        <w:t>c)</w:t>
      </w:r>
      <w:r w:rsidRPr="006C4070">
        <w:tab/>
      </w:r>
      <w:proofErr w:type="spellStart"/>
      <w:r w:rsidRPr="006C4070">
        <w:t>непокрытием</w:t>
      </w:r>
      <w:proofErr w:type="spellEnd"/>
      <w:r w:rsidRPr="006C4070">
        <w:t xml:space="preserve"> услуг по прерыванию беременности по условиям планов медицинского страхования, что оборачивается большим числом по</w:t>
      </w:r>
      <w:r w:rsidRPr="006C4070">
        <w:t>д</w:t>
      </w:r>
      <w:r w:rsidRPr="006C4070">
        <w:t xml:space="preserve">польных абортов; </w:t>
      </w:r>
    </w:p>
    <w:p w:rsidR="006C4070" w:rsidRPr="006C4070" w:rsidRDefault="006C4070" w:rsidP="006C4070">
      <w:pPr>
        <w:pStyle w:val="SingleTxtGR"/>
      </w:pPr>
      <w:r w:rsidRPr="006C4070">
        <w:tab/>
        <w:t>d)</w:t>
      </w:r>
      <w:r w:rsidRPr="006C4070">
        <w:tab/>
        <w:t>сохраняющейся практикой принудительной стерилизации женщин-инвалидов, женщин из числа рома и женщин в сельских районах, как утвержд</w:t>
      </w:r>
      <w:r w:rsidRPr="006C4070">
        <w:t>а</w:t>
      </w:r>
      <w:r w:rsidRPr="006C4070">
        <w:t>ется, без их свободного, предварительного и осознанного согласия и наличием правовых положений, допускающих прерывание беременности без согласия женщины на основании психосоциального или интеллектуального нарушения (пункт 2 статьи 2 и статья 12).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63.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принять эффективные меры, чтобы: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a)</w:t>
      </w:r>
      <w:r w:rsidRPr="006C4070">
        <w:tab/>
      </w:r>
      <w:r w:rsidRPr="006C4070">
        <w:rPr>
          <w:b/>
          <w:bCs/>
        </w:rPr>
        <w:t>обеспечить всеобщий доступ к информации о сексуальном и репродуктивном здоровье и соответствующим службам, в том числе к с</w:t>
      </w:r>
      <w:r w:rsidRPr="006C4070">
        <w:rPr>
          <w:b/>
          <w:bCs/>
        </w:rPr>
        <w:t>о</w:t>
      </w:r>
      <w:r w:rsidRPr="006C4070">
        <w:rPr>
          <w:b/>
          <w:bCs/>
        </w:rPr>
        <w:t>временным средствам контрацепции;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b)</w:t>
      </w:r>
      <w:r w:rsidRPr="006C4070">
        <w:tab/>
      </w:r>
      <w:r w:rsidRPr="006C4070">
        <w:rPr>
          <w:b/>
          <w:bCs/>
        </w:rPr>
        <w:t>осуществлять всеобъемлющие и соответствующие возрасту программы просвещения по вопросам сексуального и репродуктивного здоровья во всех учебных заведениях, как это предусмотрено в законе об охране сексуального и репродуктивного здоровья;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c)</w:t>
      </w:r>
      <w:r w:rsidRPr="006C4070">
        <w:tab/>
      </w:r>
      <w:r w:rsidRPr="006C4070">
        <w:rPr>
          <w:b/>
          <w:bCs/>
        </w:rPr>
        <w:t>обеспечить покрытие прерывания беременности по условиям планов медицинского страхования;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lastRenderedPageBreak/>
        <w:tab/>
      </w:r>
      <w:r w:rsidRPr="006C4070">
        <w:rPr>
          <w:b/>
          <w:bCs/>
        </w:rPr>
        <w:t>d)</w:t>
      </w:r>
      <w:r w:rsidRPr="006C4070">
        <w:tab/>
      </w:r>
      <w:r w:rsidRPr="006C4070">
        <w:rPr>
          <w:b/>
          <w:bCs/>
        </w:rPr>
        <w:t>положить конец практике принудительной стерилизации же</w:t>
      </w:r>
      <w:r w:rsidRPr="006C4070">
        <w:rPr>
          <w:b/>
          <w:bCs/>
        </w:rPr>
        <w:t>н</w:t>
      </w:r>
      <w:r w:rsidRPr="006C4070">
        <w:rPr>
          <w:b/>
          <w:bCs/>
        </w:rPr>
        <w:t>щин-инвалидов, женщин из числа рома и женщин, проживающих в сел</w:t>
      </w:r>
      <w:r w:rsidRPr="006C4070">
        <w:rPr>
          <w:b/>
          <w:bCs/>
        </w:rPr>
        <w:t>ь</w:t>
      </w:r>
      <w:r w:rsidRPr="006C4070">
        <w:rPr>
          <w:b/>
          <w:bCs/>
        </w:rPr>
        <w:t>ских районах, и отменить законы, допускающие прерывание беременности без согласия женщины.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rPr>
          <w:b/>
          <w:bCs/>
        </w:rPr>
        <w:t>Комитет обращает внимание государства-участника на свое замечание о</w:t>
      </w:r>
      <w:r w:rsidRPr="006C4070">
        <w:rPr>
          <w:b/>
          <w:bCs/>
        </w:rPr>
        <w:t>б</w:t>
      </w:r>
      <w:r w:rsidRPr="006C4070">
        <w:rPr>
          <w:b/>
          <w:bCs/>
        </w:rPr>
        <w:t>щего порядка № 22 (2016) о праве на сексуальное и репродуктивное здор</w:t>
      </w:r>
      <w:r w:rsidRPr="006C4070">
        <w:rPr>
          <w:b/>
          <w:bCs/>
        </w:rPr>
        <w:t>о</w:t>
      </w:r>
      <w:r w:rsidRPr="006C4070">
        <w:rPr>
          <w:b/>
          <w:bCs/>
        </w:rPr>
        <w:t>вье</w:t>
      </w:r>
      <w:bookmarkStart w:id="0" w:name="_GoBack"/>
      <w:r w:rsidRPr="002762D2">
        <w:rPr>
          <w:b/>
          <w:bCs/>
        </w:rPr>
        <w:t>.</w:t>
      </w:r>
      <w:bookmarkEnd w:id="0"/>
    </w:p>
    <w:p w:rsidR="006C4070" w:rsidRPr="006C4070" w:rsidRDefault="006C4070" w:rsidP="00160419">
      <w:pPr>
        <w:pStyle w:val="H23GR"/>
      </w:pPr>
      <w:r w:rsidRPr="006C4070">
        <w:tab/>
      </w:r>
      <w:r w:rsidRPr="006C4070">
        <w:tab/>
        <w:t>ВИЧ/СПИД и туберкулез</w:t>
      </w:r>
    </w:p>
    <w:p w:rsidR="006C4070" w:rsidRPr="006C4070" w:rsidRDefault="006C4070" w:rsidP="006C4070">
      <w:pPr>
        <w:pStyle w:val="SingleTxtGR"/>
      </w:pPr>
      <w:r w:rsidRPr="006C4070">
        <w:t>64.</w:t>
      </w:r>
      <w:r w:rsidRPr="006C4070">
        <w:tab/>
        <w:t>Комитет выражает обеспокоенность в связи с ростом числа случаев заб</w:t>
      </w:r>
      <w:r w:rsidRPr="006C4070">
        <w:t>о</w:t>
      </w:r>
      <w:r w:rsidRPr="006C4070">
        <w:t>левания ВИЧ/СПИДом, а также частыми случаями раскрытия медицинских сведений о лицах, живущих с ВИЧ/СПИДом. Он также обеспокоен вызыва</w:t>
      </w:r>
      <w:r w:rsidRPr="006C4070">
        <w:t>ю</w:t>
      </w:r>
      <w:r w:rsidRPr="006C4070">
        <w:t>щим тревогу уровнем заболеваемости туберкулезом, особенно туберкулезом, резистентным ко многим лекарственным препаратам (статья 12).</w:t>
      </w:r>
    </w:p>
    <w:p w:rsidR="006C4070" w:rsidRPr="006C4070" w:rsidRDefault="006C4070" w:rsidP="006C4070">
      <w:pPr>
        <w:pStyle w:val="SingleTxtGR"/>
        <w:rPr>
          <w:b/>
        </w:rPr>
      </w:pPr>
      <w:r w:rsidRPr="00160419">
        <w:t>65.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по борьбе с распространением и последствиями ВИЧ/СПИДа, в том числе путем расширения сферы охвата бесплатной антиретровирусной т</w:t>
      </w:r>
      <w:r w:rsidRPr="006C4070">
        <w:rPr>
          <w:b/>
          <w:bCs/>
        </w:rPr>
        <w:t>е</w:t>
      </w:r>
      <w:r w:rsidRPr="006C4070">
        <w:rPr>
          <w:b/>
          <w:bCs/>
        </w:rPr>
        <w:t>рапией, и пересмотреть положения Уголовного кодекса, предусматрива</w:t>
      </w:r>
      <w:r w:rsidRPr="006C4070">
        <w:rPr>
          <w:b/>
          <w:bCs/>
        </w:rPr>
        <w:t>ю</w:t>
      </w:r>
      <w:r w:rsidRPr="006C4070">
        <w:rPr>
          <w:b/>
          <w:bCs/>
        </w:rPr>
        <w:t>щие уголовную ответственность за передачу ВИЧ-инфекции.</w:t>
      </w:r>
      <w:r w:rsidRPr="006C4070">
        <w:t xml:space="preserve"> </w:t>
      </w:r>
      <w:r w:rsidRPr="006C4070">
        <w:rPr>
          <w:b/>
          <w:bCs/>
        </w:rPr>
        <w:t>Он насто</w:t>
      </w:r>
      <w:r w:rsidRPr="006C4070">
        <w:rPr>
          <w:b/>
          <w:bCs/>
        </w:rPr>
        <w:t>я</w:t>
      </w:r>
      <w:r w:rsidRPr="006C4070">
        <w:rPr>
          <w:b/>
          <w:bCs/>
        </w:rPr>
        <w:t xml:space="preserve">тельно призывает государство-участник пересмотреть Закон № 23-XVI от 2007 </w:t>
      </w:r>
      <w:r w:rsidR="00BB6DA9">
        <w:rPr>
          <w:b/>
          <w:bCs/>
        </w:rPr>
        <w:t xml:space="preserve">года </w:t>
      </w:r>
      <w:r w:rsidRPr="006C4070">
        <w:rPr>
          <w:b/>
          <w:bCs/>
        </w:rPr>
        <w:t xml:space="preserve">о профилактике ВИЧ/СПИДа, с </w:t>
      </w:r>
      <w:proofErr w:type="gramStart"/>
      <w:r w:rsidRPr="006C4070">
        <w:rPr>
          <w:b/>
          <w:bCs/>
        </w:rPr>
        <w:t>тем</w:t>
      </w:r>
      <w:proofErr w:type="gramEnd"/>
      <w:r w:rsidRPr="006C4070">
        <w:rPr>
          <w:b/>
          <w:bCs/>
        </w:rPr>
        <w:t xml:space="preserve"> чтобы обеспечить защиту врачебной тайны.</w:t>
      </w:r>
      <w:r w:rsidRPr="006C4070">
        <w:t xml:space="preserve"> </w:t>
      </w:r>
      <w:r w:rsidRPr="006C4070">
        <w:rPr>
          <w:b/>
          <w:bCs/>
        </w:rPr>
        <w:t>Он также рекомендует государству-участнику активиз</w:t>
      </w:r>
      <w:r w:rsidRPr="006C4070">
        <w:rPr>
          <w:b/>
          <w:bCs/>
        </w:rPr>
        <w:t>и</w:t>
      </w:r>
      <w:r w:rsidRPr="006C4070">
        <w:rPr>
          <w:b/>
          <w:bCs/>
        </w:rPr>
        <w:t>ровать свои усилия для лечения и профилактики туберкулеза, особенно т</w:t>
      </w:r>
      <w:r w:rsidRPr="006C4070">
        <w:rPr>
          <w:b/>
          <w:bCs/>
        </w:rPr>
        <w:t>у</w:t>
      </w:r>
      <w:r w:rsidRPr="006C4070">
        <w:rPr>
          <w:b/>
          <w:bCs/>
        </w:rPr>
        <w:t>беркул</w:t>
      </w:r>
      <w:r w:rsidRPr="006C4070">
        <w:rPr>
          <w:b/>
          <w:bCs/>
        </w:rPr>
        <w:t>е</w:t>
      </w:r>
      <w:r w:rsidRPr="006C4070">
        <w:rPr>
          <w:b/>
          <w:bCs/>
        </w:rPr>
        <w:t>за, резистентного ко многим лекарственным препаратам.</w:t>
      </w:r>
    </w:p>
    <w:p w:rsidR="006C4070" w:rsidRPr="006C4070" w:rsidRDefault="006C4070" w:rsidP="00BB6DA9">
      <w:pPr>
        <w:pStyle w:val="H23GR"/>
      </w:pPr>
      <w:r w:rsidRPr="006C4070">
        <w:tab/>
      </w:r>
      <w:r w:rsidRPr="006C4070">
        <w:tab/>
        <w:t>Лица, употребляющие наркотики</w:t>
      </w:r>
    </w:p>
    <w:p w:rsidR="006C4070" w:rsidRPr="006C4070" w:rsidRDefault="006C4070" w:rsidP="006C4070">
      <w:pPr>
        <w:pStyle w:val="SingleTxtGR"/>
      </w:pPr>
      <w:r w:rsidRPr="006C4070">
        <w:t>66.</w:t>
      </w:r>
      <w:r w:rsidRPr="006C4070">
        <w:tab/>
        <w:t>Комитет обеспокоен сообщениями о том, что лица, употребляющие наркотики, подвергаются принудительному леч</w:t>
      </w:r>
      <w:r w:rsidR="00BB6DA9">
        <w:t>ению в сочетании с изоляцией, а </w:t>
      </w:r>
      <w:r w:rsidRPr="006C4070">
        <w:t>также о том, что сворачивается международное финансирование программ снижения вреда для лиц, употребляющих наркотики, что приведет к сокращ</w:t>
      </w:r>
      <w:r w:rsidRPr="006C4070">
        <w:t>е</w:t>
      </w:r>
      <w:r w:rsidRPr="006C4070">
        <w:t>нию медицинских услуг и увеличению распространенности гепатита и ВИЧ среди лиц, употребляющих наркотики (статья 12).</w:t>
      </w:r>
    </w:p>
    <w:p w:rsidR="006C4070" w:rsidRPr="006C4070" w:rsidRDefault="006C4070" w:rsidP="006C4070">
      <w:pPr>
        <w:pStyle w:val="SingleTxtGR"/>
        <w:rPr>
          <w:b/>
        </w:rPr>
      </w:pPr>
      <w:r w:rsidRPr="00BB6DA9">
        <w:t>67.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применять правоз</w:t>
      </w:r>
      <w:r w:rsidRPr="006C4070">
        <w:rPr>
          <w:b/>
          <w:bCs/>
        </w:rPr>
        <w:t>а</w:t>
      </w:r>
      <w:r w:rsidRPr="006C4070">
        <w:rPr>
          <w:b/>
          <w:bCs/>
        </w:rPr>
        <w:t>щитный подход к лечению лиц, употребляющих наркотики, и обеспечивать оказание надлежащих медицинских услуг и психологичес</w:t>
      </w:r>
      <w:r w:rsidR="00BB6DA9">
        <w:rPr>
          <w:b/>
          <w:bCs/>
        </w:rPr>
        <w:t>кой помощи, а </w:t>
      </w:r>
      <w:r w:rsidRPr="006C4070">
        <w:rPr>
          <w:b/>
          <w:bCs/>
        </w:rPr>
        <w:t>также реабилитацию.</w:t>
      </w:r>
      <w:r w:rsidRPr="006C4070">
        <w:t xml:space="preserve"> </w:t>
      </w:r>
      <w:r w:rsidRPr="006C4070">
        <w:rPr>
          <w:b/>
          <w:bCs/>
        </w:rPr>
        <w:t>Он настоятельно призывает государство-участник поддерживать программы снижения вреда для лиц, употребляющих нарк</w:t>
      </w:r>
      <w:r w:rsidRPr="006C4070">
        <w:rPr>
          <w:b/>
          <w:bCs/>
        </w:rPr>
        <w:t>о</w:t>
      </w:r>
      <w:r w:rsidRPr="006C4070">
        <w:rPr>
          <w:b/>
          <w:bCs/>
        </w:rPr>
        <w:t>тики.</w:t>
      </w:r>
    </w:p>
    <w:p w:rsidR="006C4070" w:rsidRPr="006C4070" w:rsidRDefault="006C4070" w:rsidP="00BB6DA9">
      <w:pPr>
        <w:pStyle w:val="H23GR"/>
      </w:pPr>
      <w:r w:rsidRPr="006C4070">
        <w:tab/>
      </w:r>
      <w:r w:rsidRPr="006C4070">
        <w:tab/>
        <w:t>Окружающая среда</w:t>
      </w:r>
    </w:p>
    <w:p w:rsidR="006C4070" w:rsidRPr="006C4070" w:rsidRDefault="006C4070" w:rsidP="006C4070">
      <w:pPr>
        <w:pStyle w:val="SingleTxtGR"/>
      </w:pPr>
      <w:r w:rsidRPr="006C4070">
        <w:t>68.</w:t>
      </w:r>
      <w:r w:rsidRPr="006C4070">
        <w:tab/>
        <w:t>Комитет обеспокоен серьезным загрязнением почвы и грунтовых вод из-за применяемых методов захоронения отходов и широким использование сел</w:t>
      </w:r>
      <w:r w:rsidRPr="006C4070">
        <w:t>ь</w:t>
      </w:r>
      <w:r w:rsidRPr="006C4070">
        <w:t>скохозяйственных химических веществ и стойких органических загрязнителей, включая пестициды и инсектициды (статьи 11 и</w:t>
      </w:r>
      <w:r w:rsidR="00BB6DA9">
        <w:t xml:space="preserve"> </w:t>
      </w:r>
      <w:r w:rsidRPr="006C4070">
        <w:t>12).</w:t>
      </w:r>
    </w:p>
    <w:p w:rsidR="006C4070" w:rsidRPr="006C4070" w:rsidRDefault="006C4070" w:rsidP="006C4070">
      <w:pPr>
        <w:pStyle w:val="SingleTxtGR"/>
        <w:rPr>
          <w:b/>
        </w:rPr>
      </w:pPr>
      <w:r w:rsidRPr="00BB6DA9">
        <w:t>69.</w:t>
      </w:r>
      <w:r w:rsidRPr="006C4070">
        <w:tab/>
      </w:r>
      <w:r w:rsidRPr="006C4070">
        <w:rPr>
          <w:b/>
          <w:bCs/>
        </w:rPr>
        <w:t xml:space="preserve">Комитет рекомендует государству-участнику использовать </w:t>
      </w:r>
      <w:proofErr w:type="spellStart"/>
      <w:r w:rsidRPr="006C4070">
        <w:rPr>
          <w:b/>
          <w:bCs/>
        </w:rPr>
        <w:t>экологи</w:t>
      </w:r>
      <w:r w:rsidRPr="006C4070">
        <w:rPr>
          <w:b/>
          <w:bCs/>
        </w:rPr>
        <w:t>ч</w:t>
      </w:r>
      <w:r w:rsidRPr="006C4070">
        <w:rPr>
          <w:b/>
          <w:bCs/>
        </w:rPr>
        <w:t>ные</w:t>
      </w:r>
      <w:proofErr w:type="spellEnd"/>
      <w:r w:rsidRPr="006C4070">
        <w:rPr>
          <w:b/>
          <w:bCs/>
        </w:rPr>
        <w:t xml:space="preserve"> методы обращения, мониторинга, сбора и обработки отходов в кач</w:t>
      </w:r>
      <w:r w:rsidRPr="006C4070">
        <w:rPr>
          <w:b/>
          <w:bCs/>
        </w:rPr>
        <w:t>е</w:t>
      </w:r>
      <w:r w:rsidRPr="006C4070">
        <w:rPr>
          <w:b/>
          <w:bCs/>
        </w:rPr>
        <w:t>стве альтернативы методам их захоронения;</w:t>
      </w:r>
      <w:r w:rsidRPr="006C4070">
        <w:t xml:space="preserve"> </w:t>
      </w:r>
      <w:r w:rsidRPr="006C4070">
        <w:rPr>
          <w:b/>
          <w:bCs/>
        </w:rPr>
        <w:t>ввести в действие соотве</w:t>
      </w:r>
      <w:r w:rsidRPr="006C4070">
        <w:rPr>
          <w:b/>
          <w:bCs/>
        </w:rPr>
        <w:t>т</w:t>
      </w:r>
      <w:r w:rsidRPr="006C4070">
        <w:rPr>
          <w:b/>
          <w:bCs/>
        </w:rPr>
        <w:t>ствующие программы рециркуляции отходов;</w:t>
      </w:r>
      <w:r w:rsidRPr="006C4070">
        <w:t xml:space="preserve"> </w:t>
      </w:r>
      <w:r w:rsidRPr="006C4070">
        <w:rPr>
          <w:b/>
          <w:bCs/>
        </w:rPr>
        <w:t>и поощрять устойчивые м</w:t>
      </w:r>
      <w:r w:rsidRPr="006C4070">
        <w:rPr>
          <w:b/>
          <w:bCs/>
        </w:rPr>
        <w:t>о</w:t>
      </w:r>
      <w:r w:rsidRPr="006C4070">
        <w:rPr>
          <w:b/>
          <w:bCs/>
        </w:rPr>
        <w:t>дели потребления и производства.</w:t>
      </w:r>
      <w:r w:rsidRPr="006C4070">
        <w:t xml:space="preserve"> </w:t>
      </w:r>
      <w:r w:rsidRPr="006C4070">
        <w:rPr>
          <w:b/>
          <w:bCs/>
        </w:rPr>
        <w:t>Он настоятельно призывает госуда</w:t>
      </w:r>
      <w:r w:rsidRPr="006C4070">
        <w:rPr>
          <w:b/>
          <w:bCs/>
        </w:rPr>
        <w:t>р</w:t>
      </w:r>
      <w:r w:rsidRPr="006C4070">
        <w:rPr>
          <w:b/>
          <w:bCs/>
        </w:rPr>
        <w:t>ство-участник обеспечить, чтобы использование вредных химических в</w:t>
      </w:r>
      <w:r w:rsidRPr="006C4070">
        <w:rPr>
          <w:b/>
          <w:bCs/>
        </w:rPr>
        <w:t>е</w:t>
      </w:r>
      <w:r w:rsidRPr="006C4070">
        <w:rPr>
          <w:b/>
          <w:bCs/>
        </w:rPr>
        <w:t>ществ в сельском хозяйстве в полной мере контролировалось и регулир</w:t>
      </w:r>
      <w:r w:rsidRPr="006C4070">
        <w:rPr>
          <w:b/>
          <w:bCs/>
        </w:rPr>
        <w:t>о</w:t>
      </w:r>
      <w:r w:rsidRPr="006C4070">
        <w:rPr>
          <w:b/>
          <w:bCs/>
        </w:rPr>
        <w:t>валось.</w:t>
      </w:r>
    </w:p>
    <w:p w:rsidR="006C4070" w:rsidRPr="006C4070" w:rsidRDefault="00BB6DA9" w:rsidP="00BB6DA9">
      <w:pPr>
        <w:pStyle w:val="H23GR"/>
      </w:pPr>
      <w:r>
        <w:br w:type="page"/>
      </w:r>
      <w:r w:rsidR="006C4070" w:rsidRPr="006C4070">
        <w:lastRenderedPageBreak/>
        <w:tab/>
      </w:r>
      <w:r w:rsidR="006C4070" w:rsidRPr="006C4070">
        <w:tab/>
        <w:t>Право на образование</w:t>
      </w:r>
    </w:p>
    <w:p w:rsidR="006C4070" w:rsidRPr="006C4070" w:rsidRDefault="006C4070" w:rsidP="006C4070">
      <w:pPr>
        <w:pStyle w:val="SingleTxtGR"/>
      </w:pPr>
      <w:r w:rsidRPr="006C4070">
        <w:t>70.</w:t>
      </w:r>
      <w:r w:rsidRPr="006C4070">
        <w:tab/>
        <w:t xml:space="preserve">Комитет обеспокоен: </w:t>
      </w:r>
    </w:p>
    <w:p w:rsidR="006C4070" w:rsidRPr="006C4070" w:rsidRDefault="006C4070" w:rsidP="006C4070">
      <w:pPr>
        <w:pStyle w:val="SingleTxtGR"/>
      </w:pPr>
      <w:r w:rsidRPr="006C4070">
        <w:tab/>
        <w:t>a)</w:t>
      </w:r>
      <w:r w:rsidRPr="006C4070">
        <w:tab/>
        <w:t>низким показателями охвата школьным образованием молодежи в сельских районах и детей из числа рома и высокими показателями отсева из школ, в том числе среди детей молдавских трудящихся-мигрантов за рубежом, на всех уровнях образования;</w:t>
      </w:r>
    </w:p>
    <w:p w:rsidR="006C4070" w:rsidRPr="006C4070" w:rsidRDefault="006C4070" w:rsidP="006C4070">
      <w:pPr>
        <w:pStyle w:val="SingleTxtGR"/>
      </w:pPr>
      <w:r w:rsidRPr="006C4070">
        <w:tab/>
        <w:t>b)</w:t>
      </w:r>
      <w:r w:rsidRPr="006C4070">
        <w:tab/>
        <w:t>низким качеством образования из-за низкого уровня учебных мат</w:t>
      </w:r>
      <w:r w:rsidRPr="006C4070">
        <w:t>е</w:t>
      </w:r>
      <w:r w:rsidRPr="006C4070">
        <w:t>риалов и объектов, а также недобора молодых преподавателей;</w:t>
      </w:r>
    </w:p>
    <w:p w:rsidR="006C4070" w:rsidRPr="006C4070" w:rsidRDefault="006C4070" w:rsidP="006C4070">
      <w:pPr>
        <w:pStyle w:val="SingleTxtGR"/>
      </w:pPr>
      <w:r w:rsidRPr="006C4070">
        <w:tab/>
        <w:t>c)</w:t>
      </w:r>
      <w:r w:rsidRPr="006C4070">
        <w:tab/>
        <w:t>недостаточностью мер по обеспечению инклюзивного образования детям-инвалидам;</w:t>
      </w:r>
    </w:p>
    <w:p w:rsidR="006C4070" w:rsidRPr="006C4070" w:rsidRDefault="006C4070" w:rsidP="006C4070">
      <w:pPr>
        <w:pStyle w:val="SingleTxtGR"/>
      </w:pPr>
      <w:r w:rsidRPr="006C4070">
        <w:tab/>
        <w:t>d)</w:t>
      </w:r>
      <w:r w:rsidRPr="006C4070">
        <w:tab/>
        <w:t>ограниченностью возможностей получения образования на реги</w:t>
      </w:r>
      <w:r w:rsidRPr="006C4070">
        <w:t>о</w:t>
      </w:r>
      <w:r w:rsidRPr="006C4070">
        <w:t>нальных языках (статьи 13, 14 и 15).</w:t>
      </w:r>
    </w:p>
    <w:p w:rsidR="006C4070" w:rsidRPr="006C4070" w:rsidRDefault="006C4070" w:rsidP="006C4070">
      <w:pPr>
        <w:pStyle w:val="SingleTxtGR"/>
        <w:rPr>
          <w:b/>
        </w:rPr>
      </w:pPr>
      <w:r w:rsidRPr="00BB6DA9">
        <w:t>71.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активизировать свои усилия в целях: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a)</w:t>
      </w:r>
      <w:r w:rsidRPr="006C4070">
        <w:tab/>
      </w:r>
      <w:r w:rsidRPr="006C4070">
        <w:rPr>
          <w:b/>
          <w:bCs/>
        </w:rPr>
        <w:t>решения проблемы низких показателей охвата школьным о</w:t>
      </w:r>
      <w:r w:rsidRPr="006C4070">
        <w:rPr>
          <w:b/>
          <w:bCs/>
        </w:rPr>
        <w:t>б</w:t>
      </w:r>
      <w:r w:rsidRPr="006C4070">
        <w:rPr>
          <w:b/>
          <w:bCs/>
        </w:rPr>
        <w:t>разованием молодежи в сельских районах и детей из числа рома и высоких показателей отсева из школ, в том числе среди детей молдавских труд</w:t>
      </w:r>
      <w:r w:rsidRPr="006C4070">
        <w:rPr>
          <w:b/>
          <w:bCs/>
        </w:rPr>
        <w:t>я</w:t>
      </w:r>
      <w:r w:rsidRPr="006C4070">
        <w:rPr>
          <w:b/>
          <w:bCs/>
        </w:rPr>
        <w:t>щихся-мигрантов за рубежом, на всех уровнях образования;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b)</w:t>
      </w:r>
      <w:r w:rsidRPr="006C4070">
        <w:tab/>
      </w:r>
      <w:r w:rsidRPr="006C4070">
        <w:rPr>
          <w:b/>
          <w:bCs/>
        </w:rPr>
        <w:t>повышения уровня учебных материалы и объектов школьной инфраструктуры, включая водоснабжение и канализацию, и увеличения числа молодых преподавателей, в том числе за счет повышения окладов, пособий и льгот;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c)</w:t>
      </w:r>
      <w:r w:rsidRPr="006C4070">
        <w:tab/>
      </w:r>
      <w:r w:rsidRPr="006C4070">
        <w:rPr>
          <w:b/>
          <w:bCs/>
        </w:rPr>
        <w:t>рас</w:t>
      </w:r>
      <w:r w:rsidR="00C05AC8">
        <w:rPr>
          <w:b/>
          <w:bCs/>
        </w:rPr>
        <w:t>ширения доступа детей-инвалидов</w:t>
      </w:r>
      <w:r w:rsidRPr="006C4070">
        <w:rPr>
          <w:b/>
          <w:bCs/>
        </w:rPr>
        <w:t xml:space="preserve"> к инклюзивному образ</w:t>
      </w:r>
      <w:r w:rsidRPr="006C4070">
        <w:rPr>
          <w:b/>
          <w:bCs/>
        </w:rPr>
        <w:t>о</w:t>
      </w:r>
      <w:r w:rsidRPr="006C4070">
        <w:rPr>
          <w:b/>
          <w:bCs/>
        </w:rPr>
        <w:t>ванию;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tab/>
      </w:r>
      <w:r w:rsidRPr="006C4070">
        <w:rPr>
          <w:b/>
          <w:bCs/>
        </w:rPr>
        <w:t>d)</w:t>
      </w:r>
      <w:r w:rsidRPr="006C4070">
        <w:tab/>
      </w:r>
      <w:r w:rsidRPr="006C4070">
        <w:rPr>
          <w:b/>
          <w:bCs/>
        </w:rPr>
        <w:t>расширения возможностей учащихся, говорящих на реги</w:t>
      </w:r>
      <w:r w:rsidRPr="006C4070">
        <w:rPr>
          <w:b/>
          <w:bCs/>
        </w:rPr>
        <w:t>о</w:t>
      </w:r>
      <w:r w:rsidRPr="006C4070">
        <w:rPr>
          <w:b/>
          <w:bCs/>
        </w:rPr>
        <w:t>нальных языках, получать образование на своем родном языке.</w:t>
      </w:r>
    </w:p>
    <w:p w:rsidR="006C4070" w:rsidRPr="006C4070" w:rsidRDefault="006C4070" w:rsidP="006C4070">
      <w:pPr>
        <w:pStyle w:val="SingleTxtGR"/>
        <w:rPr>
          <w:b/>
        </w:rPr>
      </w:pPr>
      <w:r w:rsidRPr="006C4070">
        <w:rPr>
          <w:b/>
          <w:bCs/>
        </w:rPr>
        <w:t>Комитет обращает внимание государства-участника на свое замечание о</w:t>
      </w:r>
      <w:r w:rsidRPr="006C4070">
        <w:rPr>
          <w:b/>
          <w:bCs/>
        </w:rPr>
        <w:t>б</w:t>
      </w:r>
      <w:r w:rsidRPr="006C4070">
        <w:rPr>
          <w:b/>
          <w:bCs/>
        </w:rPr>
        <w:t>щего порядка № 13 (1999) о праве на образование.</w:t>
      </w:r>
    </w:p>
    <w:p w:rsidR="006C4070" w:rsidRPr="006C4070" w:rsidRDefault="006C4070" w:rsidP="00BB6DA9">
      <w:pPr>
        <w:pStyle w:val="H23GR"/>
      </w:pPr>
      <w:r w:rsidRPr="006C4070">
        <w:tab/>
      </w:r>
      <w:r w:rsidRPr="006C4070">
        <w:tab/>
        <w:t>Оптимизация школьной системы</w:t>
      </w:r>
    </w:p>
    <w:p w:rsidR="006C4070" w:rsidRPr="006C4070" w:rsidRDefault="006C4070" w:rsidP="006C4070">
      <w:pPr>
        <w:pStyle w:val="SingleTxtGR"/>
      </w:pPr>
      <w:r w:rsidRPr="006C4070">
        <w:t>72.</w:t>
      </w:r>
      <w:r w:rsidRPr="006C4070">
        <w:tab/>
        <w:t>Комитет отмечает, что в рамках процесса оптимизации школьной сист</w:t>
      </w:r>
      <w:r w:rsidRPr="006C4070">
        <w:t>е</w:t>
      </w:r>
      <w:r w:rsidRPr="006C4070">
        <w:t>мы 78 школ в сельских районах уже закрыты, а еще 20 школ будут закрыты к концу 2017 года и что учащимся этих школ предоставляется бесплатный тран</w:t>
      </w:r>
      <w:r w:rsidRPr="006C4070">
        <w:t>с</w:t>
      </w:r>
      <w:r w:rsidRPr="006C4070">
        <w:t xml:space="preserve">порт для посещения других школ. </w:t>
      </w:r>
      <w:proofErr w:type="gramStart"/>
      <w:r w:rsidRPr="006C4070">
        <w:t>Вместе с тем Комитет выражает обеспокое</w:t>
      </w:r>
      <w:r w:rsidRPr="006C4070">
        <w:t>н</w:t>
      </w:r>
      <w:r w:rsidRPr="006C4070">
        <w:t>ность в связи с многочисленными сообщениями о том, что учащиеся часто пр</w:t>
      </w:r>
      <w:r w:rsidRPr="006C4070">
        <w:t>о</w:t>
      </w:r>
      <w:r w:rsidRPr="006C4070">
        <w:t>пускают школу и не могут участвовать в большинстве внеклассных меропри</w:t>
      </w:r>
      <w:r w:rsidRPr="006C4070">
        <w:t>я</w:t>
      </w:r>
      <w:r w:rsidRPr="006C4070">
        <w:t>тий из-за проблем с транспортным сообщением и что предоставляемые авт</w:t>
      </w:r>
      <w:r w:rsidRPr="006C4070">
        <w:t>о</w:t>
      </w:r>
      <w:r w:rsidRPr="006C4070">
        <w:t>транспортные средства, как правило, не доступны для учащихся с ограниче</w:t>
      </w:r>
      <w:r w:rsidRPr="006C4070">
        <w:t>н</w:t>
      </w:r>
      <w:r w:rsidRPr="006C4070">
        <w:t>ными физическими возможностями (пункт 2 статьи 2 и статьи 13 и 14).</w:t>
      </w:r>
      <w:proofErr w:type="gramEnd"/>
    </w:p>
    <w:p w:rsidR="006C4070" w:rsidRPr="006C4070" w:rsidRDefault="006C4070" w:rsidP="00BB6DA9">
      <w:pPr>
        <w:pStyle w:val="SingleTxtGR"/>
        <w:rPr>
          <w:b/>
        </w:rPr>
      </w:pPr>
      <w:r w:rsidRPr="00BB6DA9">
        <w:t>73.</w:t>
      </w:r>
      <w:r w:rsidRPr="006C4070">
        <w:tab/>
      </w:r>
      <w:r w:rsidRPr="006C4070">
        <w:rPr>
          <w:b/>
          <w:bCs/>
        </w:rPr>
        <w:t>Комитет настоятельно призывает государство-участник принять незамедлительные и эффективные меры для обеспечения того, чтобы уч</w:t>
      </w:r>
      <w:r w:rsidRPr="006C4070">
        <w:rPr>
          <w:b/>
          <w:bCs/>
        </w:rPr>
        <w:t>а</w:t>
      </w:r>
      <w:r w:rsidRPr="006C4070">
        <w:rPr>
          <w:b/>
          <w:bCs/>
        </w:rPr>
        <w:t>щиеся, затронутые процессом оптимизации школьной системы, получали всю необходимую поддержку, включая необходимые транспортные услуги, для участия во всех школьных мероприятиях и чтобы предоставляемые автотранспортные средства были физически доступны для учащихся-инвалидов.</w:t>
      </w:r>
      <w:r w:rsidRPr="006C4070">
        <w:t xml:space="preserve"> </w:t>
      </w:r>
      <w:r w:rsidRPr="006C4070">
        <w:rPr>
          <w:b/>
          <w:bCs/>
        </w:rPr>
        <w:t>Комитет рекомендует государству-участнику оценить возде</w:t>
      </w:r>
      <w:r w:rsidRPr="006C4070">
        <w:rPr>
          <w:b/>
          <w:bCs/>
        </w:rPr>
        <w:t>й</w:t>
      </w:r>
      <w:r w:rsidRPr="006C4070">
        <w:rPr>
          <w:b/>
          <w:bCs/>
        </w:rPr>
        <w:t>ствие процесса оптимизации на выполнение его обязательств по стат</w:t>
      </w:r>
      <w:r w:rsidRPr="006C4070">
        <w:rPr>
          <w:b/>
          <w:bCs/>
        </w:rPr>
        <w:t>ь</w:t>
      </w:r>
      <w:r w:rsidRPr="006C4070">
        <w:rPr>
          <w:b/>
          <w:bCs/>
        </w:rPr>
        <w:t>ям</w:t>
      </w:r>
      <w:r w:rsidR="00BB6DA9">
        <w:rPr>
          <w:b/>
          <w:bCs/>
        </w:rPr>
        <w:t> </w:t>
      </w:r>
      <w:r w:rsidRPr="006C4070">
        <w:rPr>
          <w:b/>
          <w:bCs/>
        </w:rPr>
        <w:t>13 и 14 Пакта и соответствующим образом скорректировать, в случае необх</w:t>
      </w:r>
      <w:r w:rsidRPr="006C4070">
        <w:rPr>
          <w:b/>
          <w:bCs/>
        </w:rPr>
        <w:t>о</w:t>
      </w:r>
      <w:r w:rsidRPr="006C4070">
        <w:rPr>
          <w:b/>
          <w:bCs/>
        </w:rPr>
        <w:t>димости свою политику.</w:t>
      </w:r>
    </w:p>
    <w:p w:rsidR="006C4070" w:rsidRPr="006C4070" w:rsidRDefault="006C4070" w:rsidP="00BB6DA9">
      <w:pPr>
        <w:pStyle w:val="H23GR"/>
      </w:pPr>
      <w:r w:rsidRPr="006C4070">
        <w:lastRenderedPageBreak/>
        <w:tab/>
      </w:r>
      <w:r w:rsidRPr="006C4070">
        <w:tab/>
        <w:t>Культурные права</w:t>
      </w:r>
    </w:p>
    <w:p w:rsidR="006C4070" w:rsidRPr="006C4070" w:rsidRDefault="006C4070" w:rsidP="006C4070">
      <w:pPr>
        <w:pStyle w:val="SingleTxtGR"/>
      </w:pPr>
      <w:r w:rsidRPr="006C4070">
        <w:t>74.</w:t>
      </w:r>
      <w:r w:rsidRPr="006C4070">
        <w:tab/>
        <w:t>Комитет обеспокоен тем, что после внесения в 2012 году поправок к з</w:t>
      </w:r>
      <w:r w:rsidRPr="006C4070">
        <w:t>а</w:t>
      </w:r>
      <w:r w:rsidRPr="006C4070">
        <w:t>кону об удостоверяющих личность документах в национальной паспортной с</w:t>
      </w:r>
      <w:r w:rsidRPr="006C4070">
        <w:t>и</w:t>
      </w:r>
      <w:r w:rsidRPr="006C4070">
        <w:t>стеме не признаются имена лиц, принадлежащих к группам этноязыковых меньшинств, в частности русского меньшинства (статья 15).</w:t>
      </w:r>
    </w:p>
    <w:p w:rsidR="006C4070" w:rsidRPr="006C4070" w:rsidRDefault="006C4070" w:rsidP="006C4070">
      <w:pPr>
        <w:pStyle w:val="SingleTxtGR"/>
        <w:rPr>
          <w:b/>
          <w:bCs/>
        </w:rPr>
      </w:pPr>
      <w:r w:rsidRPr="00BB6DA9">
        <w:t>75.</w:t>
      </w:r>
      <w:r w:rsidRPr="006C4070">
        <w:rPr>
          <w:b/>
          <w:bCs/>
        </w:rPr>
        <w:tab/>
        <w:t>Комитет рекомендует государству-участнику принять все необход</w:t>
      </w:r>
      <w:r w:rsidRPr="006C4070">
        <w:rPr>
          <w:b/>
          <w:bCs/>
        </w:rPr>
        <w:t>и</w:t>
      </w:r>
      <w:r w:rsidRPr="006C4070">
        <w:rPr>
          <w:b/>
          <w:bCs/>
        </w:rPr>
        <w:t>мые меры для обеспечения того, чтобы в удостоверениях личности лиц, принадлежащих к группам этноязыковых меньшинств, в частности ру</w:t>
      </w:r>
      <w:r w:rsidRPr="006C4070">
        <w:rPr>
          <w:b/>
          <w:bCs/>
        </w:rPr>
        <w:t>с</w:t>
      </w:r>
      <w:r w:rsidRPr="006C4070">
        <w:rPr>
          <w:b/>
          <w:bCs/>
        </w:rPr>
        <w:t>скому меньшинству, указывались их имена, в том числе отчество.</w:t>
      </w:r>
    </w:p>
    <w:p w:rsidR="006C4070" w:rsidRPr="006C4070" w:rsidRDefault="006C4070" w:rsidP="00BB6DA9">
      <w:pPr>
        <w:pStyle w:val="H1GR"/>
      </w:pPr>
      <w:r w:rsidRPr="006C4070">
        <w:tab/>
        <w:t>D.</w:t>
      </w:r>
      <w:r w:rsidRPr="006C4070">
        <w:tab/>
        <w:t>Другие рекомендации</w:t>
      </w:r>
    </w:p>
    <w:p w:rsidR="006C4070" w:rsidRPr="006C4070" w:rsidRDefault="006C4070" w:rsidP="006C4070">
      <w:pPr>
        <w:pStyle w:val="SingleTxtGR"/>
        <w:rPr>
          <w:b/>
        </w:rPr>
      </w:pPr>
      <w:r w:rsidRPr="00BB6DA9">
        <w:t>76.</w:t>
      </w:r>
      <w:r w:rsidRPr="006C4070">
        <w:tab/>
      </w:r>
      <w:r w:rsidRPr="006C4070">
        <w:rPr>
          <w:b/>
          <w:bCs/>
        </w:rPr>
        <w:t>Комитет предлагает государству-участнику изучить возможность р</w:t>
      </w:r>
      <w:r w:rsidRPr="006C4070">
        <w:rPr>
          <w:b/>
          <w:bCs/>
        </w:rPr>
        <w:t>а</w:t>
      </w:r>
      <w:r w:rsidRPr="006C4070">
        <w:rPr>
          <w:b/>
          <w:bCs/>
        </w:rPr>
        <w:t>тификации Факультативного протокола к Международному пакту об эк</w:t>
      </w:r>
      <w:r w:rsidRPr="006C4070">
        <w:rPr>
          <w:b/>
          <w:bCs/>
        </w:rPr>
        <w:t>о</w:t>
      </w:r>
      <w:r w:rsidRPr="006C4070">
        <w:rPr>
          <w:b/>
          <w:bCs/>
        </w:rPr>
        <w:t>номических, социальных и культурных правах.</w:t>
      </w:r>
    </w:p>
    <w:p w:rsidR="006C4070" w:rsidRPr="006C4070" w:rsidRDefault="006C4070" w:rsidP="006C4070">
      <w:pPr>
        <w:pStyle w:val="SingleTxtGR"/>
        <w:rPr>
          <w:b/>
        </w:rPr>
      </w:pPr>
      <w:r w:rsidRPr="00BB6DA9">
        <w:t>77.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изучить возможность ратификации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исчезновений.</w:t>
      </w:r>
    </w:p>
    <w:p w:rsidR="006C4070" w:rsidRPr="006C4070" w:rsidRDefault="006C4070" w:rsidP="006C4070">
      <w:pPr>
        <w:pStyle w:val="SingleTxtGR"/>
      </w:pPr>
      <w:r w:rsidRPr="00BB6DA9">
        <w:t>78.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в полной мере учит</w:t>
      </w:r>
      <w:r w:rsidRPr="006C4070">
        <w:rPr>
          <w:b/>
          <w:bCs/>
        </w:rPr>
        <w:t>ы</w:t>
      </w:r>
      <w:r w:rsidRPr="006C4070">
        <w:rPr>
          <w:b/>
          <w:bCs/>
        </w:rPr>
        <w:t xml:space="preserve">вать свои обязательства в соответствии с Пактом и обеспечивать полную реализацию закрепленных </w:t>
      </w:r>
      <w:proofErr w:type="gramStart"/>
      <w:r w:rsidRPr="006C4070">
        <w:rPr>
          <w:b/>
          <w:bCs/>
        </w:rPr>
        <w:t>в нем прав в ходе осуществления на наци</w:t>
      </w:r>
      <w:r w:rsidRPr="006C4070">
        <w:rPr>
          <w:b/>
          <w:bCs/>
        </w:rPr>
        <w:t>о</w:t>
      </w:r>
      <w:r w:rsidRPr="006C4070">
        <w:rPr>
          <w:b/>
          <w:bCs/>
        </w:rPr>
        <w:t>нальном уровне Повестки дня в области устойчивого развития на период</w:t>
      </w:r>
      <w:proofErr w:type="gramEnd"/>
      <w:r w:rsidRPr="006C4070">
        <w:rPr>
          <w:b/>
          <w:bCs/>
        </w:rPr>
        <w:t xml:space="preserve"> до 2030 года, при необходимости пользуясь международной поддержкой и сотрудничеством.</w:t>
      </w:r>
      <w:r w:rsidRPr="006C4070">
        <w:t xml:space="preserve"> </w:t>
      </w:r>
      <w:r w:rsidRPr="006C4070">
        <w:rPr>
          <w:b/>
          <w:bCs/>
        </w:rPr>
        <w:t>Государство-участник могло бы существенно содейств</w:t>
      </w:r>
      <w:r w:rsidRPr="006C4070">
        <w:rPr>
          <w:b/>
          <w:bCs/>
        </w:rPr>
        <w:t>о</w:t>
      </w:r>
      <w:r w:rsidRPr="006C4070">
        <w:rPr>
          <w:b/>
          <w:bCs/>
        </w:rPr>
        <w:t>вать достижению Целей в области устойчивого развития путем создания независимых механизмов мониторинга достигнутого прогресса и отнош</w:t>
      </w:r>
      <w:r w:rsidRPr="006C4070">
        <w:rPr>
          <w:b/>
          <w:bCs/>
        </w:rPr>
        <w:t>е</w:t>
      </w:r>
      <w:r w:rsidRPr="006C4070">
        <w:rPr>
          <w:b/>
          <w:bCs/>
        </w:rPr>
        <w:t>ния к бенефициарам программ государственной помощи как к правообл</w:t>
      </w:r>
      <w:r w:rsidRPr="006C4070">
        <w:rPr>
          <w:b/>
          <w:bCs/>
        </w:rPr>
        <w:t>а</w:t>
      </w:r>
      <w:r w:rsidRPr="006C4070">
        <w:rPr>
          <w:b/>
          <w:bCs/>
        </w:rPr>
        <w:t>дателям, которые могут требовать положенные им льготы.</w:t>
      </w:r>
      <w:r w:rsidRPr="006C4070">
        <w:t xml:space="preserve"> </w:t>
      </w:r>
      <w:r w:rsidRPr="006C4070">
        <w:rPr>
          <w:b/>
          <w:bCs/>
        </w:rPr>
        <w:t>Достижение этих Целей на основе принципов участия, подотчетности и недискримин</w:t>
      </w:r>
      <w:r w:rsidRPr="006C4070">
        <w:rPr>
          <w:b/>
          <w:bCs/>
        </w:rPr>
        <w:t>а</w:t>
      </w:r>
      <w:r w:rsidRPr="006C4070">
        <w:rPr>
          <w:b/>
          <w:bCs/>
        </w:rPr>
        <w:t>ции гарантировало бы, что никто не будет забыт.</w:t>
      </w:r>
    </w:p>
    <w:p w:rsidR="006C4070" w:rsidRPr="006C4070" w:rsidRDefault="006C4070" w:rsidP="006C4070">
      <w:pPr>
        <w:pStyle w:val="SingleTxtGR"/>
        <w:rPr>
          <w:b/>
        </w:rPr>
      </w:pPr>
      <w:r w:rsidRPr="00BB6DA9">
        <w:t>79.</w:t>
      </w:r>
      <w:r w:rsidRPr="006C4070">
        <w:tab/>
      </w:r>
      <w:r w:rsidRPr="006C4070">
        <w:rPr>
          <w:b/>
          <w:bCs/>
        </w:rPr>
        <w:t>Комитет рекомендует государству-участнику принять меры в целях постепенной разработки и применения соответствующих показателей ос</w:t>
      </w:r>
      <w:r w:rsidRPr="006C4070">
        <w:rPr>
          <w:b/>
          <w:bCs/>
        </w:rPr>
        <w:t>у</w:t>
      </w:r>
      <w:r w:rsidRPr="006C4070">
        <w:rPr>
          <w:b/>
          <w:bCs/>
        </w:rPr>
        <w:t>ществления экономических, социальных и культурных прав для облегч</w:t>
      </w:r>
      <w:r w:rsidRPr="006C4070">
        <w:rPr>
          <w:b/>
          <w:bCs/>
        </w:rPr>
        <w:t>е</w:t>
      </w:r>
      <w:r w:rsidRPr="006C4070">
        <w:rPr>
          <w:b/>
          <w:bCs/>
        </w:rPr>
        <w:t>ния оценки прогресса, достигнутого государством-участником в деле в</w:t>
      </w:r>
      <w:r w:rsidRPr="006C4070">
        <w:rPr>
          <w:b/>
          <w:bCs/>
        </w:rPr>
        <w:t>ы</w:t>
      </w:r>
      <w:r w:rsidRPr="006C4070">
        <w:rPr>
          <w:b/>
          <w:bCs/>
        </w:rPr>
        <w:t>полнения его обязательств по Пакту применительно к различным слоям населения.</w:t>
      </w:r>
      <w:r w:rsidRPr="006C4070">
        <w:t xml:space="preserve"> </w:t>
      </w:r>
      <w:r w:rsidRPr="006C4070"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</w:t>
      </w:r>
      <w:r w:rsidRPr="006C4070">
        <w:rPr>
          <w:b/>
          <w:bCs/>
        </w:rPr>
        <w:t>р</w:t>
      </w:r>
      <w:r w:rsidRPr="006C4070">
        <w:rPr>
          <w:b/>
          <w:bCs/>
        </w:rPr>
        <w:t xml:space="preserve">ховного комиссара Организации Объединенных Наций по правам человека (см. </w:t>
      </w:r>
      <w:proofErr w:type="spellStart"/>
      <w:r w:rsidRPr="006C4070">
        <w:rPr>
          <w:b/>
          <w:bCs/>
        </w:rPr>
        <w:t>HRI</w:t>
      </w:r>
      <w:proofErr w:type="spellEnd"/>
      <w:r w:rsidRPr="006C4070">
        <w:rPr>
          <w:b/>
          <w:bCs/>
        </w:rPr>
        <w:t>/</w:t>
      </w:r>
      <w:proofErr w:type="spellStart"/>
      <w:r w:rsidRPr="006C4070">
        <w:rPr>
          <w:b/>
          <w:bCs/>
        </w:rPr>
        <w:t>MC</w:t>
      </w:r>
      <w:proofErr w:type="spellEnd"/>
      <w:r w:rsidRPr="006C4070">
        <w:rPr>
          <w:b/>
          <w:bCs/>
        </w:rPr>
        <w:t>/2008/3).</w:t>
      </w:r>
      <w:r w:rsidRPr="006C4070">
        <w:t xml:space="preserve"> </w:t>
      </w:r>
    </w:p>
    <w:p w:rsidR="006C4070" w:rsidRPr="006C4070" w:rsidRDefault="006C4070" w:rsidP="006C4070">
      <w:pPr>
        <w:pStyle w:val="SingleTxtGR"/>
        <w:rPr>
          <w:b/>
        </w:rPr>
      </w:pPr>
      <w:r w:rsidRPr="00BB6DA9">
        <w:t>80.</w:t>
      </w:r>
      <w:r w:rsidRPr="006C4070">
        <w:tab/>
      </w:r>
      <w:proofErr w:type="gramStart"/>
      <w:r w:rsidRPr="006C4070">
        <w:rPr>
          <w:b/>
          <w:bCs/>
        </w:rPr>
        <w:t>Комитет просит государство-участник обеспечить широкое распр</w:t>
      </w:r>
      <w:r w:rsidRPr="006C4070">
        <w:rPr>
          <w:b/>
          <w:bCs/>
        </w:rPr>
        <w:t>о</w:t>
      </w:r>
      <w:r w:rsidRPr="006C4070">
        <w:rPr>
          <w:b/>
          <w:bCs/>
        </w:rPr>
        <w:t>странение настоящих заключительных замечаний среди всех слоев общ</w:t>
      </w:r>
      <w:r w:rsidRPr="006C4070">
        <w:rPr>
          <w:b/>
          <w:bCs/>
        </w:rPr>
        <w:t>е</w:t>
      </w:r>
      <w:r w:rsidRPr="006C4070">
        <w:rPr>
          <w:b/>
          <w:bCs/>
        </w:rPr>
        <w:t>ства, в том числе на национальном, областном и муниципальном уровнях, в частности среди парламентариев, государственных должностных лиц и судебных органов, и проинформировать Комитет в своем следующем пер</w:t>
      </w:r>
      <w:r w:rsidRPr="006C4070">
        <w:rPr>
          <w:b/>
          <w:bCs/>
        </w:rPr>
        <w:t>и</w:t>
      </w:r>
      <w:r w:rsidRPr="006C4070">
        <w:rPr>
          <w:b/>
          <w:bCs/>
        </w:rPr>
        <w:t>одическом докладе о шагах, предпринятых с целью выполнения содерж</w:t>
      </w:r>
      <w:r w:rsidRPr="006C4070">
        <w:rPr>
          <w:b/>
          <w:bCs/>
        </w:rPr>
        <w:t>а</w:t>
      </w:r>
      <w:r w:rsidRPr="006C4070">
        <w:rPr>
          <w:b/>
          <w:bCs/>
        </w:rPr>
        <w:t>щихся в них рекомендаций.</w:t>
      </w:r>
      <w:proofErr w:type="gramEnd"/>
      <w:r w:rsidRPr="006C4070">
        <w:t xml:space="preserve"> </w:t>
      </w:r>
      <w:r w:rsidRPr="006C4070">
        <w:rPr>
          <w:b/>
          <w:bCs/>
        </w:rPr>
        <w:t>Комитет рекомендует государству-участнику привлечь оба национальных правозащитных учреждения, неправител</w:t>
      </w:r>
      <w:r w:rsidRPr="006C4070">
        <w:rPr>
          <w:b/>
          <w:bCs/>
        </w:rPr>
        <w:t>ь</w:t>
      </w:r>
      <w:r w:rsidRPr="006C4070">
        <w:rPr>
          <w:b/>
          <w:bCs/>
        </w:rPr>
        <w:t>ственные организации и других членов гражданского общества к процессу принятия последующих мер в соответствии с настоящими заключител</w:t>
      </w:r>
      <w:r w:rsidRPr="006C4070">
        <w:rPr>
          <w:b/>
          <w:bCs/>
        </w:rPr>
        <w:t>ь</w:t>
      </w:r>
      <w:r w:rsidRPr="006C4070">
        <w:rPr>
          <w:b/>
          <w:bCs/>
        </w:rPr>
        <w:t>ными замечаниями, а также к процессу консультаций на национальном уровне перед представлением своего следующего периодического доклада.</w:t>
      </w:r>
    </w:p>
    <w:p w:rsidR="006C4070" w:rsidRPr="006C4070" w:rsidRDefault="00BB6DA9" w:rsidP="006C4070">
      <w:pPr>
        <w:pStyle w:val="SingleTxtGR"/>
        <w:rPr>
          <w:b/>
        </w:rPr>
      </w:pPr>
      <w:r>
        <w:br w:type="page"/>
      </w:r>
      <w:r w:rsidR="006C4070" w:rsidRPr="00BB6DA9">
        <w:lastRenderedPageBreak/>
        <w:t>81.</w:t>
      </w:r>
      <w:r w:rsidR="006C4070" w:rsidRPr="006C4070">
        <w:tab/>
      </w:r>
      <w:proofErr w:type="gramStart"/>
      <w:r w:rsidR="006C4070" w:rsidRPr="006C4070">
        <w:rPr>
          <w:b/>
          <w:bCs/>
        </w:rPr>
        <w:t>В соответствии с процедурой осуществления последующих мер по выполнению принятых Комитетом заключительных замечаний Комитет просит государство-участник в течение 18 месяцев с момента принятия настоящих заключительных замечаний предоставить информацию о в</w:t>
      </w:r>
      <w:r w:rsidR="006C4070" w:rsidRPr="006C4070">
        <w:rPr>
          <w:b/>
          <w:bCs/>
        </w:rPr>
        <w:t>ы</w:t>
      </w:r>
      <w:r w:rsidR="006C4070" w:rsidRPr="006C4070">
        <w:rPr>
          <w:b/>
          <w:bCs/>
        </w:rPr>
        <w:t>полнении рекомендаций, содержащихся в пунктах 9 а) (в отношении нац</w:t>
      </w:r>
      <w:r w:rsidR="006C4070" w:rsidRPr="006C4070">
        <w:rPr>
          <w:b/>
          <w:bCs/>
        </w:rPr>
        <w:t>и</w:t>
      </w:r>
      <w:r w:rsidR="006C4070" w:rsidRPr="006C4070">
        <w:rPr>
          <w:b/>
          <w:bCs/>
        </w:rPr>
        <w:t>ональных правозащитных учреждений), 59 (в отношении кодекса о здрав</w:t>
      </w:r>
      <w:r w:rsidR="006C4070" w:rsidRPr="006C4070">
        <w:rPr>
          <w:b/>
          <w:bCs/>
        </w:rPr>
        <w:t>о</w:t>
      </w:r>
      <w:r w:rsidR="006C4070" w:rsidRPr="006C4070">
        <w:rPr>
          <w:b/>
          <w:bCs/>
        </w:rPr>
        <w:t xml:space="preserve">охранении) и 73 (в отношении политики </w:t>
      </w:r>
      <w:proofErr w:type="spellStart"/>
      <w:r w:rsidR="006C4070" w:rsidRPr="006C4070">
        <w:rPr>
          <w:b/>
          <w:bCs/>
        </w:rPr>
        <w:t>оптимзации</w:t>
      </w:r>
      <w:proofErr w:type="spellEnd"/>
      <w:r w:rsidR="006C4070" w:rsidRPr="006C4070">
        <w:rPr>
          <w:b/>
          <w:bCs/>
        </w:rPr>
        <w:t xml:space="preserve"> школьной системы) выше.</w:t>
      </w:r>
      <w:r w:rsidR="006C4070" w:rsidRPr="006C4070">
        <w:t xml:space="preserve"> </w:t>
      </w:r>
      <w:proofErr w:type="gramEnd"/>
    </w:p>
    <w:p w:rsidR="002C59E7" w:rsidRDefault="006C4070" w:rsidP="006C4070">
      <w:pPr>
        <w:pStyle w:val="SingleTxtGR"/>
        <w:rPr>
          <w:b/>
          <w:bCs/>
        </w:rPr>
      </w:pPr>
      <w:r w:rsidRPr="00BB6DA9">
        <w:t>82.</w:t>
      </w:r>
      <w:r w:rsidRPr="006C4070">
        <w:tab/>
      </w:r>
      <w:r w:rsidRPr="006C4070">
        <w:rPr>
          <w:b/>
          <w:bCs/>
        </w:rPr>
        <w:t>Комитет просит государство-участник представить свой четвертый периодический доклад, который должен быть подготовлен в соответствии с руководящими принципами, принятыми</w:t>
      </w:r>
      <w:r w:rsidR="00BB6DA9">
        <w:rPr>
          <w:b/>
          <w:bCs/>
        </w:rPr>
        <w:t xml:space="preserve"> Комитетом в 2008 году (E/C.12/</w:t>
      </w:r>
      <w:r w:rsidR="00BB6DA9">
        <w:rPr>
          <w:b/>
          <w:bCs/>
        </w:rPr>
        <w:br/>
      </w:r>
      <w:r w:rsidRPr="006C4070">
        <w:rPr>
          <w:b/>
          <w:bCs/>
        </w:rPr>
        <w:t>2008/2), к 31</w:t>
      </w:r>
      <w:r w:rsidR="00BB6DA9">
        <w:rPr>
          <w:b/>
          <w:bCs/>
        </w:rPr>
        <w:t xml:space="preserve"> </w:t>
      </w:r>
      <w:r w:rsidRPr="006C4070">
        <w:rPr>
          <w:b/>
          <w:bCs/>
        </w:rPr>
        <w:t>октября 2022 года.</w:t>
      </w:r>
      <w:r w:rsidRPr="006C4070">
        <w:t xml:space="preserve"> </w:t>
      </w:r>
      <w:r w:rsidRPr="006C4070">
        <w:rPr>
          <w:b/>
          <w:bCs/>
        </w:rPr>
        <w:t>Кроме того, он предлагает госуда</w:t>
      </w:r>
      <w:r w:rsidRPr="006C4070">
        <w:rPr>
          <w:b/>
          <w:bCs/>
        </w:rPr>
        <w:t>р</w:t>
      </w:r>
      <w:r w:rsidRPr="006C4070">
        <w:rPr>
          <w:b/>
          <w:bCs/>
        </w:rPr>
        <w:t>ству-участнику обновить свой общий базовый документ в соответствии с согл</w:t>
      </w:r>
      <w:r w:rsidRPr="006C4070">
        <w:rPr>
          <w:b/>
          <w:bCs/>
        </w:rPr>
        <w:t>а</w:t>
      </w:r>
      <w:r w:rsidRPr="006C4070">
        <w:rPr>
          <w:b/>
          <w:bCs/>
        </w:rPr>
        <w:t>сованными руководящими принципами представления докладов с</w:t>
      </w:r>
      <w:r w:rsidRPr="006C4070">
        <w:rPr>
          <w:b/>
          <w:bCs/>
        </w:rPr>
        <w:t>о</w:t>
      </w:r>
      <w:r w:rsidRPr="006C4070">
        <w:rPr>
          <w:b/>
          <w:bCs/>
        </w:rPr>
        <w:t>гласно международным договорам о правах челов</w:t>
      </w:r>
      <w:r w:rsidR="00BB6DA9">
        <w:rPr>
          <w:b/>
          <w:bCs/>
        </w:rPr>
        <w:t xml:space="preserve">ека (см. </w:t>
      </w:r>
      <w:proofErr w:type="spellStart"/>
      <w:r w:rsidR="00BB6DA9">
        <w:rPr>
          <w:b/>
          <w:bCs/>
        </w:rPr>
        <w:t>HRI</w:t>
      </w:r>
      <w:proofErr w:type="spellEnd"/>
      <w:r w:rsidR="00BB6DA9">
        <w:rPr>
          <w:b/>
          <w:bCs/>
        </w:rPr>
        <w:t>/</w:t>
      </w:r>
      <w:proofErr w:type="spellStart"/>
      <w:r w:rsidR="00BB6DA9">
        <w:rPr>
          <w:b/>
          <w:bCs/>
        </w:rPr>
        <w:t>GEN</w:t>
      </w:r>
      <w:proofErr w:type="spellEnd"/>
      <w:r w:rsidR="00BB6DA9">
        <w:rPr>
          <w:b/>
          <w:bCs/>
        </w:rPr>
        <w:t>/2/Rev.6, гл</w:t>
      </w:r>
      <w:r w:rsidR="00BB6DA9">
        <w:rPr>
          <w:b/>
          <w:bCs/>
        </w:rPr>
        <w:t>а</w:t>
      </w:r>
      <w:r w:rsidR="00BB6DA9">
        <w:rPr>
          <w:b/>
          <w:bCs/>
        </w:rPr>
        <w:t>ва </w:t>
      </w:r>
      <w:r w:rsidRPr="006C4070">
        <w:rPr>
          <w:b/>
          <w:bCs/>
        </w:rPr>
        <w:t>I).</w:t>
      </w:r>
    </w:p>
    <w:p w:rsidR="00BB6DA9" w:rsidRPr="00BB6DA9" w:rsidRDefault="00BB6DA9" w:rsidP="00BB6DA9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B6DA9" w:rsidRPr="00BB6DA9" w:rsidSect="002C59E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70" w:rsidRPr="00A312BC" w:rsidRDefault="006C4070" w:rsidP="00A312BC"/>
  </w:endnote>
  <w:endnote w:type="continuationSeparator" w:id="0">
    <w:p w:rsidR="006C4070" w:rsidRPr="00A312BC" w:rsidRDefault="006C40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Pr="002C59E7" w:rsidRDefault="006C4070">
    <w:pPr>
      <w:pStyle w:val="aa"/>
    </w:pPr>
    <w:r w:rsidRPr="002C59E7">
      <w:rPr>
        <w:b/>
        <w:sz w:val="18"/>
      </w:rPr>
      <w:fldChar w:fldCharType="begin"/>
    </w:r>
    <w:r w:rsidRPr="002C59E7">
      <w:rPr>
        <w:b/>
        <w:sz w:val="18"/>
      </w:rPr>
      <w:instrText xml:space="preserve"> PAGE  \* MERGEFORMAT </w:instrText>
    </w:r>
    <w:r w:rsidRPr="002C59E7">
      <w:rPr>
        <w:b/>
        <w:sz w:val="18"/>
      </w:rPr>
      <w:fldChar w:fldCharType="separate"/>
    </w:r>
    <w:r w:rsidR="00ED4E8D">
      <w:rPr>
        <w:b/>
        <w:noProof/>
        <w:sz w:val="18"/>
      </w:rPr>
      <w:t>16</w:t>
    </w:r>
    <w:r w:rsidRPr="002C59E7">
      <w:rPr>
        <w:b/>
        <w:sz w:val="18"/>
      </w:rPr>
      <w:fldChar w:fldCharType="end"/>
    </w:r>
    <w:r>
      <w:rPr>
        <w:b/>
        <w:sz w:val="18"/>
      </w:rPr>
      <w:tab/>
    </w:r>
    <w:r>
      <w:t>GE.17-18108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Pr="002C59E7" w:rsidRDefault="006C4070" w:rsidP="002C59E7">
    <w:pPr>
      <w:pStyle w:val="aa"/>
      <w:tabs>
        <w:tab w:val="clear" w:pos="9639"/>
        <w:tab w:val="right" w:pos="9638"/>
      </w:tabs>
      <w:rPr>
        <w:b/>
        <w:sz w:val="18"/>
      </w:rPr>
    </w:pPr>
    <w:r>
      <w:t>GE.17-18108</w:t>
    </w:r>
    <w:r>
      <w:tab/>
    </w:r>
    <w:r w:rsidRPr="002C59E7">
      <w:rPr>
        <w:b/>
        <w:sz w:val="18"/>
      </w:rPr>
      <w:fldChar w:fldCharType="begin"/>
    </w:r>
    <w:r w:rsidRPr="002C59E7">
      <w:rPr>
        <w:b/>
        <w:sz w:val="18"/>
      </w:rPr>
      <w:instrText xml:space="preserve"> PAGE  \* MERGEFORMAT </w:instrText>
    </w:r>
    <w:r w:rsidRPr="002C59E7">
      <w:rPr>
        <w:b/>
        <w:sz w:val="18"/>
      </w:rPr>
      <w:fldChar w:fldCharType="separate"/>
    </w:r>
    <w:r w:rsidR="00ED4E8D">
      <w:rPr>
        <w:b/>
        <w:noProof/>
        <w:sz w:val="18"/>
      </w:rPr>
      <w:t>13</w:t>
    </w:r>
    <w:r w:rsidRPr="002C59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Pr="002C59E7" w:rsidRDefault="006C4070" w:rsidP="002C59E7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7618CBF" wp14:editId="04615D3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17-18108  (R)</w:t>
    </w:r>
    <w:r>
      <w:rPr>
        <w:lang w:val="en-US"/>
      </w:rPr>
      <w:t xml:space="preserve">  101117  101117</w:t>
    </w:r>
    <w:r>
      <w:br/>
    </w:r>
    <w:r w:rsidRPr="002C59E7">
      <w:rPr>
        <w:rFonts w:ascii="C39T30Lfz" w:hAnsi="C39T30Lfz"/>
        <w:spacing w:val="0"/>
        <w:w w:val="100"/>
        <w:sz w:val="56"/>
      </w:rPr>
      <w:t></w:t>
    </w:r>
    <w:r w:rsidRPr="002C59E7">
      <w:rPr>
        <w:rFonts w:ascii="C39T30Lfz" w:hAnsi="C39T30Lfz"/>
        <w:spacing w:val="0"/>
        <w:w w:val="100"/>
        <w:sz w:val="56"/>
      </w:rPr>
      <w:t></w:t>
    </w:r>
    <w:r w:rsidRPr="002C59E7">
      <w:rPr>
        <w:rFonts w:ascii="C39T30Lfz" w:hAnsi="C39T30Lfz"/>
        <w:spacing w:val="0"/>
        <w:w w:val="100"/>
        <w:sz w:val="56"/>
      </w:rPr>
      <w:t></w:t>
    </w:r>
    <w:r w:rsidRPr="002C59E7">
      <w:rPr>
        <w:rFonts w:ascii="C39T30Lfz" w:hAnsi="C39T30Lfz"/>
        <w:spacing w:val="0"/>
        <w:w w:val="100"/>
        <w:sz w:val="56"/>
      </w:rPr>
      <w:t></w:t>
    </w:r>
    <w:r w:rsidRPr="002C59E7">
      <w:rPr>
        <w:rFonts w:ascii="C39T30Lfz" w:hAnsi="C39T30Lfz"/>
        <w:spacing w:val="0"/>
        <w:w w:val="100"/>
        <w:sz w:val="56"/>
      </w:rPr>
      <w:t></w:t>
    </w:r>
    <w:r w:rsidRPr="002C59E7">
      <w:rPr>
        <w:rFonts w:ascii="C39T30Lfz" w:hAnsi="C39T30Lfz"/>
        <w:spacing w:val="0"/>
        <w:w w:val="100"/>
        <w:sz w:val="56"/>
      </w:rPr>
      <w:t></w:t>
    </w:r>
    <w:r w:rsidRPr="002C59E7">
      <w:rPr>
        <w:rFonts w:ascii="C39T30Lfz" w:hAnsi="C39T30Lfz"/>
        <w:spacing w:val="0"/>
        <w:w w:val="100"/>
        <w:sz w:val="56"/>
      </w:rPr>
      <w:t></w:t>
    </w:r>
    <w:r w:rsidRPr="002C59E7">
      <w:rPr>
        <w:rFonts w:ascii="C39T30Lfz" w:hAnsi="C39T30Lfz"/>
        <w:spacing w:val="0"/>
        <w:w w:val="100"/>
        <w:sz w:val="56"/>
      </w:rPr>
      <w:t></w:t>
    </w:r>
    <w:r w:rsidRPr="002C59E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5000" cy="635000"/>
          <wp:effectExtent l="0" t="0" r="0" b="0"/>
          <wp:wrapNone/>
          <wp:docPr id="1" name="Рисунок 1" descr="https://undocs.org/m2/QRCode.ashx?DS=E/C.12/MDA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MDA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70" w:rsidRPr="001075E9" w:rsidRDefault="006C40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4070" w:rsidRDefault="006C40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4070" w:rsidRPr="0071655D" w:rsidRDefault="006C4070" w:rsidP="00872B6E">
      <w:pPr>
        <w:pStyle w:val="af"/>
        <w:rPr>
          <w:lang w:val="ru-RU"/>
        </w:rPr>
      </w:pPr>
      <w:r>
        <w:rPr>
          <w:lang w:val="ru-RU"/>
        </w:rPr>
        <w:tab/>
      </w:r>
      <w:r w:rsidRPr="00872B6E">
        <w:rPr>
          <w:sz w:val="20"/>
          <w:lang w:val="ru-RU"/>
        </w:rPr>
        <w:t>*</w:t>
      </w:r>
      <w:r>
        <w:rPr>
          <w:lang w:val="ru-RU"/>
        </w:rPr>
        <w:tab/>
        <w:t xml:space="preserve">Приняты Комитетом на его шестьдесят второй сессии (18 сентября </w:t>
      </w:r>
      <w:r w:rsidR="00872B6E">
        <w:rPr>
          <w:lang w:val="ru-RU"/>
        </w:rPr>
        <w:t>– 6 октября 2017 </w:t>
      </w:r>
      <w:r>
        <w:rPr>
          <w:lang w:val="ru-RU"/>
        </w:rPr>
        <w:t>года)</w:t>
      </w:r>
      <w:r w:rsidR="00802B7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Pr="002C59E7" w:rsidRDefault="006C4070">
    <w:pPr>
      <w:pStyle w:val="a5"/>
    </w:pPr>
    <w:fldSimple w:instr=" TITLE  \* MERGEFORMAT ">
      <w:r w:rsidR="00ED4E8D">
        <w:t>E/C.12/MDA/CO/3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0" w:rsidRPr="002C59E7" w:rsidRDefault="006C4070" w:rsidP="002C59E7">
    <w:pPr>
      <w:pStyle w:val="a5"/>
      <w:jc w:val="right"/>
    </w:pPr>
    <w:fldSimple w:instr=" TITLE  \* MERGEFORMAT ">
      <w:r w:rsidR="00ED4E8D">
        <w:t>E/C.12/MDA/CO/3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3A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0F76D4"/>
    <w:rsid w:val="001075E9"/>
    <w:rsid w:val="0014152F"/>
    <w:rsid w:val="00142F5E"/>
    <w:rsid w:val="00160419"/>
    <w:rsid w:val="00180183"/>
    <w:rsid w:val="0018024D"/>
    <w:rsid w:val="0018649F"/>
    <w:rsid w:val="00196389"/>
    <w:rsid w:val="001B3EF6"/>
    <w:rsid w:val="001C7A89"/>
    <w:rsid w:val="001D5C5A"/>
    <w:rsid w:val="001F72A6"/>
    <w:rsid w:val="002555A6"/>
    <w:rsid w:val="002762D2"/>
    <w:rsid w:val="002979E2"/>
    <w:rsid w:val="002A2EFC"/>
    <w:rsid w:val="002B74B1"/>
    <w:rsid w:val="002C0E18"/>
    <w:rsid w:val="002C59E7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55B"/>
    <w:rsid w:val="00454E07"/>
    <w:rsid w:val="00467AA3"/>
    <w:rsid w:val="00472C5C"/>
    <w:rsid w:val="0050108D"/>
    <w:rsid w:val="00513081"/>
    <w:rsid w:val="00517901"/>
    <w:rsid w:val="00526683"/>
    <w:rsid w:val="0053783A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90F3B"/>
    <w:rsid w:val="006A16E3"/>
    <w:rsid w:val="006A1ED8"/>
    <w:rsid w:val="006A2410"/>
    <w:rsid w:val="006C2031"/>
    <w:rsid w:val="006C4070"/>
    <w:rsid w:val="006D461A"/>
    <w:rsid w:val="006F35EE"/>
    <w:rsid w:val="007021FF"/>
    <w:rsid w:val="00712895"/>
    <w:rsid w:val="00734ACB"/>
    <w:rsid w:val="00757357"/>
    <w:rsid w:val="00792497"/>
    <w:rsid w:val="007B7A57"/>
    <w:rsid w:val="00802B77"/>
    <w:rsid w:val="00806737"/>
    <w:rsid w:val="00811570"/>
    <w:rsid w:val="00825F8D"/>
    <w:rsid w:val="00834B71"/>
    <w:rsid w:val="0086445C"/>
    <w:rsid w:val="00872B6E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444FE"/>
    <w:rsid w:val="00B539E7"/>
    <w:rsid w:val="00B62458"/>
    <w:rsid w:val="00BB6DA9"/>
    <w:rsid w:val="00BC18B2"/>
    <w:rsid w:val="00BC6814"/>
    <w:rsid w:val="00BD33EE"/>
    <w:rsid w:val="00BF21E1"/>
    <w:rsid w:val="00C0463C"/>
    <w:rsid w:val="00C05AC8"/>
    <w:rsid w:val="00C062A4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92DEA"/>
    <w:rsid w:val="00DB03C7"/>
    <w:rsid w:val="00DD44B1"/>
    <w:rsid w:val="00DD78D1"/>
    <w:rsid w:val="00DE32CD"/>
    <w:rsid w:val="00DF71B9"/>
    <w:rsid w:val="00E266F1"/>
    <w:rsid w:val="00E73F76"/>
    <w:rsid w:val="00E90403"/>
    <w:rsid w:val="00EA2C9F"/>
    <w:rsid w:val="00EA420E"/>
    <w:rsid w:val="00ED0BDA"/>
    <w:rsid w:val="00ED4E8D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16</Pages>
  <Words>5700</Words>
  <Characters>40188</Characters>
  <Application>Microsoft Office Word</Application>
  <DocSecurity>0</DocSecurity>
  <Lines>772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E/C.12/MDA/CO/3</vt:lpstr>
      <vt:lpstr>A/</vt:lpstr>
    </vt:vector>
  </TitlesOfParts>
  <Company>DCM</Company>
  <LinksUpToDate>false</LinksUpToDate>
  <CharactersWithSpaces>45677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E/C.12/MDA/CO/3</dc:title>
  <dc:subject/>
  <dc:creator>Ekaterina SALYNSKAYA</dc:creator>
  <cp:keywords/>
  <cp:lastModifiedBy>Ekaterina SALYNSKAYA</cp:lastModifiedBy>
  <cp:revision>3</cp:revision>
  <cp:lastPrinted>2017-11-10T14:37:00Z</cp:lastPrinted>
  <dcterms:created xsi:type="dcterms:W3CDTF">2017-11-10T14:37:00Z</dcterms:created>
  <dcterms:modified xsi:type="dcterms:W3CDTF">2017-11-10T14:38:00Z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