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949E7" w:rsidTr="00DD1051">
        <w:trPr>
          <w:trHeight w:val="851"/>
        </w:trPr>
        <w:tc>
          <w:tcPr>
            <w:tcW w:w="1259" w:type="dxa"/>
            <w:tcBorders>
              <w:top w:val="nil"/>
              <w:left w:val="nil"/>
              <w:bottom w:val="single" w:sz="4" w:space="0" w:color="auto"/>
              <w:right w:val="nil"/>
            </w:tcBorders>
            <w:shd w:val="clear" w:color="auto" w:fill="auto"/>
          </w:tcPr>
          <w:p w:rsidR="00446DE4" w:rsidRPr="00771D5A" w:rsidRDefault="00446DE4" w:rsidP="00DD1051">
            <w:pPr>
              <w:rPr>
                <w:rStyle w:val="Emphasis"/>
              </w:rPr>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7C209B" w:rsidRDefault="00BC0578" w:rsidP="00DD1051">
            <w:pPr>
              <w:spacing w:after="80" w:line="300" w:lineRule="exact"/>
              <w:rPr>
                <w:szCs w:val="28"/>
              </w:rPr>
            </w:pPr>
            <w:r w:rsidRPr="007C209B">
              <w:rPr>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7949E7" w:rsidRDefault="00F21274" w:rsidP="00F21274">
            <w:pPr>
              <w:suppressAutoHyphens w:val="0"/>
              <w:jc w:val="right"/>
            </w:pPr>
            <w:r w:rsidRPr="00F21274">
              <w:rPr>
                <w:sz w:val="40"/>
                <w:szCs w:val="40"/>
              </w:rPr>
              <w:t>E</w:t>
            </w:r>
            <w:r w:rsidRPr="00F21274">
              <w:t>/C.12/KEN/CO/2-5</w:t>
            </w:r>
          </w:p>
        </w:tc>
      </w:tr>
      <w:tr w:rsidR="003107FA" w:rsidRPr="007949E7" w:rsidTr="00DD1051">
        <w:trPr>
          <w:trHeight w:val="2835"/>
        </w:trPr>
        <w:tc>
          <w:tcPr>
            <w:tcW w:w="1259" w:type="dxa"/>
            <w:tcBorders>
              <w:top w:val="single" w:sz="4" w:space="0" w:color="auto"/>
              <w:left w:val="nil"/>
              <w:bottom w:val="single" w:sz="12" w:space="0" w:color="auto"/>
              <w:right w:val="nil"/>
            </w:tcBorders>
            <w:shd w:val="clear" w:color="auto" w:fill="auto"/>
          </w:tcPr>
          <w:p w:rsidR="003107FA" w:rsidRPr="007949E7" w:rsidRDefault="00A22E09" w:rsidP="00DD1051">
            <w:pPr>
              <w:spacing w:before="120"/>
            </w:pPr>
            <w:r>
              <w:rPr>
                <w:noProof/>
                <w:lang w:val="en-US" w:eastAsia="zh-CN"/>
              </w:rPr>
              <w:drawing>
                <wp:inline distT="0" distB="0" distL="0" distR="0" wp14:anchorId="3C7DAEDD" wp14:editId="3CAA35C4">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F21274" w:rsidRPr="007949E7" w:rsidRDefault="00DB0F0D" w:rsidP="00F21274">
            <w:pPr>
              <w:spacing w:before="240" w:line="260" w:lineRule="exact"/>
              <w:rPr>
                <w:b/>
                <w:sz w:val="36"/>
                <w:szCs w:val="36"/>
              </w:rPr>
            </w:pPr>
            <w:r w:rsidRPr="007949E7">
              <w:rPr>
                <w:b/>
                <w:sz w:val="36"/>
                <w:szCs w:val="36"/>
              </w:rPr>
              <w:t>Economic and Social Council</w:t>
            </w:r>
          </w:p>
        </w:tc>
        <w:tc>
          <w:tcPr>
            <w:tcW w:w="2930" w:type="dxa"/>
            <w:tcBorders>
              <w:top w:val="single" w:sz="4" w:space="0" w:color="auto"/>
              <w:left w:val="nil"/>
              <w:bottom w:val="single" w:sz="12" w:space="0" w:color="auto"/>
              <w:right w:val="nil"/>
            </w:tcBorders>
            <w:shd w:val="clear" w:color="auto" w:fill="auto"/>
          </w:tcPr>
          <w:p w:rsidR="0010210D" w:rsidRDefault="00F21274" w:rsidP="00F21274">
            <w:pPr>
              <w:suppressAutoHyphens w:val="0"/>
              <w:spacing w:before="240" w:line="240" w:lineRule="exact"/>
            </w:pPr>
            <w:r>
              <w:t>Distr.: General</w:t>
            </w:r>
          </w:p>
          <w:p w:rsidR="00F21274" w:rsidRDefault="007332A2" w:rsidP="00F21274">
            <w:pPr>
              <w:suppressAutoHyphens w:val="0"/>
              <w:spacing w:line="240" w:lineRule="exact"/>
            </w:pPr>
            <w:r>
              <w:t>6</w:t>
            </w:r>
            <w:r w:rsidR="00F21274">
              <w:t xml:space="preserve"> </w:t>
            </w:r>
            <w:r w:rsidR="007A64CD">
              <w:t xml:space="preserve">April </w:t>
            </w:r>
            <w:r w:rsidR="00F21274">
              <w:t>2016</w:t>
            </w:r>
          </w:p>
          <w:p w:rsidR="00F21274" w:rsidRDefault="00F21274" w:rsidP="00F21274">
            <w:pPr>
              <w:suppressAutoHyphens w:val="0"/>
              <w:spacing w:line="240" w:lineRule="exact"/>
            </w:pPr>
          </w:p>
          <w:p w:rsidR="00F21274" w:rsidRDefault="00F21274" w:rsidP="00F21274">
            <w:pPr>
              <w:suppressAutoHyphens w:val="0"/>
              <w:spacing w:line="240" w:lineRule="exact"/>
            </w:pPr>
            <w:r>
              <w:t>Original: English</w:t>
            </w:r>
          </w:p>
          <w:p w:rsidR="00F21274" w:rsidRPr="007949E7" w:rsidRDefault="00F21274" w:rsidP="00F21274">
            <w:pPr>
              <w:suppressAutoHyphens w:val="0"/>
              <w:spacing w:line="240" w:lineRule="exact"/>
            </w:pPr>
          </w:p>
        </w:tc>
      </w:tr>
    </w:tbl>
    <w:p w:rsidR="00C46F45" w:rsidRPr="00C46F45" w:rsidRDefault="00C46F45" w:rsidP="00C46F45">
      <w:pPr>
        <w:spacing w:line="20" w:lineRule="exact"/>
        <w:rPr>
          <w:b/>
          <w:sz w:val="2"/>
          <w:szCs w:val="24"/>
        </w:rPr>
      </w:pPr>
      <w:r>
        <w:rPr>
          <w:rStyle w:val="CommentReference"/>
        </w:rPr>
        <w:commentReference w:id="1"/>
      </w:r>
    </w:p>
    <w:p w:rsidR="00E62C9D" w:rsidRPr="007949E7" w:rsidRDefault="00DB0F0D" w:rsidP="00DB0F0D">
      <w:pPr>
        <w:spacing w:before="120"/>
      </w:pPr>
      <w:r w:rsidRPr="007949E7">
        <w:rPr>
          <w:b/>
          <w:sz w:val="24"/>
          <w:szCs w:val="24"/>
        </w:rPr>
        <w:t>Committee on Economic, Social and Cultural Rights</w:t>
      </w:r>
    </w:p>
    <w:p w:rsidR="00747D37" w:rsidRPr="007C209B" w:rsidRDefault="001F3FDF" w:rsidP="007C209B">
      <w:pPr>
        <w:pStyle w:val="HChG"/>
      </w:pPr>
      <w:r w:rsidRPr="007C209B">
        <w:tab/>
      </w:r>
      <w:r w:rsidR="00A609FF" w:rsidRPr="007C209B">
        <w:tab/>
        <w:t>C</w:t>
      </w:r>
      <w:r w:rsidR="00747D37" w:rsidRPr="007C209B">
        <w:t xml:space="preserve">oncluding observations on the </w:t>
      </w:r>
      <w:r w:rsidR="0010210D" w:rsidRPr="007C209B">
        <w:t xml:space="preserve">combined second </w:t>
      </w:r>
      <w:r w:rsidR="007B54CC">
        <w:br/>
      </w:r>
      <w:r w:rsidR="0010210D" w:rsidRPr="007C209B">
        <w:t>to fifth periodic reports of Kenya</w:t>
      </w:r>
      <w:r w:rsidR="0018694B" w:rsidRPr="00392ECC">
        <w:rPr>
          <w:b w:val="0"/>
          <w:sz w:val="20"/>
        </w:rPr>
        <w:footnoteReference w:customMarkFollows="1" w:id="2"/>
        <w:t>*</w:t>
      </w:r>
    </w:p>
    <w:p w:rsidR="00D57936" w:rsidRPr="00A1182B" w:rsidRDefault="003616E3" w:rsidP="003616E3">
      <w:pPr>
        <w:pStyle w:val="SingleTxtG"/>
      </w:pPr>
      <w:r w:rsidRPr="00A1182B">
        <w:t>1.</w:t>
      </w:r>
      <w:r w:rsidRPr="00A1182B">
        <w:tab/>
      </w:r>
      <w:r w:rsidR="00D57936" w:rsidRPr="00A1182B">
        <w:t>The Committee on Economic, Social and Cultural Rights considered the combined second to fifth periodic reports of Kenya on the implementation of the International Covenant on Economic, Social and Cultural Rights (E/C.12/KEN/2-5) at its 8th and 9th meetings (E/C.12/2016/SR.8-9)</w:t>
      </w:r>
      <w:r w:rsidR="001F1E5B">
        <w:t>,</w:t>
      </w:r>
      <w:r w:rsidR="00D57936" w:rsidRPr="00A1182B">
        <w:t xml:space="preserve"> held on 25 and 26 February 2016, and adopted the following concluding observations at its </w:t>
      </w:r>
      <w:r w:rsidR="005B2ED5" w:rsidRPr="00A1182B">
        <w:t>20th</w:t>
      </w:r>
      <w:r w:rsidR="00D57936" w:rsidRPr="00A1182B">
        <w:t xml:space="preserve"> meeting, held on 4 March 2016.</w:t>
      </w:r>
    </w:p>
    <w:p w:rsidR="00C82F62" w:rsidRPr="007C209B" w:rsidRDefault="00C82F62" w:rsidP="007C209B">
      <w:pPr>
        <w:pStyle w:val="H1G"/>
      </w:pPr>
      <w:r w:rsidRPr="007C209B">
        <w:tab/>
        <w:t>A.</w:t>
      </w:r>
      <w:r w:rsidRPr="007C209B">
        <w:tab/>
        <w:t>Introduction</w:t>
      </w:r>
    </w:p>
    <w:p w:rsidR="00BA58CF" w:rsidRPr="007C209B" w:rsidRDefault="003616E3" w:rsidP="003616E3">
      <w:pPr>
        <w:pStyle w:val="SingleTxtG"/>
        <w:tabs>
          <w:tab w:val="left" w:pos="1701"/>
        </w:tabs>
        <w:rPr>
          <w:szCs w:val="28"/>
        </w:rPr>
      </w:pPr>
      <w:r w:rsidRPr="007C209B">
        <w:rPr>
          <w:szCs w:val="28"/>
        </w:rPr>
        <w:t>2.</w:t>
      </w:r>
      <w:r w:rsidRPr="007C209B">
        <w:rPr>
          <w:szCs w:val="28"/>
        </w:rPr>
        <w:tab/>
      </w:r>
      <w:r w:rsidR="00BA58CF" w:rsidRPr="007C209B">
        <w:rPr>
          <w:szCs w:val="28"/>
        </w:rPr>
        <w:t>The Committee welcomes the combined second to fifth periodic reports submitted by the State party, despite the long delay in submission, and the supplementary information provided in the replies to the list of issues (E/C.12/KEN/Q/2-5/Add.1). The Committee also appreciates the constructive dialogue held with the State party’s</w:t>
      </w:r>
      <w:r w:rsidR="007F55EA" w:rsidRPr="007C209B">
        <w:rPr>
          <w:szCs w:val="28"/>
        </w:rPr>
        <w:t xml:space="preserve"> interministerial</w:t>
      </w:r>
      <w:r w:rsidR="00BA58CF" w:rsidRPr="007C209B">
        <w:rPr>
          <w:szCs w:val="28"/>
        </w:rPr>
        <w:t xml:space="preserve"> delegation.</w:t>
      </w:r>
    </w:p>
    <w:p w:rsidR="00E04FFD" w:rsidRPr="007C209B" w:rsidRDefault="00C82F62" w:rsidP="007C209B">
      <w:pPr>
        <w:pStyle w:val="H1G"/>
      </w:pPr>
      <w:r w:rsidRPr="007C209B">
        <w:tab/>
        <w:t>B.</w:t>
      </w:r>
      <w:r w:rsidRPr="007C209B">
        <w:tab/>
        <w:t>Positive aspects</w:t>
      </w:r>
    </w:p>
    <w:p w:rsidR="009B5BC6" w:rsidRPr="007C209B" w:rsidRDefault="003616E3" w:rsidP="003616E3">
      <w:pPr>
        <w:pStyle w:val="SingleTxtG"/>
        <w:tabs>
          <w:tab w:val="left" w:pos="1701"/>
        </w:tabs>
        <w:rPr>
          <w:szCs w:val="28"/>
        </w:rPr>
      </w:pPr>
      <w:r w:rsidRPr="007C209B">
        <w:rPr>
          <w:szCs w:val="28"/>
        </w:rPr>
        <w:t>3.</w:t>
      </w:r>
      <w:r w:rsidRPr="007C209B">
        <w:rPr>
          <w:szCs w:val="28"/>
        </w:rPr>
        <w:tab/>
      </w:r>
      <w:r w:rsidR="009B5BC6" w:rsidRPr="007C209B">
        <w:rPr>
          <w:szCs w:val="28"/>
        </w:rPr>
        <w:t xml:space="preserve">The Committee welcomes the </w:t>
      </w:r>
      <w:r w:rsidR="00430C86">
        <w:rPr>
          <w:szCs w:val="28"/>
        </w:rPr>
        <w:t xml:space="preserve">incorporation of Covenant rights in </w:t>
      </w:r>
      <w:r w:rsidR="009B5BC6" w:rsidRPr="007C209B">
        <w:rPr>
          <w:szCs w:val="28"/>
        </w:rPr>
        <w:t>the 2010 Constitution and the rulings of the High Court that recognize these rights.</w:t>
      </w:r>
    </w:p>
    <w:p w:rsidR="009B5BC6" w:rsidRPr="007C209B" w:rsidRDefault="003616E3" w:rsidP="003616E3">
      <w:pPr>
        <w:pStyle w:val="SingleTxtG"/>
        <w:tabs>
          <w:tab w:val="left" w:pos="1701"/>
        </w:tabs>
        <w:rPr>
          <w:szCs w:val="28"/>
        </w:rPr>
      </w:pPr>
      <w:r w:rsidRPr="007C209B">
        <w:rPr>
          <w:szCs w:val="28"/>
        </w:rPr>
        <w:t>4.</w:t>
      </w:r>
      <w:r w:rsidRPr="007C209B">
        <w:rPr>
          <w:szCs w:val="28"/>
        </w:rPr>
        <w:tab/>
      </w:r>
      <w:r w:rsidR="00235C15" w:rsidRPr="007C209B">
        <w:rPr>
          <w:szCs w:val="28"/>
        </w:rPr>
        <w:t xml:space="preserve">The Committee also welcomes the adoption by the State party </w:t>
      </w:r>
      <w:r w:rsidR="00235C15" w:rsidRPr="006D6E8D">
        <w:rPr>
          <w:szCs w:val="28"/>
        </w:rPr>
        <w:t>of</w:t>
      </w:r>
      <w:r w:rsidR="00E20588" w:rsidRPr="006D6E8D">
        <w:rPr>
          <w:szCs w:val="28"/>
        </w:rPr>
        <w:t xml:space="preserve"> the</w:t>
      </w:r>
      <w:r w:rsidR="006D6E8D" w:rsidRPr="006D6E8D">
        <w:rPr>
          <w:szCs w:val="28"/>
        </w:rPr>
        <w:t xml:space="preserve"> following</w:t>
      </w:r>
      <w:r w:rsidR="00235C15" w:rsidRPr="007C209B">
        <w:rPr>
          <w:szCs w:val="28"/>
        </w:rPr>
        <w:t>:</w:t>
      </w:r>
      <w:r w:rsidR="009B5BC6" w:rsidRPr="007C209B">
        <w:rPr>
          <w:szCs w:val="28"/>
        </w:rPr>
        <w:t xml:space="preserve"> </w:t>
      </w:r>
    </w:p>
    <w:p w:rsidR="00235C15" w:rsidRPr="00203C70" w:rsidRDefault="00CF77B5" w:rsidP="00392ECC">
      <w:pPr>
        <w:pStyle w:val="SingleTxtG"/>
        <w:ind w:firstLine="567"/>
      </w:pPr>
      <w:r>
        <w:t>(a)</w:t>
      </w:r>
      <w:r>
        <w:tab/>
      </w:r>
      <w:r w:rsidR="00235C15" w:rsidRPr="00203C70">
        <w:t>Basic Education Act, 2013;</w:t>
      </w:r>
    </w:p>
    <w:p w:rsidR="00235C15" w:rsidRPr="00FE6F9A" w:rsidRDefault="00CF77B5" w:rsidP="00392ECC">
      <w:pPr>
        <w:pStyle w:val="SingleTxtG"/>
        <w:ind w:firstLine="567"/>
      </w:pPr>
      <w:r>
        <w:t>(b)</w:t>
      </w:r>
      <w:r>
        <w:tab/>
      </w:r>
      <w:r w:rsidR="00235C15" w:rsidRPr="00203C70">
        <w:t>Prevention, Protection and Assistance to Internally Displaced Persons and Affected</w:t>
      </w:r>
      <w:r w:rsidR="00CE55BA" w:rsidRPr="00FE6F9A">
        <w:t xml:space="preserve"> </w:t>
      </w:r>
      <w:r w:rsidR="00235C15" w:rsidRPr="00FE6F9A">
        <w:t xml:space="preserve">Communities Act, 2012; </w:t>
      </w:r>
    </w:p>
    <w:p w:rsidR="00235C15" w:rsidRPr="00203C70" w:rsidRDefault="00CF77B5" w:rsidP="00392ECC">
      <w:pPr>
        <w:pStyle w:val="SingleTxtG"/>
        <w:ind w:firstLine="567"/>
      </w:pPr>
      <w:r>
        <w:t>(c)</w:t>
      </w:r>
      <w:r>
        <w:tab/>
      </w:r>
      <w:r w:rsidR="00235C15" w:rsidRPr="00203C70">
        <w:t xml:space="preserve">Kenyan Citizenship and Immigration Act, 2011; </w:t>
      </w:r>
    </w:p>
    <w:p w:rsidR="00235C15" w:rsidRPr="00203C70" w:rsidRDefault="00CF77B5" w:rsidP="00392ECC">
      <w:pPr>
        <w:pStyle w:val="SingleTxtG"/>
        <w:ind w:firstLine="567"/>
      </w:pPr>
      <w:r>
        <w:t>(d)</w:t>
      </w:r>
      <w:r>
        <w:tab/>
      </w:r>
      <w:r w:rsidR="00235C15" w:rsidRPr="00203C70">
        <w:t xml:space="preserve">Prohibition of Female Genital Mutilation Act, 2011; </w:t>
      </w:r>
    </w:p>
    <w:p w:rsidR="00FD56E4" w:rsidRPr="00203C70" w:rsidRDefault="00CF77B5" w:rsidP="00392ECC">
      <w:pPr>
        <w:pStyle w:val="SingleTxtG"/>
        <w:ind w:firstLine="567"/>
      </w:pPr>
      <w:r>
        <w:t>(e)</w:t>
      </w:r>
      <w:r>
        <w:tab/>
      </w:r>
      <w:r w:rsidR="00235C15" w:rsidRPr="00203C70">
        <w:t>Counter</w:t>
      </w:r>
      <w:r w:rsidR="00316C63">
        <w:t>-</w:t>
      </w:r>
      <w:r w:rsidR="00235C15" w:rsidRPr="00203C70">
        <w:t>Trafficking in Persons Act, 2010</w:t>
      </w:r>
      <w:r w:rsidR="00FD56E4" w:rsidRPr="00203C70">
        <w:t>.</w:t>
      </w:r>
    </w:p>
    <w:p w:rsidR="00C82F62" w:rsidRPr="007C209B" w:rsidRDefault="00C82F62" w:rsidP="007C209B">
      <w:pPr>
        <w:pStyle w:val="H1G"/>
      </w:pPr>
      <w:r w:rsidRPr="007C209B">
        <w:lastRenderedPageBreak/>
        <w:tab/>
        <w:t>C.</w:t>
      </w:r>
      <w:r w:rsidRPr="007C209B">
        <w:tab/>
        <w:t>Principal subjects of concern and recommendations</w:t>
      </w:r>
    </w:p>
    <w:p w:rsidR="007C7C4A" w:rsidRPr="007C209B" w:rsidRDefault="00235C15" w:rsidP="00E643CB">
      <w:pPr>
        <w:pStyle w:val="H23G"/>
        <w:rPr>
          <w:szCs w:val="28"/>
        </w:rPr>
      </w:pPr>
      <w:r w:rsidRPr="007C209B">
        <w:rPr>
          <w:szCs w:val="28"/>
        </w:rPr>
        <w:tab/>
      </w:r>
      <w:r w:rsidR="00E643CB" w:rsidRPr="007C209B">
        <w:rPr>
          <w:szCs w:val="28"/>
        </w:rPr>
        <w:tab/>
      </w:r>
      <w:r w:rsidR="006273D1" w:rsidRPr="007C209B">
        <w:rPr>
          <w:szCs w:val="28"/>
        </w:rPr>
        <w:t xml:space="preserve">Domestic </w:t>
      </w:r>
      <w:r w:rsidR="00316C63">
        <w:rPr>
          <w:szCs w:val="28"/>
        </w:rPr>
        <w:t>a</w:t>
      </w:r>
      <w:r w:rsidR="007C7C4A" w:rsidRPr="007C209B">
        <w:rPr>
          <w:szCs w:val="28"/>
        </w:rPr>
        <w:t xml:space="preserve">pplication of the Covenant </w:t>
      </w:r>
    </w:p>
    <w:p w:rsidR="007C7C4A" w:rsidRPr="007C209B" w:rsidRDefault="003616E3" w:rsidP="003616E3">
      <w:pPr>
        <w:pStyle w:val="SingleTxtG"/>
        <w:tabs>
          <w:tab w:val="left" w:pos="1701"/>
        </w:tabs>
        <w:rPr>
          <w:szCs w:val="28"/>
        </w:rPr>
      </w:pPr>
      <w:r w:rsidRPr="007C209B">
        <w:rPr>
          <w:szCs w:val="28"/>
        </w:rPr>
        <w:t>5.</w:t>
      </w:r>
      <w:r w:rsidRPr="007C209B">
        <w:rPr>
          <w:szCs w:val="28"/>
        </w:rPr>
        <w:tab/>
      </w:r>
      <w:r w:rsidR="007C7C4A" w:rsidRPr="007C209B">
        <w:rPr>
          <w:szCs w:val="28"/>
        </w:rPr>
        <w:t>The Committee</w:t>
      </w:r>
      <w:r w:rsidR="006273D1" w:rsidRPr="007C209B">
        <w:rPr>
          <w:szCs w:val="28"/>
        </w:rPr>
        <w:t xml:space="preserve"> is</w:t>
      </w:r>
      <w:r w:rsidR="007C7C4A" w:rsidRPr="007C209B">
        <w:rPr>
          <w:szCs w:val="28"/>
        </w:rPr>
        <w:t xml:space="preserve"> concerned that </w:t>
      </w:r>
      <w:r w:rsidR="0041007C" w:rsidRPr="007C209B">
        <w:rPr>
          <w:szCs w:val="28"/>
        </w:rPr>
        <w:t xml:space="preserve">there </w:t>
      </w:r>
      <w:r w:rsidR="00784B0B" w:rsidRPr="007C209B">
        <w:rPr>
          <w:szCs w:val="28"/>
        </w:rPr>
        <w:t xml:space="preserve">has been a long delay in adopting </w:t>
      </w:r>
      <w:r w:rsidR="000C04CA" w:rsidRPr="007C209B">
        <w:rPr>
          <w:szCs w:val="28"/>
        </w:rPr>
        <w:t xml:space="preserve">legislation and policies </w:t>
      </w:r>
      <w:r w:rsidR="0041007C" w:rsidRPr="007C209B">
        <w:rPr>
          <w:szCs w:val="28"/>
        </w:rPr>
        <w:t xml:space="preserve">that are crucial to </w:t>
      </w:r>
      <w:r w:rsidR="006D3ABA">
        <w:rPr>
          <w:szCs w:val="28"/>
        </w:rPr>
        <w:t xml:space="preserve">the </w:t>
      </w:r>
      <w:r w:rsidR="0041007C" w:rsidRPr="007C209B">
        <w:rPr>
          <w:szCs w:val="28"/>
        </w:rPr>
        <w:t>realiz</w:t>
      </w:r>
      <w:r w:rsidR="006D3ABA">
        <w:rPr>
          <w:szCs w:val="28"/>
        </w:rPr>
        <w:t>ation of</w:t>
      </w:r>
      <w:r w:rsidR="0041007C" w:rsidRPr="007C209B">
        <w:rPr>
          <w:szCs w:val="28"/>
        </w:rPr>
        <w:t xml:space="preserve"> the </w:t>
      </w:r>
      <w:r w:rsidR="00784B0B" w:rsidRPr="007C209B">
        <w:rPr>
          <w:szCs w:val="28"/>
        </w:rPr>
        <w:t xml:space="preserve">economic, social and cultural rights </w:t>
      </w:r>
      <w:r w:rsidR="006273D1" w:rsidRPr="007C209B">
        <w:rPr>
          <w:szCs w:val="28"/>
        </w:rPr>
        <w:t>en</w:t>
      </w:r>
      <w:r w:rsidR="00784B0B" w:rsidRPr="007C209B">
        <w:rPr>
          <w:szCs w:val="28"/>
        </w:rPr>
        <w:t>shrined in the Constitution</w:t>
      </w:r>
      <w:r w:rsidR="00D24438" w:rsidRPr="007C209B">
        <w:rPr>
          <w:szCs w:val="28"/>
        </w:rPr>
        <w:t xml:space="preserve">. It is also concerned </w:t>
      </w:r>
      <w:r w:rsidR="00376BF1" w:rsidRPr="007C209B">
        <w:rPr>
          <w:szCs w:val="28"/>
        </w:rPr>
        <w:t xml:space="preserve">at the </w:t>
      </w:r>
      <w:r w:rsidR="009B5BC6" w:rsidRPr="007C209B">
        <w:rPr>
          <w:szCs w:val="28"/>
        </w:rPr>
        <w:t xml:space="preserve">failure </w:t>
      </w:r>
      <w:r w:rsidR="00795EC6" w:rsidRPr="007C209B">
        <w:rPr>
          <w:szCs w:val="28"/>
        </w:rPr>
        <w:t xml:space="preserve">of the State party </w:t>
      </w:r>
      <w:r w:rsidR="009B5BC6" w:rsidRPr="007C209B">
        <w:rPr>
          <w:szCs w:val="28"/>
        </w:rPr>
        <w:t>to comply</w:t>
      </w:r>
      <w:r w:rsidR="006273D1" w:rsidRPr="007C209B">
        <w:rPr>
          <w:szCs w:val="28"/>
        </w:rPr>
        <w:t xml:space="preserve"> </w:t>
      </w:r>
      <w:r w:rsidR="00376BF1" w:rsidRPr="007C209B">
        <w:rPr>
          <w:szCs w:val="28"/>
        </w:rPr>
        <w:t xml:space="preserve">with </w:t>
      </w:r>
      <w:r w:rsidR="009B5BC6" w:rsidRPr="007C209B">
        <w:rPr>
          <w:szCs w:val="28"/>
        </w:rPr>
        <w:t xml:space="preserve">many </w:t>
      </w:r>
      <w:r w:rsidR="0041007C" w:rsidRPr="007C209B">
        <w:rPr>
          <w:szCs w:val="28"/>
        </w:rPr>
        <w:t xml:space="preserve">court </w:t>
      </w:r>
      <w:r w:rsidR="009B5BC6" w:rsidRPr="007C209B">
        <w:rPr>
          <w:szCs w:val="28"/>
        </w:rPr>
        <w:t>rulings</w:t>
      </w:r>
      <w:r w:rsidR="00376BF1" w:rsidRPr="007C209B">
        <w:rPr>
          <w:szCs w:val="28"/>
        </w:rPr>
        <w:t>.</w:t>
      </w:r>
    </w:p>
    <w:p w:rsidR="00430C86" w:rsidRDefault="003616E3" w:rsidP="003616E3">
      <w:pPr>
        <w:pStyle w:val="SingleTxtG"/>
        <w:tabs>
          <w:tab w:val="left" w:pos="1701"/>
        </w:tabs>
        <w:rPr>
          <w:b/>
          <w:szCs w:val="28"/>
        </w:rPr>
      </w:pPr>
      <w:r>
        <w:rPr>
          <w:szCs w:val="28"/>
        </w:rPr>
        <w:t>6.</w:t>
      </w:r>
      <w:r>
        <w:rPr>
          <w:szCs w:val="28"/>
        </w:rPr>
        <w:tab/>
      </w:r>
      <w:r w:rsidR="00E643CB" w:rsidRPr="007C209B">
        <w:rPr>
          <w:b/>
          <w:szCs w:val="28"/>
        </w:rPr>
        <w:t xml:space="preserve">The Committee </w:t>
      </w:r>
      <w:r w:rsidR="0028701B" w:rsidRPr="007C209B">
        <w:rPr>
          <w:b/>
          <w:szCs w:val="28"/>
        </w:rPr>
        <w:t>urges</w:t>
      </w:r>
      <w:r w:rsidR="00E643CB" w:rsidRPr="007C209B">
        <w:rPr>
          <w:b/>
          <w:szCs w:val="28"/>
        </w:rPr>
        <w:t xml:space="preserve"> the State party </w:t>
      </w:r>
      <w:r w:rsidR="000D21BB" w:rsidRPr="007C209B">
        <w:rPr>
          <w:b/>
          <w:szCs w:val="28"/>
        </w:rPr>
        <w:t xml:space="preserve">to </w:t>
      </w:r>
      <w:r w:rsidR="000C04CA" w:rsidRPr="007C209B">
        <w:rPr>
          <w:b/>
          <w:szCs w:val="28"/>
        </w:rPr>
        <w:t>expedite the adoption of</w:t>
      </w:r>
      <w:r w:rsidR="00E643CB" w:rsidRPr="007C209B">
        <w:rPr>
          <w:b/>
          <w:szCs w:val="28"/>
        </w:rPr>
        <w:t xml:space="preserve"> </w:t>
      </w:r>
      <w:r w:rsidR="00784B0B" w:rsidRPr="007C209B">
        <w:rPr>
          <w:b/>
          <w:szCs w:val="28"/>
        </w:rPr>
        <w:t>pending legislation</w:t>
      </w:r>
      <w:r w:rsidR="00DF1477" w:rsidRPr="007C209B">
        <w:rPr>
          <w:b/>
          <w:szCs w:val="28"/>
        </w:rPr>
        <w:t xml:space="preserve"> and policies</w:t>
      </w:r>
      <w:r w:rsidR="000C04CA" w:rsidRPr="007C209B">
        <w:rPr>
          <w:b/>
          <w:szCs w:val="28"/>
        </w:rPr>
        <w:t xml:space="preserve">, </w:t>
      </w:r>
      <w:r w:rsidR="009B5BC6" w:rsidRPr="007C209B">
        <w:rPr>
          <w:b/>
          <w:szCs w:val="28"/>
        </w:rPr>
        <w:t>including the Community Land Bill,</w:t>
      </w:r>
      <w:r w:rsidR="00D024E8" w:rsidRPr="007C209B">
        <w:rPr>
          <w:b/>
          <w:szCs w:val="28"/>
        </w:rPr>
        <w:t xml:space="preserve"> the Social Protection Bill,</w:t>
      </w:r>
      <w:r w:rsidR="000C04CA" w:rsidRPr="007C209B">
        <w:rPr>
          <w:b/>
          <w:szCs w:val="28"/>
        </w:rPr>
        <w:t xml:space="preserve"> the </w:t>
      </w:r>
      <w:r w:rsidR="000C04CA" w:rsidRPr="006D6E8D">
        <w:rPr>
          <w:b/>
          <w:szCs w:val="28"/>
        </w:rPr>
        <w:t>Water Bill, the Housing Bill</w:t>
      </w:r>
      <w:r w:rsidR="00793CF6" w:rsidRPr="006D6E8D">
        <w:rPr>
          <w:b/>
          <w:szCs w:val="28"/>
        </w:rPr>
        <w:t>,</w:t>
      </w:r>
      <w:r w:rsidR="000C04CA" w:rsidRPr="006D6E8D">
        <w:rPr>
          <w:b/>
          <w:szCs w:val="28"/>
        </w:rPr>
        <w:t xml:space="preserve"> the Health Bill</w:t>
      </w:r>
      <w:r w:rsidR="00277514" w:rsidRPr="006D6E8D">
        <w:rPr>
          <w:b/>
          <w:szCs w:val="28"/>
        </w:rPr>
        <w:t xml:space="preserve"> and the National Social Health Insurance Fund Bill,</w:t>
      </w:r>
      <w:r w:rsidR="000C04CA" w:rsidRPr="006D6E8D">
        <w:rPr>
          <w:b/>
          <w:szCs w:val="28"/>
        </w:rPr>
        <w:t xml:space="preserve"> to</w:t>
      </w:r>
      <w:r w:rsidR="000C04CA" w:rsidRPr="007C209B">
        <w:rPr>
          <w:b/>
          <w:szCs w:val="28"/>
        </w:rPr>
        <w:t xml:space="preserve"> give full effect </w:t>
      </w:r>
      <w:r w:rsidR="006273D1" w:rsidRPr="007C209B">
        <w:rPr>
          <w:b/>
          <w:szCs w:val="28"/>
        </w:rPr>
        <w:t xml:space="preserve">to </w:t>
      </w:r>
      <w:r w:rsidR="00795EC6" w:rsidRPr="007C209B">
        <w:rPr>
          <w:b/>
          <w:szCs w:val="28"/>
        </w:rPr>
        <w:t xml:space="preserve">the </w:t>
      </w:r>
      <w:r w:rsidR="000C04CA" w:rsidRPr="007C209B">
        <w:rPr>
          <w:b/>
          <w:szCs w:val="28"/>
        </w:rPr>
        <w:t>economic, social and cultural rights</w:t>
      </w:r>
      <w:r w:rsidR="00DF1477" w:rsidRPr="007C209B">
        <w:rPr>
          <w:b/>
          <w:szCs w:val="28"/>
        </w:rPr>
        <w:t xml:space="preserve"> enshrined in </w:t>
      </w:r>
      <w:r w:rsidR="00E12E8C" w:rsidRPr="007C209B">
        <w:rPr>
          <w:b/>
          <w:szCs w:val="28"/>
        </w:rPr>
        <w:t>its</w:t>
      </w:r>
      <w:r w:rsidR="00DF1477" w:rsidRPr="007C209B">
        <w:rPr>
          <w:b/>
          <w:szCs w:val="28"/>
        </w:rPr>
        <w:t xml:space="preserve"> Constitution</w:t>
      </w:r>
      <w:r w:rsidR="00376BF1" w:rsidRPr="007C209B">
        <w:rPr>
          <w:b/>
          <w:szCs w:val="28"/>
        </w:rPr>
        <w:t>. It also recommends that the State party</w:t>
      </w:r>
      <w:r w:rsidR="00997825" w:rsidRPr="007C209B">
        <w:rPr>
          <w:b/>
          <w:szCs w:val="28"/>
        </w:rPr>
        <w:t xml:space="preserve"> </w:t>
      </w:r>
      <w:r w:rsidR="000C04CA" w:rsidRPr="007C209B">
        <w:rPr>
          <w:b/>
          <w:szCs w:val="28"/>
        </w:rPr>
        <w:t>implement the decisions</w:t>
      </w:r>
      <w:r w:rsidR="00376BF1" w:rsidRPr="007C209B">
        <w:rPr>
          <w:b/>
          <w:szCs w:val="28"/>
        </w:rPr>
        <w:t xml:space="preserve"> </w:t>
      </w:r>
      <w:r w:rsidR="003C12E7">
        <w:rPr>
          <w:b/>
          <w:szCs w:val="28"/>
        </w:rPr>
        <w:t xml:space="preserve">of its courts </w:t>
      </w:r>
      <w:r w:rsidR="006273D1" w:rsidRPr="007C209B">
        <w:rPr>
          <w:b/>
          <w:szCs w:val="28"/>
        </w:rPr>
        <w:t>without delay</w:t>
      </w:r>
      <w:r w:rsidR="00430C86">
        <w:rPr>
          <w:b/>
          <w:szCs w:val="28"/>
        </w:rPr>
        <w:t>.</w:t>
      </w:r>
    </w:p>
    <w:p w:rsidR="00E643CB" w:rsidRDefault="003616E3" w:rsidP="003616E3">
      <w:pPr>
        <w:pStyle w:val="SingleTxtG"/>
        <w:tabs>
          <w:tab w:val="left" w:pos="1701"/>
        </w:tabs>
        <w:rPr>
          <w:szCs w:val="28"/>
        </w:rPr>
      </w:pPr>
      <w:r>
        <w:rPr>
          <w:szCs w:val="28"/>
        </w:rPr>
        <w:t>7.</w:t>
      </w:r>
      <w:r>
        <w:rPr>
          <w:szCs w:val="28"/>
        </w:rPr>
        <w:tab/>
      </w:r>
      <w:r w:rsidR="003E1069" w:rsidRPr="003E1069">
        <w:rPr>
          <w:szCs w:val="28"/>
        </w:rPr>
        <w:t xml:space="preserve">The Committee is concerned at the provisions of </w:t>
      </w:r>
      <w:r w:rsidR="00FB305B">
        <w:rPr>
          <w:szCs w:val="28"/>
        </w:rPr>
        <w:t>s</w:t>
      </w:r>
      <w:r w:rsidR="003E1069" w:rsidRPr="003E1069">
        <w:rPr>
          <w:szCs w:val="28"/>
        </w:rPr>
        <w:t>ection 21</w:t>
      </w:r>
      <w:r w:rsidR="00FB305B">
        <w:rPr>
          <w:szCs w:val="28"/>
        </w:rPr>
        <w:t xml:space="preserve"> </w:t>
      </w:r>
      <w:r w:rsidR="003E1069" w:rsidRPr="003E1069">
        <w:rPr>
          <w:szCs w:val="28"/>
        </w:rPr>
        <w:t>(4) of the Government Proceedings Act, which essentially provide impunity to the State party when a monetary award is made</w:t>
      </w:r>
      <w:r w:rsidR="006D3ABA">
        <w:rPr>
          <w:szCs w:val="28"/>
        </w:rPr>
        <w:t xml:space="preserve"> </w:t>
      </w:r>
      <w:r w:rsidR="003E1069" w:rsidRPr="003E1069">
        <w:rPr>
          <w:szCs w:val="28"/>
        </w:rPr>
        <w:t>against it in favour of an aggrieved party</w:t>
      </w:r>
      <w:r w:rsidR="00FB305B" w:rsidRPr="003E1069">
        <w:rPr>
          <w:szCs w:val="28"/>
        </w:rPr>
        <w:t>, by way of damages or costs</w:t>
      </w:r>
      <w:r w:rsidR="003E1069" w:rsidRPr="003E1069">
        <w:rPr>
          <w:szCs w:val="28"/>
        </w:rPr>
        <w:t xml:space="preserve">, as is the case </w:t>
      </w:r>
      <w:r w:rsidR="00FB305B">
        <w:rPr>
          <w:szCs w:val="28"/>
        </w:rPr>
        <w:t>in</w:t>
      </w:r>
      <w:r w:rsidR="00FB305B" w:rsidRPr="003E1069">
        <w:rPr>
          <w:szCs w:val="28"/>
        </w:rPr>
        <w:t xml:space="preserve"> </w:t>
      </w:r>
      <w:r w:rsidR="003E1069" w:rsidRPr="003E1069">
        <w:rPr>
          <w:i/>
          <w:szCs w:val="28"/>
        </w:rPr>
        <w:t xml:space="preserve">Ibrahim </w:t>
      </w:r>
      <w:proofErr w:type="spellStart"/>
      <w:r w:rsidR="003E1069" w:rsidRPr="003E1069">
        <w:rPr>
          <w:i/>
          <w:szCs w:val="28"/>
        </w:rPr>
        <w:t>Sango</w:t>
      </w:r>
      <w:r w:rsidR="00FB305B">
        <w:rPr>
          <w:i/>
          <w:szCs w:val="28"/>
        </w:rPr>
        <w:t>r</w:t>
      </w:r>
      <w:proofErr w:type="spellEnd"/>
      <w:r w:rsidR="003E1069" w:rsidRPr="003E1069">
        <w:rPr>
          <w:i/>
          <w:szCs w:val="28"/>
        </w:rPr>
        <w:t xml:space="preserve"> Osman v</w:t>
      </w:r>
      <w:r w:rsidR="00CF77B5">
        <w:rPr>
          <w:i/>
          <w:szCs w:val="28"/>
        </w:rPr>
        <w:t>.</w:t>
      </w:r>
      <w:r w:rsidR="003E1069" w:rsidRPr="003E1069">
        <w:rPr>
          <w:i/>
          <w:szCs w:val="28"/>
        </w:rPr>
        <w:t xml:space="preserve"> Minister for Provincial Administration and Internal Security</w:t>
      </w:r>
      <w:r w:rsidR="00CF77B5" w:rsidRPr="00392ECC">
        <w:rPr>
          <w:szCs w:val="28"/>
        </w:rPr>
        <w:t>.</w:t>
      </w:r>
    </w:p>
    <w:p w:rsidR="00D551A6" w:rsidRPr="00D551A6" w:rsidRDefault="003616E3" w:rsidP="003616E3">
      <w:pPr>
        <w:pStyle w:val="SingleTxtG"/>
        <w:tabs>
          <w:tab w:val="left" w:pos="1701"/>
        </w:tabs>
        <w:rPr>
          <w:b/>
          <w:szCs w:val="28"/>
        </w:rPr>
      </w:pPr>
      <w:r w:rsidRPr="00D551A6">
        <w:rPr>
          <w:szCs w:val="28"/>
        </w:rPr>
        <w:t>8.</w:t>
      </w:r>
      <w:r w:rsidRPr="00D551A6">
        <w:rPr>
          <w:szCs w:val="28"/>
        </w:rPr>
        <w:tab/>
      </w:r>
      <w:r w:rsidR="00D551A6" w:rsidRPr="00D551A6">
        <w:rPr>
          <w:b/>
          <w:szCs w:val="28"/>
        </w:rPr>
        <w:t xml:space="preserve">The Committee urges the State party to repeal </w:t>
      </w:r>
      <w:r w:rsidR="00FB305B">
        <w:rPr>
          <w:b/>
          <w:szCs w:val="28"/>
        </w:rPr>
        <w:t>s</w:t>
      </w:r>
      <w:r w:rsidR="00D551A6" w:rsidRPr="00D551A6">
        <w:rPr>
          <w:b/>
          <w:szCs w:val="28"/>
        </w:rPr>
        <w:t>ection 21</w:t>
      </w:r>
      <w:r w:rsidR="00FB305B">
        <w:rPr>
          <w:b/>
          <w:szCs w:val="28"/>
        </w:rPr>
        <w:t xml:space="preserve"> </w:t>
      </w:r>
      <w:r w:rsidR="00D551A6" w:rsidRPr="00D551A6">
        <w:rPr>
          <w:b/>
          <w:szCs w:val="28"/>
        </w:rPr>
        <w:t>(4) of the Government Proceeding</w:t>
      </w:r>
      <w:r w:rsidR="00FB305B">
        <w:rPr>
          <w:b/>
          <w:szCs w:val="28"/>
        </w:rPr>
        <w:t>s</w:t>
      </w:r>
      <w:r w:rsidR="00D551A6" w:rsidRPr="00D551A6">
        <w:rPr>
          <w:b/>
          <w:szCs w:val="28"/>
        </w:rPr>
        <w:t xml:space="preserve"> Act</w:t>
      </w:r>
      <w:r w:rsidR="003E1069" w:rsidRPr="003E1069">
        <w:rPr>
          <w:b/>
          <w:szCs w:val="28"/>
        </w:rPr>
        <w:t xml:space="preserve">, since it places the State party above the law in that </w:t>
      </w:r>
      <w:r w:rsidR="003E1069">
        <w:rPr>
          <w:b/>
          <w:szCs w:val="28"/>
        </w:rPr>
        <w:t xml:space="preserve">it does not oblige </w:t>
      </w:r>
      <w:r w:rsidR="003E1069" w:rsidRPr="003E1069">
        <w:rPr>
          <w:b/>
          <w:szCs w:val="28"/>
        </w:rPr>
        <w:t>the State party to comply with court orders and it infringes the rights to equality and the right of access to courts in that it denies the right of an effective remedy in case of a violation by the State party of the economic, social and cultural rights of an aggrieved party</w:t>
      </w:r>
      <w:r w:rsidR="00D551A6" w:rsidRPr="00D551A6">
        <w:rPr>
          <w:b/>
          <w:szCs w:val="28"/>
        </w:rPr>
        <w:t>.</w:t>
      </w:r>
    </w:p>
    <w:p w:rsidR="00EF5942" w:rsidRPr="007C209B" w:rsidRDefault="00CF77B5" w:rsidP="00392ECC">
      <w:pPr>
        <w:pStyle w:val="H23G"/>
      </w:pPr>
      <w:r>
        <w:tab/>
      </w:r>
      <w:r>
        <w:tab/>
      </w:r>
      <w:r w:rsidR="00EF5942" w:rsidRPr="007C209B">
        <w:t>Legal aid</w:t>
      </w:r>
    </w:p>
    <w:p w:rsidR="00CA7EC5" w:rsidRPr="007C209B" w:rsidRDefault="003616E3" w:rsidP="003616E3">
      <w:pPr>
        <w:pStyle w:val="SingleTxtG"/>
        <w:tabs>
          <w:tab w:val="left" w:pos="1701"/>
        </w:tabs>
        <w:rPr>
          <w:szCs w:val="28"/>
        </w:rPr>
      </w:pPr>
      <w:r w:rsidRPr="007C209B">
        <w:rPr>
          <w:szCs w:val="28"/>
        </w:rPr>
        <w:t>9.</w:t>
      </w:r>
      <w:r w:rsidRPr="007C209B">
        <w:rPr>
          <w:szCs w:val="28"/>
        </w:rPr>
        <w:tab/>
      </w:r>
      <w:r w:rsidR="00CA7EC5" w:rsidRPr="007C209B">
        <w:rPr>
          <w:szCs w:val="28"/>
        </w:rPr>
        <w:t xml:space="preserve">While noting the </w:t>
      </w:r>
      <w:r w:rsidR="00784B0B" w:rsidRPr="007C209B">
        <w:rPr>
          <w:szCs w:val="28"/>
        </w:rPr>
        <w:t>introduction</w:t>
      </w:r>
      <w:r w:rsidR="00CA7EC5" w:rsidRPr="007C209B">
        <w:rPr>
          <w:szCs w:val="28"/>
        </w:rPr>
        <w:t xml:space="preserve"> of the National Legal Aid and Awareness Programme, the Committee is concerned </w:t>
      </w:r>
      <w:r w:rsidR="006273D1" w:rsidRPr="007C209B">
        <w:rPr>
          <w:szCs w:val="28"/>
        </w:rPr>
        <w:t xml:space="preserve">at the </w:t>
      </w:r>
      <w:r w:rsidR="00FD56E4" w:rsidRPr="007C209B">
        <w:rPr>
          <w:szCs w:val="28"/>
        </w:rPr>
        <w:t>insufficient resources</w:t>
      </w:r>
      <w:r w:rsidR="0008469C" w:rsidRPr="007C209B">
        <w:rPr>
          <w:szCs w:val="28"/>
        </w:rPr>
        <w:t xml:space="preserve"> </w:t>
      </w:r>
      <w:r w:rsidR="00CA7EC5" w:rsidRPr="007C209B">
        <w:rPr>
          <w:szCs w:val="28"/>
        </w:rPr>
        <w:t xml:space="preserve">allocated to the </w:t>
      </w:r>
      <w:r w:rsidR="0008469C" w:rsidRPr="007C209B">
        <w:rPr>
          <w:szCs w:val="28"/>
        </w:rPr>
        <w:t>P</w:t>
      </w:r>
      <w:r w:rsidR="00CA7EC5" w:rsidRPr="007C209B">
        <w:rPr>
          <w:szCs w:val="28"/>
        </w:rPr>
        <w:t>rogramme</w:t>
      </w:r>
      <w:r w:rsidR="006273D1" w:rsidRPr="007C209B">
        <w:rPr>
          <w:szCs w:val="28"/>
        </w:rPr>
        <w:t xml:space="preserve">. The Committee is </w:t>
      </w:r>
      <w:r w:rsidR="00FB305B">
        <w:rPr>
          <w:szCs w:val="28"/>
        </w:rPr>
        <w:t>also</w:t>
      </w:r>
      <w:r w:rsidR="00FB305B" w:rsidRPr="007C209B">
        <w:rPr>
          <w:szCs w:val="28"/>
        </w:rPr>
        <w:t xml:space="preserve"> </w:t>
      </w:r>
      <w:r w:rsidR="006273D1" w:rsidRPr="007C209B">
        <w:rPr>
          <w:szCs w:val="28"/>
        </w:rPr>
        <w:t>concerned</w:t>
      </w:r>
      <w:r w:rsidR="007D6BC8" w:rsidRPr="007C209B">
        <w:rPr>
          <w:szCs w:val="28"/>
        </w:rPr>
        <w:t xml:space="preserve"> </w:t>
      </w:r>
      <w:r w:rsidR="00205CB1" w:rsidRPr="007C209B">
        <w:rPr>
          <w:szCs w:val="28"/>
        </w:rPr>
        <w:t xml:space="preserve">that access to free legal aid </w:t>
      </w:r>
      <w:r w:rsidR="00CA7EC5" w:rsidRPr="007C209B">
        <w:rPr>
          <w:szCs w:val="28"/>
        </w:rPr>
        <w:t>is still very limited</w:t>
      </w:r>
      <w:r w:rsidR="001F1E5B">
        <w:rPr>
          <w:szCs w:val="28"/>
        </w:rPr>
        <w:t>,</w:t>
      </w:r>
      <w:r w:rsidR="00205CB1" w:rsidRPr="007C209B">
        <w:rPr>
          <w:szCs w:val="28"/>
        </w:rPr>
        <w:t xml:space="preserve"> </w:t>
      </w:r>
      <w:r w:rsidR="001F1E5B">
        <w:rPr>
          <w:szCs w:val="28"/>
        </w:rPr>
        <w:t xml:space="preserve">making it difficult </w:t>
      </w:r>
      <w:r w:rsidR="00205CB1" w:rsidRPr="007C209B">
        <w:rPr>
          <w:szCs w:val="28"/>
        </w:rPr>
        <w:t>for disadvantaged and marginalized individuals</w:t>
      </w:r>
      <w:r w:rsidR="007D6BC8" w:rsidRPr="007C209B">
        <w:rPr>
          <w:szCs w:val="28"/>
        </w:rPr>
        <w:t xml:space="preserve"> </w:t>
      </w:r>
      <w:r w:rsidR="00CA7EC5" w:rsidRPr="007C209B">
        <w:rPr>
          <w:szCs w:val="28"/>
        </w:rPr>
        <w:t>to claim their economic social and cultural rights</w:t>
      </w:r>
      <w:r w:rsidR="00205CB1" w:rsidRPr="007C209B">
        <w:rPr>
          <w:szCs w:val="28"/>
        </w:rPr>
        <w:t>.</w:t>
      </w:r>
      <w:r w:rsidR="00D24438" w:rsidRPr="007C209B">
        <w:rPr>
          <w:szCs w:val="28"/>
        </w:rPr>
        <w:t xml:space="preserve"> </w:t>
      </w:r>
    </w:p>
    <w:p w:rsidR="00E03F1D" w:rsidRPr="00430C86" w:rsidRDefault="003616E3" w:rsidP="003616E3">
      <w:pPr>
        <w:pStyle w:val="SingleTxtG"/>
        <w:tabs>
          <w:tab w:val="left" w:pos="1701"/>
        </w:tabs>
        <w:rPr>
          <w:b/>
          <w:szCs w:val="28"/>
        </w:rPr>
      </w:pPr>
      <w:r w:rsidRPr="00430C86">
        <w:rPr>
          <w:szCs w:val="28"/>
        </w:rPr>
        <w:t>10.</w:t>
      </w:r>
      <w:r w:rsidRPr="00430C86">
        <w:rPr>
          <w:szCs w:val="28"/>
        </w:rPr>
        <w:tab/>
      </w:r>
      <w:r w:rsidR="00CA7EC5" w:rsidRPr="00430C86">
        <w:rPr>
          <w:b/>
          <w:szCs w:val="28"/>
        </w:rPr>
        <w:t>The Committee recommends that the State party</w:t>
      </w:r>
      <w:r w:rsidR="00DF1477" w:rsidRPr="00430C86">
        <w:rPr>
          <w:b/>
          <w:szCs w:val="28"/>
        </w:rPr>
        <w:t xml:space="preserve"> expedite the adoption of the Legal Aid Bill</w:t>
      </w:r>
      <w:r w:rsidR="00795EC6" w:rsidRPr="00430C86">
        <w:rPr>
          <w:b/>
          <w:szCs w:val="28"/>
        </w:rPr>
        <w:t>,</w:t>
      </w:r>
      <w:r w:rsidR="00DF1477" w:rsidRPr="00430C86">
        <w:rPr>
          <w:b/>
          <w:szCs w:val="28"/>
        </w:rPr>
        <w:t xml:space="preserve"> expand the National Legal Aid and Awareness Programme and allocate sufficient </w:t>
      </w:r>
      <w:r w:rsidR="0008469C" w:rsidRPr="00430C86">
        <w:rPr>
          <w:b/>
          <w:szCs w:val="28"/>
        </w:rPr>
        <w:t xml:space="preserve">resources </w:t>
      </w:r>
      <w:r w:rsidR="00DF1477" w:rsidRPr="00430C86">
        <w:rPr>
          <w:b/>
          <w:szCs w:val="28"/>
        </w:rPr>
        <w:t xml:space="preserve">to the </w:t>
      </w:r>
      <w:r w:rsidR="00795EC6" w:rsidRPr="00430C86">
        <w:rPr>
          <w:b/>
          <w:szCs w:val="28"/>
        </w:rPr>
        <w:t xml:space="preserve">Programme </w:t>
      </w:r>
      <w:r w:rsidR="007D6BC8" w:rsidRPr="00430C86">
        <w:rPr>
          <w:b/>
          <w:szCs w:val="28"/>
        </w:rPr>
        <w:t xml:space="preserve">so that disadvantaged and marginalized individuals, </w:t>
      </w:r>
      <w:r w:rsidR="000679D1" w:rsidRPr="00430C86">
        <w:rPr>
          <w:b/>
          <w:szCs w:val="28"/>
        </w:rPr>
        <w:t>particularly</w:t>
      </w:r>
      <w:r w:rsidR="007D6BC8" w:rsidRPr="00430C86">
        <w:rPr>
          <w:b/>
          <w:szCs w:val="28"/>
        </w:rPr>
        <w:t xml:space="preserve"> indigenous peoples, women, people living in rural areas and urban informal settlements, </w:t>
      </w:r>
      <w:r w:rsidR="00795EC6" w:rsidRPr="00430C86">
        <w:rPr>
          <w:b/>
          <w:szCs w:val="28"/>
        </w:rPr>
        <w:t xml:space="preserve">are able </w:t>
      </w:r>
      <w:r w:rsidR="007D6BC8" w:rsidRPr="00430C86">
        <w:rPr>
          <w:b/>
          <w:szCs w:val="28"/>
        </w:rPr>
        <w:t>to claim their economic</w:t>
      </w:r>
      <w:r w:rsidR="00795EC6" w:rsidRPr="00430C86">
        <w:rPr>
          <w:b/>
          <w:szCs w:val="28"/>
        </w:rPr>
        <w:t>,</w:t>
      </w:r>
      <w:r w:rsidR="007D6BC8" w:rsidRPr="00430C86">
        <w:rPr>
          <w:b/>
          <w:szCs w:val="28"/>
        </w:rPr>
        <w:t xml:space="preserve"> social and cultural rights</w:t>
      </w:r>
      <w:r w:rsidR="00DF1477" w:rsidRPr="00430C86">
        <w:rPr>
          <w:b/>
          <w:szCs w:val="28"/>
        </w:rPr>
        <w:t>.</w:t>
      </w:r>
    </w:p>
    <w:p w:rsidR="00E45003" w:rsidRPr="007C209B" w:rsidRDefault="00CF77B5" w:rsidP="00392ECC">
      <w:pPr>
        <w:pStyle w:val="H23G"/>
      </w:pPr>
      <w:r>
        <w:tab/>
      </w:r>
      <w:r>
        <w:tab/>
      </w:r>
      <w:r w:rsidR="00E45003" w:rsidRPr="007C209B">
        <w:t>Internally displaced persons</w:t>
      </w:r>
      <w:r w:rsidR="00E40286" w:rsidRPr="007C209B">
        <w:t xml:space="preserve"> </w:t>
      </w:r>
    </w:p>
    <w:p w:rsidR="003F75E9" w:rsidRPr="007C209B" w:rsidRDefault="003616E3" w:rsidP="003616E3">
      <w:pPr>
        <w:pStyle w:val="SingleTxtG"/>
        <w:tabs>
          <w:tab w:val="left" w:pos="1701"/>
        </w:tabs>
        <w:rPr>
          <w:szCs w:val="28"/>
        </w:rPr>
      </w:pPr>
      <w:r w:rsidRPr="007C209B">
        <w:rPr>
          <w:szCs w:val="28"/>
        </w:rPr>
        <w:t>11.</w:t>
      </w:r>
      <w:r w:rsidRPr="007C209B">
        <w:rPr>
          <w:szCs w:val="28"/>
        </w:rPr>
        <w:tab/>
      </w:r>
      <w:r w:rsidR="003840FD" w:rsidRPr="007C209B">
        <w:rPr>
          <w:szCs w:val="28"/>
        </w:rPr>
        <w:t xml:space="preserve">While noting the measures taken by the State party </w:t>
      </w:r>
      <w:r w:rsidR="00037842" w:rsidRPr="007C209B">
        <w:rPr>
          <w:szCs w:val="28"/>
        </w:rPr>
        <w:t>to</w:t>
      </w:r>
      <w:r w:rsidR="008547FF" w:rsidRPr="007C209B">
        <w:rPr>
          <w:szCs w:val="28"/>
        </w:rPr>
        <w:t xml:space="preserve"> reintegrate or</w:t>
      </w:r>
      <w:r w:rsidR="00037842" w:rsidRPr="007C209B">
        <w:rPr>
          <w:szCs w:val="28"/>
        </w:rPr>
        <w:t xml:space="preserve"> resettle persons </w:t>
      </w:r>
      <w:r w:rsidR="009E278D" w:rsidRPr="007C209B">
        <w:rPr>
          <w:szCs w:val="28"/>
        </w:rPr>
        <w:t xml:space="preserve">displaced </w:t>
      </w:r>
      <w:r w:rsidR="00037842" w:rsidRPr="007C209B">
        <w:rPr>
          <w:szCs w:val="28"/>
        </w:rPr>
        <w:t>as a result of the 2007/2008 post-election inter-ethnic violence, t</w:t>
      </w:r>
      <w:r w:rsidR="003840FD" w:rsidRPr="007C209B">
        <w:rPr>
          <w:szCs w:val="28"/>
        </w:rPr>
        <w:t>he Committee is concerned</w:t>
      </w:r>
      <w:r w:rsidR="00037842" w:rsidRPr="007C209B">
        <w:rPr>
          <w:szCs w:val="28"/>
        </w:rPr>
        <w:t xml:space="preserve"> </w:t>
      </w:r>
      <w:r w:rsidR="004261A6" w:rsidRPr="007C209B">
        <w:rPr>
          <w:szCs w:val="28"/>
        </w:rPr>
        <w:t>that the Truth, Justice and Reconciliation Commission’s recommendations have not been</w:t>
      </w:r>
      <w:r w:rsidR="00FE6F9A" w:rsidRPr="00FE6F9A">
        <w:rPr>
          <w:szCs w:val="28"/>
        </w:rPr>
        <w:t xml:space="preserve"> </w:t>
      </w:r>
      <w:r w:rsidR="00FE6F9A" w:rsidRPr="007C209B">
        <w:rPr>
          <w:szCs w:val="28"/>
        </w:rPr>
        <w:t>fully</w:t>
      </w:r>
      <w:r w:rsidR="004261A6" w:rsidRPr="007C209B">
        <w:rPr>
          <w:szCs w:val="28"/>
        </w:rPr>
        <w:t xml:space="preserve"> implemented and </w:t>
      </w:r>
      <w:r w:rsidR="00182C09">
        <w:rPr>
          <w:szCs w:val="28"/>
        </w:rPr>
        <w:t xml:space="preserve">that </w:t>
      </w:r>
      <w:r w:rsidR="004261A6" w:rsidRPr="007C209B">
        <w:rPr>
          <w:szCs w:val="28"/>
        </w:rPr>
        <w:t xml:space="preserve">those </w:t>
      </w:r>
      <w:r w:rsidR="00FE6F9A">
        <w:rPr>
          <w:szCs w:val="28"/>
        </w:rPr>
        <w:t>internally displaced persons</w:t>
      </w:r>
      <w:r w:rsidR="00FE6F9A" w:rsidRPr="007C209B">
        <w:rPr>
          <w:szCs w:val="28"/>
        </w:rPr>
        <w:t xml:space="preserve"> </w:t>
      </w:r>
      <w:r w:rsidR="0064182F" w:rsidRPr="007C209B">
        <w:rPr>
          <w:szCs w:val="28"/>
        </w:rPr>
        <w:t xml:space="preserve">continue to face difficulties in enjoying their economic, social and cultural rights. </w:t>
      </w:r>
      <w:r w:rsidR="00247F51" w:rsidRPr="007C209B">
        <w:rPr>
          <w:szCs w:val="28"/>
        </w:rPr>
        <w:t xml:space="preserve">The Committee is </w:t>
      </w:r>
      <w:r w:rsidR="00784B0B" w:rsidRPr="007C209B">
        <w:rPr>
          <w:szCs w:val="28"/>
        </w:rPr>
        <w:t>also</w:t>
      </w:r>
      <w:r w:rsidR="0064182F" w:rsidRPr="007C209B">
        <w:rPr>
          <w:szCs w:val="28"/>
        </w:rPr>
        <w:t xml:space="preserve"> concerned </w:t>
      </w:r>
      <w:r w:rsidR="00396D87" w:rsidRPr="007C209B">
        <w:rPr>
          <w:szCs w:val="28"/>
        </w:rPr>
        <w:t xml:space="preserve">at </w:t>
      </w:r>
      <w:r w:rsidR="0064182F" w:rsidRPr="007C209B">
        <w:rPr>
          <w:szCs w:val="28"/>
        </w:rPr>
        <w:t xml:space="preserve">the overall </w:t>
      </w:r>
      <w:r w:rsidR="00795EC6" w:rsidRPr="007C209B">
        <w:rPr>
          <w:szCs w:val="28"/>
        </w:rPr>
        <w:t xml:space="preserve">lack of implementation of </w:t>
      </w:r>
      <w:r w:rsidR="00FE6F9A">
        <w:rPr>
          <w:szCs w:val="28"/>
        </w:rPr>
        <w:t xml:space="preserve">the </w:t>
      </w:r>
      <w:r w:rsidR="00795EC6" w:rsidRPr="007C209B">
        <w:rPr>
          <w:szCs w:val="28"/>
        </w:rPr>
        <w:t>economic, social and cultural rights</w:t>
      </w:r>
      <w:r w:rsidR="0064182F" w:rsidRPr="007C209B">
        <w:rPr>
          <w:szCs w:val="28"/>
        </w:rPr>
        <w:t xml:space="preserve"> of </w:t>
      </w:r>
      <w:r w:rsidR="00FE6F9A">
        <w:rPr>
          <w:szCs w:val="28"/>
        </w:rPr>
        <w:t>internally displaced persons</w:t>
      </w:r>
      <w:r w:rsidR="00FE6F9A" w:rsidRPr="007C209B">
        <w:rPr>
          <w:szCs w:val="28"/>
        </w:rPr>
        <w:t xml:space="preserve"> </w:t>
      </w:r>
      <w:r w:rsidR="00247F51" w:rsidRPr="007C209B">
        <w:rPr>
          <w:szCs w:val="28"/>
        </w:rPr>
        <w:t>in the State party</w:t>
      </w:r>
      <w:r w:rsidR="007B2C85" w:rsidRPr="007C209B">
        <w:rPr>
          <w:szCs w:val="28"/>
        </w:rPr>
        <w:t>, resulting from intercommunal conflicts, disasters and development and environment preservation projects, in particular</w:t>
      </w:r>
      <w:r w:rsidR="003F75E9" w:rsidRPr="007C209B">
        <w:rPr>
          <w:szCs w:val="28"/>
        </w:rPr>
        <w:t>:</w:t>
      </w:r>
    </w:p>
    <w:p w:rsidR="003F75E9" w:rsidRPr="00FE6F9A" w:rsidRDefault="00CF77B5" w:rsidP="00392ECC">
      <w:pPr>
        <w:pStyle w:val="SingleTxtG"/>
        <w:ind w:firstLine="567"/>
      </w:pPr>
      <w:r>
        <w:t>(a)</w:t>
      </w:r>
      <w:r>
        <w:tab/>
      </w:r>
      <w:r w:rsidR="009B5BC6" w:rsidRPr="00203C70">
        <w:t>The absence of</w:t>
      </w:r>
      <w:r w:rsidR="003F75E9" w:rsidRPr="00203C70">
        <w:t xml:space="preserve"> </w:t>
      </w:r>
      <w:r w:rsidR="00FE6F9A">
        <w:t xml:space="preserve">a </w:t>
      </w:r>
      <w:r w:rsidR="003F75E9" w:rsidRPr="00203C70">
        <w:t>comprehensive registration system</w:t>
      </w:r>
      <w:r w:rsidR="00272376" w:rsidRPr="00203C70">
        <w:t>, which lea</w:t>
      </w:r>
      <w:r w:rsidR="00272376" w:rsidRPr="00E20588">
        <w:t>ve</w:t>
      </w:r>
      <w:r w:rsidR="00FE6F9A">
        <w:t>s</w:t>
      </w:r>
      <w:r w:rsidR="00272376" w:rsidRPr="00E20588">
        <w:t xml:space="preserve"> most</w:t>
      </w:r>
      <w:r w:rsidR="003F75E9" w:rsidRPr="00E20588">
        <w:t xml:space="preserve"> </w:t>
      </w:r>
      <w:r w:rsidR="00D627D5">
        <w:t>internally displaced persons</w:t>
      </w:r>
      <w:r w:rsidR="00D627D5" w:rsidRPr="00E20588">
        <w:t xml:space="preserve"> </w:t>
      </w:r>
      <w:r w:rsidR="0028701B" w:rsidRPr="00FE6F9A">
        <w:t>un</w:t>
      </w:r>
      <w:r w:rsidR="00247F51" w:rsidRPr="00FE6F9A">
        <w:t>registered</w:t>
      </w:r>
      <w:r w:rsidR="00272376" w:rsidRPr="00FE6F9A">
        <w:t>,</w:t>
      </w:r>
      <w:r w:rsidR="00396D87" w:rsidRPr="00FE6F9A">
        <w:t xml:space="preserve"> </w:t>
      </w:r>
      <w:r w:rsidR="0028701B" w:rsidRPr="00FE6F9A">
        <w:t xml:space="preserve">unprotected </w:t>
      </w:r>
      <w:r w:rsidR="00247F51" w:rsidRPr="00FE6F9A">
        <w:t>and</w:t>
      </w:r>
      <w:r w:rsidR="0028701B" w:rsidRPr="00FE6F9A">
        <w:t xml:space="preserve"> unsupported</w:t>
      </w:r>
      <w:r w:rsidR="003F75E9" w:rsidRPr="00FE6F9A">
        <w:t>;</w:t>
      </w:r>
    </w:p>
    <w:p w:rsidR="00272376" w:rsidRPr="00203C70" w:rsidRDefault="00CF77B5" w:rsidP="00392ECC">
      <w:pPr>
        <w:pStyle w:val="SingleTxtG"/>
        <w:ind w:firstLine="567"/>
      </w:pPr>
      <w:r>
        <w:lastRenderedPageBreak/>
        <w:t>(b)</w:t>
      </w:r>
      <w:r>
        <w:tab/>
      </w:r>
      <w:r w:rsidR="00272376" w:rsidRPr="00203C70">
        <w:t>The delay in adopting a national policy</w:t>
      </w:r>
      <w:r w:rsidR="00D627D5">
        <w:t xml:space="preserve"> on internally displaced persons</w:t>
      </w:r>
      <w:r w:rsidR="00272376" w:rsidRPr="00203C70">
        <w:t xml:space="preserve">; </w:t>
      </w:r>
    </w:p>
    <w:p w:rsidR="003F75E9" w:rsidRPr="00D627D5" w:rsidRDefault="00CF77B5" w:rsidP="00392ECC">
      <w:pPr>
        <w:pStyle w:val="SingleTxtG"/>
        <w:ind w:firstLine="567"/>
      </w:pPr>
      <w:r>
        <w:t>(c)</w:t>
      </w:r>
      <w:r>
        <w:tab/>
      </w:r>
      <w:r w:rsidR="00272376" w:rsidRPr="00203C70">
        <w:t>Social segregation</w:t>
      </w:r>
      <w:r w:rsidR="000D21BB" w:rsidRPr="00203C70">
        <w:t>, the lack of</w:t>
      </w:r>
      <w:r w:rsidR="0028701B" w:rsidRPr="00FB305B">
        <w:t xml:space="preserve"> public transportation</w:t>
      </w:r>
      <w:r w:rsidR="00272376" w:rsidRPr="00FE6F9A">
        <w:t xml:space="preserve"> and limited access of </w:t>
      </w:r>
      <w:r w:rsidR="00D627D5">
        <w:t>internally di</w:t>
      </w:r>
      <w:r w:rsidR="00D627D5" w:rsidRPr="00FE6F9A">
        <w:t>s</w:t>
      </w:r>
      <w:r w:rsidR="00D627D5">
        <w:t>placed persons</w:t>
      </w:r>
      <w:r w:rsidR="00D627D5" w:rsidRPr="00FE6F9A">
        <w:t xml:space="preserve"> </w:t>
      </w:r>
      <w:r w:rsidR="003F75E9" w:rsidRPr="00FE6F9A">
        <w:t>to</w:t>
      </w:r>
      <w:r w:rsidR="002652F0" w:rsidRPr="00D627D5">
        <w:t xml:space="preserve"> </w:t>
      </w:r>
      <w:r w:rsidR="003F75E9" w:rsidRPr="00D627D5">
        <w:t>basic services, including water and sanitation, health</w:t>
      </w:r>
      <w:r w:rsidR="00795EC6" w:rsidRPr="00D627D5">
        <w:t>,</w:t>
      </w:r>
      <w:r w:rsidR="003F75E9" w:rsidRPr="00D627D5">
        <w:t xml:space="preserve"> education</w:t>
      </w:r>
      <w:r w:rsidR="00795EC6" w:rsidRPr="00D627D5">
        <w:t xml:space="preserve"> and social assistance</w:t>
      </w:r>
      <w:r w:rsidR="00272376" w:rsidRPr="00D627D5">
        <w:t>.</w:t>
      </w:r>
    </w:p>
    <w:p w:rsidR="005010FF" w:rsidRPr="007C209B" w:rsidRDefault="003616E3" w:rsidP="003616E3">
      <w:pPr>
        <w:pStyle w:val="SingleTxtG"/>
        <w:tabs>
          <w:tab w:val="left" w:pos="1701"/>
        </w:tabs>
        <w:rPr>
          <w:b/>
          <w:szCs w:val="28"/>
        </w:rPr>
      </w:pPr>
      <w:r w:rsidRPr="007C209B">
        <w:rPr>
          <w:szCs w:val="28"/>
        </w:rPr>
        <w:t>12.</w:t>
      </w:r>
      <w:r w:rsidRPr="007C209B">
        <w:rPr>
          <w:szCs w:val="28"/>
        </w:rPr>
        <w:tab/>
      </w:r>
      <w:r w:rsidR="00E82F89" w:rsidRPr="007C209B">
        <w:rPr>
          <w:b/>
          <w:szCs w:val="28"/>
        </w:rPr>
        <w:t xml:space="preserve">The Committee recommends that the State party </w:t>
      </w:r>
      <w:r w:rsidR="005010FF" w:rsidRPr="007C209B">
        <w:rPr>
          <w:b/>
          <w:szCs w:val="28"/>
        </w:rPr>
        <w:t>implement</w:t>
      </w:r>
      <w:r w:rsidR="009B5BC6" w:rsidRPr="007C209B">
        <w:rPr>
          <w:b/>
          <w:szCs w:val="28"/>
        </w:rPr>
        <w:t>, without further delay,</w:t>
      </w:r>
      <w:r w:rsidR="005010FF" w:rsidRPr="007C209B">
        <w:rPr>
          <w:b/>
          <w:szCs w:val="28"/>
        </w:rPr>
        <w:t xml:space="preserve"> the Truth, Justice and Reconciliation Commission</w:t>
      </w:r>
      <w:r w:rsidR="00FD56E4" w:rsidRPr="007C209B">
        <w:rPr>
          <w:b/>
          <w:szCs w:val="28"/>
        </w:rPr>
        <w:t>’s</w:t>
      </w:r>
      <w:r w:rsidR="005010FF" w:rsidRPr="007C209B">
        <w:rPr>
          <w:b/>
          <w:szCs w:val="28"/>
        </w:rPr>
        <w:t xml:space="preserve"> </w:t>
      </w:r>
      <w:r w:rsidR="002652F0" w:rsidRPr="007C209B">
        <w:rPr>
          <w:b/>
          <w:szCs w:val="28"/>
        </w:rPr>
        <w:t xml:space="preserve">recommendations </w:t>
      </w:r>
      <w:r w:rsidR="005010FF" w:rsidRPr="007C209B">
        <w:rPr>
          <w:b/>
          <w:szCs w:val="28"/>
        </w:rPr>
        <w:t xml:space="preserve">relating to the 2007/2008 post-election </w:t>
      </w:r>
      <w:r w:rsidR="00182C09">
        <w:rPr>
          <w:b/>
          <w:szCs w:val="28"/>
        </w:rPr>
        <w:t>violence</w:t>
      </w:r>
      <w:r w:rsidR="005010FF" w:rsidRPr="007C209B">
        <w:rPr>
          <w:b/>
          <w:szCs w:val="28"/>
        </w:rPr>
        <w:t xml:space="preserve">, including adequate compensation for the </w:t>
      </w:r>
      <w:r w:rsidR="00D627D5">
        <w:rPr>
          <w:b/>
          <w:szCs w:val="28"/>
        </w:rPr>
        <w:t xml:space="preserve">internally displaced persons </w:t>
      </w:r>
      <w:r w:rsidR="005010FF" w:rsidRPr="007C209B">
        <w:rPr>
          <w:b/>
          <w:szCs w:val="28"/>
        </w:rPr>
        <w:t>concerned</w:t>
      </w:r>
      <w:r w:rsidR="002652F0" w:rsidRPr="007C209B">
        <w:rPr>
          <w:b/>
          <w:szCs w:val="28"/>
        </w:rPr>
        <w:t>.</w:t>
      </w:r>
      <w:r w:rsidR="005010FF" w:rsidRPr="007C209B">
        <w:rPr>
          <w:b/>
          <w:szCs w:val="28"/>
        </w:rPr>
        <w:t xml:space="preserve"> It also recommends that the State party:</w:t>
      </w:r>
    </w:p>
    <w:p w:rsidR="00DF1477" w:rsidRPr="00FE6F9A" w:rsidRDefault="00CF77B5" w:rsidP="00392ECC">
      <w:pPr>
        <w:pStyle w:val="SingleTxtG"/>
        <w:ind w:firstLine="567"/>
        <w:rPr>
          <w:b/>
        </w:rPr>
      </w:pPr>
      <w:r w:rsidRPr="005D5AA7">
        <w:rPr>
          <w:bCs/>
        </w:rPr>
        <w:t>(a)</w:t>
      </w:r>
      <w:r>
        <w:tab/>
      </w:r>
      <w:r w:rsidR="005010FF" w:rsidRPr="00203C70">
        <w:rPr>
          <w:b/>
        </w:rPr>
        <w:t xml:space="preserve">Establish a comprehensive registration system and keep up-to-date </w:t>
      </w:r>
      <w:r w:rsidR="009B5BC6" w:rsidRPr="00203C70">
        <w:rPr>
          <w:b/>
        </w:rPr>
        <w:t xml:space="preserve">records of </w:t>
      </w:r>
      <w:r w:rsidR="0028701B" w:rsidRPr="00FB305B">
        <w:rPr>
          <w:b/>
        </w:rPr>
        <w:t xml:space="preserve">all </w:t>
      </w:r>
      <w:r w:rsidR="00D627D5">
        <w:rPr>
          <w:b/>
        </w:rPr>
        <w:t>internally displaced persons</w:t>
      </w:r>
      <w:r w:rsidR="00A566F1" w:rsidRPr="00FE6F9A">
        <w:rPr>
          <w:b/>
        </w:rPr>
        <w:t>;</w:t>
      </w:r>
    </w:p>
    <w:p w:rsidR="009B5BC6" w:rsidRPr="00FB305B" w:rsidRDefault="00CF77B5" w:rsidP="00392ECC">
      <w:pPr>
        <w:pStyle w:val="SingleTxtG"/>
        <w:ind w:firstLine="567"/>
        <w:rPr>
          <w:b/>
        </w:rPr>
      </w:pPr>
      <w:r w:rsidRPr="005D5AA7">
        <w:rPr>
          <w:bCs/>
        </w:rPr>
        <w:t>(b)</w:t>
      </w:r>
      <w:r>
        <w:tab/>
      </w:r>
      <w:r w:rsidR="009B5BC6" w:rsidRPr="00203C70">
        <w:rPr>
          <w:b/>
        </w:rPr>
        <w:t xml:space="preserve">Adopt a national policy </w:t>
      </w:r>
      <w:r w:rsidR="00D627D5">
        <w:rPr>
          <w:b/>
        </w:rPr>
        <w:t xml:space="preserve">on internally displaced persons </w:t>
      </w:r>
      <w:r w:rsidR="009B5BC6" w:rsidRPr="00203C70">
        <w:rPr>
          <w:b/>
        </w:rPr>
        <w:t xml:space="preserve">in consultation with </w:t>
      </w:r>
      <w:r w:rsidR="00D627D5">
        <w:rPr>
          <w:b/>
        </w:rPr>
        <w:t>them</w:t>
      </w:r>
      <w:r w:rsidR="00D627D5" w:rsidRPr="00203C70">
        <w:rPr>
          <w:b/>
        </w:rPr>
        <w:t xml:space="preserve"> </w:t>
      </w:r>
      <w:r w:rsidR="009B5BC6" w:rsidRPr="00203C70">
        <w:rPr>
          <w:b/>
        </w:rPr>
        <w:t xml:space="preserve">to facilitate the implementation of the Act; </w:t>
      </w:r>
    </w:p>
    <w:p w:rsidR="00D5038A" w:rsidRPr="00D627D5" w:rsidRDefault="00CF77B5" w:rsidP="00392ECC">
      <w:pPr>
        <w:pStyle w:val="SingleTxtG"/>
        <w:ind w:firstLine="567"/>
        <w:rPr>
          <w:b/>
        </w:rPr>
      </w:pPr>
      <w:r w:rsidRPr="005D5AA7">
        <w:rPr>
          <w:bCs/>
        </w:rPr>
        <w:t>(c)</w:t>
      </w:r>
      <w:r>
        <w:tab/>
      </w:r>
      <w:r w:rsidR="005010FF" w:rsidRPr="00203C70">
        <w:rPr>
          <w:b/>
        </w:rPr>
        <w:t xml:space="preserve">Ensure that </w:t>
      </w:r>
      <w:r w:rsidR="00D627D5">
        <w:rPr>
          <w:b/>
        </w:rPr>
        <w:t>internally displaced persons</w:t>
      </w:r>
      <w:r w:rsidR="00D627D5" w:rsidRPr="00203C70">
        <w:rPr>
          <w:b/>
        </w:rPr>
        <w:t xml:space="preserve"> </w:t>
      </w:r>
      <w:r w:rsidR="00D5038A" w:rsidRPr="00203C70">
        <w:rPr>
          <w:b/>
        </w:rPr>
        <w:t>in resettlement sites have access to public transport and basic services, including water and sanitation, health</w:t>
      </w:r>
      <w:r w:rsidR="00795EC6" w:rsidRPr="00FE6F9A">
        <w:rPr>
          <w:b/>
        </w:rPr>
        <w:t>,</w:t>
      </w:r>
      <w:r w:rsidR="00D5038A" w:rsidRPr="00FE6F9A">
        <w:rPr>
          <w:b/>
        </w:rPr>
        <w:t xml:space="preserve"> education</w:t>
      </w:r>
      <w:r w:rsidR="00795EC6" w:rsidRPr="00FE6F9A">
        <w:rPr>
          <w:b/>
        </w:rPr>
        <w:t xml:space="preserve"> and social assistance</w:t>
      </w:r>
      <w:r w:rsidR="009B5BC6" w:rsidRPr="00D627D5">
        <w:rPr>
          <w:b/>
        </w:rPr>
        <w:t>.</w:t>
      </w:r>
    </w:p>
    <w:p w:rsidR="00D03B0B" w:rsidRPr="007C209B" w:rsidRDefault="00A566F1">
      <w:pPr>
        <w:pStyle w:val="H23G"/>
      </w:pPr>
      <w:r>
        <w:tab/>
      </w:r>
      <w:r>
        <w:tab/>
        <w:t xml:space="preserve">Economic </w:t>
      </w:r>
      <w:r w:rsidR="00912BF5">
        <w:t>p</w:t>
      </w:r>
      <w:r>
        <w:t xml:space="preserve">artnership </w:t>
      </w:r>
      <w:r w:rsidR="00912BF5">
        <w:t>a</w:t>
      </w:r>
      <w:r>
        <w:t>greement</w:t>
      </w:r>
    </w:p>
    <w:p w:rsidR="00D03B0B" w:rsidRPr="007C209B" w:rsidRDefault="003616E3" w:rsidP="003616E3">
      <w:pPr>
        <w:pStyle w:val="SingleTxtG"/>
        <w:tabs>
          <w:tab w:val="left" w:pos="1701"/>
        </w:tabs>
        <w:rPr>
          <w:szCs w:val="28"/>
        </w:rPr>
      </w:pPr>
      <w:r w:rsidRPr="007C209B">
        <w:rPr>
          <w:szCs w:val="28"/>
        </w:rPr>
        <w:t>13.</w:t>
      </w:r>
      <w:r w:rsidRPr="007C209B">
        <w:rPr>
          <w:szCs w:val="28"/>
        </w:rPr>
        <w:tab/>
      </w:r>
      <w:r w:rsidR="00D03B0B" w:rsidRPr="007C209B">
        <w:rPr>
          <w:szCs w:val="28"/>
        </w:rPr>
        <w:t xml:space="preserve">While noting that on 16 October 2014 the East African Community States, including Kenya, </w:t>
      </w:r>
      <w:r w:rsidR="00272376" w:rsidRPr="007C209B">
        <w:rPr>
          <w:szCs w:val="28"/>
        </w:rPr>
        <w:t>concluded</w:t>
      </w:r>
      <w:r w:rsidR="00D03B0B" w:rsidRPr="007C209B">
        <w:rPr>
          <w:szCs w:val="28"/>
        </w:rPr>
        <w:t xml:space="preserve"> the negotiations for a region-to-region </w:t>
      </w:r>
      <w:r w:rsidR="00912BF5">
        <w:rPr>
          <w:szCs w:val="28"/>
        </w:rPr>
        <w:t>e</w:t>
      </w:r>
      <w:r w:rsidR="00D03B0B" w:rsidRPr="007C209B">
        <w:rPr>
          <w:szCs w:val="28"/>
        </w:rPr>
        <w:t xml:space="preserve">conomic </w:t>
      </w:r>
      <w:r w:rsidR="00912BF5">
        <w:rPr>
          <w:szCs w:val="28"/>
        </w:rPr>
        <w:t>p</w:t>
      </w:r>
      <w:r w:rsidR="00D03B0B" w:rsidRPr="007C209B">
        <w:rPr>
          <w:szCs w:val="28"/>
        </w:rPr>
        <w:t xml:space="preserve">artnership </w:t>
      </w:r>
      <w:r w:rsidR="00912BF5">
        <w:rPr>
          <w:szCs w:val="28"/>
        </w:rPr>
        <w:t>a</w:t>
      </w:r>
      <w:r w:rsidR="00D03B0B" w:rsidRPr="007C209B">
        <w:rPr>
          <w:szCs w:val="28"/>
        </w:rPr>
        <w:t xml:space="preserve">greement with the European Union, the Committee regrets that the negotiations </w:t>
      </w:r>
      <w:r w:rsidR="002652F0" w:rsidRPr="007C209B">
        <w:rPr>
          <w:szCs w:val="28"/>
        </w:rPr>
        <w:t xml:space="preserve">were </w:t>
      </w:r>
      <w:r w:rsidR="00430C86">
        <w:rPr>
          <w:szCs w:val="28"/>
        </w:rPr>
        <w:t xml:space="preserve">not </w:t>
      </w:r>
      <w:r w:rsidR="00272376" w:rsidRPr="007C209B">
        <w:rPr>
          <w:szCs w:val="28"/>
        </w:rPr>
        <w:t xml:space="preserve">preceded </w:t>
      </w:r>
      <w:r w:rsidR="00430C86">
        <w:rPr>
          <w:szCs w:val="28"/>
        </w:rPr>
        <w:t>by an</w:t>
      </w:r>
      <w:r w:rsidR="002652F0" w:rsidRPr="007C209B">
        <w:rPr>
          <w:szCs w:val="28"/>
        </w:rPr>
        <w:t xml:space="preserve"> </w:t>
      </w:r>
      <w:r w:rsidR="00D03B0B" w:rsidRPr="007C209B">
        <w:rPr>
          <w:szCs w:val="28"/>
        </w:rPr>
        <w:t>assess</w:t>
      </w:r>
      <w:r w:rsidR="00272376" w:rsidRPr="007C209B">
        <w:rPr>
          <w:szCs w:val="28"/>
        </w:rPr>
        <w:t>ment of</w:t>
      </w:r>
      <w:r w:rsidR="00D03B0B" w:rsidRPr="007C209B">
        <w:rPr>
          <w:szCs w:val="28"/>
        </w:rPr>
        <w:t xml:space="preserve"> its impact on the enjoyment of economic, social and cultural rights (art. 1</w:t>
      </w:r>
      <w:r w:rsidR="00C922BB">
        <w:rPr>
          <w:szCs w:val="28"/>
        </w:rPr>
        <w:t xml:space="preserve"> </w:t>
      </w:r>
      <w:r w:rsidR="00D03B0B" w:rsidRPr="007C209B">
        <w:rPr>
          <w:szCs w:val="28"/>
        </w:rPr>
        <w:t xml:space="preserve">(2)). </w:t>
      </w:r>
    </w:p>
    <w:p w:rsidR="00D03B0B" w:rsidRPr="007C209B" w:rsidRDefault="003616E3" w:rsidP="003616E3">
      <w:pPr>
        <w:pStyle w:val="SingleTxtG"/>
        <w:tabs>
          <w:tab w:val="left" w:pos="1701"/>
        </w:tabs>
        <w:rPr>
          <w:b/>
          <w:szCs w:val="28"/>
        </w:rPr>
      </w:pPr>
      <w:r w:rsidRPr="007C209B">
        <w:rPr>
          <w:szCs w:val="28"/>
        </w:rPr>
        <w:t>14.</w:t>
      </w:r>
      <w:r w:rsidRPr="007C209B">
        <w:rPr>
          <w:szCs w:val="28"/>
        </w:rPr>
        <w:tab/>
      </w:r>
      <w:r w:rsidR="00D03B0B" w:rsidRPr="007C209B">
        <w:rPr>
          <w:b/>
          <w:szCs w:val="28"/>
        </w:rPr>
        <w:t xml:space="preserve">The Committee encourages the State party to seize the opportunity of the consultations that shall take place prior to the ratification of the </w:t>
      </w:r>
      <w:r w:rsidR="00912BF5">
        <w:rPr>
          <w:b/>
          <w:szCs w:val="28"/>
        </w:rPr>
        <w:t>e</w:t>
      </w:r>
      <w:r w:rsidR="00C922BB">
        <w:rPr>
          <w:b/>
          <w:szCs w:val="28"/>
        </w:rPr>
        <w:t xml:space="preserve">conomic </w:t>
      </w:r>
      <w:r w:rsidR="00912BF5">
        <w:rPr>
          <w:b/>
          <w:szCs w:val="28"/>
        </w:rPr>
        <w:t>p</w:t>
      </w:r>
      <w:r w:rsidR="00C922BB">
        <w:rPr>
          <w:b/>
          <w:szCs w:val="28"/>
        </w:rPr>
        <w:t xml:space="preserve">artnership </w:t>
      </w:r>
      <w:r w:rsidR="00912BF5">
        <w:rPr>
          <w:b/>
          <w:szCs w:val="28"/>
        </w:rPr>
        <w:t>a</w:t>
      </w:r>
      <w:r w:rsidR="00D03B0B" w:rsidRPr="007C209B">
        <w:rPr>
          <w:b/>
          <w:szCs w:val="28"/>
        </w:rPr>
        <w:t xml:space="preserve">greement in October 2016 to identify the potential negative impacts on the enjoyment of economic, social and cultural rights and to </w:t>
      </w:r>
      <w:r w:rsidR="002652F0" w:rsidRPr="007C209B">
        <w:rPr>
          <w:b/>
          <w:szCs w:val="28"/>
        </w:rPr>
        <w:t xml:space="preserve">adopt </w:t>
      </w:r>
      <w:r w:rsidR="00C922BB">
        <w:rPr>
          <w:b/>
          <w:szCs w:val="28"/>
        </w:rPr>
        <w:t xml:space="preserve">the </w:t>
      </w:r>
      <w:r w:rsidR="00D03B0B" w:rsidRPr="007C209B">
        <w:rPr>
          <w:b/>
          <w:szCs w:val="28"/>
        </w:rPr>
        <w:t xml:space="preserve">measures necessary to mitigate such impacts, particularly on </w:t>
      </w:r>
      <w:r w:rsidR="00272376" w:rsidRPr="007C209B">
        <w:rPr>
          <w:b/>
          <w:szCs w:val="28"/>
        </w:rPr>
        <w:t xml:space="preserve">the livelihood of </w:t>
      </w:r>
      <w:r w:rsidR="00D03B0B" w:rsidRPr="007C209B">
        <w:rPr>
          <w:b/>
          <w:szCs w:val="28"/>
        </w:rPr>
        <w:t xml:space="preserve">small-scale farmers and </w:t>
      </w:r>
      <w:proofErr w:type="spellStart"/>
      <w:r w:rsidR="00272376" w:rsidRPr="007C209B">
        <w:rPr>
          <w:b/>
          <w:szCs w:val="28"/>
        </w:rPr>
        <w:t>fisherfolk</w:t>
      </w:r>
      <w:proofErr w:type="spellEnd"/>
      <w:r w:rsidR="00912BF5">
        <w:rPr>
          <w:b/>
          <w:szCs w:val="28"/>
        </w:rPr>
        <w:t>,</w:t>
      </w:r>
      <w:r w:rsidR="00272376" w:rsidRPr="007C209B">
        <w:rPr>
          <w:b/>
          <w:szCs w:val="28"/>
        </w:rPr>
        <w:t xml:space="preserve"> as well as on access to medicines</w:t>
      </w:r>
      <w:r w:rsidR="00D03B0B" w:rsidRPr="007C209B">
        <w:rPr>
          <w:b/>
          <w:szCs w:val="28"/>
        </w:rPr>
        <w:t xml:space="preserve">. </w:t>
      </w:r>
      <w:r w:rsidR="00C922BB">
        <w:rPr>
          <w:b/>
          <w:szCs w:val="28"/>
        </w:rPr>
        <w:t>The Committee</w:t>
      </w:r>
      <w:r w:rsidR="00C922BB" w:rsidRPr="007C209B">
        <w:rPr>
          <w:b/>
          <w:szCs w:val="28"/>
        </w:rPr>
        <w:t xml:space="preserve"> </w:t>
      </w:r>
      <w:r w:rsidR="00D03B0B" w:rsidRPr="007C209B">
        <w:rPr>
          <w:b/>
          <w:szCs w:val="28"/>
        </w:rPr>
        <w:t xml:space="preserve">draws the attention of the State party, in this regard, to the </w:t>
      </w:r>
      <w:r w:rsidR="00C922BB">
        <w:rPr>
          <w:b/>
          <w:szCs w:val="28"/>
        </w:rPr>
        <w:t xml:space="preserve">2011 </w:t>
      </w:r>
      <w:r w:rsidR="005B78C1">
        <w:rPr>
          <w:b/>
          <w:szCs w:val="28"/>
        </w:rPr>
        <w:t>g</w:t>
      </w:r>
      <w:r w:rsidR="00D03B0B" w:rsidRPr="007C209B">
        <w:rPr>
          <w:b/>
          <w:szCs w:val="28"/>
        </w:rPr>
        <w:t xml:space="preserve">uiding </w:t>
      </w:r>
      <w:r w:rsidR="00C922BB">
        <w:rPr>
          <w:b/>
          <w:szCs w:val="28"/>
        </w:rPr>
        <w:t>p</w:t>
      </w:r>
      <w:r w:rsidR="00D03B0B" w:rsidRPr="007C209B">
        <w:rPr>
          <w:b/>
          <w:szCs w:val="28"/>
        </w:rPr>
        <w:t>rinciples on human rights impact assessment</w:t>
      </w:r>
      <w:r w:rsidR="00C922BB">
        <w:rPr>
          <w:b/>
          <w:szCs w:val="28"/>
        </w:rPr>
        <w:t>s</w:t>
      </w:r>
      <w:r w:rsidR="00D03B0B" w:rsidRPr="007C209B">
        <w:rPr>
          <w:b/>
          <w:szCs w:val="28"/>
        </w:rPr>
        <w:t xml:space="preserve"> of trade and investment agreements (A/HRC/19/59/Add.5).</w:t>
      </w:r>
    </w:p>
    <w:p w:rsidR="004829E4" w:rsidRPr="007C209B" w:rsidRDefault="00A566F1" w:rsidP="00A566F1">
      <w:pPr>
        <w:pStyle w:val="H23G"/>
      </w:pPr>
      <w:r>
        <w:tab/>
      </w:r>
      <w:r>
        <w:tab/>
      </w:r>
      <w:r w:rsidR="004829E4" w:rsidRPr="007C209B">
        <w:t xml:space="preserve">The </w:t>
      </w:r>
      <w:proofErr w:type="spellStart"/>
      <w:r w:rsidR="004829E4" w:rsidRPr="007C209B">
        <w:t>Endorois</w:t>
      </w:r>
      <w:proofErr w:type="spellEnd"/>
    </w:p>
    <w:p w:rsidR="00F30292" w:rsidRPr="007C209B" w:rsidRDefault="003616E3" w:rsidP="003616E3">
      <w:pPr>
        <w:pStyle w:val="SingleTxtG"/>
        <w:tabs>
          <w:tab w:val="left" w:pos="1701"/>
        </w:tabs>
        <w:rPr>
          <w:szCs w:val="28"/>
        </w:rPr>
      </w:pPr>
      <w:r w:rsidRPr="007C209B">
        <w:rPr>
          <w:szCs w:val="28"/>
        </w:rPr>
        <w:t>15.</w:t>
      </w:r>
      <w:r w:rsidRPr="007C209B">
        <w:rPr>
          <w:szCs w:val="28"/>
        </w:rPr>
        <w:tab/>
      </w:r>
      <w:r w:rsidR="005C4659" w:rsidRPr="007C209B">
        <w:rPr>
          <w:szCs w:val="28"/>
        </w:rPr>
        <w:t>The Committee is concerned that the implementation of the decision of the African Commission on Human and People</w:t>
      </w:r>
      <w:r w:rsidR="00643091">
        <w:rPr>
          <w:szCs w:val="28"/>
        </w:rPr>
        <w:t>s</w:t>
      </w:r>
      <w:r w:rsidR="005C4659" w:rsidRPr="007C209B">
        <w:rPr>
          <w:szCs w:val="28"/>
        </w:rPr>
        <w:t xml:space="preserve">’ Rights relating to the </w:t>
      </w:r>
      <w:proofErr w:type="spellStart"/>
      <w:r w:rsidR="005C4659" w:rsidRPr="007C209B">
        <w:rPr>
          <w:szCs w:val="28"/>
        </w:rPr>
        <w:t>Endorois</w:t>
      </w:r>
      <w:proofErr w:type="spellEnd"/>
      <w:r w:rsidR="005C4659" w:rsidRPr="007C209B">
        <w:rPr>
          <w:szCs w:val="28"/>
        </w:rPr>
        <w:t xml:space="preserve"> has been long delayed</w:t>
      </w:r>
      <w:r w:rsidR="00272376" w:rsidRPr="007C209B">
        <w:rPr>
          <w:szCs w:val="28"/>
        </w:rPr>
        <w:t>, despite acceptance of the decision of the Commission</w:t>
      </w:r>
      <w:r w:rsidR="005C4659" w:rsidRPr="007C209B">
        <w:rPr>
          <w:szCs w:val="28"/>
        </w:rPr>
        <w:t>. While noting the establishment of the Task Force on the implementation of the decision</w:t>
      </w:r>
      <w:r w:rsidR="00F30292" w:rsidRPr="007C209B">
        <w:rPr>
          <w:szCs w:val="28"/>
        </w:rPr>
        <w:t xml:space="preserve"> of the African</w:t>
      </w:r>
      <w:r w:rsidR="0022729B">
        <w:rPr>
          <w:szCs w:val="28"/>
        </w:rPr>
        <w:t xml:space="preserve"> </w:t>
      </w:r>
      <w:r w:rsidR="00F30292" w:rsidRPr="007C209B">
        <w:rPr>
          <w:szCs w:val="28"/>
        </w:rPr>
        <w:t xml:space="preserve">Commission on </w:t>
      </w:r>
      <w:r w:rsidR="007A64CD">
        <w:rPr>
          <w:szCs w:val="28"/>
        </w:rPr>
        <w:t>26</w:t>
      </w:r>
      <w:r w:rsidR="0022729B">
        <w:rPr>
          <w:szCs w:val="28"/>
        </w:rPr>
        <w:t> </w:t>
      </w:r>
      <w:r w:rsidR="007A64CD">
        <w:rPr>
          <w:szCs w:val="28"/>
        </w:rPr>
        <w:t xml:space="preserve">September 2014 </w:t>
      </w:r>
      <w:r w:rsidR="00F30292" w:rsidRPr="007C209B">
        <w:rPr>
          <w:szCs w:val="28"/>
        </w:rPr>
        <w:t>contained in communication N</w:t>
      </w:r>
      <w:r w:rsidR="00430C86">
        <w:rPr>
          <w:szCs w:val="28"/>
        </w:rPr>
        <w:t>o</w:t>
      </w:r>
      <w:r w:rsidR="00F30292" w:rsidRPr="007C209B">
        <w:rPr>
          <w:szCs w:val="28"/>
        </w:rPr>
        <w:t>.</w:t>
      </w:r>
      <w:r w:rsidR="00643091">
        <w:rPr>
          <w:szCs w:val="28"/>
        </w:rPr>
        <w:t xml:space="preserve"> </w:t>
      </w:r>
      <w:r w:rsidR="00F30292" w:rsidRPr="007C209B">
        <w:rPr>
          <w:szCs w:val="28"/>
        </w:rPr>
        <w:t>276/2003</w:t>
      </w:r>
      <w:r w:rsidR="004829E4" w:rsidRPr="007C209B">
        <w:rPr>
          <w:szCs w:val="28"/>
        </w:rPr>
        <w:t xml:space="preserve">, the Committee regrets that </w:t>
      </w:r>
      <w:r w:rsidR="00F30292" w:rsidRPr="007C209B">
        <w:rPr>
          <w:szCs w:val="28"/>
        </w:rPr>
        <w:t xml:space="preserve">the </w:t>
      </w:r>
      <w:proofErr w:type="spellStart"/>
      <w:r w:rsidR="00F30292" w:rsidRPr="007C209B">
        <w:rPr>
          <w:szCs w:val="28"/>
        </w:rPr>
        <w:t>Endorois</w:t>
      </w:r>
      <w:proofErr w:type="spellEnd"/>
      <w:r w:rsidR="00F30292" w:rsidRPr="007C209B">
        <w:rPr>
          <w:szCs w:val="28"/>
        </w:rPr>
        <w:t xml:space="preserve"> </w:t>
      </w:r>
      <w:r w:rsidR="004829E4" w:rsidRPr="007C209B">
        <w:rPr>
          <w:szCs w:val="28"/>
        </w:rPr>
        <w:t xml:space="preserve">are not represented </w:t>
      </w:r>
      <w:r w:rsidR="00F30292" w:rsidRPr="007C209B">
        <w:rPr>
          <w:szCs w:val="28"/>
        </w:rPr>
        <w:t>on the Ta</w:t>
      </w:r>
      <w:r w:rsidR="00430C86">
        <w:rPr>
          <w:szCs w:val="28"/>
        </w:rPr>
        <w:t>s</w:t>
      </w:r>
      <w:r w:rsidR="00F30292" w:rsidRPr="007C209B">
        <w:rPr>
          <w:szCs w:val="28"/>
        </w:rPr>
        <w:t>k Force</w:t>
      </w:r>
      <w:r w:rsidR="004A2BBE" w:rsidRPr="007C209B">
        <w:rPr>
          <w:szCs w:val="28"/>
        </w:rPr>
        <w:t xml:space="preserve"> and </w:t>
      </w:r>
      <w:r w:rsidR="00643091">
        <w:rPr>
          <w:szCs w:val="28"/>
        </w:rPr>
        <w:t xml:space="preserve">that </w:t>
      </w:r>
      <w:r w:rsidR="004A2BBE" w:rsidRPr="007C209B">
        <w:rPr>
          <w:szCs w:val="28"/>
        </w:rPr>
        <w:t>the</w:t>
      </w:r>
      <w:r w:rsidR="000D21BB" w:rsidRPr="007C209B">
        <w:rPr>
          <w:szCs w:val="28"/>
        </w:rPr>
        <w:t>y</w:t>
      </w:r>
      <w:r w:rsidR="004829E4" w:rsidRPr="007C209B">
        <w:rPr>
          <w:szCs w:val="28"/>
        </w:rPr>
        <w:t xml:space="preserve"> have not been sufficiently consulted </w:t>
      </w:r>
      <w:r w:rsidR="00643091">
        <w:rPr>
          <w:szCs w:val="28"/>
        </w:rPr>
        <w:t>o</w:t>
      </w:r>
      <w:r w:rsidR="004829E4" w:rsidRPr="007C209B">
        <w:rPr>
          <w:szCs w:val="28"/>
        </w:rPr>
        <w:t>n the work of the Task Force</w:t>
      </w:r>
      <w:r w:rsidR="00F5157A" w:rsidRPr="007C209B">
        <w:rPr>
          <w:szCs w:val="28"/>
        </w:rPr>
        <w:t xml:space="preserve"> (</w:t>
      </w:r>
      <w:r w:rsidR="00964760" w:rsidRPr="007C209B">
        <w:rPr>
          <w:szCs w:val="28"/>
        </w:rPr>
        <w:t>art. 1</w:t>
      </w:r>
      <w:r w:rsidR="00643091">
        <w:rPr>
          <w:szCs w:val="28"/>
        </w:rPr>
        <w:t xml:space="preserve"> </w:t>
      </w:r>
      <w:r w:rsidR="00964760" w:rsidRPr="007C209B">
        <w:rPr>
          <w:szCs w:val="28"/>
        </w:rPr>
        <w:t>(2))</w:t>
      </w:r>
      <w:r w:rsidR="00F30292" w:rsidRPr="007C209B">
        <w:rPr>
          <w:szCs w:val="28"/>
        </w:rPr>
        <w:t xml:space="preserve">. </w:t>
      </w:r>
    </w:p>
    <w:p w:rsidR="008170ED" w:rsidRPr="007C209B" w:rsidRDefault="003616E3" w:rsidP="003616E3">
      <w:pPr>
        <w:pStyle w:val="SingleTxtG"/>
        <w:tabs>
          <w:tab w:val="left" w:pos="1701"/>
        </w:tabs>
        <w:rPr>
          <w:b/>
          <w:szCs w:val="28"/>
        </w:rPr>
      </w:pPr>
      <w:r w:rsidRPr="007C209B">
        <w:rPr>
          <w:szCs w:val="28"/>
        </w:rPr>
        <w:t>16.</w:t>
      </w:r>
      <w:r w:rsidRPr="007C209B">
        <w:rPr>
          <w:szCs w:val="28"/>
        </w:rPr>
        <w:tab/>
      </w:r>
      <w:r w:rsidR="008170ED" w:rsidRPr="007C209B">
        <w:rPr>
          <w:b/>
          <w:szCs w:val="28"/>
        </w:rPr>
        <w:t>The Committee recommends that the State party implement</w:t>
      </w:r>
      <w:r w:rsidR="004829E4" w:rsidRPr="007C209B">
        <w:rPr>
          <w:b/>
          <w:szCs w:val="28"/>
        </w:rPr>
        <w:t>, without further delay,</w:t>
      </w:r>
      <w:r w:rsidR="008170ED" w:rsidRPr="007C209B">
        <w:rPr>
          <w:b/>
          <w:szCs w:val="28"/>
        </w:rPr>
        <w:t xml:space="preserve"> the decision of the African Commission on Human and People</w:t>
      </w:r>
      <w:r w:rsidR="00643091">
        <w:rPr>
          <w:b/>
          <w:szCs w:val="28"/>
        </w:rPr>
        <w:t>s</w:t>
      </w:r>
      <w:r w:rsidR="008170ED" w:rsidRPr="007C209B">
        <w:rPr>
          <w:b/>
          <w:szCs w:val="28"/>
        </w:rPr>
        <w:t xml:space="preserve">’ Rights (276/2003) and ensure that the </w:t>
      </w:r>
      <w:proofErr w:type="spellStart"/>
      <w:r w:rsidR="008170ED" w:rsidRPr="007C209B">
        <w:rPr>
          <w:b/>
          <w:szCs w:val="28"/>
        </w:rPr>
        <w:t>Endorois</w:t>
      </w:r>
      <w:proofErr w:type="spellEnd"/>
      <w:r w:rsidR="008170ED" w:rsidRPr="007C209B">
        <w:rPr>
          <w:b/>
          <w:szCs w:val="28"/>
        </w:rPr>
        <w:t xml:space="preserve"> are adequately </w:t>
      </w:r>
      <w:r w:rsidR="004A2BBE" w:rsidRPr="007C209B">
        <w:rPr>
          <w:b/>
          <w:szCs w:val="28"/>
        </w:rPr>
        <w:t>represented and</w:t>
      </w:r>
      <w:r w:rsidR="008170ED" w:rsidRPr="007C209B">
        <w:rPr>
          <w:b/>
          <w:szCs w:val="28"/>
        </w:rPr>
        <w:t xml:space="preserve"> consulted </w:t>
      </w:r>
      <w:r w:rsidR="004A2BBE" w:rsidRPr="007C209B">
        <w:rPr>
          <w:b/>
          <w:szCs w:val="28"/>
        </w:rPr>
        <w:t>at</w:t>
      </w:r>
      <w:r w:rsidR="008170ED" w:rsidRPr="007C209B">
        <w:rPr>
          <w:b/>
          <w:szCs w:val="28"/>
        </w:rPr>
        <w:t xml:space="preserve"> all stages of </w:t>
      </w:r>
      <w:r w:rsidR="00795EC6" w:rsidRPr="007C209B">
        <w:rPr>
          <w:b/>
          <w:szCs w:val="28"/>
        </w:rPr>
        <w:t xml:space="preserve">the </w:t>
      </w:r>
      <w:r w:rsidR="008170ED" w:rsidRPr="007C209B">
        <w:rPr>
          <w:b/>
          <w:szCs w:val="28"/>
        </w:rPr>
        <w:t xml:space="preserve">implementation process. It </w:t>
      </w:r>
      <w:r w:rsidR="00D03B0B" w:rsidRPr="007C209B">
        <w:rPr>
          <w:b/>
          <w:szCs w:val="28"/>
        </w:rPr>
        <w:t xml:space="preserve">also </w:t>
      </w:r>
      <w:r w:rsidR="008170ED" w:rsidRPr="007C209B">
        <w:rPr>
          <w:b/>
          <w:szCs w:val="28"/>
        </w:rPr>
        <w:t>recommends that the State party set up a</w:t>
      </w:r>
      <w:r w:rsidR="004A2BBE" w:rsidRPr="007C209B">
        <w:rPr>
          <w:b/>
          <w:szCs w:val="28"/>
        </w:rPr>
        <w:t xml:space="preserve"> </w:t>
      </w:r>
      <w:r w:rsidR="004829E4" w:rsidRPr="007C209B">
        <w:rPr>
          <w:b/>
          <w:szCs w:val="28"/>
        </w:rPr>
        <w:t xml:space="preserve">mechanism that will facilitate and monitor the implementation, with active participation of the </w:t>
      </w:r>
      <w:proofErr w:type="spellStart"/>
      <w:r w:rsidR="004829E4" w:rsidRPr="007C209B">
        <w:rPr>
          <w:b/>
          <w:szCs w:val="28"/>
        </w:rPr>
        <w:t>Endorois</w:t>
      </w:r>
      <w:proofErr w:type="spellEnd"/>
      <w:r w:rsidR="004829E4" w:rsidRPr="007C209B">
        <w:rPr>
          <w:b/>
          <w:szCs w:val="28"/>
        </w:rPr>
        <w:t xml:space="preserve">. </w:t>
      </w:r>
      <w:r w:rsidR="000415D0" w:rsidRPr="007C209B">
        <w:rPr>
          <w:b/>
          <w:szCs w:val="28"/>
        </w:rPr>
        <w:t xml:space="preserve">It further recommends that the State party </w:t>
      </w:r>
      <w:proofErr w:type="gramStart"/>
      <w:r w:rsidR="000415D0" w:rsidRPr="007C209B">
        <w:rPr>
          <w:b/>
          <w:szCs w:val="28"/>
        </w:rPr>
        <w:t xml:space="preserve">ratify  </w:t>
      </w:r>
      <w:r w:rsidR="00150432">
        <w:rPr>
          <w:b/>
          <w:szCs w:val="28"/>
        </w:rPr>
        <w:t>the</w:t>
      </w:r>
      <w:proofErr w:type="gramEnd"/>
      <w:r w:rsidR="00150432">
        <w:rPr>
          <w:b/>
          <w:szCs w:val="28"/>
        </w:rPr>
        <w:t xml:space="preserve"> </w:t>
      </w:r>
      <w:r w:rsidR="000415D0" w:rsidRPr="007C209B">
        <w:rPr>
          <w:b/>
          <w:szCs w:val="28"/>
        </w:rPr>
        <w:t>Indigenous and Tribal Peoples</w:t>
      </w:r>
      <w:r w:rsidR="00150432" w:rsidRPr="00150432">
        <w:rPr>
          <w:b/>
          <w:szCs w:val="28"/>
        </w:rPr>
        <w:t xml:space="preserve"> </w:t>
      </w:r>
      <w:r w:rsidR="00150432" w:rsidRPr="007C209B">
        <w:rPr>
          <w:b/>
          <w:szCs w:val="28"/>
        </w:rPr>
        <w:t>Convention</w:t>
      </w:r>
      <w:r w:rsidR="00912BF5">
        <w:rPr>
          <w:b/>
          <w:szCs w:val="28"/>
        </w:rPr>
        <w:t>,</w:t>
      </w:r>
      <w:r w:rsidR="00150432">
        <w:rPr>
          <w:b/>
          <w:szCs w:val="28"/>
        </w:rPr>
        <w:t xml:space="preserve"> </w:t>
      </w:r>
      <w:r w:rsidR="00912BF5">
        <w:rPr>
          <w:b/>
          <w:szCs w:val="28"/>
        </w:rPr>
        <w:t xml:space="preserve">1989 </w:t>
      </w:r>
      <w:r w:rsidR="00150432" w:rsidRPr="007C209B">
        <w:rPr>
          <w:b/>
          <w:szCs w:val="28"/>
        </w:rPr>
        <w:t>(No. 169)</w:t>
      </w:r>
      <w:r w:rsidR="00912BF5">
        <w:rPr>
          <w:b/>
          <w:szCs w:val="28"/>
        </w:rPr>
        <w:t>,</w:t>
      </w:r>
      <w:r w:rsidR="00150432" w:rsidRPr="00150432">
        <w:rPr>
          <w:b/>
          <w:szCs w:val="28"/>
        </w:rPr>
        <w:t xml:space="preserve"> </w:t>
      </w:r>
      <w:r w:rsidR="00150432">
        <w:rPr>
          <w:b/>
          <w:szCs w:val="28"/>
        </w:rPr>
        <w:t xml:space="preserve">of the </w:t>
      </w:r>
      <w:r w:rsidR="00150432" w:rsidRPr="007C209B">
        <w:rPr>
          <w:b/>
          <w:szCs w:val="28"/>
        </w:rPr>
        <w:t>I</w:t>
      </w:r>
      <w:r w:rsidR="00150432">
        <w:rPr>
          <w:b/>
          <w:szCs w:val="28"/>
        </w:rPr>
        <w:t xml:space="preserve">nternational </w:t>
      </w:r>
      <w:r w:rsidR="00150432" w:rsidRPr="007C209B">
        <w:rPr>
          <w:b/>
          <w:szCs w:val="28"/>
        </w:rPr>
        <w:t>L</w:t>
      </w:r>
      <w:r w:rsidR="00150432">
        <w:rPr>
          <w:b/>
          <w:szCs w:val="28"/>
        </w:rPr>
        <w:t xml:space="preserve">abour </w:t>
      </w:r>
      <w:r w:rsidR="00150432" w:rsidRPr="007C209B">
        <w:rPr>
          <w:b/>
          <w:szCs w:val="28"/>
        </w:rPr>
        <w:t>O</w:t>
      </w:r>
      <w:r w:rsidR="00150432">
        <w:rPr>
          <w:b/>
          <w:szCs w:val="28"/>
        </w:rPr>
        <w:t>rganization</w:t>
      </w:r>
      <w:r w:rsidR="000415D0" w:rsidRPr="007C209B">
        <w:rPr>
          <w:b/>
          <w:szCs w:val="28"/>
        </w:rPr>
        <w:t>.</w:t>
      </w:r>
    </w:p>
    <w:p w:rsidR="009A3A1A" w:rsidRPr="007C209B" w:rsidRDefault="008222AC" w:rsidP="00392ECC">
      <w:pPr>
        <w:pStyle w:val="H23G"/>
      </w:pPr>
      <w:r>
        <w:tab/>
      </w:r>
      <w:r>
        <w:tab/>
      </w:r>
      <w:r w:rsidR="002C655B" w:rsidRPr="007C209B">
        <w:t>Maximum availab</w:t>
      </w:r>
      <w:r w:rsidR="00093239" w:rsidRPr="007C209B">
        <w:t>l</w:t>
      </w:r>
      <w:r w:rsidR="009A3A1A" w:rsidRPr="007C209B">
        <w:t>e resources</w:t>
      </w:r>
    </w:p>
    <w:p w:rsidR="009A3A1A" w:rsidRPr="007C209B" w:rsidRDefault="003616E3" w:rsidP="003616E3">
      <w:pPr>
        <w:pStyle w:val="SingleTxtG"/>
        <w:tabs>
          <w:tab w:val="left" w:pos="1701"/>
        </w:tabs>
        <w:rPr>
          <w:szCs w:val="28"/>
        </w:rPr>
      </w:pPr>
      <w:r w:rsidRPr="007C209B">
        <w:rPr>
          <w:szCs w:val="28"/>
        </w:rPr>
        <w:t>17.</w:t>
      </w:r>
      <w:r w:rsidRPr="007C209B">
        <w:rPr>
          <w:szCs w:val="28"/>
        </w:rPr>
        <w:tab/>
      </w:r>
      <w:r w:rsidR="004F42C8" w:rsidRPr="007C209B">
        <w:rPr>
          <w:szCs w:val="28"/>
        </w:rPr>
        <w:t xml:space="preserve">The Committee </w:t>
      </w:r>
      <w:r w:rsidR="001C009A" w:rsidRPr="007C209B">
        <w:rPr>
          <w:szCs w:val="28"/>
        </w:rPr>
        <w:t xml:space="preserve">is concerned </w:t>
      </w:r>
      <w:r w:rsidR="00912BF5">
        <w:rPr>
          <w:szCs w:val="28"/>
        </w:rPr>
        <w:t>that</w:t>
      </w:r>
      <w:r w:rsidR="00912BF5" w:rsidRPr="007C209B">
        <w:rPr>
          <w:szCs w:val="28"/>
        </w:rPr>
        <w:t xml:space="preserve"> </w:t>
      </w:r>
      <w:r w:rsidR="00272376" w:rsidRPr="007C209B">
        <w:rPr>
          <w:szCs w:val="28"/>
        </w:rPr>
        <w:t>corruption in the public sector</w:t>
      </w:r>
      <w:r w:rsidR="00912BF5">
        <w:rPr>
          <w:szCs w:val="28"/>
        </w:rPr>
        <w:t xml:space="preserve"> is pervasive</w:t>
      </w:r>
      <w:r w:rsidR="00272376" w:rsidRPr="007C209B">
        <w:rPr>
          <w:szCs w:val="28"/>
        </w:rPr>
        <w:t xml:space="preserve"> and </w:t>
      </w:r>
      <w:r w:rsidR="00912BF5">
        <w:rPr>
          <w:szCs w:val="28"/>
        </w:rPr>
        <w:t xml:space="preserve">that </w:t>
      </w:r>
      <w:r w:rsidR="001C009A" w:rsidRPr="007C209B">
        <w:rPr>
          <w:szCs w:val="28"/>
        </w:rPr>
        <w:t>the</w:t>
      </w:r>
      <w:r w:rsidR="00912BF5">
        <w:rPr>
          <w:szCs w:val="28"/>
        </w:rPr>
        <w:t>re is a</w:t>
      </w:r>
      <w:r w:rsidR="001C009A" w:rsidRPr="007C209B">
        <w:rPr>
          <w:szCs w:val="28"/>
        </w:rPr>
        <w:t xml:space="preserve"> large </w:t>
      </w:r>
      <w:r w:rsidR="00997735" w:rsidRPr="007C209B">
        <w:rPr>
          <w:szCs w:val="28"/>
        </w:rPr>
        <w:t xml:space="preserve">amount </w:t>
      </w:r>
      <w:r w:rsidR="001C009A" w:rsidRPr="007C209B">
        <w:rPr>
          <w:szCs w:val="28"/>
        </w:rPr>
        <w:t>of illicit financial flows and tax avoidance</w:t>
      </w:r>
      <w:r w:rsidR="00272376" w:rsidRPr="007C209B">
        <w:rPr>
          <w:szCs w:val="28"/>
        </w:rPr>
        <w:t xml:space="preserve">, which </w:t>
      </w:r>
      <w:r w:rsidR="002A0496" w:rsidRPr="007C209B">
        <w:rPr>
          <w:szCs w:val="28"/>
        </w:rPr>
        <w:t>impede</w:t>
      </w:r>
      <w:r w:rsidR="00795EC6" w:rsidRPr="007C209B">
        <w:rPr>
          <w:szCs w:val="28"/>
        </w:rPr>
        <w:t xml:space="preserve"> the</w:t>
      </w:r>
      <w:r w:rsidR="00FB437E" w:rsidRPr="007C209B">
        <w:rPr>
          <w:szCs w:val="28"/>
        </w:rPr>
        <w:t xml:space="preserve"> realization of economic, social and cultural rights</w:t>
      </w:r>
      <w:r w:rsidR="00C65F9F" w:rsidRPr="007C209B">
        <w:rPr>
          <w:szCs w:val="28"/>
        </w:rPr>
        <w:t xml:space="preserve">. </w:t>
      </w:r>
      <w:r w:rsidR="00FB437E" w:rsidRPr="007C209B">
        <w:rPr>
          <w:szCs w:val="28"/>
        </w:rPr>
        <w:t>It is also concerned that cases of corruption, particularly those involving high-level officials, are not thoroughly investigated, which result</w:t>
      </w:r>
      <w:r w:rsidR="00795EC6" w:rsidRPr="007C209B">
        <w:rPr>
          <w:szCs w:val="28"/>
        </w:rPr>
        <w:t>s</w:t>
      </w:r>
      <w:r w:rsidR="00FB437E" w:rsidRPr="007C209B">
        <w:rPr>
          <w:szCs w:val="28"/>
        </w:rPr>
        <w:t xml:space="preserve"> in a very small number of convict</w:t>
      </w:r>
      <w:r w:rsidR="00912BF5">
        <w:rPr>
          <w:szCs w:val="28"/>
        </w:rPr>
        <w:t>ions</w:t>
      </w:r>
      <w:r w:rsidR="00FB437E" w:rsidRPr="007C209B">
        <w:rPr>
          <w:szCs w:val="28"/>
        </w:rPr>
        <w:t xml:space="preserve"> in comparison </w:t>
      </w:r>
      <w:r w:rsidR="00795EC6" w:rsidRPr="007C209B">
        <w:rPr>
          <w:szCs w:val="28"/>
        </w:rPr>
        <w:t xml:space="preserve">to </w:t>
      </w:r>
      <w:r w:rsidR="00FB437E" w:rsidRPr="007C209B">
        <w:rPr>
          <w:szCs w:val="28"/>
        </w:rPr>
        <w:t xml:space="preserve">the large number of cases brought </w:t>
      </w:r>
      <w:r w:rsidR="00150432">
        <w:rPr>
          <w:szCs w:val="28"/>
        </w:rPr>
        <w:t>before</w:t>
      </w:r>
      <w:r w:rsidR="00150432" w:rsidRPr="007C209B">
        <w:rPr>
          <w:szCs w:val="28"/>
        </w:rPr>
        <w:t xml:space="preserve"> </w:t>
      </w:r>
      <w:r w:rsidR="00FB437E" w:rsidRPr="007C209B">
        <w:rPr>
          <w:szCs w:val="28"/>
        </w:rPr>
        <w:t xml:space="preserve">the Ethics and Anti-Corruption Commission. It is further concerned that the Commission is not able to carry out its mandate independently and effectively </w:t>
      </w:r>
      <w:r w:rsidR="00150432">
        <w:rPr>
          <w:szCs w:val="28"/>
        </w:rPr>
        <w:t>owing</w:t>
      </w:r>
      <w:r w:rsidR="00150432" w:rsidRPr="007C209B">
        <w:rPr>
          <w:szCs w:val="28"/>
        </w:rPr>
        <w:t xml:space="preserve"> </w:t>
      </w:r>
      <w:r w:rsidR="00FB437E" w:rsidRPr="007C209B">
        <w:rPr>
          <w:szCs w:val="28"/>
        </w:rPr>
        <w:t>to lack of resources and interference by high</w:t>
      </w:r>
      <w:r w:rsidR="00150432">
        <w:rPr>
          <w:szCs w:val="28"/>
        </w:rPr>
        <w:t>-</w:t>
      </w:r>
      <w:r w:rsidR="00FB437E" w:rsidRPr="007C209B">
        <w:rPr>
          <w:szCs w:val="28"/>
        </w:rPr>
        <w:t>level officials (art.</w:t>
      </w:r>
      <w:r w:rsidR="005B78C1">
        <w:rPr>
          <w:szCs w:val="28"/>
        </w:rPr>
        <w:t> </w:t>
      </w:r>
      <w:r w:rsidR="00FB437E" w:rsidRPr="007C209B">
        <w:rPr>
          <w:szCs w:val="28"/>
        </w:rPr>
        <w:t>2</w:t>
      </w:r>
      <w:r w:rsidR="005B78C1">
        <w:rPr>
          <w:szCs w:val="28"/>
        </w:rPr>
        <w:t> </w:t>
      </w:r>
      <w:r w:rsidR="00FB437E" w:rsidRPr="007C209B">
        <w:rPr>
          <w:szCs w:val="28"/>
        </w:rPr>
        <w:t>(1)).</w:t>
      </w:r>
    </w:p>
    <w:p w:rsidR="00017B41" w:rsidRPr="007C209B" w:rsidRDefault="003616E3" w:rsidP="003616E3">
      <w:pPr>
        <w:pStyle w:val="SingleTxtG"/>
        <w:tabs>
          <w:tab w:val="left" w:pos="1701"/>
        </w:tabs>
        <w:rPr>
          <w:b/>
          <w:szCs w:val="28"/>
        </w:rPr>
      </w:pPr>
      <w:r w:rsidRPr="007C209B">
        <w:rPr>
          <w:szCs w:val="28"/>
        </w:rPr>
        <w:t>18.</w:t>
      </w:r>
      <w:r w:rsidRPr="007C209B">
        <w:rPr>
          <w:szCs w:val="28"/>
        </w:rPr>
        <w:tab/>
      </w:r>
      <w:r w:rsidR="00017B41" w:rsidRPr="007C209B">
        <w:rPr>
          <w:b/>
          <w:szCs w:val="28"/>
        </w:rPr>
        <w:t xml:space="preserve">The Committee recommends that the State party </w:t>
      </w:r>
      <w:r w:rsidR="001C009A" w:rsidRPr="007C209B">
        <w:rPr>
          <w:b/>
          <w:szCs w:val="28"/>
        </w:rPr>
        <w:t xml:space="preserve">take all </w:t>
      </w:r>
      <w:r w:rsidR="00150432">
        <w:rPr>
          <w:b/>
          <w:szCs w:val="28"/>
        </w:rPr>
        <w:t xml:space="preserve">the </w:t>
      </w:r>
      <w:r w:rsidR="001C009A" w:rsidRPr="007C209B">
        <w:rPr>
          <w:b/>
          <w:szCs w:val="28"/>
        </w:rPr>
        <w:t xml:space="preserve">measures </w:t>
      </w:r>
      <w:r w:rsidR="00150432" w:rsidRPr="007C209B">
        <w:rPr>
          <w:b/>
          <w:szCs w:val="28"/>
        </w:rPr>
        <w:t xml:space="preserve">necessary </w:t>
      </w:r>
      <w:r w:rsidR="001C009A" w:rsidRPr="007C209B">
        <w:rPr>
          <w:b/>
          <w:szCs w:val="28"/>
        </w:rPr>
        <w:t xml:space="preserve">to </w:t>
      </w:r>
      <w:r w:rsidR="002567CA" w:rsidRPr="007C209B">
        <w:rPr>
          <w:b/>
          <w:szCs w:val="28"/>
        </w:rPr>
        <w:t>combat</w:t>
      </w:r>
      <w:r w:rsidR="001C009A" w:rsidRPr="007C209B">
        <w:rPr>
          <w:b/>
          <w:szCs w:val="28"/>
        </w:rPr>
        <w:t xml:space="preserve"> illicit financial flows and tax avoidance with a view to</w:t>
      </w:r>
      <w:r w:rsidR="002567CA" w:rsidRPr="007C209B">
        <w:rPr>
          <w:b/>
          <w:szCs w:val="28"/>
        </w:rPr>
        <w:t xml:space="preserve"> raising national revenues and increasing </w:t>
      </w:r>
      <w:r w:rsidR="002A0496" w:rsidRPr="007C209B">
        <w:rPr>
          <w:b/>
          <w:szCs w:val="28"/>
        </w:rPr>
        <w:t>reliance on domestic resources</w:t>
      </w:r>
      <w:r w:rsidR="002567CA" w:rsidRPr="007C209B">
        <w:rPr>
          <w:b/>
          <w:szCs w:val="28"/>
        </w:rPr>
        <w:t xml:space="preserve">. It also recommends that the State party </w:t>
      </w:r>
      <w:r w:rsidR="00017B41" w:rsidRPr="007C209B">
        <w:rPr>
          <w:b/>
          <w:szCs w:val="28"/>
        </w:rPr>
        <w:t xml:space="preserve">increase the </w:t>
      </w:r>
      <w:r w:rsidR="00E82F89" w:rsidRPr="007C209B">
        <w:rPr>
          <w:b/>
          <w:szCs w:val="28"/>
        </w:rPr>
        <w:t xml:space="preserve">level of </w:t>
      </w:r>
      <w:r w:rsidR="00017B41" w:rsidRPr="007C209B">
        <w:rPr>
          <w:b/>
          <w:szCs w:val="28"/>
        </w:rPr>
        <w:t>public funding, at both the national and county level, to ensure the progressive realization of economic, social and cultural rights</w:t>
      </w:r>
      <w:r w:rsidR="00E82F89" w:rsidRPr="007C209B">
        <w:rPr>
          <w:b/>
          <w:szCs w:val="28"/>
        </w:rPr>
        <w:t xml:space="preserve">, particularly </w:t>
      </w:r>
      <w:r w:rsidR="000D0C97">
        <w:rPr>
          <w:b/>
          <w:szCs w:val="28"/>
        </w:rPr>
        <w:t xml:space="preserve">the </w:t>
      </w:r>
      <w:r w:rsidR="00E82F89" w:rsidRPr="007C209B">
        <w:rPr>
          <w:b/>
          <w:szCs w:val="28"/>
        </w:rPr>
        <w:t xml:space="preserve">rights to </w:t>
      </w:r>
      <w:r w:rsidR="004261A6" w:rsidRPr="007C209B">
        <w:rPr>
          <w:b/>
          <w:szCs w:val="28"/>
        </w:rPr>
        <w:t xml:space="preserve">housing, water and sanitation, </w:t>
      </w:r>
      <w:r w:rsidR="00E82F89" w:rsidRPr="007C209B">
        <w:rPr>
          <w:b/>
          <w:szCs w:val="28"/>
        </w:rPr>
        <w:t>social security, health and education</w:t>
      </w:r>
      <w:r w:rsidR="000D0C97">
        <w:rPr>
          <w:b/>
          <w:szCs w:val="28"/>
        </w:rPr>
        <w:t>,</w:t>
      </w:r>
      <w:r w:rsidR="002A0496" w:rsidRPr="007C209B">
        <w:rPr>
          <w:b/>
          <w:szCs w:val="28"/>
        </w:rPr>
        <w:t xml:space="preserve"> and</w:t>
      </w:r>
      <w:r w:rsidR="00093239" w:rsidRPr="007C209B">
        <w:rPr>
          <w:b/>
          <w:szCs w:val="28"/>
        </w:rPr>
        <w:t xml:space="preserve"> that the State party make all efforts to improve its budget execution process with a view to </w:t>
      </w:r>
      <w:r w:rsidR="00795EC6" w:rsidRPr="007C209B">
        <w:rPr>
          <w:b/>
          <w:szCs w:val="28"/>
        </w:rPr>
        <w:t xml:space="preserve">spending </w:t>
      </w:r>
      <w:r w:rsidR="00E45003" w:rsidRPr="007C209B">
        <w:rPr>
          <w:b/>
          <w:szCs w:val="28"/>
        </w:rPr>
        <w:t xml:space="preserve">all the allocated funding </w:t>
      </w:r>
      <w:r w:rsidR="00093239" w:rsidRPr="007C209B">
        <w:rPr>
          <w:b/>
          <w:szCs w:val="28"/>
        </w:rPr>
        <w:t xml:space="preserve">in a timely, effective and transparent manner. </w:t>
      </w:r>
      <w:r w:rsidR="00FB437E" w:rsidRPr="007C209B">
        <w:rPr>
          <w:b/>
          <w:szCs w:val="28"/>
        </w:rPr>
        <w:t xml:space="preserve">It further recommends that the State party strengthen </w:t>
      </w:r>
      <w:r w:rsidR="000D0C97">
        <w:rPr>
          <w:b/>
          <w:szCs w:val="28"/>
        </w:rPr>
        <w:t>its</w:t>
      </w:r>
      <w:r w:rsidR="000D0C97" w:rsidRPr="007C209B">
        <w:rPr>
          <w:b/>
          <w:szCs w:val="28"/>
        </w:rPr>
        <w:t xml:space="preserve"> </w:t>
      </w:r>
      <w:r w:rsidR="00FB437E" w:rsidRPr="007C209B">
        <w:rPr>
          <w:b/>
          <w:szCs w:val="28"/>
        </w:rPr>
        <w:t>investigation of cases of corruption</w:t>
      </w:r>
      <w:r w:rsidR="000D0C97">
        <w:rPr>
          <w:b/>
          <w:szCs w:val="28"/>
        </w:rPr>
        <w:t xml:space="preserve"> and the prosecution of those involved in corruption by</w:t>
      </w:r>
      <w:r w:rsidR="00FB437E" w:rsidRPr="007C209B">
        <w:rPr>
          <w:b/>
          <w:szCs w:val="28"/>
        </w:rPr>
        <w:t xml:space="preserve"> enhancing </w:t>
      </w:r>
      <w:r w:rsidR="002A0496" w:rsidRPr="007C209B">
        <w:rPr>
          <w:b/>
          <w:szCs w:val="28"/>
        </w:rPr>
        <w:t xml:space="preserve">the </w:t>
      </w:r>
      <w:r w:rsidR="00FB437E" w:rsidRPr="007C209B">
        <w:rPr>
          <w:b/>
          <w:szCs w:val="28"/>
        </w:rPr>
        <w:t xml:space="preserve">investigative capacity of the anti-corruption body and public prosecutors and ensuring the independent functioning of the </w:t>
      </w:r>
      <w:r w:rsidR="00150432">
        <w:rPr>
          <w:b/>
          <w:szCs w:val="28"/>
        </w:rPr>
        <w:t xml:space="preserve">Ethics and Anti-Corruption </w:t>
      </w:r>
      <w:r w:rsidR="00FB437E" w:rsidRPr="007C209B">
        <w:rPr>
          <w:b/>
          <w:szCs w:val="28"/>
        </w:rPr>
        <w:t>Commission.</w:t>
      </w:r>
    </w:p>
    <w:p w:rsidR="0017309E" w:rsidRPr="007C209B" w:rsidRDefault="008222AC" w:rsidP="00392ECC">
      <w:pPr>
        <w:pStyle w:val="H23G"/>
      </w:pPr>
      <w:r>
        <w:tab/>
      </w:r>
      <w:r>
        <w:tab/>
      </w:r>
      <w:r w:rsidR="0017309E" w:rsidRPr="007C209B">
        <w:t>Non-discrimination</w:t>
      </w:r>
    </w:p>
    <w:p w:rsidR="009A3A1A" w:rsidRPr="007C209B" w:rsidRDefault="003616E3" w:rsidP="003616E3">
      <w:pPr>
        <w:pStyle w:val="SingleTxtG"/>
        <w:tabs>
          <w:tab w:val="left" w:pos="1701"/>
        </w:tabs>
        <w:rPr>
          <w:szCs w:val="28"/>
        </w:rPr>
      </w:pPr>
      <w:r w:rsidRPr="007C209B">
        <w:rPr>
          <w:szCs w:val="28"/>
        </w:rPr>
        <w:t>19.</w:t>
      </w:r>
      <w:r w:rsidRPr="007C209B">
        <w:rPr>
          <w:szCs w:val="28"/>
        </w:rPr>
        <w:tab/>
      </w:r>
      <w:r w:rsidR="0017309E" w:rsidRPr="007C209B">
        <w:rPr>
          <w:szCs w:val="28"/>
        </w:rPr>
        <w:t>The Committee is concerned at the absence of comprehensive anti-discrimination legislation</w:t>
      </w:r>
      <w:r w:rsidR="008134C2">
        <w:rPr>
          <w:szCs w:val="28"/>
        </w:rPr>
        <w:t xml:space="preserve"> </w:t>
      </w:r>
      <w:r w:rsidR="008134C2" w:rsidRPr="007C209B">
        <w:rPr>
          <w:szCs w:val="28"/>
        </w:rPr>
        <w:t>(art. 2</w:t>
      </w:r>
      <w:r w:rsidR="008134C2">
        <w:rPr>
          <w:szCs w:val="28"/>
        </w:rPr>
        <w:t>)</w:t>
      </w:r>
      <w:r w:rsidR="0017309E" w:rsidRPr="007C209B">
        <w:rPr>
          <w:szCs w:val="28"/>
        </w:rPr>
        <w:t xml:space="preserve">. </w:t>
      </w:r>
    </w:p>
    <w:p w:rsidR="0017309E" w:rsidRPr="007C209B" w:rsidRDefault="003616E3" w:rsidP="003616E3">
      <w:pPr>
        <w:pStyle w:val="SingleTxtG"/>
        <w:tabs>
          <w:tab w:val="left" w:pos="1701"/>
        </w:tabs>
        <w:rPr>
          <w:b/>
          <w:szCs w:val="28"/>
        </w:rPr>
      </w:pPr>
      <w:r w:rsidRPr="007C209B">
        <w:rPr>
          <w:szCs w:val="28"/>
        </w:rPr>
        <w:t>20.</w:t>
      </w:r>
      <w:r w:rsidRPr="007C209B">
        <w:rPr>
          <w:szCs w:val="28"/>
        </w:rPr>
        <w:tab/>
      </w:r>
      <w:r w:rsidR="0017309E" w:rsidRPr="007C209B">
        <w:rPr>
          <w:b/>
          <w:szCs w:val="28"/>
        </w:rPr>
        <w:t xml:space="preserve">The </w:t>
      </w:r>
      <w:r w:rsidR="002A0496" w:rsidRPr="007C209B">
        <w:rPr>
          <w:b/>
          <w:szCs w:val="28"/>
        </w:rPr>
        <w:t xml:space="preserve">Committee </w:t>
      </w:r>
      <w:r w:rsidR="0017309E" w:rsidRPr="007C209B">
        <w:rPr>
          <w:b/>
          <w:szCs w:val="28"/>
        </w:rPr>
        <w:t xml:space="preserve">recommends that the </w:t>
      </w:r>
      <w:r w:rsidR="00150432">
        <w:rPr>
          <w:b/>
          <w:szCs w:val="28"/>
        </w:rPr>
        <w:t>S</w:t>
      </w:r>
      <w:r w:rsidR="0017309E" w:rsidRPr="007C209B">
        <w:rPr>
          <w:b/>
          <w:szCs w:val="28"/>
        </w:rPr>
        <w:t>tate party adopt a comprehensive anti-discrimination law that prohibits discrimination</w:t>
      </w:r>
      <w:r w:rsidR="00B56806" w:rsidRPr="007C209B">
        <w:rPr>
          <w:b/>
          <w:szCs w:val="28"/>
        </w:rPr>
        <w:t>, direct or indirect,</w:t>
      </w:r>
      <w:r w:rsidR="0017309E" w:rsidRPr="007C209B">
        <w:rPr>
          <w:b/>
          <w:szCs w:val="28"/>
        </w:rPr>
        <w:t xml:space="preserve"> on all grounds </w:t>
      </w:r>
      <w:r w:rsidR="00795EC6" w:rsidRPr="007C209B">
        <w:rPr>
          <w:b/>
          <w:szCs w:val="28"/>
        </w:rPr>
        <w:t xml:space="preserve">expressed </w:t>
      </w:r>
      <w:r w:rsidR="0017309E" w:rsidRPr="007C209B">
        <w:rPr>
          <w:b/>
          <w:szCs w:val="28"/>
        </w:rPr>
        <w:t xml:space="preserve">in </w:t>
      </w:r>
      <w:r w:rsidR="002A0496" w:rsidRPr="007C209B">
        <w:rPr>
          <w:b/>
          <w:szCs w:val="28"/>
        </w:rPr>
        <w:t xml:space="preserve">article </w:t>
      </w:r>
      <w:r w:rsidR="0017309E" w:rsidRPr="007C209B">
        <w:rPr>
          <w:b/>
          <w:szCs w:val="28"/>
        </w:rPr>
        <w:t xml:space="preserve">2 of the Covenant </w:t>
      </w:r>
      <w:r w:rsidR="0028701B" w:rsidRPr="007C209B">
        <w:rPr>
          <w:b/>
          <w:szCs w:val="28"/>
        </w:rPr>
        <w:t xml:space="preserve">and taking also into account the Committee’s general comment No. 20 </w:t>
      </w:r>
      <w:r w:rsidR="00150432" w:rsidRPr="007C209B">
        <w:rPr>
          <w:b/>
          <w:szCs w:val="28"/>
        </w:rPr>
        <w:t>(2009)</w:t>
      </w:r>
      <w:r w:rsidR="00150432">
        <w:rPr>
          <w:b/>
          <w:szCs w:val="28"/>
        </w:rPr>
        <w:t xml:space="preserve"> </w:t>
      </w:r>
      <w:r w:rsidR="0028701B" w:rsidRPr="007C209B">
        <w:rPr>
          <w:b/>
          <w:szCs w:val="28"/>
        </w:rPr>
        <w:t xml:space="preserve">on non-discrimination in economic, social and cultural rights </w:t>
      </w:r>
      <w:r w:rsidR="0017309E" w:rsidRPr="007C209B">
        <w:rPr>
          <w:b/>
          <w:szCs w:val="28"/>
        </w:rPr>
        <w:t xml:space="preserve">and </w:t>
      </w:r>
      <w:r w:rsidR="00795EC6" w:rsidRPr="007C209B">
        <w:rPr>
          <w:b/>
          <w:szCs w:val="28"/>
        </w:rPr>
        <w:t xml:space="preserve">to </w:t>
      </w:r>
      <w:r w:rsidR="00B56806" w:rsidRPr="007C209B">
        <w:rPr>
          <w:b/>
          <w:szCs w:val="28"/>
        </w:rPr>
        <w:t xml:space="preserve">take all </w:t>
      </w:r>
      <w:r w:rsidR="00150432">
        <w:rPr>
          <w:b/>
          <w:szCs w:val="28"/>
        </w:rPr>
        <w:t xml:space="preserve">the </w:t>
      </w:r>
      <w:r w:rsidR="00B56806" w:rsidRPr="007C209B">
        <w:rPr>
          <w:b/>
          <w:szCs w:val="28"/>
        </w:rPr>
        <w:t xml:space="preserve">measures </w:t>
      </w:r>
      <w:r w:rsidR="00150432" w:rsidRPr="007C209B">
        <w:rPr>
          <w:b/>
          <w:szCs w:val="28"/>
        </w:rPr>
        <w:t xml:space="preserve">necessary </w:t>
      </w:r>
      <w:r w:rsidR="00B56806" w:rsidRPr="007C209B">
        <w:rPr>
          <w:b/>
          <w:szCs w:val="28"/>
        </w:rPr>
        <w:t>to</w:t>
      </w:r>
      <w:r w:rsidR="0017309E" w:rsidRPr="007C209B">
        <w:rPr>
          <w:b/>
          <w:szCs w:val="28"/>
        </w:rPr>
        <w:t xml:space="preserve"> eliminate discrimination </w:t>
      </w:r>
      <w:r w:rsidR="00B56806" w:rsidRPr="007C209B">
        <w:rPr>
          <w:b/>
          <w:szCs w:val="28"/>
        </w:rPr>
        <w:t xml:space="preserve">de jure </w:t>
      </w:r>
      <w:r w:rsidR="0017309E" w:rsidRPr="007C209B">
        <w:rPr>
          <w:b/>
          <w:szCs w:val="28"/>
        </w:rPr>
        <w:t>and de facto.</w:t>
      </w:r>
    </w:p>
    <w:p w:rsidR="00B56806" w:rsidRPr="007C209B" w:rsidRDefault="008222AC" w:rsidP="00392ECC">
      <w:pPr>
        <w:pStyle w:val="H23G"/>
      </w:pPr>
      <w:r>
        <w:tab/>
      </w:r>
      <w:r>
        <w:tab/>
      </w:r>
      <w:r w:rsidR="00B56806" w:rsidRPr="007C209B">
        <w:t xml:space="preserve">Lesbian, gay, bisexual, transgender and </w:t>
      </w:r>
      <w:proofErr w:type="gramStart"/>
      <w:r w:rsidR="00B56806" w:rsidRPr="007C209B">
        <w:t>intersex  persons</w:t>
      </w:r>
      <w:proofErr w:type="gramEnd"/>
    </w:p>
    <w:p w:rsidR="00B56806" w:rsidRPr="007C209B" w:rsidRDefault="003616E3" w:rsidP="003616E3">
      <w:pPr>
        <w:pStyle w:val="SingleTxtG"/>
        <w:tabs>
          <w:tab w:val="left" w:pos="1701"/>
        </w:tabs>
        <w:rPr>
          <w:szCs w:val="28"/>
        </w:rPr>
      </w:pPr>
      <w:r w:rsidRPr="007C209B">
        <w:rPr>
          <w:szCs w:val="28"/>
        </w:rPr>
        <w:t>21.</w:t>
      </w:r>
      <w:r w:rsidRPr="007C209B">
        <w:rPr>
          <w:szCs w:val="28"/>
        </w:rPr>
        <w:tab/>
      </w:r>
      <w:r w:rsidR="00B56806" w:rsidRPr="007C209B">
        <w:rPr>
          <w:szCs w:val="28"/>
        </w:rPr>
        <w:t xml:space="preserve">The Committee is concerned that sexual relations between consenting adults of </w:t>
      </w:r>
      <w:r w:rsidR="00795EC6" w:rsidRPr="007C209B">
        <w:rPr>
          <w:szCs w:val="28"/>
        </w:rPr>
        <w:t xml:space="preserve">the </w:t>
      </w:r>
      <w:r w:rsidR="00B56806" w:rsidRPr="007C209B">
        <w:rPr>
          <w:szCs w:val="28"/>
        </w:rPr>
        <w:t xml:space="preserve">same sex are criminalized in the Penal Code and that </w:t>
      </w:r>
      <w:r w:rsidR="00262694">
        <w:rPr>
          <w:szCs w:val="28"/>
        </w:rPr>
        <w:t>lesbian, gay, bisexual, transgender and intersex</w:t>
      </w:r>
      <w:r w:rsidR="00262694" w:rsidRPr="007C209B">
        <w:rPr>
          <w:szCs w:val="28"/>
        </w:rPr>
        <w:t xml:space="preserve"> </w:t>
      </w:r>
      <w:r w:rsidR="00B56806" w:rsidRPr="007C209B">
        <w:rPr>
          <w:szCs w:val="28"/>
        </w:rPr>
        <w:t>persons are stigmatized and socially excluded</w:t>
      </w:r>
      <w:r w:rsidR="000D0C97">
        <w:rPr>
          <w:szCs w:val="28"/>
        </w:rPr>
        <w:t>,</w:t>
      </w:r>
      <w:r w:rsidR="00B56806" w:rsidRPr="007C209B">
        <w:rPr>
          <w:szCs w:val="28"/>
        </w:rPr>
        <w:t xml:space="preserve"> as well as discriminated in </w:t>
      </w:r>
      <w:r w:rsidR="00262694">
        <w:rPr>
          <w:szCs w:val="28"/>
        </w:rPr>
        <w:t xml:space="preserve">gaining </w:t>
      </w:r>
      <w:r w:rsidR="00B56806" w:rsidRPr="007C209B">
        <w:rPr>
          <w:szCs w:val="28"/>
        </w:rPr>
        <w:t>access</w:t>
      </w:r>
      <w:r w:rsidR="00262694">
        <w:rPr>
          <w:szCs w:val="28"/>
        </w:rPr>
        <w:t xml:space="preserve"> to</w:t>
      </w:r>
      <w:r w:rsidR="00B56806" w:rsidRPr="007C209B">
        <w:rPr>
          <w:szCs w:val="28"/>
        </w:rPr>
        <w:t xml:space="preserve"> social services, particularly health</w:t>
      </w:r>
      <w:r w:rsidR="00262694">
        <w:rPr>
          <w:szCs w:val="28"/>
        </w:rPr>
        <w:t>-</w:t>
      </w:r>
      <w:r w:rsidR="00B56806" w:rsidRPr="007C209B">
        <w:rPr>
          <w:szCs w:val="28"/>
        </w:rPr>
        <w:t>care services (art. 2</w:t>
      </w:r>
      <w:r w:rsidR="00262694">
        <w:rPr>
          <w:szCs w:val="28"/>
        </w:rPr>
        <w:t xml:space="preserve"> </w:t>
      </w:r>
      <w:r w:rsidR="00B56806" w:rsidRPr="007C209B">
        <w:rPr>
          <w:szCs w:val="28"/>
        </w:rPr>
        <w:t>(2)).</w:t>
      </w:r>
    </w:p>
    <w:p w:rsidR="001F39F2" w:rsidRPr="007C209B" w:rsidRDefault="003616E3" w:rsidP="003616E3">
      <w:pPr>
        <w:pStyle w:val="SingleTxtG"/>
        <w:tabs>
          <w:tab w:val="left" w:pos="1701"/>
        </w:tabs>
        <w:rPr>
          <w:szCs w:val="28"/>
        </w:rPr>
      </w:pPr>
      <w:r w:rsidRPr="007C209B">
        <w:rPr>
          <w:szCs w:val="28"/>
        </w:rPr>
        <w:t>22.</w:t>
      </w:r>
      <w:r w:rsidRPr="007C209B">
        <w:rPr>
          <w:szCs w:val="28"/>
        </w:rPr>
        <w:tab/>
      </w:r>
      <w:r w:rsidR="001F39F2" w:rsidRPr="007C209B">
        <w:rPr>
          <w:b/>
          <w:szCs w:val="28"/>
        </w:rPr>
        <w:t xml:space="preserve">The Committee </w:t>
      </w:r>
      <w:r w:rsidR="00FB437E" w:rsidRPr="007C209B">
        <w:rPr>
          <w:b/>
          <w:szCs w:val="28"/>
        </w:rPr>
        <w:t>calls upon</w:t>
      </w:r>
      <w:r w:rsidR="001F39F2" w:rsidRPr="007C209B">
        <w:rPr>
          <w:b/>
          <w:szCs w:val="28"/>
        </w:rPr>
        <w:t xml:space="preserve"> the State party </w:t>
      </w:r>
      <w:r w:rsidR="00FB437E" w:rsidRPr="007C209B">
        <w:rPr>
          <w:b/>
          <w:szCs w:val="28"/>
        </w:rPr>
        <w:t xml:space="preserve">to </w:t>
      </w:r>
      <w:r w:rsidR="001F39F2" w:rsidRPr="007C209B">
        <w:rPr>
          <w:b/>
          <w:szCs w:val="28"/>
        </w:rPr>
        <w:t xml:space="preserve">decriminalize sexual relations between consenting adults of the same sex. It also recommends that the State party take </w:t>
      </w:r>
      <w:r w:rsidR="006C69C1" w:rsidRPr="007C209B">
        <w:rPr>
          <w:b/>
          <w:szCs w:val="28"/>
        </w:rPr>
        <w:t xml:space="preserve">the </w:t>
      </w:r>
      <w:r w:rsidR="001F39F2" w:rsidRPr="007C209B">
        <w:rPr>
          <w:b/>
          <w:szCs w:val="28"/>
        </w:rPr>
        <w:t xml:space="preserve">steps </w:t>
      </w:r>
      <w:r w:rsidR="00262694" w:rsidRPr="007C209B">
        <w:rPr>
          <w:b/>
          <w:szCs w:val="28"/>
        </w:rPr>
        <w:t xml:space="preserve">necessary </w:t>
      </w:r>
      <w:r w:rsidR="001F39F2" w:rsidRPr="007C209B">
        <w:rPr>
          <w:b/>
          <w:szCs w:val="28"/>
        </w:rPr>
        <w:t xml:space="preserve">to put an end to the social stigmatization of homosexuality and ensure that </w:t>
      </w:r>
      <w:r w:rsidR="00795EC6" w:rsidRPr="007C209B">
        <w:rPr>
          <w:b/>
          <w:szCs w:val="28"/>
        </w:rPr>
        <w:t>no one is</w:t>
      </w:r>
      <w:r w:rsidR="001F39F2" w:rsidRPr="007C209B">
        <w:rPr>
          <w:b/>
          <w:szCs w:val="28"/>
        </w:rPr>
        <w:t xml:space="preserve"> discriminated in accessing health</w:t>
      </w:r>
      <w:r w:rsidR="00262694">
        <w:rPr>
          <w:b/>
          <w:szCs w:val="28"/>
        </w:rPr>
        <w:t xml:space="preserve"> </w:t>
      </w:r>
      <w:r w:rsidR="001F39F2" w:rsidRPr="007C209B">
        <w:rPr>
          <w:b/>
          <w:szCs w:val="28"/>
        </w:rPr>
        <w:t xml:space="preserve">care and other social services </w:t>
      </w:r>
      <w:r w:rsidR="00262694">
        <w:rPr>
          <w:b/>
          <w:szCs w:val="28"/>
        </w:rPr>
        <w:t>owing</w:t>
      </w:r>
      <w:r w:rsidR="00262694" w:rsidRPr="007C209B">
        <w:rPr>
          <w:b/>
          <w:szCs w:val="28"/>
        </w:rPr>
        <w:t xml:space="preserve"> </w:t>
      </w:r>
      <w:r w:rsidR="006C25B1" w:rsidRPr="007C209B">
        <w:rPr>
          <w:b/>
          <w:szCs w:val="28"/>
        </w:rPr>
        <w:t>to</w:t>
      </w:r>
      <w:r w:rsidR="001F39F2" w:rsidRPr="007C209B">
        <w:rPr>
          <w:b/>
          <w:szCs w:val="28"/>
        </w:rPr>
        <w:t xml:space="preserve"> their sexual orientation or gender identity.</w:t>
      </w:r>
    </w:p>
    <w:p w:rsidR="009A3A1A" w:rsidRPr="007C209B" w:rsidRDefault="008222AC" w:rsidP="00392ECC">
      <w:pPr>
        <w:pStyle w:val="H23G"/>
      </w:pPr>
      <w:r>
        <w:tab/>
      </w:r>
      <w:r>
        <w:tab/>
      </w:r>
      <w:r w:rsidR="00CD5BD3" w:rsidRPr="007C209B">
        <w:t>Equal right</w:t>
      </w:r>
      <w:r w:rsidR="00DE7BA9" w:rsidRPr="007C209B">
        <w:t>s</w:t>
      </w:r>
      <w:r w:rsidR="00CD5BD3" w:rsidRPr="007C209B">
        <w:t xml:space="preserve"> of women </w:t>
      </w:r>
      <w:r w:rsidR="00DE7BA9" w:rsidRPr="007C209B">
        <w:t>and men</w:t>
      </w:r>
    </w:p>
    <w:p w:rsidR="00016586" w:rsidRPr="007C209B" w:rsidRDefault="003616E3" w:rsidP="003616E3">
      <w:pPr>
        <w:pStyle w:val="SingleTxtG"/>
        <w:tabs>
          <w:tab w:val="left" w:pos="1701"/>
        </w:tabs>
        <w:rPr>
          <w:szCs w:val="28"/>
        </w:rPr>
      </w:pPr>
      <w:r w:rsidRPr="007C209B">
        <w:rPr>
          <w:szCs w:val="28"/>
        </w:rPr>
        <w:t>23.</w:t>
      </w:r>
      <w:r w:rsidRPr="007C209B">
        <w:rPr>
          <w:szCs w:val="28"/>
        </w:rPr>
        <w:tab/>
      </w:r>
      <w:r w:rsidR="00834050" w:rsidRPr="007C209B">
        <w:rPr>
          <w:szCs w:val="28"/>
        </w:rPr>
        <w:t xml:space="preserve">While noting </w:t>
      </w:r>
      <w:r w:rsidR="001F39F2" w:rsidRPr="007C209B">
        <w:rPr>
          <w:szCs w:val="28"/>
        </w:rPr>
        <w:t xml:space="preserve">with appreciation </w:t>
      </w:r>
      <w:r w:rsidR="00834050" w:rsidRPr="007C209B">
        <w:rPr>
          <w:szCs w:val="28"/>
        </w:rPr>
        <w:t xml:space="preserve">that </w:t>
      </w:r>
      <w:r w:rsidR="001F39F2" w:rsidRPr="007C209B">
        <w:rPr>
          <w:szCs w:val="28"/>
        </w:rPr>
        <w:t>gender equality is guaranteed</w:t>
      </w:r>
      <w:r w:rsidR="00016586" w:rsidRPr="007C209B">
        <w:rPr>
          <w:szCs w:val="28"/>
        </w:rPr>
        <w:t xml:space="preserve"> through</w:t>
      </w:r>
      <w:r w:rsidR="001F39F2" w:rsidRPr="007C209B">
        <w:rPr>
          <w:szCs w:val="28"/>
        </w:rPr>
        <w:t xml:space="preserve"> the Constitution and national laws, the Committee</w:t>
      </w:r>
      <w:r w:rsidR="00B57ADF" w:rsidRPr="007C209B">
        <w:rPr>
          <w:szCs w:val="28"/>
        </w:rPr>
        <w:t xml:space="preserve"> remains concerned </w:t>
      </w:r>
      <w:r w:rsidR="00DE7BA9" w:rsidRPr="007C209B">
        <w:rPr>
          <w:szCs w:val="28"/>
        </w:rPr>
        <w:t xml:space="preserve">at </w:t>
      </w:r>
      <w:r w:rsidR="00B57ADF" w:rsidRPr="007C209B">
        <w:rPr>
          <w:szCs w:val="28"/>
        </w:rPr>
        <w:t>gender discriminatory provisions in the existing laws, particularly customary law</w:t>
      </w:r>
      <w:r w:rsidR="00FB437E" w:rsidRPr="007C209B">
        <w:rPr>
          <w:szCs w:val="28"/>
        </w:rPr>
        <w:t>s</w:t>
      </w:r>
      <w:r w:rsidR="00CD5BD3" w:rsidRPr="007C209B">
        <w:rPr>
          <w:szCs w:val="28"/>
        </w:rPr>
        <w:t xml:space="preserve"> that allow polygamous marriage</w:t>
      </w:r>
      <w:r w:rsidR="006C25B1" w:rsidRPr="007C209B">
        <w:rPr>
          <w:szCs w:val="28"/>
        </w:rPr>
        <w:t>s</w:t>
      </w:r>
      <w:r w:rsidR="00FB437E" w:rsidRPr="007C209B">
        <w:rPr>
          <w:szCs w:val="28"/>
        </w:rPr>
        <w:t xml:space="preserve"> and deny</w:t>
      </w:r>
      <w:r w:rsidR="005325ED" w:rsidRPr="007C209B">
        <w:rPr>
          <w:szCs w:val="28"/>
        </w:rPr>
        <w:t xml:space="preserve"> women’s </w:t>
      </w:r>
      <w:r w:rsidR="00FB437E" w:rsidRPr="007C209B">
        <w:rPr>
          <w:szCs w:val="28"/>
        </w:rPr>
        <w:t xml:space="preserve">equal rights </w:t>
      </w:r>
      <w:r w:rsidR="006C25B1" w:rsidRPr="007C209B">
        <w:rPr>
          <w:szCs w:val="28"/>
        </w:rPr>
        <w:t xml:space="preserve">to </w:t>
      </w:r>
      <w:r w:rsidR="00FB437E" w:rsidRPr="007C209B">
        <w:rPr>
          <w:szCs w:val="28"/>
        </w:rPr>
        <w:t>inheritance and ownership of land</w:t>
      </w:r>
      <w:r w:rsidR="00064EA2" w:rsidRPr="007C209B">
        <w:rPr>
          <w:szCs w:val="28"/>
        </w:rPr>
        <w:t xml:space="preserve"> </w:t>
      </w:r>
      <w:r w:rsidR="00964760" w:rsidRPr="007C209B">
        <w:rPr>
          <w:szCs w:val="28"/>
        </w:rPr>
        <w:t>(art. 3)</w:t>
      </w:r>
      <w:r w:rsidR="00016586" w:rsidRPr="007C209B">
        <w:rPr>
          <w:szCs w:val="28"/>
        </w:rPr>
        <w:t>.</w:t>
      </w:r>
    </w:p>
    <w:p w:rsidR="001732DB" w:rsidRPr="007C209B" w:rsidRDefault="003616E3" w:rsidP="003616E3">
      <w:pPr>
        <w:pStyle w:val="SingleTxtG"/>
        <w:tabs>
          <w:tab w:val="left" w:pos="1701"/>
        </w:tabs>
        <w:rPr>
          <w:szCs w:val="28"/>
        </w:rPr>
      </w:pPr>
      <w:r w:rsidRPr="007C209B">
        <w:rPr>
          <w:szCs w:val="28"/>
        </w:rPr>
        <w:t>24.</w:t>
      </w:r>
      <w:r w:rsidRPr="007C209B">
        <w:rPr>
          <w:szCs w:val="28"/>
        </w:rPr>
        <w:tab/>
      </w:r>
      <w:r w:rsidR="00834050" w:rsidRPr="007C209B">
        <w:rPr>
          <w:b/>
          <w:szCs w:val="28"/>
        </w:rPr>
        <w:t xml:space="preserve">The Committee recommends that the State party </w:t>
      </w:r>
      <w:r w:rsidR="00016586" w:rsidRPr="007C209B">
        <w:rPr>
          <w:b/>
          <w:szCs w:val="28"/>
        </w:rPr>
        <w:t xml:space="preserve">take all </w:t>
      </w:r>
      <w:r w:rsidR="006C0A9C">
        <w:rPr>
          <w:b/>
          <w:szCs w:val="28"/>
        </w:rPr>
        <w:t xml:space="preserve">the </w:t>
      </w:r>
      <w:r w:rsidR="00016586" w:rsidRPr="007C209B">
        <w:rPr>
          <w:b/>
          <w:szCs w:val="28"/>
        </w:rPr>
        <w:t xml:space="preserve">steps </w:t>
      </w:r>
      <w:r w:rsidR="006C0A9C" w:rsidRPr="007C209B">
        <w:rPr>
          <w:b/>
          <w:szCs w:val="28"/>
        </w:rPr>
        <w:t xml:space="preserve">necessary </w:t>
      </w:r>
      <w:r w:rsidR="00016586" w:rsidRPr="007C209B">
        <w:rPr>
          <w:b/>
          <w:szCs w:val="28"/>
        </w:rPr>
        <w:t xml:space="preserve">to </w:t>
      </w:r>
      <w:r w:rsidR="00CD5BD3" w:rsidRPr="007C209B">
        <w:rPr>
          <w:b/>
          <w:szCs w:val="28"/>
        </w:rPr>
        <w:t>review the existing laws with a view to repealing</w:t>
      </w:r>
      <w:r w:rsidR="00016586" w:rsidRPr="007C209B">
        <w:rPr>
          <w:b/>
          <w:szCs w:val="28"/>
        </w:rPr>
        <w:t xml:space="preserve"> gender discriminatory provisions, including those in customary law, </w:t>
      </w:r>
      <w:r w:rsidR="00FB437E" w:rsidRPr="007C209B">
        <w:rPr>
          <w:b/>
          <w:szCs w:val="28"/>
        </w:rPr>
        <w:t xml:space="preserve">especially </w:t>
      </w:r>
      <w:r w:rsidR="006C25B1" w:rsidRPr="007C209B">
        <w:rPr>
          <w:b/>
          <w:szCs w:val="28"/>
        </w:rPr>
        <w:t>in relation to</w:t>
      </w:r>
      <w:r w:rsidR="00016586" w:rsidRPr="007C209B">
        <w:rPr>
          <w:b/>
          <w:szCs w:val="28"/>
        </w:rPr>
        <w:t xml:space="preserve"> polygamous marriage</w:t>
      </w:r>
      <w:r w:rsidR="006C25B1" w:rsidRPr="007C209B">
        <w:rPr>
          <w:b/>
          <w:szCs w:val="28"/>
        </w:rPr>
        <w:t>s</w:t>
      </w:r>
      <w:r w:rsidR="00FB437E" w:rsidRPr="007C209B">
        <w:rPr>
          <w:b/>
          <w:szCs w:val="28"/>
        </w:rPr>
        <w:t xml:space="preserve"> and </w:t>
      </w:r>
      <w:r w:rsidR="006C25B1" w:rsidRPr="007C209B">
        <w:rPr>
          <w:b/>
          <w:szCs w:val="28"/>
        </w:rPr>
        <w:t>to the</w:t>
      </w:r>
      <w:r w:rsidR="00FB437E" w:rsidRPr="007C209B">
        <w:rPr>
          <w:b/>
          <w:szCs w:val="28"/>
        </w:rPr>
        <w:t xml:space="preserve"> rights of women </w:t>
      </w:r>
      <w:r w:rsidR="006C25B1" w:rsidRPr="007C209B">
        <w:rPr>
          <w:b/>
          <w:szCs w:val="28"/>
        </w:rPr>
        <w:t xml:space="preserve">to </w:t>
      </w:r>
      <w:r w:rsidR="00FB437E" w:rsidRPr="007C209B">
        <w:rPr>
          <w:b/>
          <w:szCs w:val="28"/>
        </w:rPr>
        <w:t>inheritance and ownership of land</w:t>
      </w:r>
      <w:r w:rsidR="00016586" w:rsidRPr="007C209B">
        <w:rPr>
          <w:b/>
          <w:szCs w:val="28"/>
        </w:rPr>
        <w:t xml:space="preserve">. </w:t>
      </w:r>
      <w:r w:rsidR="006725EC" w:rsidRPr="007C209B">
        <w:rPr>
          <w:b/>
          <w:szCs w:val="28"/>
        </w:rPr>
        <w:t xml:space="preserve">It also recommends that the State party </w:t>
      </w:r>
      <w:r w:rsidR="000E64E7" w:rsidRPr="007C209B">
        <w:rPr>
          <w:b/>
          <w:szCs w:val="28"/>
        </w:rPr>
        <w:t>review the Matrimonial Property Act</w:t>
      </w:r>
      <w:r w:rsidR="000D0C97">
        <w:rPr>
          <w:b/>
          <w:szCs w:val="28"/>
        </w:rPr>
        <w:t xml:space="preserve"> of</w:t>
      </w:r>
      <w:r w:rsidR="006C0A9C">
        <w:rPr>
          <w:b/>
          <w:szCs w:val="28"/>
        </w:rPr>
        <w:t xml:space="preserve"> 2013</w:t>
      </w:r>
      <w:r w:rsidR="000E64E7" w:rsidRPr="007C209B">
        <w:rPr>
          <w:b/>
          <w:szCs w:val="28"/>
        </w:rPr>
        <w:t xml:space="preserve"> and </w:t>
      </w:r>
      <w:r w:rsidR="00CD5BD3" w:rsidRPr="007C209B">
        <w:rPr>
          <w:b/>
          <w:szCs w:val="28"/>
        </w:rPr>
        <w:t xml:space="preserve">take all </w:t>
      </w:r>
      <w:r w:rsidR="006C0A9C">
        <w:rPr>
          <w:b/>
          <w:szCs w:val="28"/>
        </w:rPr>
        <w:t xml:space="preserve">the </w:t>
      </w:r>
      <w:r w:rsidR="00CD5BD3" w:rsidRPr="007C209B">
        <w:rPr>
          <w:b/>
          <w:szCs w:val="28"/>
        </w:rPr>
        <w:t>measures</w:t>
      </w:r>
      <w:r w:rsidR="006725EC" w:rsidRPr="007C209B">
        <w:rPr>
          <w:b/>
          <w:szCs w:val="28"/>
        </w:rPr>
        <w:t xml:space="preserve"> </w:t>
      </w:r>
      <w:r w:rsidR="006C0A9C" w:rsidRPr="007C209B">
        <w:rPr>
          <w:b/>
          <w:szCs w:val="28"/>
        </w:rPr>
        <w:t xml:space="preserve">necessary </w:t>
      </w:r>
      <w:r w:rsidR="006725EC" w:rsidRPr="007C209B">
        <w:rPr>
          <w:b/>
          <w:szCs w:val="28"/>
        </w:rPr>
        <w:t xml:space="preserve">to </w:t>
      </w:r>
      <w:r w:rsidR="00CD5BD3" w:rsidRPr="007C209B">
        <w:rPr>
          <w:b/>
          <w:szCs w:val="28"/>
        </w:rPr>
        <w:t xml:space="preserve">strengthen </w:t>
      </w:r>
      <w:r w:rsidR="006C25B1" w:rsidRPr="007C209B">
        <w:rPr>
          <w:b/>
          <w:szCs w:val="28"/>
        </w:rPr>
        <w:t xml:space="preserve">its </w:t>
      </w:r>
      <w:r w:rsidR="00CD5BD3" w:rsidRPr="007C209B">
        <w:rPr>
          <w:b/>
          <w:szCs w:val="28"/>
        </w:rPr>
        <w:t>enforcement</w:t>
      </w:r>
      <w:r w:rsidR="00F6303B" w:rsidRPr="007C209B">
        <w:rPr>
          <w:b/>
          <w:szCs w:val="28"/>
        </w:rPr>
        <w:t xml:space="preserve"> once reviewed</w:t>
      </w:r>
      <w:r w:rsidR="00CD5BD3" w:rsidRPr="007C209B">
        <w:rPr>
          <w:b/>
          <w:szCs w:val="28"/>
        </w:rPr>
        <w:t xml:space="preserve">, including raising awareness among women, </w:t>
      </w:r>
      <w:r w:rsidR="006725EC" w:rsidRPr="007C209B">
        <w:rPr>
          <w:b/>
          <w:szCs w:val="28"/>
        </w:rPr>
        <w:t>local and traditional communities and their leaders, the judiciary and land administrati</w:t>
      </w:r>
      <w:r w:rsidR="00763F8D" w:rsidRPr="007C209B">
        <w:rPr>
          <w:b/>
          <w:szCs w:val="28"/>
        </w:rPr>
        <w:t>on</w:t>
      </w:r>
      <w:r w:rsidR="006725EC" w:rsidRPr="007C209B">
        <w:rPr>
          <w:b/>
          <w:szCs w:val="28"/>
        </w:rPr>
        <w:t xml:space="preserve"> officials and providing legal support to women to claim their rights.</w:t>
      </w:r>
    </w:p>
    <w:p w:rsidR="009A3A1A" w:rsidRPr="007C209B" w:rsidRDefault="008222AC" w:rsidP="00392ECC">
      <w:pPr>
        <w:pStyle w:val="H23G"/>
      </w:pPr>
      <w:r>
        <w:tab/>
      </w:r>
      <w:r>
        <w:tab/>
      </w:r>
      <w:r w:rsidR="009A3A1A" w:rsidRPr="002A4D73">
        <w:t>Representation of women at</w:t>
      </w:r>
      <w:r w:rsidR="000D0C97" w:rsidRPr="002A4D73">
        <w:t xml:space="preserve"> the</w:t>
      </w:r>
      <w:r w:rsidR="009A3A1A" w:rsidRPr="002A4D73">
        <w:t xml:space="preserve"> decision-making level</w:t>
      </w:r>
    </w:p>
    <w:p w:rsidR="00C50402" w:rsidRPr="007C209B" w:rsidRDefault="003616E3" w:rsidP="003616E3">
      <w:pPr>
        <w:pStyle w:val="SingleTxtG"/>
        <w:tabs>
          <w:tab w:val="left" w:pos="1701"/>
        </w:tabs>
        <w:rPr>
          <w:szCs w:val="28"/>
        </w:rPr>
      </w:pPr>
      <w:r w:rsidRPr="007C209B">
        <w:rPr>
          <w:szCs w:val="28"/>
        </w:rPr>
        <w:t>25.</w:t>
      </w:r>
      <w:r w:rsidRPr="007C209B">
        <w:rPr>
          <w:szCs w:val="28"/>
        </w:rPr>
        <w:tab/>
      </w:r>
      <w:r w:rsidR="008D5B1F" w:rsidRPr="007C209B">
        <w:rPr>
          <w:szCs w:val="28"/>
        </w:rPr>
        <w:t>While welcoming the two-third</w:t>
      </w:r>
      <w:r w:rsidR="006C0A9C">
        <w:rPr>
          <w:szCs w:val="28"/>
        </w:rPr>
        <w:t>s</w:t>
      </w:r>
      <w:r w:rsidR="008D5B1F" w:rsidRPr="007C209B">
        <w:rPr>
          <w:szCs w:val="28"/>
        </w:rPr>
        <w:t xml:space="preserve"> gender rule </w:t>
      </w:r>
      <w:r w:rsidR="002923F2" w:rsidRPr="007C209B">
        <w:rPr>
          <w:szCs w:val="28"/>
        </w:rPr>
        <w:t xml:space="preserve">guaranteed in the Constitution </w:t>
      </w:r>
      <w:r w:rsidR="008D5B1F" w:rsidRPr="007C209B">
        <w:rPr>
          <w:szCs w:val="28"/>
        </w:rPr>
        <w:t>and</w:t>
      </w:r>
      <w:r w:rsidR="00C50402" w:rsidRPr="007C209B">
        <w:rPr>
          <w:szCs w:val="28"/>
        </w:rPr>
        <w:t xml:space="preserve"> the </w:t>
      </w:r>
      <w:r w:rsidR="008D5B1F" w:rsidRPr="007C209B">
        <w:rPr>
          <w:szCs w:val="28"/>
        </w:rPr>
        <w:t>progress made in the judiciary</w:t>
      </w:r>
      <w:r w:rsidR="00763F8D" w:rsidRPr="007C209B">
        <w:rPr>
          <w:szCs w:val="28"/>
        </w:rPr>
        <w:t xml:space="preserve"> in this respect</w:t>
      </w:r>
      <w:r w:rsidR="008D5B1F" w:rsidRPr="007C209B">
        <w:rPr>
          <w:szCs w:val="28"/>
        </w:rPr>
        <w:t xml:space="preserve">, the Committee is concerned that </w:t>
      </w:r>
      <w:r w:rsidR="006C25B1" w:rsidRPr="007C209B">
        <w:rPr>
          <w:szCs w:val="28"/>
        </w:rPr>
        <w:t>it</w:t>
      </w:r>
      <w:r w:rsidR="00C50402" w:rsidRPr="007C209B">
        <w:rPr>
          <w:szCs w:val="28"/>
        </w:rPr>
        <w:t xml:space="preserve"> </w:t>
      </w:r>
      <w:r w:rsidR="006C0A9C">
        <w:rPr>
          <w:szCs w:val="28"/>
        </w:rPr>
        <w:t>has</w:t>
      </w:r>
      <w:r w:rsidR="006C0A9C" w:rsidRPr="007C209B">
        <w:rPr>
          <w:szCs w:val="28"/>
        </w:rPr>
        <w:t xml:space="preserve"> </w:t>
      </w:r>
      <w:r w:rsidR="00C50402" w:rsidRPr="007C209B">
        <w:rPr>
          <w:szCs w:val="28"/>
        </w:rPr>
        <w:t xml:space="preserve">not </w:t>
      </w:r>
      <w:r w:rsidR="006C0A9C">
        <w:rPr>
          <w:szCs w:val="28"/>
        </w:rPr>
        <w:t xml:space="preserve">been </w:t>
      </w:r>
      <w:r w:rsidR="006C25B1" w:rsidRPr="007C209B">
        <w:rPr>
          <w:szCs w:val="28"/>
        </w:rPr>
        <w:t xml:space="preserve">fully </w:t>
      </w:r>
      <w:r w:rsidR="00C50402" w:rsidRPr="007C209B">
        <w:rPr>
          <w:szCs w:val="28"/>
        </w:rPr>
        <w:t xml:space="preserve">implemented owing to the lack of </w:t>
      </w:r>
      <w:r w:rsidR="006C0A9C">
        <w:rPr>
          <w:szCs w:val="28"/>
        </w:rPr>
        <w:t xml:space="preserve">a </w:t>
      </w:r>
      <w:r w:rsidR="00C50402" w:rsidRPr="007C209B">
        <w:rPr>
          <w:szCs w:val="28"/>
        </w:rPr>
        <w:t>legislative and policy framework and that the representation of women remains low at most decision-making levels, including</w:t>
      </w:r>
      <w:r w:rsidR="005325ED" w:rsidRPr="007C209B">
        <w:rPr>
          <w:szCs w:val="28"/>
        </w:rPr>
        <w:t xml:space="preserve"> in</w:t>
      </w:r>
      <w:r w:rsidR="00C50402" w:rsidRPr="007C209B">
        <w:rPr>
          <w:szCs w:val="28"/>
        </w:rPr>
        <w:t xml:space="preserve"> Parliament</w:t>
      </w:r>
      <w:r w:rsidR="00964760" w:rsidRPr="007C209B">
        <w:rPr>
          <w:szCs w:val="28"/>
        </w:rPr>
        <w:t xml:space="preserve"> (art. 3)</w:t>
      </w:r>
      <w:r w:rsidR="00C50402" w:rsidRPr="007C209B">
        <w:rPr>
          <w:szCs w:val="28"/>
        </w:rPr>
        <w:t>.</w:t>
      </w:r>
    </w:p>
    <w:p w:rsidR="008D5B1F" w:rsidRPr="007C209B" w:rsidRDefault="003616E3" w:rsidP="003616E3">
      <w:pPr>
        <w:pStyle w:val="SingleTxtG"/>
        <w:tabs>
          <w:tab w:val="left" w:pos="1701"/>
        </w:tabs>
        <w:rPr>
          <w:b/>
          <w:szCs w:val="28"/>
        </w:rPr>
      </w:pPr>
      <w:r w:rsidRPr="007C209B">
        <w:rPr>
          <w:szCs w:val="28"/>
        </w:rPr>
        <w:t>26.</w:t>
      </w:r>
      <w:r w:rsidRPr="007C209B">
        <w:rPr>
          <w:szCs w:val="28"/>
        </w:rPr>
        <w:tab/>
      </w:r>
      <w:r w:rsidR="008D5B1F" w:rsidRPr="007C209B">
        <w:rPr>
          <w:b/>
          <w:szCs w:val="28"/>
        </w:rPr>
        <w:t xml:space="preserve">The Committee recommends that the State party take all </w:t>
      </w:r>
      <w:r w:rsidR="00763F8D" w:rsidRPr="007C209B">
        <w:rPr>
          <w:b/>
          <w:szCs w:val="28"/>
        </w:rPr>
        <w:t xml:space="preserve">the </w:t>
      </w:r>
      <w:r w:rsidR="008D5B1F" w:rsidRPr="007C209B">
        <w:rPr>
          <w:b/>
          <w:szCs w:val="28"/>
        </w:rPr>
        <w:t xml:space="preserve">measures necessary to </w:t>
      </w:r>
      <w:r w:rsidR="006C25B1" w:rsidRPr="007C209B">
        <w:rPr>
          <w:b/>
          <w:szCs w:val="28"/>
        </w:rPr>
        <w:t>fully implement</w:t>
      </w:r>
      <w:r w:rsidR="008D5B1F" w:rsidRPr="007C209B">
        <w:rPr>
          <w:b/>
          <w:szCs w:val="28"/>
        </w:rPr>
        <w:t xml:space="preserve"> the two-third</w:t>
      </w:r>
      <w:r w:rsidR="006C0A9C">
        <w:rPr>
          <w:b/>
          <w:szCs w:val="28"/>
        </w:rPr>
        <w:t>s</w:t>
      </w:r>
      <w:r w:rsidR="008D5B1F" w:rsidRPr="007C209B">
        <w:rPr>
          <w:b/>
          <w:szCs w:val="28"/>
        </w:rPr>
        <w:t xml:space="preserve"> gender rule in the public sector, </w:t>
      </w:r>
      <w:r w:rsidR="00743312" w:rsidRPr="007C209B">
        <w:rPr>
          <w:b/>
          <w:szCs w:val="28"/>
        </w:rPr>
        <w:t xml:space="preserve">in </w:t>
      </w:r>
      <w:r w:rsidR="00C50402" w:rsidRPr="007C209B">
        <w:rPr>
          <w:b/>
          <w:szCs w:val="28"/>
        </w:rPr>
        <w:t xml:space="preserve">both </w:t>
      </w:r>
      <w:r w:rsidR="00743312" w:rsidRPr="007C209B">
        <w:rPr>
          <w:b/>
          <w:szCs w:val="28"/>
        </w:rPr>
        <w:t>elective and appointive bodies</w:t>
      </w:r>
      <w:r w:rsidR="000D0C97">
        <w:rPr>
          <w:b/>
          <w:szCs w:val="28"/>
        </w:rPr>
        <w:t>,</w:t>
      </w:r>
      <w:r w:rsidR="00C50402" w:rsidRPr="007C209B">
        <w:rPr>
          <w:b/>
          <w:szCs w:val="28"/>
        </w:rPr>
        <w:t xml:space="preserve"> and </w:t>
      </w:r>
      <w:r w:rsidR="001732DB" w:rsidRPr="007C209B">
        <w:rPr>
          <w:b/>
          <w:szCs w:val="28"/>
        </w:rPr>
        <w:t>expeditiously adop</w:t>
      </w:r>
      <w:r w:rsidR="00A566F1">
        <w:rPr>
          <w:b/>
          <w:szCs w:val="28"/>
        </w:rPr>
        <w:t xml:space="preserve">t and implement the </w:t>
      </w:r>
      <w:proofErr w:type="spellStart"/>
      <w:r w:rsidR="00A566F1">
        <w:rPr>
          <w:b/>
          <w:szCs w:val="28"/>
        </w:rPr>
        <w:t>Duale</w:t>
      </w:r>
      <w:proofErr w:type="spellEnd"/>
      <w:r w:rsidR="00A566F1">
        <w:rPr>
          <w:b/>
          <w:szCs w:val="28"/>
        </w:rPr>
        <w:t xml:space="preserve"> Bill.</w:t>
      </w:r>
    </w:p>
    <w:p w:rsidR="009A3A1A" w:rsidRPr="007C209B" w:rsidRDefault="008222AC" w:rsidP="00392ECC">
      <w:pPr>
        <w:pStyle w:val="H23G"/>
      </w:pPr>
      <w:r>
        <w:tab/>
      </w:r>
      <w:r>
        <w:tab/>
      </w:r>
      <w:r w:rsidR="009A3A1A" w:rsidRPr="007C209B">
        <w:t>Unemployment and underemployment</w:t>
      </w:r>
    </w:p>
    <w:p w:rsidR="009A3A1A" w:rsidRPr="007C209B" w:rsidRDefault="003616E3" w:rsidP="003616E3">
      <w:pPr>
        <w:pStyle w:val="SingleTxtG"/>
        <w:tabs>
          <w:tab w:val="left" w:pos="1701"/>
        </w:tabs>
        <w:rPr>
          <w:szCs w:val="28"/>
        </w:rPr>
      </w:pPr>
      <w:r w:rsidRPr="007C209B">
        <w:rPr>
          <w:szCs w:val="28"/>
        </w:rPr>
        <w:t>27.</w:t>
      </w:r>
      <w:r w:rsidRPr="007C209B">
        <w:rPr>
          <w:szCs w:val="28"/>
        </w:rPr>
        <w:tab/>
      </w:r>
      <w:r w:rsidR="00265A4C" w:rsidRPr="007C209B">
        <w:rPr>
          <w:szCs w:val="28"/>
        </w:rPr>
        <w:t>The Committee is concerned</w:t>
      </w:r>
      <w:r w:rsidR="00A273D2" w:rsidRPr="007C209B">
        <w:rPr>
          <w:szCs w:val="28"/>
        </w:rPr>
        <w:t xml:space="preserve"> that the</w:t>
      </w:r>
      <w:r w:rsidR="00265A4C" w:rsidRPr="007C209B">
        <w:rPr>
          <w:szCs w:val="28"/>
        </w:rPr>
        <w:t xml:space="preserve"> unemployment rate</w:t>
      </w:r>
      <w:r w:rsidR="00A273D2" w:rsidRPr="007C209B">
        <w:rPr>
          <w:szCs w:val="28"/>
        </w:rPr>
        <w:t xml:space="preserve"> </w:t>
      </w:r>
      <w:r w:rsidR="006A6507" w:rsidRPr="007C209B">
        <w:rPr>
          <w:szCs w:val="28"/>
        </w:rPr>
        <w:t>remains</w:t>
      </w:r>
      <w:r w:rsidR="00A273D2" w:rsidRPr="007C209B">
        <w:rPr>
          <w:szCs w:val="28"/>
        </w:rPr>
        <w:t xml:space="preserve"> </w:t>
      </w:r>
      <w:proofErr w:type="gramStart"/>
      <w:r w:rsidR="00A273D2" w:rsidRPr="007C209B">
        <w:rPr>
          <w:szCs w:val="28"/>
        </w:rPr>
        <w:t>high</w:t>
      </w:r>
      <w:r w:rsidR="00E248E5" w:rsidRPr="007C209B">
        <w:rPr>
          <w:szCs w:val="28"/>
        </w:rPr>
        <w:t>,</w:t>
      </w:r>
      <w:proofErr w:type="gramEnd"/>
      <w:r w:rsidR="00E248E5" w:rsidRPr="007C209B">
        <w:rPr>
          <w:szCs w:val="28"/>
        </w:rPr>
        <w:t xml:space="preserve"> </w:t>
      </w:r>
      <w:r w:rsidR="00265A4C" w:rsidRPr="007C209B">
        <w:rPr>
          <w:szCs w:val="28"/>
        </w:rPr>
        <w:t>particularly among youth, women and persons with disabilities</w:t>
      </w:r>
      <w:r w:rsidR="00FB5F1A" w:rsidRPr="007C209B">
        <w:rPr>
          <w:szCs w:val="28"/>
        </w:rPr>
        <w:t>, and that the majority of</w:t>
      </w:r>
      <w:r w:rsidR="00F6303B" w:rsidRPr="007C209B">
        <w:rPr>
          <w:szCs w:val="28"/>
        </w:rPr>
        <w:t xml:space="preserve"> </w:t>
      </w:r>
      <w:r w:rsidR="004261A6" w:rsidRPr="007C209B">
        <w:rPr>
          <w:szCs w:val="28"/>
        </w:rPr>
        <w:t>work opportunities</w:t>
      </w:r>
      <w:r w:rsidR="00F6303B" w:rsidRPr="007C209B">
        <w:rPr>
          <w:szCs w:val="28"/>
        </w:rPr>
        <w:t xml:space="preserve"> a</w:t>
      </w:r>
      <w:r w:rsidR="00FB5F1A" w:rsidRPr="007C209B">
        <w:rPr>
          <w:szCs w:val="28"/>
        </w:rPr>
        <w:t xml:space="preserve">re in the </w:t>
      </w:r>
      <w:r w:rsidR="005325ED" w:rsidRPr="007C209B">
        <w:rPr>
          <w:szCs w:val="28"/>
        </w:rPr>
        <w:t xml:space="preserve">unregulated </w:t>
      </w:r>
      <w:r w:rsidR="00FB5F1A" w:rsidRPr="007C209B">
        <w:rPr>
          <w:szCs w:val="28"/>
        </w:rPr>
        <w:t>informal economy</w:t>
      </w:r>
      <w:r w:rsidR="004977C9" w:rsidRPr="007C209B">
        <w:rPr>
          <w:szCs w:val="28"/>
        </w:rPr>
        <w:t xml:space="preserve">. </w:t>
      </w:r>
      <w:r w:rsidR="00DD2910" w:rsidRPr="007C209B">
        <w:rPr>
          <w:szCs w:val="28"/>
        </w:rPr>
        <w:t>T</w:t>
      </w:r>
      <w:r w:rsidR="004977C9" w:rsidRPr="007C209B">
        <w:rPr>
          <w:szCs w:val="28"/>
        </w:rPr>
        <w:t>he Committee regrets that</w:t>
      </w:r>
      <w:r w:rsidR="002567CA" w:rsidRPr="007C209B">
        <w:rPr>
          <w:szCs w:val="28"/>
        </w:rPr>
        <w:t xml:space="preserve"> the measures taken to</w:t>
      </w:r>
      <w:r w:rsidR="004977C9" w:rsidRPr="007C209B">
        <w:rPr>
          <w:szCs w:val="28"/>
        </w:rPr>
        <w:t xml:space="preserve"> promote the employment of marginalized groups</w:t>
      </w:r>
      <w:r w:rsidR="00CC4A80" w:rsidRPr="007C209B">
        <w:rPr>
          <w:szCs w:val="28"/>
        </w:rPr>
        <w:t xml:space="preserve">, including the </w:t>
      </w:r>
      <w:r w:rsidR="00DD2910" w:rsidRPr="007C209B">
        <w:rPr>
          <w:szCs w:val="28"/>
        </w:rPr>
        <w:t>5 per</w:t>
      </w:r>
      <w:r w:rsidR="00991368">
        <w:rPr>
          <w:szCs w:val="28"/>
        </w:rPr>
        <w:t xml:space="preserve"> </w:t>
      </w:r>
      <w:r w:rsidR="00DD2910" w:rsidRPr="007C209B">
        <w:rPr>
          <w:szCs w:val="28"/>
        </w:rPr>
        <w:t>cent</w:t>
      </w:r>
      <w:r w:rsidR="00576ABE" w:rsidRPr="007C209B">
        <w:rPr>
          <w:szCs w:val="28"/>
        </w:rPr>
        <w:t xml:space="preserve"> employment</w:t>
      </w:r>
      <w:r w:rsidR="00DD2910" w:rsidRPr="007C209B">
        <w:rPr>
          <w:szCs w:val="28"/>
        </w:rPr>
        <w:t xml:space="preserve"> </w:t>
      </w:r>
      <w:r w:rsidR="00CC4A80" w:rsidRPr="007C209B">
        <w:rPr>
          <w:szCs w:val="28"/>
        </w:rPr>
        <w:t>quota for persons with disabilities</w:t>
      </w:r>
      <w:r w:rsidR="00DD2910" w:rsidRPr="007C209B">
        <w:rPr>
          <w:szCs w:val="28"/>
        </w:rPr>
        <w:t xml:space="preserve"> in the public </w:t>
      </w:r>
      <w:r w:rsidR="00576ABE" w:rsidRPr="007C209B">
        <w:rPr>
          <w:szCs w:val="28"/>
        </w:rPr>
        <w:t xml:space="preserve">and private </w:t>
      </w:r>
      <w:r w:rsidR="00DD2910" w:rsidRPr="007C209B">
        <w:rPr>
          <w:szCs w:val="28"/>
        </w:rPr>
        <w:t xml:space="preserve">sector and </w:t>
      </w:r>
      <w:r w:rsidR="0042231B" w:rsidRPr="007C209B">
        <w:rPr>
          <w:szCs w:val="28"/>
        </w:rPr>
        <w:t>the Access to Government Procurement Opportunities for youth, women and persons with disabilities</w:t>
      </w:r>
      <w:r w:rsidR="00CC4A80" w:rsidRPr="007C209B">
        <w:rPr>
          <w:szCs w:val="28"/>
        </w:rPr>
        <w:t>,</w:t>
      </w:r>
      <w:r w:rsidR="004977C9" w:rsidRPr="007C209B">
        <w:rPr>
          <w:szCs w:val="28"/>
        </w:rPr>
        <w:t xml:space="preserve"> </w:t>
      </w:r>
      <w:r w:rsidR="00BF4DC2" w:rsidRPr="007C209B">
        <w:rPr>
          <w:szCs w:val="28"/>
        </w:rPr>
        <w:t xml:space="preserve">have not been </w:t>
      </w:r>
      <w:r w:rsidR="002567CA" w:rsidRPr="007C209B">
        <w:rPr>
          <w:szCs w:val="28"/>
        </w:rPr>
        <w:t>effective</w:t>
      </w:r>
      <w:r w:rsidR="00964760" w:rsidRPr="007C209B">
        <w:rPr>
          <w:szCs w:val="28"/>
        </w:rPr>
        <w:t xml:space="preserve"> (art. 6)</w:t>
      </w:r>
      <w:r w:rsidR="004977C9" w:rsidRPr="007C209B">
        <w:rPr>
          <w:szCs w:val="28"/>
        </w:rPr>
        <w:t>.</w:t>
      </w:r>
    </w:p>
    <w:p w:rsidR="004977C9" w:rsidRPr="007C209B" w:rsidRDefault="003616E3" w:rsidP="003616E3">
      <w:pPr>
        <w:pStyle w:val="SingleTxtG"/>
        <w:tabs>
          <w:tab w:val="left" w:pos="1701"/>
        </w:tabs>
        <w:rPr>
          <w:b/>
          <w:szCs w:val="28"/>
        </w:rPr>
      </w:pPr>
      <w:r w:rsidRPr="007C209B">
        <w:rPr>
          <w:szCs w:val="28"/>
        </w:rPr>
        <w:t>28.</w:t>
      </w:r>
      <w:r w:rsidRPr="007C209B">
        <w:rPr>
          <w:szCs w:val="28"/>
        </w:rPr>
        <w:tab/>
      </w:r>
      <w:r w:rsidR="004977C9" w:rsidRPr="007C209B">
        <w:rPr>
          <w:b/>
          <w:szCs w:val="28"/>
        </w:rPr>
        <w:t xml:space="preserve">The Committee recommends that </w:t>
      </w:r>
      <w:r w:rsidR="002567CA" w:rsidRPr="007C209B">
        <w:rPr>
          <w:b/>
          <w:szCs w:val="28"/>
        </w:rPr>
        <w:t>the State party</w:t>
      </w:r>
      <w:r w:rsidR="00CF3FD7" w:rsidRPr="007C209B">
        <w:rPr>
          <w:b/>
          <w:szCs w:val="28"/>
        </w:rPr>
        <w:t xml:space="preserve"> intensify its efforts to upgrade </w:t>
      </w:r>
      <w:r w:rsidR="00280EF0">
        <w:rPr>
          <w:b/>
          <w:szCs w:val="28"/>
        </w:rPr>
        <w:t xml:space="preserve">the </w:t>
      </w:r>
      <w:r w:rsidR="00CF3FD7" w:rsidRPr="007C209B">
        <w:rPr>
          <w:b/>
          <w:szCs w:val="28"/>
        </w:rPr>
        <w:t xml:space="preserve">vocational skills of the workforce to meet the needs of </w:t>
      </w:r>
      <w:r w:rsidR="00F3067E" w:rsidRPr="007C209B">
        <w:rPr>
          <w:b/>
          <w:szCs w:val="28"/>
        </w:rPr>
        <w:t xml:space="preserve">the </w:t>
      </w:r>
      <w:r w:rsidR="00CF3FD7" w:rsidRPr="007C209B">
        <w:rPr>
          <w:b/>
          <w:szCs w:val="28"/>
        </w:rPr>
        <w:t xml:space="preserve">labour market and to create decent job opportunities, including through implementation of the National </w:t>
      </w:r>
      <w:r w:rsidR="006A6507" w:rsidRPr="007C209B">
        <w:rPr>
          <w:b/>
          <w:szCs w:val="28"/>
        </w:rPr>
        <w:t>Employment Policy and Strategy of Kenya</w:t>
      </w:r>
      <w:r w:rsidR="00CF3FD7" w:rsidRPr="007C209B">
        <w:rPr>
          <w:b/>
          <w:szCs w:val="28"/>
        </w:rPr>
        <w:t xml:space="preserve">. It also recommends that the State party </w:t>
      </w:r>
      <w:r w:rsidR="00DD2910" w:rsidRPr="007C209B">
        <w:rPr>
          <w:b/>
          <w:szCs w:val="28"/>
        </w:rPr>
        <w:t xml:space="preserve">develop and </w:t>
      </w:r>
      <w:r w:rsidR="00CC4A80" w:rsidRPr="007C209B">
        <w:rPr>
          <w:b/>
          <w:szCs w:val="28"/>
        </w:rPr>
        <w:t>implement</w:t>
      </w:r>
      <w:r w:rsidR="00DD2910" w:rsidRPr="007C209B">
        <w:rPr>
          <w:b/>
          <w:szCs w:val="28"/>
        </w:rPr>
        <w:t xml:space="preserve"> special measures to promote the employment of youth, women and persons with disabilities, including</w:t>
      </w:r>
      <w:r w:rsidR="002A4D73">
        <w:rPr>
          <w:b/>
          <w:szCs w:val="28"/>
        </w:rPr>
        <w:t xml:space="preserve"> through the</w:t>
      </w:r>
      <w:r w:rsidR="00DD2910" w:rsidRPr="007C209B">
        <w:rPr>
          <w:b/>
          <w:szCs w:val="28"/>
        </w:rPr>
        <w:t xml:space="preserve"> </w:t>
      </w:r>
      <w:r w:rsidR="00F03AE0" w:rsidRPr="007C209B">
        <w:rPr>
          <w:b/>
          <w:szCs w:val="28"/>
        </w:rPr>
        <w:t xml:space="preserve">creation of an effective system for </w:t>
      </w:r>
      <w:r w:rsidR="002A4D73">
        <w:rPr>
          <w:b/>
          <w:szCs w:val="28"/>
        </w:rPr>
        <w:t xml:space="preserve">enforcing </w:t>
      </w:r>
      <w:r w:rsidR="00DD2910" w:rsidRPr="007C209B">
        <w:rPr>
          <w:b/>
          <w:szCs w:val="28"/>
        </w:rPr>
        <w:t>the existing quota system</w:t>
      </w:r>
      <w:r w:rsidR="00576ABE" w:rsidRPr="007C209B">
        <w:rPr>
          <w:b/>
          <w:szCs w:val="28"/>
        </w:rPr>
        <w:t>s</w:t>
      </w:r>
      <w:r w:rsidR="00F6303B" w:rsidRPr="007C209B">
        <w:rPr>
          <w:b/>
          <w:szCs w:val="28"/>
        </w:rPr>
        <w:t xml:space="preserve"> and </w:t>
      </w:r>
      <w:r w:rsidR="0042231B" w:rsidRPr="007C209B">
        <w:rPr>
          <w:b/>
          <w:szCs w:val="28"/>
        </w:rPr>
        <w:t>the A</w:t>
      </w:r>
      <w:r w:rsidR="00280EF0">
        <w:rPr>
          <w:b/>
          <w:szCs w:val="28"/>
        </w:rPr>
        <w:t xml:space="preserve">ccess to </w:t>
      </w:r>
      <w:r w:rsidR="0042231B" w:rsidRPr="007C209B">
        <w:rPr>
          <w:b/>
          <w:szCs w:val="28"/>
        </w:rPr>
        <w:t>G</w:t>
      </w:r>
      <w:r w:rsidR="00280EF0">
        <w:rPr>
          <w:b/>
          <w:szCs w:val="28"/>
        </w:rPr>
        <w:t xml:space="preserve">overnment </w:t>
      </w:r>
      <w:r w:rsidR="0042231B" w:rsidRPr="007C209B">
        <w:rPr>
          <w:b/>
          <w:szCs w:val="28"/>
        </w:rPr>
        <w:t>P</w:t>
      </w:r>
      <w:r w:rsidR="00280EF0">
        <w:rPr>
          <w:b/>
          <w:szCs w:val="28"/>
        </w:rPr>
        <w:t xml:space="preserve">rocurement </w:t>
      </w:r>
      <w:r w:rsidR="0042231B" w:rsidRPr="007C209B">
        <w:rPr>
          <w:b/>
          <w:szCs w:val="28"/>
        </w:rPr>
        <w:t>O</w:t>
      </w:r>
      <w:r w:rsidR="00280EF0">
        <w:rPr>
          <w:b/>
          <w:szCs w:val="28"/>
        </w:rPr>
        <w:t>pportunities</w:t>
      </w:r>
      <w:r w:rsidR="00CC4A80" w:rsidRPr="007C209B">
        <w:rPr>
          <w:b/>
          <w:szCs w:val="28"/>
        </w:rPr>
        <w:t>.</w:t>
      </w:r>
    </w:p>
    <w:p w:rsidR="00F6303B" w:rsidRPr="007C209B" w:rsidRDefault="008222AC" w:rsidP="00392ECC">
      <w:pPr>
        <w:pStyle w:val="H23G"/>
      </w:pPr>
      <w:r>
        <w:tab/>
      </w:r>
      <w:r>
        <w:tab/>
      </w:r>
      <w:r w:rsidR="00F6303B" w:rsidRPr="007C209B">
        <w:t>Minimum wages</w:t>
      </w:r>
    </w:p>
    <w:p w:rsidR="00F6303B" w:rsidRPr="007C209B" w:rsidRDefault="003616E3" w:rsidP="003616E3">
      <w:pPr>
        <w:pStyle w:val="SingleTxtG"/>
        <w:tabs>
          <w:tab w:val="left" w:pos="1701"/>
        </w:tabs>
        <w:rPr>
          <w:szCs w:val="28"/>
        </w:rPr>
      </w:pPr>
      <w:r w:rsidRPr="007C209B">
        <w:rPr>
          <w:szCs w:val="28"/>
        </w:rPr>
        <w:t>29.</w:t>
      </w:r>
      <w:r w:rsidRPr="007C209B">
        <w:rPr>
          <w:szCs w:val="28"/>
        </w:rPr>
        <w:tab/>
      </w:r>
      <w:r w:rsidR="00F6303B" w:rsidRPr="007C209B">
        <w:rPr>
          <w:szCs w:val="28"/>
        </w:rPr>
        <w:t>The Committee is concerned that minimum wages are not applied to all sectors of the economy and that the levels of minimum wages are not sufficient to ensure a decent living for workers and their families (art. 7).</w:t>
      </w:r>
    </w:p>
    <w:p w:rsidR="00F6303B" w:rsidRPr="007C209B" w:rsidRDefault="003616E3" w:rsidP="003616E3">
      <w:pPr>
        <w:pStyle w:val="SingleTxtG"/>
        <w:tabs>
          <w:tab w:val="left" w:pos="1701"/>
        </w:tabs>
        <w:rPr>
          <w:b/>
          <w:szCs w:val="28"/>
        </w:rPr>
      </w:pPr>
      <w:r w:rsidRPr="007C209B">
        <w:rPr>
          <w:szCs w:val="28"/>
        </w:rPr>
        <w:t>30.</w:t>
      </w:r>
      <w:r w:rsidRPr="007C209B">
        <w:rPr>
          <w:szCs w:val="28"/>
        </w:rPr>
        <w:tab/>
      </w:r>
      <w:r w:rsidR="00F6303B" w:rsidRPr="007C209B">
        <w:rPr>
          <w:b/>
          <w:szCs w:val="28"/>
        </w:rPr>
        <w:t xml:space="preserve">The Committee recommends that the State party take concrete steps to apply minimum wages to all employees, unionized or non-unionized, and to establish a mechanism to index the minimum wage to the cost of living, and </w:t>
      </w:r>
      <w:r w:rsidR="005325ED" w:rsidRPr="007C209B">
        <w:rPr>
          <w:b/>
          <w:szCs w:val="28"/>
        </w:rPr>
        <w:t xml:space="preserve">also </w:t>
      </w:r>
      <w:r w:rsidR="00F6303B" w:rsidRPr="007C209B">
        <w:rPr>
          <w:b/>
          <w:szCs w:val="28"/>
        </w:rPr>
        <w:t xml:space="preserve">to increase minimum wages to ensure </w:t>
      </w:r>
      <w:r w:rsidR="002A0496" w:rsidRPr="007C209B">
        <w:rPr>
          <w:b/>
          <w:szCs w:val="28"/>
        </w:rPr>
        <w:t xml:space="preserve">an adequate standard of </w:t>
      </w:r>
      <w:r w:rsidR="00F6303B" w:rsidRPr="007C209B">
        <w:rPr>
          <w:b/>
          <w:szCs w:val="28"/>
        </w:rPr>
        <w:t>living for workers and their families.</w:t>
      </w:r>
      <w:r w:rsidR="00F91B09">
        <w:rPr>
          <w:b/>
          <w:szCs w:val="28"/>
        </w:rPr>
        <w:t xml:space="preserve"> The Committee draws the attention of the State party to its general comment No. 23 </w:t>
      </w:r>
      <w:r w:rsidR="0042047B">
        <w:rPr>
          <w:b/>
          <w:bCs/>
        </w:rPr>
        <w:t xml:space="preserve">(2016) </w:t>
      </w:r>
      <w:r w:rsidR="00F91B09">
        <w:rPr>
          <w:b/>
          <w:szCs w:val="28"/>
        </w:rPr>
        <w:t>on t</w:t>
      </w:r>
      <w:r w:rsidR="00F91B09">
        <w:rPr>
          <w:b/>
          <w:bCs/>
        </w:rPr>
        <w:t xml:space="preserve">he </w:t>
      </w:r>
      <w:r w:rsidR="0042047B">
        <w:rPr>
          <w:b/>
          <w:bCs/>
        </w:rPr>
        <w:t>r</w:t>
      </w:r>
      <w:r w:rsidR="00F91B09">
        <w:rPr>
          <w:b/>
          <w:bCs/>
        </w:rPr>
        <w:t xml:space="preserve">ight to </w:t>
      </w:r>
      <w:r w:rsidR="0042047B">
        <w:rPr>
          <w:b/>
          <w:bCs/>
        </w:rPr>
        <w:t>j</w:t>
      </w:r>
      <w:r w:rsidR="00F91B09">
        <w:rPr>
          <w:b/>
          <w:bCs/>
        </w:rPr>
        <w:t xml:space="preserve">ust and </w:t>
      </w:r>
      <w:r w:rsidR="0042047B">
        <w:rPr>
          <w:b/>
          <w:bCs/>
        </w:rPr>
        <w:t>f</w:t>
      </w:r>
      <w:r w:rsidR="00F91B09">
        <w:rPr>
          <w:b/>
          <w:bCs/>
        </w:rPr>
        <w:t xml:space="preserve">avourable </w:t>
      </w:r>
      <w:r w:rsidR="0042047B">
        <w:rPr>
          <w:b/>
          <w:bCs/>
        </w:rPr>
        <w:t>c</w:t>
      </w:r>
      <w:r w:rsidR="00F91B09">
        <w:rPr>
          <w:b/>
          <w:bCs/>
        </w:rPr>
        <w:t xml:space="preserve">onditions of </w:t>
      </w:r>
      <w:r w:rsidR="0042047B">
        <w:rPr>
          <w:b/>
          <w:bCs/>
        </w:rPr>
        <w:t>w</w:t>
      </w:r>
      <w:r w:rsidR="00F91B09">
        <w:rPr>
          <w:b/>
          <w:bCs/>
        </w:rPr>
        <w:t>ork</w:t>
      </w:r>
      <w:r w:rsidR="00A566F1">
        <w:rPr>
          <w:b/>
          <w:bCs/>
        </w:rPr>
        <w:t>.</w:t>
      </w:r>
    </w:p>
    <w:p w:rsidR="00F6303B" w:rsidRPr="007C209B" w:rsidRDefault="008222AC" w:rsidP="00392ECC">
      <w:pPr>
        <w:pStyle w:val="H23G"/>
      </w:pPr>
      <w:r>
        <w:tab/>
      </w:r>
      <w:r>
        <w:tab/>
      </w:r>
      <w:r w:rsidR="00F6303B" w:rsidRPr="007C209B">
        <w:t xml:space="preserve">Occupational </w:t>
      </w:r>
      <w:r w:rsidR="00182C09">
        <w:t xml:space="preserve">safety and </w:t>
      </w:r>
      <w:r w:rsidR="00F6303B" w:rsidRPr="007C209B">
        <w:t>health</w:t>
      </w:r>
    </w:p>
    <w:p w:rsidR="00F6303B" w:rsidRPr="007C209B" w:rsidRDefault="003616E3" w:rsidP="003616E3">
      <w:pPr>
        <w:pStyle w:val="SingleTxtG"/>
        <w:tabs>
          <w:tab w:val="left" w:pos="1701"/>
        </w:tabs>
        <w:rPr>
          <w:szCs w:val="28"/>
        </w:rPr>
      </w:pPr>
      <w:r w:rsidRPr="007C209B">
        <w:rPr>
          <w:szCs w:val="28"/>
        </w:rPr>
        <w:t>31.</w:t>
      </w:r>
      <w:r w:rsidRPr="007C209B">
        <w:rPr>
          <w:szCs w:val="28"/>
        </w:rPr>
        <w:tab/>
      </w:r>
      <w:r w:rsidR="00F6303B" w:rsidRPr="007C209B">
        <w:rPr>
          <w:szCs w:val="28"/>
        </w:rPr>
        <w:t>While noting the increase</w:t>
      </w:r>
      <w:r w:rsidR="007217F0">
        <w:rPr>
          <w:szCs w:val="28"/>
        </w:rPr>
        <w:t xml:space="preserve"> in the</w:t>
      </w:r>
      <w:r w:rsidR="00F6303B" w:rsidRPr="007C209B">
        <w:rPr>
          <w:szCs w:val="28"/>
        </w:rPr>
        <w:t xml:space="preserve"> number of labour inspections carried out in the past years, the Committee regrets the lack of information on result</w:t>
      </w:r>
      <w:r w:rsidR="005B78C1">
        <w:rPr>
          <w:szCs w:val="28"/>
        </w:rPr>
        <w:t>s</w:t>
      </w:r>
      <w:r w:rsidR="00F6303B" w:rsidRPr="007C209B">
        <w:rPr>
          <w:szCs w:val="28"/>
        </w:rPr>
        <w:t xml:space="preserve"> and follow</w:t>
      </w:r>
      <w:r w:rsidR="007217F0">
        <w:rPr>
          <w:szCs w:val="28"/>
        </w:rPr>
        <w:t>-</w:t>
      </w:r>
      <w:r w:rsidR="00F6303B" w:rsidRPr="007C209B">
        <w:rPr>
          <w:szCs w:val="28"/>
        </w:rPr>
        <w:t xml:space="preserve">up to the inspections. The Committee is also concerned that the Directorate of Occupational Safety and Health Services </w:t>
      </w:r>
      <w:proofErr w:type="gramStart"/>
      <w:r w:rsidR="00F6303B" w:rsidRPr="007C209B">
        <w:rPr>
          <w:szCs w:val="28"/>
        </w:rPr>
        <w:t>lacks</w:t>
      </w:r>
      <w:proofErr w:type="gramEnd"/>
      <w:r w:rsidR="00F6303B" w:rsidRPr="007C209B">
        <w:rPr>
          <w:szCs w:val="28"/>
        </w:rPr>
        <w:t xml:space="preserve"> sufficient human and financial resources to carry out its mandate (art. 7).</w:t>
      </w:r>
    </w:p>
    <w:p w:rsidR="00F6303B" w:rsidRPr="007C209B" w:rsidRDefault="003616E3" w:rsidP="003616E3">
      <w:pPr>
        <w:pStyle w:val="SingleTxtG"/>
        <w:tabs>
          <w:tab w:val="left" w:pos="1701"/>
        </w:tabs>
        <w:rPr>
          <w:b/>
          <w:szCs w:val="28"/>
        </w:rPr>
      </w:pPr>
      <w:r w:rsidRPr="007C209B">
        <w:rPr>
          <w:szCs w:val="28"/>
        </w:rPr>
        <w:t>32.</w:t>
      </w:r>
      <w:r w:rsidRPr="007C209B">
        <w:rPr>
          <w:szCs w:val="28"/>
        </w:rPr>
        <w:tab/>
      </w:r>
      <w:r w:rsidR="00F6303B" w:rsidRPr="007C209B">
        <w:rPr>
          <w:b/>
          <w:szCs w:val="28"/>
        </w:rPr>
        <w:t>The Committee recommends that the State party provide the Directorate of Occupational Safety and Health Services with sufficient human and financial resources to carry out its mandate effectively. It also recommends that the State party include detailed information on labour inspections, particularly result</w:t>
      </w:r>
      <w:r w:rsidR="008F5C72">
        <w:rPr>
          <w:b/>
          <w:szCs w:val="28"/>
        </w:rPr>
        <w:t>s</w:t>
      </w:r>
      <w:r w:rsidR="00F6303B" w:rsidRPr="007C209B">
        <w:rPr>
          <w:b/>
          <w:szCs w:val="28"/>
        </w:rPr>
        <w:t xml:space="preserve"> and follow-up, and the effectiveness of the National Occupational Safety and Health </w:t>
      </w:r>
      <w:r w:rsidR="007217F0">
        <w:rPr>
          <w:b/>
          <w:szCs w:val="28"/>
        </w:rPr>
        <w:t xml:space="preserve">Policy </w:t>
      </w:r>
      <w:r w:rsidR="00F6303B" w:rsidRPr="007C209B">
        <w:rPr>
          <w:b/>
          <w:szCs w:val="28"/>
        </w:rPr>
        <w:t>in its next period</w:t>
      </w:r>
      <w:r w:rsidR="007217F0">
        <w:rPr>
          <w:b/>
          <w:szCs w:val="28"/>
        </w:rPr>
        <w:t>ic</w:t>
      </w:r>
      <w:r w:rsidR="00F6303B" w:rsidRPr="007C209B">
        <w:rPr>
          <w:b/>
          <w:szCs w:val="28"/>
        </w:rPr>
        <w:t xml:space="preserve"> report.</w:t>
      </w:r>
    </w:p>
    <w:p w:rsidR="00F6303B" w:rsidRPr="007C209B" w:rsidRDefault="008222AC" w:rsidP="00392ECC">
      <w:pPr>
        <w:pStyle w:val="H23G"/>
      </w:pPr>
      <w:r>
        <w:tab/>
      </w:r>
      <w:r>
        <w:tab/>
      </w:r>
      <w:r w:rsidR="00F6303B" w:rsidRPr="007C209B">
        <w:t xml:space="preserve">Migrant </w:t>
      </w:r>
      <w:r w:rsidR="002B1089">
        <w:t xml:space="preserve">domestic </w:t>
      </w:r>
      <w:r w:rsidR="00F6303B" w:rsidRPr="007C209B">
        <w:t xml:space="preserve">workers </w:t>
      </w:r>
      <w:r w:rsidR="00BF74FE">
        <w:t>overseas</w:t>
      </w:r>
    </w:p>
    <w:p w:rsidR="00F6303B" w:rsidRPr="007C209B" w:rsidRDefault="003616E3" w:rsidP="003616E3">
      <w:pPr>
        <w:pStyle w:val="SingleTxtG"/>
        <w:tabs>
          <w:tab w:val="left" w:pos="1701"/>
        </w:tabs>
        <w:rPr>
          <w:szCs w:val="28"/>
        </w:rPr>
      </w:pPr>
      <w:r w:rsidRPr="007C209B">
        <w:rPr>
          <w:szCs w:val="28"/>
        </w:rPr>
        <w:t>33.</w:t>
      </w:r>
      <w:r w:rsidRPr="007C209B">
        <w:rPr>
          <w:szCs w:val="28"/>
        </w:rPr>
        <w:tab/>
      </w:r>
      <w:r w:rsidR="00F6303B" w:rsidRPr="007C209B">
        <w:rPr>
          <w:szCs w:val="28"/>
        </w:rPr>
        <w:t xml:space="preserve">The Committee is concerned at the </w:t>
      </w:r>
      <w:r w:rsidR="006C25B1" w:rsidRPr="007C209B">
        <w:rPr>
          <w:szCs w:val="28"/>
        </w:rPr>
        <w:t xml:space="preserve">exploitative </w:t>
      </w:r>
      <w:r w:rsidR="00F6303B" w:rsidRPr="007C209B">
        <w:rPr>
          <w:szCs w:val="28"/>
        </w:rPr>
        <w:t>working conditions of Kenyan domestic workers in the Gulf and Middle East region and the lack of mechanisms to protect them</w:t>
      </w:r>
      <w:r w:rsidR="007D6BC8" w:rsidRPr="007C209B">
        <w:rPr>
          <w:szCs w:val="28"/>
        </w:rPr>
        <w:t xml:space="preserve"> in the countries where they work</w:t>
      </w:r>
      <w:r w:rsidR="00F6303B" w:rsidRPr="007C209B">
        <w:rPr>
          <w:szCs w:val="28"/>
        </w:rPr>
        <w:t xml:space="preserve"> (art. 7).</w:t>
      </w:r>
    </w:p>
    <w:p w:rsidR="00F6303B" w:rsidRPr="007C209B" w:rsidRDefault="003616E3" w:rsidP="003616E3">
      <w:pPr>
        <w:pStyle w:val="SingleTxtG"/>
        <w:tabs>
          <w:tab w:val="left" w:pos="1701"/>
        </w:tabs>
        <w:rPr>
          <w:b/>
          <w:szCs w:val="28"/>
        </w:rPr>
      </w:pPr>
      <w:r w:rsidRPr="007C209B">
        <w:rPr>
          <w:szCs w:val="28"/>
        </w:rPr>
        <w:t>34.</w:t>
      </w:r>
      <w:r w:rsidRPr="007C209B">
        <w:rPr>
          <w:szCs w:val="28"/>
        </w:rPr>
        <w:tab/>
      </w:r>
      <w:r w:rsidR="00F6303B" w:rsidRPr="007C209B">
        <w:rPr>
          <w:b/>
          <w:szCs w:val="28"/>
        </w:rPr>
        <w:t xml:space="preserve">The Committee recommends that the State party take </w:t>
      </w:r>
      <w:r w:rsidR="007217F0">
        <w:rPr>
          <w:b/>
          <w:szCs w:val="28"/>
        </w:rPr>
        <w:t xml:space="preserve">the </w:t>
      </w:r>
      <w:r w:rsidR="007D6BC8" w:rsidRPr="007C209B">
        <w:rPr>
          <w:b/>
          <w:szCs w:val="28"/>
        </w:rPr>
        <w:t xml:space="preserve">steps </w:t>
      </w:r>
      <w:r w:rsidR="007217F0" w:rsidRPr="007C209B">
        <w:rPr>
          <w:b/>
          <w:szCs w:val="28"/>
        </w:rPr>
        <w:t xml:space="preserve">necessary </w:t>
      </w:r>
      <w:r w:rsidR="007D6BC8" w:rsidRPr="007C209B">
        <w:rPr>
          <w:b/>
          <w:szCs w:val="28"/>
        </w:rPr>
        <w:t xml:space="preserve">to put in place </w:t>
      </w:r>
      <w:r w:rsidR="00F3067E" w:rsidRPr="007C209B">
        <w:rPr>
          <w:b/>
          <w:szCs w:val="28"/>
        </w:rPr>
        <w:t xml:space="preserve">effective </w:t>
      </w:r>
      <w:r w:rsidR="007D6BC8" w:rsidRPr="007C209B">
        <w:rPr>
          <w:b/>
          <w:szCs w:val="28"/>
        </w:rPr>
        <w:t>mechanism</w:t>
      </w:r>
      <w:r w:rsidR="00F3067E" w:rsidRPr="007C209B">
        <w:rPr>
          <w:b/>
          <w:szCs w:val="28"/>
        </w:rPr>
        <w:t>s</w:t>
      </w:r>
      <w:r w:rsidR="007D6BC8" w:rsidRPr="007C209B">
        <w:rPr>
          <w:b/>
          <w:szCs w:val="28"/>
        </w:rPr>
        <w:t xml:space="preserve"> </w:t>
      </w:r>
      <w:r w:rsidR="00F6303B" w:rsidRPr="007C209B">
        <w:rPr>
          <w:b/>
          <w:szCs w:val="28"/>
        </w:rPr>
        <w:t>to</w:t>
      </w:r>
      <w:r w:rsidR="007D6BC8" w:rsidRPr="007C209B">
        <w:rPr>
          <w:b/>
          <w:szCs w:val="28"/>
        </w:rPr>
        <w:t xml:space="preserve"> protect</w:t>
      </w:r>
      <w:r w:rsidR="00F6303B" w:rsidRPr="007C209B">
        <w:rPr>
          <w:b/>
          <w:szCs w:val="28"/>
        </w:rPr>
        <w:t xml:space="preserve"> Kenyan domestic workers overseas</w:t>
      </w:r>
      <w:r w:rsidR="007D6BC8" w:rsidRPr="007C209B">
        <w:rPr>
          <w:b/>
          <w:szCs w:val="28"/>
        </w:rPr>
        <w:t xml:space="preserve"> from abuse and exploitation</w:t>
      </w:r>
      <w:r w:rsidR="00F6303B" w:rsidRPr="007C209B">
        <w:rPr>
          <w:b/>
          <w:szCs w:val="28"/>
        </w:rPr>
        <w:t>, including through bilateral agreement</w:t>
      </w:r>
      <w:r w:rsidR="007217F0">
        <w:rPr>
          <w:b/>
          <w:szCs w:val="28"/>
        </w:rPr>
        <w:t>s</w:t>
      </w:r>
      <w:r w:rsidR="00F6303B" w:rsidRPr="007C209B">
        <w:rPr>
          <w:b/>
          <w:szCs w:val="28"/>
        </w:rPr>
        <w:t xml:space="preserve"> with countries of destination, to strengthen the regulation of recruitment agencies and to enhance consula</w:t>
      </w:r>
      <w:r w:rsidR="004261A6" w:rsidRPr="007C209B">
        <w:rPr>
          <w:b/>
          <w:szCs w:val="28"/>
        </w:rPr>
        <w:t>r</w:t>
      </w:r>
      <w:r w:rsidR="00F6303B" w:rsidRPr="007C209B">
        <w:rPr>
          <w:b/>
          <w:szCs w:val="28"/>
        </w:rPr>
        <w:t xml:space="preserve"> and legal services for </w:t>
      </w:r>
      <w:r w:rsidR="006C25B1" w:rsidRPr="007C209B">
        <w:rPr>
          <w:b/>
          <w:szCs w:val="28"/>
        </w:rPr>
        <w:t xml:space="preserve">these </w:t>
      </w:r>
      <w:r w:rsidR="00A566F1">
        <w:rPr>
          <w:b/>
          <w:szCs w:val="28"/>
        </w:rPr>
        <w:t>workers.</w:t>
      </w:r>
    </w:p>
    <w:p w:rsidR="00F6303B" w:rsidRPr="007C209B" w:rsidRDefault="008222AC" w:rsidP="00392ECC">
      <w:pPr>
        <w:pStyle w:val="H23G"/>
      </w:pPr>
      <w:r>
        <w:tab/>
      </w:r>
      <w:r>
        <w:tab/>
      </w:r>
      <w:r w:rsidR="00F6303B" w:rsidRPr="007C209B">
        <w:t>Right to social security</w:t>
      </w:r>
    </w:p>
    <w:p w:rsidR="00F6303B" w:rsidRPr="007C209B" w:rsidRDefault="003616E3" w:rsidP="003616E3">
      <w:pPr>
        <w:pStyle w:val="SingleTxtG"/>
        <w:tabs>
          <w:tab w:val="left" w:pos="1701"/>
        </w:tabs>
        <w:rPr>
          <w:szCs w:val="28"/>
        </w:rPr>
      </w:pPr>
      <w:r w:rsidRPr="007C209B">
        <w:rPr>
          <w:szCs w:val="28"/>
        </w:rPr>
        <w:t>35.</w:t>
      </w:r>
      <w:r w:rsidRPr="007C209B">
        <w:rPr>
          <w:szCs w:val="28"/>
        </w:rPr>
        <w:tab/>
      </w:r>
      <w:r w:rsidR="00F6303B" w:rsidRPr="007C209B">
        <w:rPr>
          <w:szCs w:val="28"/>
        </w:rPr>
        <w:t>The Committee is concerned</w:t>
      </w:r>
      <w:r w:rsidR="00983ECE" w:rsidRPr="007C209B">
        <w:rPr>
          <w:szCs w:val="28"/>
        </w:rPr>
        <w:t xml:space="preserve"> at the limited coverage of cash transfer programmes, leaving more</w:t>
      </w:r>
      <w:r w:rsidR="00F6303B" w:rsidRPr="007C209B">
        <w:rPr>
          <w:szCs w:val="28"/>
        </w:rPr>
        <w:t xml:space="preserve"> than half of </w:t>
      </w:r>
      <w:r w:rsidR="00983ECE" w:rsidRPr="007C209B">
        <w:rPr>
          <w:szCs w:val="28"/>
        </w:rPr>
        <w:t xml:space="preserve">people </w:t>
      </w:r>
      <w:r w:rsidR="00F152A2" w:rsidRPr="007C209B">
        <w:rPr>
          <w:szCs w:val="28"/>
        </w:rPr>
        <w:t xml:space="preserve">eligible </w:t>
      </w:r>
      <w:r w:rsidR="00F6303B" w:rsidRPr="007C209B">
        <w:rPr>
          <w:szCs w:val="28"/>
        </w:rPr>
        <w:t xml:space="preserve">for </w:t>
      </w:r>
      <w:r w:rsidR="00983ECE" w:rsidRPr="007C209B">
        <w:rPr>
          <w:szCs w:val="28"/>
        </w:rPr>
        <w:t xml:space="preserve">the </w:t>
      </w:r>
      <w:r w:rsidR="00F6303B" w:rsidRPr="007C209B">
        <w:rPr>
          <w:szCs w:val="28"/>
        </w:rPr>
        <w:t xml:space="preserve">programmes </w:t>
      </w:r>
      <w:r w:rsidR="00983ECE" w:rsidRPr="007C209B">
        <w:rPr>
          <w:szCs w:val="28"/>
        </w:rPr>
        <w:t>unsupported</w:t>
      </w:r>
      <w:r w:rsidR="00F152A2">
        <w:rPr>
          <w:szCs w:val="28"/>
        </w:rPr>
        <w:t>,</w:t>
      </w:r>
      <w:r w:rsidR="00983ECE" w:rsidRPr="007C209B">
        <w:rPr>
          <w:szCs w:val="28"/>
        </w:rPr>
        <w:t xml:space="preserve"> </w:t>
      </w:r>
      <w:r w:rsidR="006C25B1" w:rsidRPr="007C209B">
        <w:rPr>
          <w:szCs w:val="28"/>
        </w:rPr>
        <w:t xml:space="preserve">at </w:t>
      </w:r>
      <w:r w:rsidR="004261A6" w:rsidRPr="007C209B">
        <w:rPr>
          <w:szCs w:val="28"/>
        </w:rPr>
        <w:t xml:space="preserve">duplication </w:t>
      </w:r>
      <w:r w:rsidR="00983ECE" w:rsidRPr="007C209B">
        <w:rPr>
          <w:szCs w:val="28"/>
        </w:rPr>
        <w:t>errors in beneficiary registration</w:t>
      </w:r>
      <w:r w:rsidR="00F6303B" w:rsidRPr="007C209B">
        <w:rPr>
          <w:szCs w:val="28"/>
        </w:rPr>
        <w:t xml:space="preserve"> and </w:t>
      </w:r>
      <w:r w:rsidR="00983ECE" w:rsidRPr="007C209B">
        <w:rPr>
          <w:szCs w:val="28"/>
        </w:rPr>
        <w:t xml:space="preserve">overlapping benefits. It is also concerned </w:t>
      </w:r>
      <w:r w:rsidR="00F6303B" w:rsidRPr="007C209B">
        <w:rPr>
          <w:szCs w:val="28"/>
        </w:rPr>
        <w:t xml:space="preserve">that the amount of the benefits is not regularly adjusted or sufficient to ensure a decent living and </w:t>
      </w:r>
      <w:r w:rsidR="002A4D73">
        <w:rPr>
          <w:szCs w:val="28"/>
        </w:rPr>
        <w:t xml:space="preserve">that </w:t>
      </w:r>
      <w:r w:rsidR="00F6303B" w:rsidRPr="007C209B">
        <w:rPr>
          <w:szCs w:val="28"/>
        </w:rPr>
        <w:t xml:space="preserve">payments are often delayed. The Committee is </w:t>
      </w:r>
      <w:r w:rsidR="00983ECE" w:rsidRPr="007C209B">
        <w:rPr>
          <w:szCs w:val="28"/>
        </w:rPr>
        <w:t>further</w:t>
      </w:r>
      <w:r w:rsidR="00F6303B" w:rsidRPr="007C209B">
        <w:rPr>
          <w:szCs w:val="28"/>
        </w:rPr>
        <w:t xml:space="preserve"> concerned that the coverage of the National Social Security Fund and the National Health Insurance Fund is very low and excludes most workers in the informal economy (art. 9). </w:t>
      </w:r>
    </w:p>
    <w:p w:rsidR="00F6303B" w:rsidRPr="007C209B" w:rsidRDefault="003616E3" w:rsidP="003616E3">
      <w:pPr>
        <w:pStyle w:val="SingleTxtG"/>
        <w:tabs>
          <w:tab w:val="left" w:pos="1701"/>
        </w:tabs>
        <w:rPr>
          <w:b/>
          <w:szCs w:val="28"/>
        </w:rPr>
      </w:pPr>
      <w:r w:rsidRPr="007C209B">
        <w:rPr>
          <w:szCs w:val="28"/>
        </w:rPr>
        <w:t>36.</w:t>
      </w:r>
      <w:r w:rsidRPr="007C209B">
        <w:rPr>
          <w:szCs w:val="28"/>
        </w:rPr>
        <w:tab/>
      </w:r>
      <w:r w:rsidR="00F6303B" w:rsidRPr="007C209B">
        <w:rPr>
          <w:b/>
          <w:szCs w:val="28"/>
        </w:rPr>
        <w:t>The Committee recommends that the State party intensify its efforts to ensure that the cash transfer programmes cover all eligible beneficiaries</w:t>
      </w:r>
      <w:r w:rsidR="00F152A2">
        <w:rPr>
          <w:b/>
          <w:szCs w:val="28"/>
        </w:rPr>
        <w:t>,</w:t>
      </w:r>
      <w:r w:rsidR="00F6303B" w:rsidRPr="007C209B">
        <w:rPr>
          <w:b/>
          <w:szCs w:val="28"/>
        </w:rPr>
        <w:t xml:space="preserve"> increase the amount of benefits and regularly readjust the amount to ensure a decent living and </w:t>
      </w:r>
      <w:r w:rsidR="0048013E" w:rsidRPr="007C209B">
        <w:rPr>
          <w:b/>
          <w:szCs w:val="28"/>
        </w:rPr>
        <w:t xml:space="preserve">timely </w:t>
      </w:r>
      <w:r w:rsidR="00F6303B" w:rsidRPr="007C209B">
        <w:rPr>
          <w:b/>
          <w:szCs w:val="28"/>
        </w:rPr>
        <w:t>pay</w:t>
      </w:r>
      <w:r w:rsidR="0048013E" w:rsidRPr="007C209B">
        <w:rPr>
          <w:b/>
          <w:szCs w:val="28"/>
        </w:rPr>
        <w:t>ment</w:t>
      </w:r>
      <w:r w:rsidR="00F152A2" w:rsidRPr="00F152A2">
        <w:rPr>
          <w:b/>
          <w:szCs w:val="28"/>
        </w:rPr>
        <w:t xml:space="preserve"> </w:t>
      </w:r>
      <w:r w:rsidR="00F152A2">
        <w:rPr>
          <w:b/>
          <w:szCs w:val="28"/>
        </w:rPr>
        <w:t xml:space="preserve">for </w:t>
      </w:r>
      <w:r w:rsidR="00F152A2" w:rsidRPr="007C209B">
        <w:rPr>
          <w:b/>
          <w:szCs w:val="28"/>
        </w:rPr>
        <w:t>the beneficiaries</w:t>
      </w:r>
      <w:r w:rsidR="00F6303B" w:rsidRPr="007C209B">
        <w:rPr>
          <w:b/>
          <w:szCs w:val="28"/>
        </w:rPr>
        <w:t xml:space="preserve">. It also recommends that the State party take the measures </w:t>
      </w:r>
      <w:r w:rsidR="00F152A2" w:rsidRPr="007C209B">
        <w:rPr>
          <w:b/>
          <w:szCs w:val="28"/>
        </w:rPr>
        <w:t xml:space="preserve">necessary </w:t>
      </w:r>
      <w:r w:rsidR="00F6303B" w:rsidRPr="007C209B">
        <w:rPr>
          <w:b/>
          <w:szCs w:val="28"/>
        </w:rPr>
        <w:t xml:space="preserve">to extend the coverage of the National Social Security Fund and the National Health Insurance Fund to all employees in the formal and informal economy and the self-employed. The Committee draws the attention of the State party to its general comment No. 19 </w:t>
      </w:r>
      <w:r w:rsidR="00F152A2" w:rsidRPr="007C209B">
        <w:rPr>
          <w:b/>
          <w:szCs w:val="28"/>
        </w:rPr>
        <w:t>(2008)</w:t>
      </w:r>
      <w:r w:rsidR="00F152A2">
        <w:rPr>
          <w:b/>
          <w:szCs w:val="28"/>
        </w:rPr>
        <w:t xml:space="preserve"> </w:t>
      </w:r>
      <w:r w:rsidR="00F6303B" w:rsidRPr="007C209B">
        <w:rPr>
          <w:b/>
          <w:szCs w:val="28"/>
        </w:rPr>
        <w:t xml:space="preserve">on the right to social security </w:t>
      </w:r>
      <w:r w:rsidR="006C25B1" w:rsidRPr="007C209B">
        <w:rPr>
          <w:b/>
          <w:szCs w:val="28"/>
        </w:rPr>
        <w:t>and its statement on social protection floors (2015)</w:t>
      </w:r>
      <w:r w:rsidR="00F6303B" w:rsidRPr="007C209B">
        <w:rPr>
          <w:b/>
          <w:szCs w:val="28"/>
        </w:rPr>
        <w:t>.</w:t>
      </w:r>
    </w:p>
    <w:p w:rsidR="00F6303B" w:rsidRPr="007C209B" w:rsidRDefault="008222AC" w:rsidP="00392ECC">
      <w:pPr>
        <w:pStyle w:val="H23G"/>
      </w:pPr>
      <w:r>
        <w:tab/>
      </w:r>
      <w:r>
        <w:tab/>
      </w:r>
      <w:r w:rsidR="00F6303B" w:rsidRPr="007C209B">
        <w:t>Domestic violence</w:t>
      </w:r>
    </w:p>
    <w:p w:rsidR="00F6303B" w:rsidRPr="007C209B" w:rsidRDefault="003616E3" w:rsidP="003616E3">
      <w:pPr>
        <w:pStyle w:val="SingleTxtG"/>
        <w:tabs>
          <w:tab w:val="left" w:pos="1701"/>
        </w:tabs>
        <w:rPr>
          <w:szCs w:val="28"/>
        </w:rPr>
      </w:pPr>
      <w:r w:rsidRPr="007C209B">
        <w:rPr>
          <w:szCs w:val="28"/>
        </w:rPr>
        <w:t>37.</w:t>
      </w:r>
      <w:r w:rsidRPr="007C209B">
        <w:rPr>
          <w:szCs w:val="28"/>
        </w:rPr>
        <w:tab/>
      </w:r>
      <w:r w:rsidR="00F6303B" w:rsidRPr="007C209B">
        <w:rPr>
          <w:szCs w:val="28"/>
        </w:rPr>
        <w:t>While welcoming the adoption of the Protection against Domestic Violence Act, the Committee is concerned that the Act is not effectively enforced and that domestic violence is still pervasive, particularly against women, children and persons with disabilities and that the majority of cases of domestic violence go unreported (art. 10).</w:t>
      </w:r>
    </w:p>
    <w:p w:rsidR="00F6303B" w:rsidRPr="007C209B" w:rsidRDefault="003616E3" w:rsidP="003616E3">
      <w:pPr>
        <w:pStyle w:val="SingleTxtG"/>
        <w:tabs>
          <w:tab w:val="left" w:pos="1701"/>
        </w:tabs>
        <w:rPr>
          <w:b/>
          <w:szCs w:val="28"/>
        </w:rPr>
      </w:pPr>
      <w:r w:rsidRPr="007C209B">
        <w:rPr>
          <w:szCs w:val="28"/>
        </w:rPr>
        <w:t>38.</w:t>
      </w:r>
      <w:r w:rsidRPr="007C209B">
        <w:rPr>
          <w:szCs w:val="28"/>
        </w:rPr>
        <w:tab/>
      </w:r>
      <w:r w:rsidR="00F6303B" w:rsidRPr="007C209B">
        <w:rPr>
          <w:b/>
          <w:szCs w:val="28"/>
        </w:rPr>
        <w:t xml:space="preserve">The Committee recommends that the State party take all </w:t>
      </w:r>
      <w:r w:rsidR="00845392">
        <w:rPr>
          <w:b/>
          <w:szCs w:val="28"/>
        </w:rPr>
        <w:t xml:space="preserve">the </w:t>
      </w:r>
      <w:r w:rsidR="00F6303B" w:rsidRPr="007C209B">
        <w:rPr>
          <w:b/>
          <w:szCs w:val="28"/>
        </w:rPr>
        <w:t xml:space="preserve">measures </w:t>
      </w:r>
      <w:r w:rsidR="00845392" w:rsidRPr="007C209B">
        <w:rPr>
          <w:b/>
          <w:szCs w:val="28"/>
        </w:rPr>
        <w:t xml:space="preserve">necessary </w:t>
      </w:r>
      <w:r w:rsidR="00F6303B" w:rsidRPr="007C209B">
        <w:rPr>
          <w:b/>
          <w:szCs w:val="28"/>
        </w:rPr>
        <w:t>to strengthen enforcement of the Act, including by conducting training for law enforcement officials and judges on the application of the Act and awareness-raising campaigns for the public.</w:t>
      </w:r>
    </w:p>
    <w:p w:rsidR="00F6303B" w:rsidRPr="007C209B" w:rsidRDefault="008222AC" w:rsidP="00392ECC">
      <w:pPr>
        <w:pStyle w:val="H23G"/>
      </w:pPr>
      <w:r>
        <w:tab/>
      </w:r>
      <w:r>
        <w:tab/>
      </w:r>
      <w:r w:rsidR="00F6303B" w:rsidRPr="007C209B">
        <w:t>Female genital mutilation</w:t>
      </w:r>
    </w:p>
    <w:p w:rsidR="00F6303B" w:rsidRPr="007C209B" w:rsidRDefault="003616E3" w:rsidP="003616E3">
      <w:pPr>
        <w:pStyle w:val="SingleTxtG"/>
        <w:tabs>
          <w:tab w:val="left" w:pos="1701"/>
        </w:tabs>
        <w:rPr>
          <w:szCs w:val="28"/>
        </w:rPr>
      </w:pPr>
      <w:r w:rsidRPr="007C209B">
        <w:rPr>
          <w:szCs w:val="28"/>
        </w:rPr>
        <w:t>39.</w:t>
      </w:r>
      <w:r w:rsidRPr="007C209B">
        <w:rPr>
          <w:szCs w:val="28"/>
        </w:rPr>
        <w:tab/>
      </w:r>
      <w:r w:rsidR="00F6303B" w:rsidRPr="007C209B">
        <w:rPr>
          <w:szCs w:val="28"/>
        </w:rPr>
        <w:t xml:space="preserve">The Committee remains concerned that, despite the </w:t>
      </w:r>
      <w:r w:rsidR="008F5C72">
        <w:rPr>
          <w:szCs w:val="28"/>
        </w:rPr>
        <w:t xml:space="preserve">fact that </w:t>
      </w:r>
      <w:r w:rsidR="00183141" w:rsidRPr="007C209B">
        <w:rPr>
          <w:szCs w:val="28"/>
        </w:rPr>
        <w:t>female genital mutilation</w:t>
      </w:r>
      <w:r w:rsidR="008F5C72" w:rsidRPr="008F5C72">
        <w:rPr>
          <w:szCs w:val="28"/>
        </w:rPr>
        <w:t xml:space="preserve"> </w:t>
      </w:r>
      <w:r w:rsidR="008F5C72">
        <w:rPr>
          <w:szCs w:val="28"/>
        </w:rPr>
        <w:t xml:space="preserve">tends to be </w:t>
      </w:r>
      <w:r w:rsidR="008F5C72" w:rsidRPr="007C209B">
        <w:rPr>
          <w:szCs w:val="28"/>
        </w:rPr>
        <w:t>gradually decreasing</w:t>
      </w:r>
      <w:r w:rsidR="00F6303B" w:rsidRPr="007C209B">
        <w:rPr>
          <w:szCs w:val="28"/>
        </w:rPr>
        <w:t>, it is still rampant, particularly in the North Eastern region</w:t>
      </w:r>
      <w:r w:rsidR="002A4D73">
        <w:rPr>
          <w:szCs w:val="28"/>
        </w:rPr>
        <w:t>,</w:t>
      </w:r>
      <w:r w:rsidR="00F6303B" w:rsidRPr="007C209B">
        <w:rPr>
          <w:szCs w:val="28"/>
        </w:rPr>
        <w:t xml:space="preserve"> where the prevalence rate is 97.5</w:t>
      </w:r>
      <w:r w:rsidR="0036227D">
        <w:rPr>
          <w:szCs w:val="28"/>
        </w:rPr>
        <w:t xml:space="preserve"> per cent</w:t>
      </w:r>
      <w:r w:rsidR="008F5C72">
        <w:rPr>
          <w:szCs w:val="28"/>
        </w:rPr>
        <w:t>,</w:t>
      </w:r>
      <w:r w:rsidR="0036227D" w:rsidRPr="007C209B">
        <w:rPr>
          <w:szCs w:val="28"/>
        </w:rPr>
        <w:t xml:space="preserve"> </w:t>
      </w:r>
      <w:r w:rsidR="00F6303B" w:rsidRPr="007C209B">
        <w:rPr>
          <w:szCs w:val="28"/>
        </w:rPr>
        <w:t>and that the perpetrators are rarely convicted and punished under the Prohibition of Female Genital Mutilation Act (art.</w:t>
      </w:r>
      <w:r w:rsidR="008F5C72">
        <w:rPr>
          <w:szCs w:val="28"/>
        </w:rPr>
        <w:t> </w:t>
      </w:r>
      <w:r w:rsidR="00F6303B" w:rsidRPr="007C209B">
        <w:rPr>
          <w:szCs w:val="28"/>
        </w:rPr>
        <w:t>10).</w:t>
      </w:r>
    </w:p>
    <w:p w:rsidR="00F6303B" w:rsidRPr="007C209B" w:rsidRDefault="003616E3" w:rsidP="003616E3">
      <w:pPr>
        <w:pStyle w:val="SingleTxtG"/>
        <w:tabs>
          <w:tab w:val="left" w:pos="1701"/>
        </w:tabs>
        <w:rPr>
          <w:b/>
          <w:szCs w:val="28"/>
        </w:rPr>
      </w:pPr>
      <w:r w:rsidRPr="007C209B">
        <w:rPr>
          <w:szCs w:val="28"/>
        </w:rPr>
        <w:t>40.</w:t>
      </w:r>
      <w:r w:rsidRPr="007C209B">
        <w:rPr>
          <w:szCs w:val="28"/>
        </w:rPr>
        <w:tab/>
      </w:r>
      <w:r w:rsidR="00F6303B" w:rsidRPr="007C209B">
        <w:rPr>
          <w:b/>
          <w:szCs w:val="28"/>
        </w:rPr>
        <w:t>The Committee recommends that the State party intensify its effort</w:t>
      </w:r>
      <w:r w:rsidR="0036227D">
        <w:rPr>
          <w:b/>
          <w:szCs w:val="28"/>
        </w:rPr>
        <w:t>s</w:t>
      </w:r>
      <w:r w:rsidR="00F6303B" w:rsidRPr="007C209B">
        <w:rPr>
          <w:b/>
          <w:szCs w:val="28"/>
        </w:rPr>
        <w:t xml:space="preserve"> to prevent and eradicate </w:t>
      </w:r>
      <w:r w:rsidR="0036227D">
        <w:rPr>
          <w:b/>
          <w:szCs w:val="28"/>
        </w:rPr>
        <w:t>female genital mutilation</w:t>
      </w:r>
      <w:r w:rsidR="0036227D" w:rsidRPr="007C209B">
        <w:rPr>
          <w:b/>
          <w:szCs w:val="28"/>
        </w:rPr>
        <w:t xml:space="preserve"> </w:t>
      </w:r>
      <w:r w:rsidR="00F6303B" w:rsidRPr="007C209B">
        <w:rPr>
          <w:b/>
          <w:szCs w:val="28"/>
        </w:rPr>
        <w:t xml:space="preserve">and other harmful traditional practices, </w:t>
      </w:r>
      <w:r w:rsidR="002A4D73">
        <w:rPr>
          <w:b/>
          <w:szCs w:val="28"/>
        </w:rPr>
        <w:t>by</w:t>
      </w:r>
      <w:r w:rsidR="002A4D73" w:rsidRPr="007C209B">
        <w:rPr>
          <w:b/>
          <w:szCs w:val="28"/>
        </w:rPr>
        <w:t xml:space="preserve"> </w:t>
      </w:r>
      <w:r w:rsidR="00F6303B" w:rsidRPr="007C209B">
        <w:rPr>
          <w:b/>
          <w:szCs w:val="28"/>
        </w:rPr>
        <w:t xml:space="preserve">strengthening the enforcement of relevant legislation and enhancing awareness-raising campaigns on the negative impact of </w:t>
      </w:r>
      <w:r w:rsidR="0036227D">
        <w:rPr>
          <w:b/>
          <w:szCs w:val="28"/>
        </w:rPr>
        <w:t xml:space="preserve">female </w:t>
      </w:r>
      <w:r w:rsidR="00F6303B" w:rsidRPr="007C209B">
        <w:rPr>
          <w:b/>
          <w:szCs w:val="28"/>
        </w:rPr>
        <w:t>genital mutilation</w:t>
      </w:r>
      <w:r w:rsidR="002A4D73">
        <w:rPr>
          <w:b/>
          <w:szCs w:val="28"/>
        </w:rPr>
        <w:t>,</w:t>
      </w:r>
      <w:r w:rsidR="00F6303B" w:rsidRPr="007C209B">
        <w:rPr>
          <w:b/>
          <w:szCs w:val="28"/>
        </w:rPr>
        <w:t xml:space="preserve"> particularly at the community level, </w:t>
      </w:r>
      <w:r w:rsidR="0036227D">
        <w:rPr>
          <w:b/>
          <w:szCs w:val="28"/>
        </w:rPr>
        <w:t>with a view to abandoning the practice</w:t>
      </w:r>
      <w:r w:rsidR="00F6303B" w:rsidRPr="007C209B">
        <w:rPr>
          <w:b/>
          <w:szCs w:val="28"/>
        </w:rPr>
        <w:t>.</w:t>
      </w:r>
    </w:p>
    <w:p w:rsidR="00F6303B" w:rsidRPr="007C209B" w:rsidRDefault="008222AC" w:rsidP="00392ECC">
      <w:pPr>
        <w:pStyle w:val="H23G"/>
      </w:pPr>
      <w:r>
        <w:tab/>
      </w:r>
      <w:r>
        <w:tab/>
      </w:r>
      <w:r w:rsidR="00F6303B" w:rsidRPr="007C209B">
        <w:t>Poverty</w:t>
      </w:r>
    </w:p>
    <w:p w:rsidR="00F6303B" w:rsidRPr="007C209B" w:rsidRDefault="003616E3" w:rsidP="003616E3">
      <w:pPr>
        <w:pStyle w:val="SingleTxtG"/>
        <w:tabs>
          <w:tab w:val="left" w:pos="1701"/>
        </w:tabs>
        <w:rPr>
          <w:szCs w:val="28"/>
        </w:rPr>
      </w:pPr>
      <w:r w:rsidRPr="007C209B">
        <w:rPr>
          <w:szCs w:val="28"/>
        </w:rPr>
        <w:t>41.</w:t>
      </w:r>
      <w:r w:rsidRPr="007C209B">
        <w:rPr>
          <w:szCs w:val="28"/>
        </w:rPr>
        <w:tab/>
      </w:r>
      <w:r w:rsidR="00F6303B" w:rsidRPr="007C209B">
        <w:rPr>
          <w:szCs w:val="28"/>
        </w:rPr>
        <w:t xml:space="preserve">The Committee is concerned at the high percentage of people living under the poverty line and </w:t>
      </w:r>
      <w:r w:rsidR="00F3067E" w:rsidRPr="007C209B">
        <w:rPr>
          <w:szCs w:val="28"/>
        </w:rPr>
        <w:t xml:space="preserve">the failure of the State party to </w:t>
      </w:r>
      <w:r w:rsidR="005325ED" w:rsidRPr="007C209B">
        <w:rPr>
          <w:szCs w:val="28"/>
        </w:rPr>
        <w:t xml:space="preserve">significantly </w:t>
      </w:r>
      <w:r w:rsidR="00F3067E" w:rsidRPr="007C209B">
        <w:rPr>
          <w:szCs w:val="28"/>
        </w:rPr>
        <w:t xml:space="preserve">reduce the </w:t>
      </w:r>
      <w:r w:rsidR="00183141" w:rsidRPr="007C209B">
        <w:rPr>
          <w:szCs w:val="28"/>
        </w:rPr>
        <w:t xml:space="preserve">poverty rate </w:t>
      </w:r>
      <w:r w:rsidR="00F6303B" w:rsidRPr="007C209B">
        <w:rPr>
          <w:szCs w:val="28"/>
        </w:rPr>
        <w:t>(art.</w:t>
      </w:r>
      <w:r w:rsidR="008222AC">
        <w:rPr>
          <w:szCs w:val="28"/>
        </w:rPr>
        <w:t> </w:t>
      </w:r>
      <w:r w:rsidR="00F6303B" w:rsidRPr="007C209B">
        <w:rPr>
          <w:szCs w:val="28"/>
        </w:rPr>
        <w:t xml:space="preserve">11). </w:t>
      </w:r>
    </w:p>
    <w:p w:rsidR="00F6303B" w:rsidRPr="007C209B" w:rsidRDefault="003616E3" w:rsidP="003616E3">
      <w:pPr>
        <w:pStyle w:val="SingleTxtG"/>
        <w:tabs>
          <w:tab w:val="left" w:pos="1701"/>
        </w:tabs>
        <w:rPr>
          <w:b/>
          <w:spacing w:val="-2"/>
          <w:szCs w:val="28"/>
        </w:rPr>
      </w:pPr>
      <w:r w:rsidRPr="007C209B">
        <w:rPr>
          <w:spacing w:val="-2"/>
          <w:szCs w:val="28"/>
        </w:rPr>
        <w:t>42.</w:t>
      </w:r>
      <w:r w:rsidRPr="007C209B">
        <w:rPr>
          <w:spacing w:val="-2"/>
          <w:szCs w:val="28"/>
        </w:rPr>
        <w:tab/>
      </w:r>
      <w:r w:rsidR="00F6303B" w:rsidRPr="007C209B">
        <w:rPr>
          <w:b/>
          <w:szCs w:val="28"/>
        </w:rPr>
        <w:t>The Committee recommends that the State party intensify its efforts to eradicate poverty, including through the comprehensive analysis of the needs of the most disadvantaged and marginalized individuals and groups</w:t>
      </w:r>
      <w:r w:rsidR="007D6BC8" w:rsidRPr="007C209B">
        <w:rPr>
          <w:b/>
          <w:szCs w:val="28"/>
        </w:rPr>
        <w:t xml:space="preserve"> </w:t>
      </w:r>
      <w:r w:rsidR="00F6303B" w:rsidRPr="007C209B">
        <w:rPr>
          <w:b/>
          <w:szCs w:val="28"/>
        </w:rPr>
        <w:t>and adoption of concrete and targeted measures</w:t>
      </w:r>
      <w:r w:rsidR="007D6BC8" w:rsidRPr="007C209B">
        <w:rPr>
          <w:b/>
          <w:szCs w:val="28"/>
        </w:rPr>
        <w:t xml:space="preserve"> to address them</w:t>
      </w:r>
      <w:r w:rsidR="00F6303B" w:rsidRPr="007C209B">
        <w:rPr>
          <w:b/>
          <w:szCs w:val="28"/>
        </w:rPr>
        <w:t>.</w:t>
      </w:r>
    </w:p>
    <w:p w:rsidR="009402CD" w:rsidRPr="007C209B" w:rsidRDefault="008222AC" w:rsidP="00392ECC">
      <w:pPr>
        <w:pStyle w:val="H23G"/>
      </w:pPr>
      <w:r>
        <w:tab/>
      </w:r>
      <w:r>
        <w:tab/>
      </w:r>
      <w:r w:rsidR="009402CD" w:rsidRPr="007C209B">
        <w:t>Adequate food and malnutrition</w:t>
      </w:r>
    </w:p>
    <w:p w:rsidR="009402CD" w:rsidRPr="007C209B" w:rsidRDefault="003616E3" w:rsidP="003616E3">
      <w:pPr>
        <w:pStyle w:val="SingleTxtG"/>
        <w:tabs>
          <w:tab w:val="left" w:pos="1701"/>
        </w:tabs>
        <w:rPr>
          <w:szCs w:val="28"/>
        </w:rPr>
      </w:pPr>
      <w:r w:rsidRPr="007C209B">
        <w:rPr>
          <w:szCs w:val="28"/>
        </w:rPr>
        <w:t>43.</w:t>
      </w:r>
      <w:r w:rsidRPr="007C209B">
        <w:rPr>
          <w:szCs w:val="28"/>
        </w:rPr>
        <w:tab/>
      </w:r>
      <w:r w:rsidR="009402CD" w:rsidRPr="007C209B">
        <w:rPr>
          <w:szCs w:val="28"/>
        </w:rPr>
        <w:t xml:space="preserve">The Committee is concerned at the prevalence of chronic malnutrition and the high level of stunting, particularly </w:t>
      </w:r>
      <w:r w:rsidR="00182C09">
        <w:rPr>
          <w:szCs w:val="28"/>
        </w:rPr>
        <w:t xml:space="preserve">among children and those living </w:t>
      </w:r>
      <w:r w:rsidR="009402CD" w:rsidRPr="007C209B">
        <w:rPr>
          <w:szCs w:val="28"/>
        </w:rPr>
        <w:t xml:space="preserve">in arid and semi-arid areas (art. 11). </w:t>
      </w:r>
    </w:p>
    <w:p w:rsidR="009402CD" w:rsidRPr="007C209B" w:rsidRDefault="003616E3" w:rsidP="003616E3">
      <w:pPr>
        <w:pStyle w:val="SingleTxtG"/>
        <w:tabs>
          <w:tab w:val="left" w:pos="1701"/>
        </w:tabs>
        <w:rPr>
          <w:b/>
          <w:szCs w:val="28"/>
        </w:rPr>
      </w:pPr>
      <w:r w:rsidRPr="007C209B">
        <w:rPr>
          <w:szCs w:val="28"/>
        </w:rPr>
        <w:t>44.</w:t>
      </w:r>
      <w:r w:rsidRPr="007C209B">
        <w:rPr>
          <w:szCs w:val="28"/>
        </w:rPr>
        <w:tab/>
      </w:r>
      <w:r w:rsidR="009402CD" w:rsidRPr="007C209B">
        <w:rPr>
          <w:b/>
          <w:szCs w:val="28"/>
        </w:rPr>
        <w:t xml:space="preserve">The Committee recommends that the </w:t>
      </w:r>
      <w:r w:rsidR="008F5C72">
        <w:rPr>
          <w:b/>
          <w:szCs w:val="28"/>
        </w:rPr>
        <w:t>S</w:t>
      </w:r>
      <w:r w:rsidR="009402CD" w:rsidRPr="007C209B">
        <w:rPr>
          <w:b/>
          <w:szCs w:val="28"/>
        </w:rPr>
        <w:t xml:space="preserve">tate party take </w:t>
      </w:r>
      <w:r w:rsidR="0036227D">
        <w:rPr>
          <w:b/>
          <w:szCs w:val="28"/>
        </w:rPr>
        <w:t xml:space="preserve">the </w:t>
      </w:r>
      <w:r w:rsidR="009402CD" w:rsidRPr="007C209B">
        <w:rPr>
          <w:b/>
          <w:szCs w:val="28"/>
        </w:rPr>
        <w:t xml:space="preserve">steps </w:t>
      </w:r>
      <w:r w:rsidR="0036227D">
        <w:rPr>
          <w:b/>
          <w:szCs w:val="28"/>
        </w:rPr>
        <w:t xml:space="preserve">necessary </w:t>
      </w:r>
      <w:r w:rsidR="009402CD" w:rsidRPr="007C209B">
        <w:rPr>
          <w:b/>
          <w:szCs w:val="28"/>
        </w:rPr>
        <w:t>to address chronic food insecurity, chronic</w:t>
      </w:r>
      <w:r w:rsidR="00CF77B5">
        <w:rPr>
          <w:b/>
          <w:szCs w:val="28"/>
        </w:rPr>
        <w:t xml:space="preserve"> </w:t>
      </w:r>
      <w:r w:rsidR="009402CD" w:rsidRPr="007C209B">
        <w:rPr>
          <w:b/>
          <w:szCs w:val="28"/>
        </w:rPr>
        <w:t>malnutrition</w:t>
      </w:r>
      <w:r w:rsidR="00CF77B5">
        <w:rPr>
          <w:b/>
          <w:szCs w:val="28"/>
        </w:rPr>
        <w:t xml:space="preserve"> </w:t>
      </w:r>
      <w:r w:rsidR="009402CD" w:rsidRPr="007C209B">
        <w:rPr>
          <w:b/>
          <w:szCs w:val="28"/>
        </w:rPr>
        <w:t xml:space="preserve">and the critical nutritional needs of children, particularly in arid and semi-arid areas, including the adoption of a national action plan on food security and nutrition in line with </w:t>
      </w:r>
      <w:r w:rsidR="00183141" w:rsidRPr="007C209B">
        <w:rPr>
          <w:b/>
          <w:szCs w:val="28"/>
        </w:rPr>
        <w:t>the Committee’s general comment No.</w:t>
      </w:r>
      <w:r w:rsidR="008222AC">
        <w:rPr>
          <w:b/>
          <w:szCs w:val="28"/>
        </w:rPr>
        <w:t> </w:t>
      </w:r>
      <w:r w:rsidR="00183141" w:rsidRPr="007C209B">
        <w:rPr>
          <w:b/>
          <w:szCs w:val="28"/>
        </w:rPr>
        <w:t xml:space="preserve">12 </w:t>
      </w:r>
      <w:r w:rsidR="0036227D" w:rsidRPr="007C209B">
        <w:rPr>
          <w:b/>
          <w:szCs w:val="28"/>
        </w:rPr>
        <w:t>(1999)</w:t>
      </w:r>
      <w:r w:rsidR="0036227D">
        <w:rPr>
          <w:b/>
          <w:szCs w:val="28"/>
        </w:rPr>
        <w:t xml:space="preserve"> </w:t>
      </w:r>
      <w:r w:rsidR="00430C86">
        <w:rPr>
          <w:b/>
          <w:szCs w:val="28"/>
        </w:rPr>
        <w:t>on</w:t>
      </w:r>
      <w:r w:rsidR="00183141" w:rsidRPr="007C209B">
        <w:rPr>
          <w:b/>
          <w:szCs w:val="28"/>
        </w:rPr>
        <w:t xml:space="preserve"> the right to adequate food </w:t>
      </w:r>
      <w:r w:rsidR="00430C86">
        <w:rPr>
          <w:b/>
          <w:szCs w:val="28"/>
        </w:rPr>
        <w:t xml:space="preserve">and </w:t>
      </w:r>
      <w:r w:rsidR="009402CD" w:rsidRPr="007C209B">
        <w:rPr>
          <w:b/>
          <w:szCs w:val="28"/>
        </w:rPr>
        <w:t xml:space="preserve">the 2004 Voluntary Guidelines to </w:t>
      </w:r>
      <w:r w:rsidR="0036227D">
        <w:rPr>
          <w:b/>
          <w:szCs w:val="28"/>
        </w:rPr>
        <w:t>s</w:t>
      </w:r>
      <w:r w:rsidR="009402CD" w:rsidRPr="007C209B">
        <w:rPr>
          <w:b/>
          <w:szCs w:val="28"/>
        </w:rPr>
        <w:t xml:space="preserve">upport the </w:t>
      </w:r>
      <w:r w:rsidR="0036227D">
        <w:rPr>
          <w:b/>
          <w:szCs w:val="28"/>
        </w:rPr>
        <w:t>p</w:t>
      </w:r>
      <w:r w:rsidR="009402CD" w:rsidRPr="007C209B">
        <w:rPr>
          <w:b/>
          <w:szCs w:val="28"/>
        </w:rPr>
        <w:t xml:space="preserve">rogressive </w:t>
      </w:r>
      <w:r w:rsidR="00BB3D40">
        <w:rPr>
          <w:b/>
          <w:szCs w:val="28"/>
        </w:rPr>
        <w:t>r</w:t>
      </w:r>
      <w:r w:rsidR="009402CD" w:rsidRPr="007C209B">
        <w:rPr>
          <w:b/>
          <w:szCs w:val="28"/>
        </w:rPr>
        <w:t xml:space="preserve">ealization of the </w:t>
      </w:r>
      <w:r w:rsidR="00BB3D40">
        <w:rPr>
          <w:b/>
          <w:szCs w:val="28"/>
        </w:rPr>
        <w:t>r</w:t>
      </w:r>
      <w:r w:rsidR="009402CD" w:rsidRPr="007C209B">
        <w:rPr>
          <w:b/>
          <w:szCs w:val="28"/>
        </w:rPr>
        <w:t xml:space="preserve">ight to </w:t>
      </w:r>
      <w:r w:rsidR="00BB3D40">
        <w:rPr>
          <w:b/>
          <w:szCs w:val="28"/>
        </w:rPr>
        <w:t>a</w:t>
      </w:r>
      <w:r w:rsidR="009402CD" w:rsidRPr="007C209B">
        <w:rPr>
          <w:b/>
          <w:szCs w:val="28"/>
        </w:rPr>
        <w:t xml:space="preserve">dequate </w:t>
      </w:r>
      <w:r w:rsidR="00BB3D40">
        <w:rPr>
          <w:b/>
          <w:szCs w:val="28"/>
        </w:rPr>
        <w:t>f</w:t>
      </w:r>
      <w:r w:rsidR="009402CD" w:rsidRPr="007C209B">
        <w:rPr>
          <w:b/>
          <w:szCs w:val="28"/>
        </w:rPr>
        <w:t xml:space="preserve">ood in the </w:t>
      </w:r>
      <w:r w:rsidR="00BB3D40">
        <w:rPr>
          <w:b/>
          <w:szCs w:val="28"/>
        </w:rPr>
        <w:t>c</w:t>
      </w:r>
      <w:r w:rsidR="009402CD" w:rsidRPr="007C209B">
        <w:rPr>
          <w:b/>
          <w:szCs w:val="28"/>
        </w:rPr>
        <w:t xml:space="preserve">ontext of </w:t>
      </w:r>
      <w:r w:rsidR="00BB3D40">
        <w:rPr>
          <w:b/>
          <w:szCs w:val="28"/>
        </w:rPr>
        <w:t>n</w:t>
      </w:r>
      <w:r w:rsidR="009402CD" w:rsidRPr="007C209B">
        <w:rPr>
          <w:b/>
          <w:szCs w:val="28"/>
        </w:rPr>
        <w:t xml:space="preserve">ational </w:t>
      </w:r>
      <w:r w:rsidR="00BB3D40">
        <w:rPr>
          <w:b/>
          <w:szCs w:val="28"/>
        </w:rPr>
        <w:t>f</w:t>
      </w:r>
      <w:r w:rsidR="009402CD" w:rsidRPr="007C209B">
        <w:rPr>
          <w:b/>
          <w:szCs w:val="28"/>
        </w:rPr>
        <w:t xml:space="preserve">ood </w:t>
      </w:r>
      <w:r w:rsidR="00BB3D40">
        <w:rPr>
          <w:b/>
          <w:szCs w:val="28"/>
        </w:rPr>
        <w:t>s</w:t>
      </w:r>
      <w:r w:rsidR="009402CD" w:rsidRPr="007C209B">
        <w:rPr>
          <w:b/>
          <w:szCs w:val="28"/>
        </w:rPr>
        <w:t>ecurity.</w:t>
      </w:r>
    </w:p>
    <w:p w:rsidR="00F6303B" w:rsidRPr="007C209B" w:rsidRDefault="008222AC" w:rsidP="00392ECC">
      <w:pPr>
        <w:pStyle w:val="H23G"/>
      </w:pPr>
      <w:r>
        <w:tab/>
      </w:r>
      <w:r>
        <w:tab/>
      </w:r>
      <w:r w:rsidR="00F6303B" w:rsidRPr="007C209B">
        <w:t>Right to housing</w:t>
      </w:r>
    </w:p>
    <w:p w:rsidR="00F6303B" w:rsidRPr="007C209B" w:rsidRDefault="003616E3" w:rsidP="003616E3">
      <w:pPr>
        <w:pStyle w:val="SingleTxtG"/>
        <w:tabs>
          <w:tab w:val="left" w:pos="1701"/>
        </w:tabs>
        <w:rPr>
          <w:szCs w:val="28"/>
        </w:rPr>
      </w:pPr>
      <w:r w:rsidRPr="007C209B">
        <w:rPr>
          <w:szCs w:val="28"/>
        </w:rPr>
        <w:t>45.</w:t>
      </w:r>
      <w:r w:rsidRPr="007C209B">
        <w:rPr>
          <w:szCs w:val="28"/>
        </w:rPr>
        <w:tab/>
      </w:r>
      <w:r w:rsidR="00F6303B" w:rsidRPr="007C209B">
        <w:rPr>
          <w:szCs w:val="28"/>
        </w:rPr>
        <w:t>The Committee is concerned at the lack of effective measures to provide social housing for low-income families, at the large proportion of the population living in informal settlements in poor living conditions with limited access to basic services, including water and sanitation, health</w:t>
      </w:r>
      <w:r w:rsidR="00BB3D40">
        <w:rPr>
          <w:szCs w:val="28"/>
        </w:rPr>
        <w:t xml:space="preserve"> </w:t>
      </w:r>
      <w:r w:rsidR="00F6303B" w:rsidRPr="007C209B">
        <w:rPr>
          <w:szCs w:val="28"/>
        </w:rPr>
        <w:t>care and education (art. 11).</w:t>
      </w:r>
    </w:p>
    <w:p w:rsidR="00F6303B" w:rsidRPr="007C209B" w:rsidRDefault="003616E3" w:rsidP="003616E3">
      <w:pPr>
        <w:pStyle w:val="SingleTxtG"/>
        <w:tabs>
          <w:tab w:val="left" w:pos="1701"/>
        </w:tabs>
        <w:rPr>
          <w:szCs w:val="28"/>
        </w:rPr>
      </w:pPr>
      <w:r w:rsidRPr="007C209B">
        <w:rPr>
          <w:szCs w:val="28"/>
        </w:rPr>
        <w:t>46.</w:t>
      </w:r>
      <w:r w:rsidRPr="007C209B">
        <w:rPr>
          <w:szCs w:val="28"/>
        </w:rPr>
        <w:tab/>
      </w:r>
      <w:r w:rsidR="00F6303B" w:rsidRPr="007C209B">
        <w:rPr>
          <w:b/>
          <w:szCs w:val="28"/>
        </w:rPr>
        <w:t xml:space="preserve">The Committee recommends that the State party take all </w:t>
      </w:r>
      <w:r w:rsidR="00BB3D40">
        <w:rPr>
          <w:b/>
          <w:szCs w:val="28"/>
        </w:rPr>
        <w:t xml:space="preserve">the </w:t>
      </w:r>
      <w:r w:rsidR="00F6303B" w:rsidRPr="007C209B">
        <w:rPr>
          <w:b/>
          <w:szCs w:val="28"/>
        </w:rPr>
        <w:t xml:space="preserve">measures </w:t>
      </w:r>
      <w:r w:rsidR="00BB3D40" w:rsidRPr="007C209B">
        <w:rPr>
          <w:b/>
          <w:szCs w:val="28"/>
        </w:rPr>
        <w:t xml:space="preserve">necessary </w:t>
      </w:r>
      <w:r w:rsidR="00F6303B" w:rsidRPr="007C209B">
        <w:rPr>
          <w:b/>
          <w:szCs w:val="28"/>
        </w:rPr>
        <w:t xml:space="preserve">to provide affordable social housing units for low-income families and to improve living conditions </w:t>
      </w:r>
      <w:r w:rsidR="006C25B1" w:rsidRPr="007C209B">
        <w:rPr>
          <w:b/>
          <w:szCs w:val="28"/>
        </w:rPr>
        <w:t xml:space="preserve">in </w:t>
      </w:r>
      <w:r w:rsidR="00F6303B" w:rsidRPr="007C209B">
        <w:rPr>
          <w:b/>
          <w:szCs w:val="28"/>
        </w:rPr>
        <w:t xml:space="preserve">informal settlements, including through the adoption of the Housing </w:t>
      </w:r>
      <w:r w:rsidR="00BB3D40">
        <w:rPr>
          <w:b/>
          <w:szCs w:val="28"/>
        </w:rPr>
        <w:t>Act,</w:t>
      </w:r>
      <w:r w:rsidR="00F6303B" w:rsidRPr="007C209B">
        <w:rPr>
          <w:b/>
          <w:szCs w:val="28"/>
        </w:rPr>
        <w:t xml:space="preserve"> </w:t>
      </w:r>
      <w:r w:rsidR="00430C86">
        <w:rPr>
          <w:b/>
          <w:szCs w:val="28"/>
        </w:rPr>
        <w:t xml:space="preserve">the Community Land Bill </w:t>
      </w:r>
      <w:r w:rsidR="00F6303B" w:rsidRPr="007C209B">
        <w:rPr>
          <w:b/>
          <w:szCs w:val="28"/>
        </w:rPr>
        <w:t>and the National Slum Upgrading and Preventi</w:t>
      </w:r>
      <w:r w:rsidR="00BB3D40">
        <w:rPr>
          <w:b/>
          <w:szCs w:val="28"/>
        </w:rPr>
        <w:t>o</w:t>
      </w:r>
      <w:r w:rsidR="00F6303B" w:rsidRPr="007C209B">
        <w:rPr>
          <w:b/>
          <w:szCs w:val="28"/>
        </w:rPr>
        <w:t>n Policy, and allocate sufficient budgetary resources to ensure the implementation of such measures</w:t>
      </w:r>
      <w:r w:rsidR="00F6303B" w:rsidRPr="007C209B">
        <w:rPr>
          <w:b/>
          <w:bCs/>
          <w:szCs w:val="28"/>
        </w:rPr>
        <w:t>.</w:t>
      </w:r>
    </w:p>
    <w:p w:rsidR="00F6303B" w:rsidRPr="007C209B" w:rsidRDefault="008222AC" w:rsidP="00392ECC">
      <w:pPr>
        <w:pStyle w:val="H23G"/>
      </w:pPr>
      <w:r>
        <w:tab/>
      </w:r>
      <w:r>
        <w:tab/>
      </w:r>
      <w:r w:rsidR="00F6303B" w:rsidRPr="007C209B">
        <w:t>Forced evictions</w:t>
      </w:r>
    </w:p>
    <w:p w:rsidR="00F6303B" w:rsidRPr="007C209B" w:rsidRDefault="003616E3" w:rsidP="003616E3">
      <w:pPr>
        <w:pStyle w:val="SingleTxtG"/>
        <w:tabs>
          <w:tab w:val="left" w:pos="1701"/>
        </w:tabs>
        <w:rPr>
          <w:szCs w:val="28"/>
        </w:rPr>
      </w:pPr>
      <w:r w:rsidRPr="007C209B">
        <w:rPr>
          <w:szCs w:val="28"/>
        </w:rPr>
        <w:t>47.</w:t>
      </w:r>
      <w:r w:rsidRPr="007C209B">
        <w:rPr>
          <w:szCs w:val="28"/>
        </w:rPr>
        <w:tab/>
      </w:r>
      <w:r w:rsidR="00F6303B" w:rsidRPr="007C209B">
        <w:rPr>
          <w:szCs w:val="28"/>
        </w:rPr>
        <w:t xml:space="preserve">The Committee reiterates its concerns that pastoralist communities and persons living in informal settlements are under constant threat of eviction due to the lack of legal security of tenure and that forced evictions continue without prior notice and provision of adequate alternative housing or compensation. It is also concerned that the State party has not yet </w:t>
      </w:r>
      <w:r w:rsidR="008134C2">
        <w:rPr>
          <w:szCs w:val="28"/>
        </w:rPr>
        <w:t>enact</w:t>
      </w:r>
      <w:r w:rsidR="00F6303B" w:rsidRPr="007C209B">
        <w:rPr>
          <w:szCs w:val="28"/>
        </w:rPr>
        <w:t xml:space="preserve">ed a legislative framework to </w:t>
      </w:r>
      <w:r w:rsidR="00706A1D">
        <w:rPr>
          <w:szCs w:val="28"/>
        </w:rPr>
        <w:t xml:space="preserve">recognize </w:t>
      </w:r>
      <w:r w:rsidR="008134C2">
        <w:rPr>
          <w:szCs w:val="28"/>
        </w:rPr>
        <w:t xml:space="preserve">and protect </w:t>
      </w:r>
      <w:r w:rsidR="00706A1D" w:rsidRPr="00706A1D">
        <w:rPr>
          <w:szCs w:val="28"/>
        </w:rPr>
        <w:t xml:space="preserve">communities’ right to land </w:t>
      </w:r>
      <w:r w:rsidR="00706A1D">
        <w:rPr>
          <w:szCs w:val="28"/>
        </w:rPr>
        <w:t xml:space="preserve">and to </w:t>
      </w:r>
      <w:r w:rsidR="00F6303B" w:rsidRPr="007C209B">
        <w:rPr>
          <w:szCs w:val="28"/>
        </w:rPr>
        <w:t>explicitly prohibit forced evictions and define the circumstances and safeguards subject to which evictions may be carried out, despite the decisions of its own domestic courts (art. 11).</w:t>
      </w:r>
    </w:p>
    <w:p w:rsidR="00F6303B" w:rsidRPr="007C209B" w:rsidRDefault="003616E3" w:rsidP="003616E3">
      <w:pPr>
        <w:pStyle w:val="SingleTxtG"/>
        <w:tabs>
          <w:tab w:val="left" w:pos="1701"/>
        </w:tabs>
        <w:suppressAutoHyphens w:val="0"/>
        <w:spacing w:line="240" w:lineRule="auto"/>
        <w:rPr>
          <w:b/>
          <w:szCs w:val="28"/>
        </w:rPr>
      </w:pPr>
      <w:r w:rsidRPr="007C209B">
        <w:rPr>
          <w:szCs w:val="28"/>
        </w:rPr>
        <w:t>48.</w:t>
      </w:r>
      <w:r w:rsidRPr="007C209B">
        <w:rPr>
          <w:szCs w:val="28"/>
        </w:rPr>
        <w:tab/>
      </w:r>
      <w:r w:rsidR="00F6303B" w:rsidRPr="007C209B">
        <w:rPr>
          <w:b/>
          <w:szCs w:val="28"/>
        </w:rPr>
        <w:t xml:space="preserve">The Committee recommends that the State party take concrete steps to guarantee security of tenure for all, including residents of informal settlements. It also recommends that the State party prioritize the enactment of </w:t>
      </w:r>
      <w:r w:rsidR="00774861">
        <w:rPr>
          <w:b/>
          <w:szCs w:val="28"/>
        </w:rPr>
        <w:t xml:space="preserve">the Community Land Bill and </w:t>
      </w:r>
      <w:r w:rsidR="00F6303B" w:rsidRPr="007C209B">
        <w:rPr>
          <w:b/>
          <w:szCs w:val="28"/>
        </w:rPr>
        <w:t xml:space="preserve">the Evictions and Resettlement Bill. The Committee further recommends that the State party implement judicial orders that provide remedies to victims of forced evictions as a matter of priority and adopt a moratorium on mass evictions </w:t>
      </w:r>
      <w:r w:rsidR="00BB3D40">
        <w:rPr>
          <w:b/>
          <w:szCs w:val="28"/>
        </w:rPr>
        <w:t xml:space="preserve">at the national level </w:t>
      </w:r>
      <w:r w:rsidR="00F6303B" w:rsidRPr="007C209B">
        <w:rPr>
          <w:b/>
          <w:szCs w:val="28"/>
        </w:rPr>
        <w:t>until adequate legal and procedural safeguards are in place. The Committee draws the attention of the State party to its general comment No. 7 (1997) on the right to adequate housing</w:t>
      </w:r>
      <w:r w:rsidR="00BB3D40">
        <w:rPr>
          <w:b/>
          <w:szCs w:val="28"/>
        </w:rPr>
        <w:t>: forced evictions</w:t>
      </w:r>
      <w:r w:rsidR="00F6303B" w:rsidRPr="007C209B">
        <w:rPr>
          <w:b/>
          <w:szCs w:val="28"/>
        </w:rPr>
        <w:t xml:space="preserve"> and the </w:t>
      </w:r>
      <w:r w:rsidR="00BB3D40" w:rsidRPr="007C209B">
        <w:rPr>
          <w:b/>
          <w:szCs w:val="28"/>
        </w:rPr>
        <w:t>2007</w:t>
      </w:r>
      <w:r w:rsidR="00BB3D40">
        <w:rPr>
          <w:b/>
          <w:szCs w:val="28"/>
        </w:rPr>
        <w:t xml:space="preserve"> </w:t>
      </w:r>
      <w:r w:rsidR="008F5C72">
        <w:rPr>
          <w:b/>
          <w:szCs w:val="28"/>
        </w:rPr>
        <w:t>b</w:t>
      </w:r>
      <w:r w:rsidR="00F6303B" w:rsidRPr="007C209B">
        <w:rPr>
          <w:b/>
          <w:szCs w:val="28"/>
        </w:rPr>
        <w:t xml:space="preserve">asic </w:t>
      </w:r>
      <w:r w:rsidR="00DD2B7F">
        <w:rPr>
          <w:b/>
          <w:szCs w:val="28"/>
        </w:rPr>
        <w:t>p</w:t>
      </w:r>
      <w:r w:rsidR="00F6303B" w:rsidRPr="007C209B">
        <w:rPr>
          <w:b/>
          <w:szCs w:val="28"/>
        </w:rPr>
        <w:t xml:space="preserve">rinciples and </w:t>
      </w:r>
      <w:r w:rsidR="00DD2B7F">
        <w:rPr>
          <w:b/>
          <w:szCs w:val="28"/>
        </w:rPr>
        <w:t>g</w:t>
      </w:r>
      <w:r w:rsidR="00F6303B" w:rsidRPr="007C209B">
        <w:rPr>
          <w:b/>
          <w:szCs w:val="28"/>
        </w:rPr>
        <w:t xml:space="preserve">uidelines on </w:t>
      </w:r>
      <w:r w:rsidR="00DD2B7F">
        <w:rPr>
          <w:b/>
          <w:szCs w:val="28"/>
        </w:rPr>
        <w:t>d</w:t>
      </w:r>
      <w:r w:rsidR="00F6303B" w:rsidRPr="007C209B">
        <w:rPr>
          <w:b/>
          <w:szCs w:val="28"/>
        </w:rPr>
        <w:t>evelopment-</w:t>
      </w:r>
      <w:r w:rsidR="00DD2B7F">
        <w:rPr>
          <w:b/>
          <w:szCs w:val="28"/>
        </w:rPr>
        <w:t>b</w:t>
      </w:r>
      <w:r w:rsidR="00F6303B" w:rsidRPr="007C209B">
        <w:rPr>
          <w:b/>
          <w:szCs w:val="28"/>
        </w:rPr>
        <w:t xml:space="preserve">ased </w:t>
      </w:r>
      <w:r w:rsidR="00DD2B7F">
        <w:rPr>
          <w:b/>
          <w:szCs w:val="28"/>
        </w:rPr>
        <w:t>e</w:t>
      </w:r>
      <w:r w:rsidR="00F6303B" w:rsidRPr="007C209B">
        <w:rPr>
          <w:b/>
          <w:szCs w:val="28"/>
        </w:rPr>
        <w:t xml:space="preserve">victions and </w:t>
      </w:r>
      <w:r w:rsidR="00DD2B7F">
        <w:rPr>
          <w:b/>
          <w:szCs w:val="28"/>
        </w:rPr>
        <w:t>d</w:t>
      </w:r>
      <w:r w:rsidR="00F6303B" w:rsidRPr="007C209B">
        <w:rPr>
          <w:b/>
          <w:szCs w:val="28"/>
        </w:rPr>
        <w:t>isplacement (A/HRC/4/18</w:t>
      </w:r>
      <w:r w:rsidR="00C65F9F" w:rsidRPr="007C209B">
        <w:rPr>
          <w:b/>
          <w:szCs w:val="28"/>
        </w:rPr>
        <w:t>)</w:t>
      </w:r>
      <w:r w:rsidR="00F6303B" w:rsidRPr="007C209B">
        <w:rPr>
          <w:b/>
          <w:szCs w:val="28"/>
        </w:rPr>
        <w:t>.</w:t>
      </w:r>
    </w:p>
    <w:p w:rsidR="00F6303B" w:rsidRPr="007C209B" w:rsidRDefault="008222AC" w:rsidP="00392ECC">
      <w:pPr>
        <w:pStyle w:val="H23G"/>
      </w:pPr>
      <w:r>
        <w:tab/>
      </w:r>
      <w:r>
        <w:tab/>
      </w:r>
      <w:r w:rsidR="00F6303B" w:rsidRPr="007C209B">
        <w:t>Water and sanitation</w:t>
      </w:r>
    </w:p>
    <w:p w:rsidR="00F6303B" w:rsidRPr="007C209B" w:rsidRDefault="003616E3" w:rsidP="003616E3">
      <w:pPr>
        <w:pStyle w:val="SingleTxtG"/>
        <w:tabs>
          <w:tab w:val="left" w:pos="1701"/>
        </w:tabs>
        <w:rPr>
          <w:szCs w:val="28"/>
        </w:rPr>
      </w:pPr>
      <w:r w:rsidRPr="007C209B">
        <w:rPr>
          <w:szCs w:val="28"/>
        </w:rPr>
        <w:t>49.</w:t>
      </w:r>
      <w:r w:rsidRPr="007C209B">
        <w:rPr>
          <w:szCs w:val="28"/>
        </w:rPr>
        <w:tab/>
      </w:r>
      <w:r w:rsidR="00F6303B" w:rsidRPr="007C209B">
        <w:rPr>
          <w:szCs w:val="28"/>
        </w:rPr>
        <w:t xml:space="preserve">The Committee is concerned at the </w:t>
      </w:r>
      <w:r w:rsidR="00430C86">
        <w:rPr>
          <w:szCs w:val="28"/>
        </w:rPr>
        <w:t>insufficient</w:t>
      </w:r>
      <w:r w:rsidR="00F6303B" w:rsidRPr="007C209B">
        <w:rPr>
          <w:szCs w:val="28"/>
        </w:rPr>
        <w:t xml:space="preserve"> access to safe drinking water and adequate sanitation with huge disparities between urban and rural</w:t>
      </w:r>
      <w:r w:rsidR="00774861">
        <w:rPr>
          <w:szCs w:val="28"/>
        </w:rPr>
        <w:t xml:space="preserve"> areas,</w:t>
      </w:r>
      <w:r w:rsidR="00F6303B" w:rsidRPr="007C209B">
        <w:rPr>
          <w:szCs w:val="28"/>
        </w:rPr>
        <w:t xml:space="preserve"> </w:t>
      </w:r>
      <w:r w:rsidR="006C25B1" w:rsidRPr="007C209B">
        <w:rPr>
          <w:szCs w:val="28"/>
        </w:rPr>
        <w:t xml:space="preserve">and </w:t>
      </w:r>
      <w:r w:rsidR="00F6303B" w:rsidRPr="007C209B">
        <w:rPr>
          <w:szCs w:val="28"/>
        </w:rPr>
        <w:t xml:space="preserve">formal and </w:t>
      </w:r>
      <w:r w:rsidR="00774861">
        <w:rPr>
          <w:szCs w:val="28"/>
        </w:rPr>
        <w:t>in</w:t>
      </w:r>
      <w:r w:rsidR="00F6303B" w:rsidRPr="007C209B">
        <w:rPr>
          <w:szCs w:val="28"/>
        </w:rPr>
        <w:t xml:space="preserve">formal settlements. It is also concerned at the lack of </w:t>
      </w:r>
      <w:r w:rsidR="00F3067E" w:rsidRPr="007C209B">
        <w:rPr>
          <w:szCs w:val="28"/>
        </w:rPr>
        <w:t xml:space="preserve">effective </w:t>
      </w:r>
      <w:r w:rsidR="00F6303B" w:rsidRPr="007C209B">
        <w:rPr>
          <w:szCs w:val="28"/>
        </w:rPr>
        <w:t>regulation of water prices, particularly unregistered small-scale water vendors</w:t>
      </w:r>
      <w:r w:rsidR="00C65F9F" w:rsidRPr="007C209B">
        <w:rPr>
          <w:szCs w:val="28"/>
        </w:rPr>
        <w:t>,</w:t>
      </w:r>
      <w:r w:rsidR="00F6303B" w:rsidRPr="007C209B">
        <w:rPr>
          <w:szCs w:val="28"/>
        </w:rPr>
        <w:t xml:space="preserve"> and </w:t>
      </w:r>
      <w:r w:rsidR="00C65F9F" w:rsidRPr="007C209B">
        <w:rPr>
          <w:szCs w:val="28"/>
        </w:rPr>
        <w:t xml:space="preserve">at </w:t>
      </w:r>
      <w:r w:rsidR="00F6303B" w:rsidRPr="007C209B">
        <w:rPr>
          <w:szCs w:val="28"/>
        </w:rPr>
        <w:t>the high prices that people living in informal settlements and rural areas</w:t>
      </w:r>
      <w:r w:rsidR="006C25B1" w:rsidRPr="007C209B">
        <w:rPr>
          <w:szCs w:val="28"/>
        </w:rPr>
        <w:t xml:space="preserve"> have to</w:t>
      </w:r>
      <w:r w:rsidR="003C12E7">
        <w:rPr>
          <w:szCs w:val="28"/>
        </w:rPr>
        <w:t xml:space="preserve"> pay</w:t>
      </w:r>
      <w:r w:rsidR="006C25B1" w:rsidRPr="007C209B">
        <w:rPr>
          <w:szCs w:val="28"/>
        </w:rPr>
        <w:t xml:space="preserve"> for water</w:t>
      </w:r>
      <w:r w:rsidR="00F6303B" w:rsidRPr="007C209B">
        <w:rPr>
          <w:szCs w:val="28"/>
        </w:rPr>
        <w:t xml:space="preserve"> (art. 11).</w:t>
      </w:r>
    </w:p>
    <w:p w:rsidR="00F6303B" w:rsidRPr="007C209B" w:rsidRDefault="003616E3" w:rsidP="003616E3">
      <w:pPr>
        <w:pStyle w:val="SingleTxtG"/>
        <w:tabs>
          <w:tab w:val="left" w:pos="1701"/>
        </w:tabs>
        <w:rPr>
          <w:b/>
          <w:szCs w:val="28"/>
        </w:rPr>
      </w:pPr>
      <w:r w:rsidRPr="007C209B">
        <w:rPr>
          <w:szCs w:val="28"/>
        </w:rPr>
        <w:t>50.</w:t>
      </w:r>
      <w:r w:rsidRPr="007C209B">
        <w:rPr>
          <w:szCs w:val="28"/>
        </w:rPr>
        <w:tab/>
      </w:r>
      <w:r w:rsidR="00F6303B" w:rsidRPr="007C209B">
        <w:rPr>
          <w:b/>
          <w:szCs w:val="28"/>
        </w:rPr>
        <w:t>The Committee recommends that the State party increase the budgetary allocation to improve access to water and sanitation, particularly in urban informal settlements and rural areas. It also recommends that the State party intensify its efforts to effectively regulate water prices and ensure compliance</w:t>
      </w:r>
      <w:r w:rsidR="008F5C72" w:rsidRPr="007C209B">
        <w:rPr>
          <w:b/>
          <w:szCs w:val="28"/>
        </w:rPr>
        <w:t>, particularl</w:t>
      </w:r>
      <w:r w:rsidR="008F5C72">
        <w:rPr>
          <w:b/>
          <w:szCs w:val="28"/>
        </w:rPr>
        <w:t xml:space="preserve">y by small-scale water vendors, </w:t>
      </w:r>
      <w:r w:rsidR="00F6303B" w:rsidRPr="007C209B">
        <w:rPr>
          <w:b/>
          <w:szCs w:val="28"/>
        </w:rPr>
        <w:t>with the tariff guidelines, which were set by the Water Services Regulatory Board</w:t>
      </w:r>
      <w:r w:rsidR="00A566F1">
        <w:rPr>
          <w:b/>
          <w:szCs w:val="28"/>
        </w:rPr>
        <w:t>.</w:t>
      </w:r>
    </w:p>
    <w:p w:rsidR="00F6303B" w:rsidRPr="007C209B" w:rsidRDefault="008222AC" w:rsidP="00392ECC">
      <w:pPr>
        <w:pStyle w:val="H23G"/>
      </w:pPr>
      <w:r>
        <w:tab/>
      </w:r>
      <w:r>
        <w:tab/>
      </w:r>
      <w:r w:rsidR="00430C86">
        <w:t>Access to health</w:t>
      </w:r>
      <w:r w:rsidR="00DD2B7F">
        <w:t>-</w:t>
      </w:r>
      <w:r w:rsidR="00430C86">
        <w:t>care services</w:t>
      </w:r>
    </w:p>
    <w:p w:rsidR="00F6303B" w:rsidRPr="007C209B" w:rsidRDefault="003616E3" w:rsidP="003616E3">
      <w:pPr>
        <w:pStyle w:val="SingleTxtG"/>
        <w:tabs>
          <w:tab w:val="left" w:pos="1701"/>
        </w:tabs>
        <w:rPr>
          <w:szCs w:val="28"/>
        </w:rPr>
      </w:pPr>
      <w:r w:rsidRPr="007C209B">
        <w:rPr>
          <w:szCs w:val="28"/>
        </w:rPr>
        <w:t>51.</w:t>
      </w:r>
      <w:r w:rsidRPr="007C209B">
        <w:rPr>
          <w:szCs w:val="28"/>
        </w:rPr>
        <w:tab/>
      </w:r>
      <w:r w:rsidR="00F6303B" w:rsidRPr="007C209B">
        <w:rPr>
          <w:szCs w:val="28"/>
        </w:rPr>
        <w:t xml:space="preserve">The Committee is concerned at the inadequate budget allocation to the health sector, very limited coverage of the National Health Insurance Fund and </w:t>
      </w:r>
      <w:r w:rsidR="00DD2B7F">
        <w:rPr>
          <w:szCs w:val="28"/>
        </w:rPr>
        <w:t xml:space="preserve">the </w:t>
      </w:r>
      <w:r w:rsidR="00F6303B" w:rsidRPr="007C209B">
        <w:rPr>
          <w:szCs w:val="28"/>
        </w:rPr>
        <w:t>significant share of out</w:t>
      </w:r>
      <w:r w:rsidR="00DD2B7F">
        <w:rPr>
          <w:szCs w:val="28"/>
        </w:rPr>
        <w:t>-</w:t>
      </w:r>
      <w:r w:rsidR="00F6303B" w:rsidRPr="007C209B">
        <w:rPr>
          <w:szCs w:val="28"/>
        </w:rPr>
        <w:t>of</w:t>
      </w:r>
      <w:r w:rsidR="00DD2B7F">
        <w:rPr>
          <w:szCs w:val="28"/>
        </w:rPr>
        <w:t>-</w:t>
      </w:r>
      <w:r w:rsidR="00F6303B" w:rsidRPr="007C209B">
        <w:rPr>
          <w:szCs w:val="28"/>
        </w:rPr>
        <w:t>pocket payment</w:t>
      </w:r>
      <w:r w:rsidR="00DD2B7F">
        <w:rPr>
          <w:szCs w:val="28"/>
        </w:rPr>
        <w:t>s</w:t>
      </w:r>
      <w:r w:rsidR="00F6303B" w:rsidRPr="007C209B">
        <w:rPr>
          <w:szCs w:val="28"/>
        </w:rPr>
        <w:t xml:space="preserve"> in health expenditure, which limit access to health for disadvantaged and marginalized persons. The Committee </w:t>
      </w:r>
      <w:r w:rsidR="00DD2B7F">
        <w:rPr>
          <w:szCs w:val="28"/>
        </w:rPr>
        <w:t>also</w:t>
      </w:r>
      <w:r w:rsidR="00DD2B7F" w:rsidRPr="007C209B">
        <w:rPr>
          <w:szCs w:val="28"/>
        </w:rPr>
        <w:t xml:space="preserve"> </w:t>
      </w:r>
      <w:r w:rsidR="00F6303B" w:rsidRPr="007C209B">
        <w:rPr>
          <w:szCs w:val="28"/>
        </w:rPr>
        <w:t xml:space="preserve">regrets </w:t>
      </w:r>
      <w:r w:rsidR="00430C86">
        <w:rPr>
          <w:szCs w:val="28"/>
        </w:rPr>
        <w:t>the regional disparities in access to health</w:t>
      </w:r>
      <w:r w:rsidR="00DD2B7F">
        <w:rPr>
          <w:szCs w:val="28"/>
        </w:rPr>
        <w:t>-</w:t>
      </w:r>
      <w:r w:rsidR="00430C86">
        <w:rPr>
          <w:szCs w:val="28"/>
        </w:rPr>
        <w:t xml:space="preserve">care services and </w:t>
      </w:r>
      <w:r w:rsidR="00F6303B" w:rsidRPr="007C209B">
        <w:rPr>
          <w:szCs w:val="28"/>
        </w:rPr>
        <w:t>the delay in enacting the Health Bill</w:t>
      </w:r>
      <w:r w:rsidR="00DD2B7F">
        <w:rPr>
          <w:szCs w:val="28"/>
        </w:rPr>
        <w:t>,</w:t>
      </w:r>
      <w:r w:rsidR="00F6303B" w:rsidRPr="007C209B">
        <w:rPr>
          <w:szCs w:val="28"/>
        </w:rPr>
        <w:t xml:space="preserve"> implementing the decision of </w:t>
      </w:r>
      <w:r w:rsidR="00003705">
        <w:rPr>
          <w:szCs w:val="28"/>
        </w:rPr>
        <w:t xml:space="preserve">the </w:t>
      </w:r>
      <w:r w:rsidR="00F6303B" w:rsidRPr="007C209B">
        <w:rPr>
          <w:szCs w:val="28"/>
        </w:rPr>
        <w:t xml:space="preserve">High Court in </w:t>
      </w:r>
      <w:r w:rsidR="00F6303B" w:rsidRPr="007C209B">
        <w:rPr>
          <w:i/>
          <w:szCs w:val="28"/>
        </w:rPr>
        <w:t>P</w:t>
      </w:r>
      <w:r w:rsidR="00003705">
        <w:rPr>
          <w:i/>
          <w:szCs w:val="28"/>
        </w:rPr>
        <w:t>.</w:t>
      </w:r>
      <w:r w:rsidR="00F6303B" w:rsidRPr="007C209B">
        <w:rPr>
          <w:i/>
          <w:szCs w:val="28"/>
        </w:rPr>
        <w:t>A</w:t>
      </w:r>
      <w:r w:rsidR="00003705">
        <w:rPr>
          <w:i/>
          <w:szCs w:val="28"/>
        </w:rPr>
        <w:t>.</w:t>
      </w:r>
      <w:r w:rsidR="00F6303B" w:rsidRPr="007C209B">
        <w:rPr>
          <w:i/>
          <w:szCs w:val="28"/>
        </w:rPr>
        <w:t>O</w:t>
      </w:r>
      <w:r w:rsidR="00003705">
        <w:rPr>
          <w:i/>
          <w:szCs w:val="28"/>
        </w:rPr>
        <w:t>.</w:t>
      </w:r>
      <w:r w:rsidR="00F6303B" w:rsidRPr="007C209B">
        <w:rPr>
          <w:i/>
          <w:szCs w:val="28"/>
        </w:rPr>
        <w:t xml:space="preserve"> and 2 others v. Attorney General (2012)</w:t>
      </w:r>
      <w:r w:rsidR="00F6303B" w:rsidRPr="007C209B">
        <w:rPr>
          <w:szCs w:val="28"/>
        </w:rPr>
        <w:t xml:space="preserve"> and amend</w:t>
      </w:r>
      <w:r w:rsidR="00430C86">
        <w:rPr>
          <w:szCs w:val="28"/>
        </w:rPr>
        <w:t>ing</w:t>
      </w:r>
      <w:r w:rsidR="00F6303B" w:rsidRPr="007C209B">
        <w:rPr>
          <w:szCs w:val="28"/>
        </w:rPr>
        <w:t xml:space="preserve"> the Anti-Counterfeit Act</w:t>
      </w:r>
      <w:r w:rsidR="00003705">
        <w:rPr>
          <w:szCs w:val="28"/>
        </w:rPr>
        <w:t>, 2008</w:t>
      </w:r>
      <w:r w:rsidR="00F6303B" w:rsidRPr="007C209B">
        <w:rPr>
          <w:szCs w:val="28"/>
        </w:rPr>
        <w:t xml:space="preserve"> (art. 12).</w:t>
      </w:r>
    </w:p>
    <w:p w:rsidR="00F6303B" w:rsidRPr="007C209B" w:rsidRDefault="003616E3" w:rsidP="003616E3">
      <w:pPr>
        <w:pStyle w:val="SingleTxtG"/>
        <w:tabs>
          <w:tab w:val="left" w:pos="1701"/>
        </w:tabs>
        <w:rPr>
          <w:b/>
          <w:szCs w:val="28"/>
        </w:rPr>
      </w:pPr>
      <w:r w:rsidRPr="007C209B">
        <w:rPr>
          <w:szCs w:val="28"/>
        </w:rPr>
        <w:t>52.</w:t>
      </w:r>
      <w:r w:rsidRPr="007C209B">
        <w:rPr>
          <w:szCs w:val="28"/>
        </w:rPr>
        <w:tab/>
      </w:r>
      <w:r w:rsidR="00F6303B" w:rsidRPr="007C209B">
        <w:rPr>
          <w:b/>
          <w:szCs w:val="28"/>
        </w:rPr>
        <w:t>The Committee recommends that the State party take concrete measures to enhance access to health services</w:t>
      </w:r>
      <w:r w:rsidR="00C07680" w:rsidRPr="007C209B">
        <w:rPr>
          <w:b/>
          <w:szCs w:val="28"/>
        </w:rPr>
        <w:t>, particularly for disadvantaged and marginalized individuals and groups</w:t>
      </w:r>
      <w:r w:rsidR="00F6303B" w:rsidRPr="007C209B">
        <w:rPr>
          <w:b/>
          <w:szCs w:val="28"/>
        </w:rPr>
        <w:t>, including through increasing budgetary allocation to the health sector and expanding the coverage of the N</w:t>
      </w:r>
      <w:r w:rsidR="00003705">
        <w:rPr>
          <w:b/>
          <w:szCs w:val="28"/>
        </w:rPr>
        <w:t xml:space="preserve">ational </w:t>
      </w:r>
      <w:r w:rsidR="00F6303B" w:rsidRPr="007C209B">
        <w:rPr>
          <w:b/>
          <w:szCs w:val="28"/>
        </w:rPr>
        <w:t>H</w:t>
      </w:r>
      <w:r w:rsidR="00003705">
        <w:rPr>
          <w:b/>
          <w:szCs w:val="28"/>
        </w:rPr>
        <w:t xml:space="preserve">ealth </w:t>
      </w:r>
      <w:r w:rsidR="00F6303B" w:rsidRPr="007C209B">
        <w:rPr>
          <w:b/>
          <w:szCs w:val="28"/>
        </w:rPr>
        <w:t>I</w:t>
      </w:r>
      <w:r w:rsidR="00003705">
        <w:rPr>
          <w:b/>
          <w:szCs w:val="28"/>
        </w:rPr>
        <w:t xml:space="preserve">nsurance </w:t>
      </w:r>
      <w:r w:rsidR="00F6303B" w:rsidRPr="007C209B">
        <w:rPr>
          <w:b/>
          <w:szCs w:val="28"/>
        </w:rPr>
        <w:t>F</w:t>
      </w:r>
      <w:r w:rsidR="00003705">
        <w:rPr>
          <w:b/>
          <w:szCs w:val="28"/>
        </w:rPr>
        <w:t>und</w:t>
      </w:r>
      <w:r w:rsidR="00F6303B" w:rsidRPr="007C209B">
        <w:rPr>
          <w:b/>
          <w:szCs w:val="28"/>
        </w:rPr>
        <w:t>. It also recommends that the State party expeditiously adopt the Health Bill and amend the Anti-Counterfeit Act</w:t>
      </w:r>
      <w:r w:rsidR="00003705">
        <w:rPr>
          <w:b/>
          <w:szCs w:val="28"/>
        </w:rPr>
        <w:t>, 2008</w:t>
      </w:r>
      <w:r w:rsidR="00F6303B" w:rsidRPr="007C209B">
        <w:rPr>
          <w:b/>
          <w:szCs w:val="28"/>
        </w:rPr>
        <w:t>.</w:t>
      </w:r>
    </w:p>
    <w:p w:rsidR="0028701B" w:rsidRPr="007C209B" w:rsidRDefault="008222AC" w:rsidP="00392ECC">
      <w:pPr>
        <w:pStyle w:val="H23G"/>
      </w:pPr>
      <w:r>
        <w:tab/>
      </w:r>
      <w:r>
        <w:tab/>
      </w:r>
      <w:r w:rsidR="0028701B" w:rsidRPr="007C209B">
        <w:t>Sexual and reproductive health</w:t>
      </w:r>
    </w:p>
    <w:p w:rsidR="00F6303B" w:rsidRPr="007C209B" w:rsidRDefault="003616E3" w:rsidP="003616E3">
      <w:pPr>
        <w:pStyle w:val="SingleTxtG"/>
        <w:tabs>
          <w:tab w:val="left" w:pos="1701"/>
        </w:tabs>
        <w:rPr>
          <w:szCs w:val="28"/>
        </w:rPr>
      </w:pPr>
      <w:r w:rsidRPr="007C209B">
        <w:rPr>
          <w:szCs w:val="28"/>
        </w:rPr>
        <w:t>53.</w:t>
      </w:r>
      <w:r w:rsidRPr="007C209B">
        <w:rPr>
          <w:szCs w:val="28"/>
        </w:rPr>
        <w:tab/>
      </w:r>
      <w:r w:rsidR="00F6303B" w:rsidRPr="007C209B">
        <w:rPr>
          <w:szCs w:val="28"/>
        </w:rPr>
        <w:t xml:space="preserve">The Committee is concerned at the criminalization of abortion under any circumstance provided in the Penal Code, the large number of unsafe abortions and the </w:t>
      </w:r>
      <w:r w:rsidR="006C25B1" w:rsidRPr="007C209B">
        <w:rPr>
          <w:szCs w:val="28"/>
        </w:rPr>
        <w:t xml:space="preserve">consistent </w:t>
      </w:r>
      <w:r w:rsidR="00F6303B" w:rsidRPr="007C209B">
        <w:rPr>
          <w:szCs w:val="28"/>
        </w:rPr>
        <w:t xml:space="preserve">high rate of maternal mortality. </w:t>
      </w:r>
      <w:r w:rsidR="006C2BA6" w:rsidRPr="007C209B">
        <w:rPr>
          <w:szCs w:val="28"/>
        </w:rPr>
        <w:t xml:space="preserve">It </w:t>
      </w:r>
      <w:r w:rsidR="00F6303B" w:rsidRPr="007C209B">
        <w:rPr>
          <w:szCs w:val="28"/>
        </w:rPr>
        <w:t>is</w:t>
      </w:r>
      <w:r w:rsidR="006C2BA6" w:rsidRPr="007C209B">
        <w:rPr>
          <w:szCs w:val="28"/>
        </w:rPr>
        <w:t xml:space="preserve"> also</w:t>
      </w:r>
      <w:r w:rsidR="00F6303B" w:rsidRPr="007C209B">
        <w:rPr>
          <w:szCs w:val="28"/>
        </w:rPr>
        <w:t xml:space="preserve"> concerned </w:t>
      </w:r>
      <w:r w:rsidR="006C2BA6" w:rsidRPr="007C209B">
        <w:rPr>
          <w:szCs w:val="28"/>
        </w:rPr>
        <w:t xml:space="preserve">at cases </w:t>
      </w:r>
      <w:r w:rsidR="00F6303B" w:rsidRPr="007C209B">
        <w:rPr>
          <w:szCs w:val="28"/>
        </w:rPr>
        <w:t>of post-delivery detention of women unable to pay their medical bills in health</w:t>
      </w:r>
      <w:r w:rsidR="00003705">
        <w:rPr>
          <w:szCs w:val="28"/>
        </w:rPr>
        <w:t>-</w:t>
      </w:r>
      <w:r w:rsidR="00F6303B" w:rsidRPr="007C209B">
        <w:rPr>
          <w:szCs w:val="28"/>
        </w:rPr>
        <w:t xml:space="preserve">care facilities. It is </w:t>
      </w:r>
      <w:r w:rsidR="006C2BA6" w:rsidRPr="007C209B">
        <w:rPr>
          <w:szCs w:val="28"/>
        </w:rPr>
        <w:t xml:space="preserve">further </w:t>
      </w:r>
      <w:r w:rsidR="00F6303B" w:rsidRPr="007C209B">
        <w:rPr>
          <w:szCs w:val="28"/>
        </w:rPr>
        <w:t>concerned at the limited access to sexual and reproductive health information and services as well as contraceptives, especially for women living in rural areas (art. 12).</w:t>
      </w:r>
    </w:p>
    <w:p w:rsidR="00F6303B" w:rsidRPr="007C209B" w:rsidRDefault="003616E3" w:rsidP="003616E3">
      <w:pPr>
        <w:pStyle w:val="SingleTxtG"/>
        <w:tabs>
          <w:tab w:val="left" w:pos="1701"/>
        </w:tabs>
        <w:rPr>
          <w:b/>
          <w:szCs w:val="28"/>
        </w:rPr>
      </w:pPr>
      <w:r w:rsidRPr="007C209B">
        <w:rPr>
          <w:szCs w:val="28"/>
        </w:rPr>
        <w:t>54.</w:t>
      </w:r>
      <w:r w:rsidRPr="007C209B">
        <w:rPr>
          <w:szCs w:val="28"/>
        </w:rPr>
        <w:tab/>
      </w:r>
      <w:r w:rsidR="00F6303B" w:rsidRPr="007C209B">
        <w:rPr>
          <w:b/>
          <w:szCs w:val="28"/>
        </w:rPr>
        <w:t>The Committee recommends that the State party</w:t>
      </w:r>
      <w:r w:rsidR="00C07680" w:rsidRPr="007C209B">
        <w:rPr>
          <w:b/>
          <w:szCs w:val="28"/>
        </w:rPr>
        <w:t xml:space="preserve"> </w:t>
      </w:r>
      <w:r w:rsidR="009968D3" w:rsidRPr="007C209B">
        <w:rPr>
          <w:b/>
          <w:szCs w:val="28"/>
        </w:rPr>
        <w:t>amend its legislation on the prohibition of abortion in order to render it compatible with other fundamental rights, such as women’s rights to health, life and dignity</w:t>
      </w:r>
      <w:r w:rsidR="002A4D73">
        <w:rPr>
          <w:b/>
          <w:szCs w:val="28"/>
        </w:rPr>
        <w:t>,</w:t>
      </w:r>
      <w:r w:rsidR="00C07680" w:rsidRPr="007C209B">
        <w:rPr>
          <w:b/>
          <w:szCs w:val="28"/>
        </w:rPr>
        <w:t xml:space="preserve"> </w:t>
      </w:r>
      <w:r w:rsidR="00F6303B" w:rsidRPr="007C209B">
        <w:rPr>
          <w:b/>
          <w:szCs w:val="28"/>
        </w:rPr>
        <w:t>and reinstate the Standards and Guidelines for Reducing Morbidity and Mortality from Unsafe Abortion in Kenya. It also recommends that the State party take concrete measures to ensure free maternal health</w:t>
      </w:r>
      <w:r w:rsidR="006429A9">
        <w:rPr>
          <w:b/>
          <w:szCs w:val="28"/>
        </w:rPr>
        <w:t>-</w:t>
      </w:r>
      <w:r w:rsidR="00F6303B" w:rsidRPr="007C209B">
        <w:rPr>
          <w:b/>
          <w:szCs w:val="28"/>
        </w:rPr>
        <w:t>care services and to prevent the incidence of post-delivery detention in health</w:t>
      </w:r>
      <w:r w:rsidR="006429A9">
        <w:rPr>
          <w:b/>
          <w:szCs w:val="28"/>
        </w:rPr>
        <w:t>-</w:t>
      </w:r>
      <w:r w:rsidR="00F6303B" w:rsidRPr="007C209B">
        <w:rPr>
          <w:b/>
          <w:szCs w:val="28"/>
        </w:rPr>
        <w:t>care facilities. It further recommends that the State party strengthen its efforts to improve access to sexual and reproductive health information and services, including contraceptives.</w:t>
      </w:r>
      <w:r w:rsidR="006C25B1" w:rsidRPr="007C209B">
        <w:rPr>
          <w:b/>
          <w:szCs w:val="28"/>
        </w:rPr>
        <w:t xml:space="preserve"> </w:t>
      </w:r>
      <w:r w:rsidR="00430C86">
        <w:rPr>
          <w:b/>
          <w:szCs w:val="28"/>
        </w:rPr>
        <w:t>In this regard, the Committee</w:t>
      </w:r>
      <w:r w:rsidR="006C25B1" w:rsidRPr="007C209B">
        <w:rPr>
          <w:b/>
          <w:szCs w:val="28"/>
        </w:rPr>
        <w:t xml:space="preserve"> draws the attention of</w:t>
      </w:r>
      <w:r w:rsidR="0028701B" w:rsidRPr="007C209B">
        <w:rPr>
          <w:b/>
          <w:szCs w:val="28"/>
        </w:rPr>
        <w:t xml:space="preserve"> the State party to </w:t>
      </w:r>
      <w:r w:rsidR="00430C86">
        <w:rPr>
          <w:b/>
          <w:szCs w:val="28"/>
        </w:rPr>
        <w:t>it</w:t>
      </w:r>
      <w:r w:rsidR="00182C09">
        <w:rPr>
          <w:b/>
          <w:szCs w:val="28"/>
        </w:rPr>
        <w:t>s</w:t>
      </w:r>
      <w:r w:rsidR="00430C86">
        <w:rPr>
          <w:b/>
          <w:szCs w:val="28"/>
        </w:rPr>
        <w:t xml:space="preserve"> general comment No. 22 </w:t>
      </w:r>
      <w:r w:rsidR="006429A9">
        <w:rPr>
          <w:b/>
          <w:bCs/>
        </w:rPr>
        <w:t xml:space="preserve">(2016) </w:t>
      </w:r>
      <w:r w:rsidR="00430C86">
        <w:rPr>
          <w:b/>
          <w:szCs w:val="28"/>
        </w:rPr>
        <w:t xml:space="preserve">on </w:t>
      </w:r>
      <w:r w:rsidR="00182C09">
        <w:rPr>
          <w:b/>
          <w:szCs w:val="28"/>
        </w:rPr>
        <w:t xml:space="preserve">the </w:t>
      </w:r>
      <w:r w:rsidR="00430C86">
        <w:rPr>
          <w:b/>
          <w:szCs w:val="28"/>
        </w:rPr>
        <w:t>right to sexual and reproductive health</w:t>
      </w:r>
      <w:r w:rsidR="00E03F1D" w:rsidRPr="007C209B">
        <w:rPr>
          <w:b/>
          <w:szCs w:val="28"/>
        </w:rPr>
        <w:t>.</w:t>
      </w:r>
    </w:p>
    <w:p w:rsidR="00F6303B" w:rsidRPr="007C209B" w:rsidRDefault="008222AC" w:rsidP="00392ECC">
      <w:pPr>
        <w:pStyle w:val="H23G"/>
      </w:pPr>
      <w:r>
        <w:tab/>
      </w:r>
      <w:r>
        <w:tab/>
      </w:r>
      <w:r w:rsidR="00F6303B" w:rsidRPr="007C209B">
        <w:t>HIV/AIDS</w:t>
      </w:r>
    </w:p>
    <w:p w:rsidR="00F6303B" w:rsidRPr="007C209B" w:rsidRDefault="003616E3" w:rsidP="003616E3">
      <w:pPr>
        <w:pStyle w:val="SingleTxtG"/>
        <w:tabs>
          <w:tab w:val="left" w:pos="1701"/>
        </w:tabs>
        <w:rPr>
          <w:szCs w:val="28"/>
        </w:rPr>
      </w:pPr>
      <w:r w:rsidRPr="007C209B">
        <w:rPr>
          <w:szCs w:val="28"/>
        </w:rPr>
        <w:t>55.</w:t>
      </w:r>
      <w:r w:rsidRPr="007C209B">
        <w:rPr>
          <w:szCs w:val="28"/>
        </w:rPr>
        <w:tab/>
      </w:r>
      <w:r w:rsidR="00F6303B" w:rsidRPr="007C209B">
        <w:rPr>
          <w:szCs w:val="28"/>
        </w:rPr>
        <w:t xml:space="preserve">The Committee is concerned at the high rates of HIV/AIDS and of new infections </w:t>
      </w:r>
      <w:r w:rsidR="006429A9">
        <w:rPr>
          <w:szCs w:val="28"/>
        </w:rPr>
        <w:t>as well as at</w:t>
      </w:r>
      <w:r w:rsidR="006429A9" w:rsidRPr="007C209B">
        <w:rPr>
          <w:szCs w:val="28"/>
        </w:rPr>
        <w:t xml:space="preserve"> </w:t>
      </w:r>
      <w:r w:rsidR="00F6303B" w:rsidRPr="007C209B">
        <w:rPr>
          <w:szCs w:val="28"/>
        </w:rPr>
        <w:t>the high mother-to-child transmission rate</w:t>
      </w:r>
      <w:r w:rsidR="002A4D73">
        <w:rPr>
          <w:szCs w:val="28"/>
        </w:rPr>
        <w:t>,</w:t>
      </w:r>
      <w:r w:rsidR="00F6303B" w:rsidRPr="007C209B">
        <w:rPr>
          <w:szCs w:val="28"/>
        </w:rPr>
        <w:t xml:space="preserve"> which </w:t>
      </w:r>
      <w:r w:rsidR="006429A9">
        <w:rPr>
          <w:szCs w:val="28"/>
        </w:rPr>
        <w:t>has raised the</w:t>
      </w:r>
      <w:r w:rsidR="00F6303B" w:rsidRPr="007C209B">
        <w:rPr>
          <w:szCs w:val="28"/>
        </w:rPr>
        <w:t xml:space="preserve"> </w:t>
      </w:r>
      <w:r w:rsidR="00BE25B0">
        <w:rPr>
          <w:szCs w:val="28"/>
        </w:rPr>
        <w:t>mortality</w:t>
      </w:r>
      <w:r w:rsidR="00BE25B0" w:rsidRPr="007C209B">
        <w:rPr>
          <w:szCs w:val="28"/>
        </w:rPr>
        <w:t xml:space="preserve"> </w:t>
      </w:r>
      <w:r w:rsidR="00BE25B0">
        <w:rPr>
          <w:szCs w:val="28"/>
        </w:rPr>
        <w:t>rate among children</w:t>
      </w:r>
      <w:r w:rsidR="00BE25B0" w:rsidRPr="007C209B">
        <w:rPr>
          <w:szCs w:val="28"/>
        </w:rPr>
        <w:t xml:space="preserve"> </w:t>
      </w:r>
      <w:r w:rsidR="00F6303B" w:rsidRPr="007C209B">
        <w:rPr>
          <w:szCs w:val="28"/>
        </w:rPr>
        <w:t>under</w:t>
      </w:r>
      <w:r w:rsidR="00BE25B0">
        <w:rPr>
          <w:szCs w:val="28"/>
        </w:rPr>
        <w:t xml:space="preserve"> </w:t>
      </w:r>
      <w:r w:rsidR="002A4D73">
        <w:rPr>
          <w:szCs w:val="28"/>
        </w:rPr>
        <w:t>5</w:t>
      </w:r>
      <w:r w:rsidR="00F6303B" w:rsidRPr="007C209B">
        <w:rPr>
          <w:szCs w:val="28"/>
        </w:rPr>
        <w:t xml:space="preserve"> </w:t>
      </w:r>
      <w:r w:rsidR="00BE25B0">
        <w:rPr>
          <w:szCs w:val="28"/>
        </w:rPr>
        <w:t>years of age</w:t>
      </w:r>
      <w:r w:rsidR="00F6303B" w:rsidRPr="007C209B">
        <w:rPr>
          <w:szCs w:val="28"/>
        </w:rPr>
        <w:t xml:space="preserve">. </w:t>
      </w:r>
      <w:r w:rsidR="00035927" w:rsidRPr="007C209B">
        <w:rPr>
          <w:szCs w:val="28"/>
        </w:rPr>
        <w:t xml:space="preserve">It is also concerned that </w:t>
      </w:r>
      <w:r w:rsidR="007A64CD">
        <w:rPr>
          <w:szCs w:val="28"/>
        </w:rPr>
        <w:t xml:space="preserve">mother-to-child transmission </w:t>
      </w:r>
      <w:r w:rsidR="004D6967">
        <w:rPr>
          <w:szCs w:val="28"/>
        </w:rPr>
        <w:t>has become</w:t>
      </w:r>
      <w:r w:rsidR="004D6967" w:rsidRPr="007C209B">
        <w:rPr>
          <w:szCs w:val="28"/>
        </w:rPr>
        <w:t xml:space="preserve"> </w:t>
      </w:r>
      <w:r w:rsidR="00035927" w:rsidRPr="007C209B">
        <w:rPr>
          <w:szCs w:val="28"/>
        </w:rPr>
        <w:t xml:space="preserve">criminalized. </w:t>
      </w:r>
      <w:r w:rsidR="00F6303B" w:rsidRPr="007C209B">
        <w:rPr>
          <w:szCs w:val="28"/>
        </w:rPr>
        <w:t xml:space="preserve">It is </w:t>
      </w:r>
      <w:r w:rsidR="004D6967">
        <w:rPr>
          <w:szCs w:val="28"/>
        </w:rPr>
        <w:t>further</w:t>
      </w:r>
      <w:r w:rsidR="004D6967" w:rsidRPr="007C209B">
        <w:rPr>
          <w:szCs w:val="28"/>
        </w:rPr>
        <w:t xml:space="preserve"> </w:t>
      </w:r>
      <w:r w:rsidR="00F6303B" w:rsidRPr="007C209B">
        <w:rPr>
          <w:szCs w:val="28"/>
        </w:rPr>
        <w:t xml:space="preserve">concerned at the large gap between children and adults in receiving antiretroviral </w:t>
      </w:r>
      <w:proofErr w:type="gramStart"/>
      <w:r w:rsidR="00F6303B" w:rsidRPr="007C209B">
        <w:rPr>
          <w:szCs w:val="28"/>
        </w:rPr>
        <w:t>treatment  and</w:t>
      </w:r>
      <w:proofErr w:type="gramEnd"/>
      <w:r w:rsidR="00F6303B" w:rsidRPr="007C209B">
        <w:rPr>
          <w:szCs w:val="28"/>
        </w:rPr>
        <w:t xml:space="preserve"> the low retention rate of women </w:t>
      </w:r>
      <w:r w:rsidR="00574270">
        <w:rPr>
          <w:szCs w:val="28"/>
        </w:rPr>
        <w:t xml:space="preserve">who are </w:t>
      </w:r>
      <w:r w:rsidR="004D6967">
        <w:rPr>
          <w:szCs w:val="28"/>
        </w:rPr>
        <w:t>being treated</w:t>
      </w:r>
      <w:r w:rsidR="00F6303B" w:rsidRPr="007C209B">
        <w:rPr>
          <w:szCs w:val="28"/>
        </w:rPr>
        <w:t xml:space="preserve"> within a year of initiation. While welcoming the High Court decision on the HIV and AIDS Prevention and Control Act, it is concerned that the State party has not yet implemented the decision (art. 12).</w:t>
      </w:r>
    </w:p>
    <w:p w:rsidR="00F6303B" w:rsidRPr="007C209B" w:rsidRDefault="003616E3" w:rsidP="003616E3">
      <w:pPr>
        <w:pStyle w:val="SingleTxtG"/>
        <w:tabs>
          <w:tab w:val="left" w:pos="1701"/>
        </w:tabs>
        <w:rPr>
          <w:b/>
          <w:szCs w:val="28"/>
        </w:rPr>
      </w:pPr>
      <w:r w:rsidRPr="007C209B">
        <w:rPr>
          <w:szCs w:val="28"/>
        </w:rPr>
        <w:t>56.</w:t>
      </w:r>
      <w:r w:rsidRPr="007C209B">
        <w:rPr>
          <w:szCs w:val="28"/>
        </w:rPr>
        <w:tab/>
      </w:r>
      <w:r w:rsidR="00F6303B" w:rsidRPr="007C209B">
        <w:rPr>
          <w:b/>
          <w:szCs w:val="28"/>
        </w:rPr>
        <w:t xml:space="preserve">The Committee recommends that the State party intensify its efforts to combat the spread and effects of HIV/AIDS, including </w:t>
      </w:r>
      <w:r w:rsidR="004D6967">
        <w:rPr>
          <w:b/>
          <w:szCs w:val="28"/>
        </w:rPr>
        <w:t>mother</w:t>
      </w:r>
      <w:r w:rsidR="00C61FF1">
        <w:rPr>
          <w:b/>
          <w:szCs w:val="28"/>
        </w:rPr>
        <w:t>-</w:t>
      </w:r>
      <w:r w:rsidR="004D6967">
        <w:rPr>
          <w:b/>
          <w:szCs w:val="28"/>
        </w:rPr>
        <w:t>to</w:t>
      </w:r>
      <w:r w:rsidR="00C61FF1">
        <w:rPr>
          <w:b/>
          <w:szCs w:val="28"/>
        </w:rPr>
        <w:t>-</w:t>
      </w:r>
      <w:r w:rsidR="004D6967">
        <w:rPr>
          <w:b/>
          <w:szCs w:val="28"/>
        </w:rPr>
        <w:t>child transmission</w:t>
      </w:r>
      <w:r w:rsidR="00F6303B" w:rsidRPr="007C209B">
        <w:rPr>
          <w:b/>
          <w:szCs w:val="28"/>
        </w:rPr>
        <w:t>, by effectively implementing relevant national policies, strategies, guidelines and programmes on HIV/AIDS and extending the coverage of free antiretroviral treatment, particularly to children and women. It also recommends that the State party make an adequate amendment to the HIV and AIDS Prevention and Control Act in accordance with the High Court decision (Petition No. 97, 2010).</w:t>
      </w:r>
    </w:p>
    <w:p w:rsidR="00F6303B" w:rsidRPr="007C209B" w:rsidRDefault="00A566F1" w:rsidP="00A566F1">
      <w:pPr>
        <w:pStyle w:val="H23G"/>
      </w:pPr>
      <w:r>
        <w:tab/>
      </w:r>
      <w:r>
        <w:tab/>
      </w:r>
      <w:r w:rsidR="00F6303B" w:rsidRPr="007C209B">
        <w:t>Right to education</w:t>
      </w:r>
    </w:p>
    <w:p w:rsidR="00F6303B" w:rsidRPr="007C209B" w:rsidRDefault="003616E3" w:rsidP="003616E3">
      <w:pPr>
        <w:pStyle w:val="SingleTxtG"/>
        <w:tabs>
          <w:tab w:val="left" w:pos="1701"/>
        </w:tabs>
        <w:rPr>
          <w:szCs w:val="28"/>
        </w:rPr>
      </w:pPr>
      <w:r w:rsidRPr="007C209B">
        <w:rPr>
          <w:szCs w:val="28"/>
        </w:rPr>
        <w:t>57.</w:t>
      </w:r>
      <w:r w:rsidRPr="007C209B">
        <w:rPr>
          <w:szCs w:val="28"/>
        </w:rPr>
        <w:tab/>
      </w:r>
      <w:r w:rsidR="00F6303B" w:rsidRPr="007C209B">
        <w:rPr>
          <w:szCs w:val="28"/>
        </w:rPr>
        <w:t xml:space="preserve">The Committee is concerned that the State party has not </w:t>
      </w:r>
      <w:r w:rsidR="00183141" w:rsidRPr="007C209B">
        <w:rPr>
          <w:szCs w:val="28"/>
        </w:rPr>
        <w:t xml:space="preserve">dedicated </w:t>
      </w:r>
      <w:r w:rsidR="00F6303B" w:rsidRPr="007C209B">
        <w:rPr>
          <w:szCs w:val="28"/>
        </w:rPr>
        <w:t>sufficient resources</w:t>
      </w:r>
      <w:r w:rsidR="00183141" w:rsidRPr="007C209B">
        <w:rPr>
          <w:szCs w:val="28"/>
        </w:rPr>
        <w:t xml:space="preserve"> to financ</w:t>
      </w:r>
      <w:r w:rsidR="00B2219B">
        <w:rPr>
          <w:szCs w:val="28"/>
        </w:rPr>
        <w:t>ing</w:t>
      </w:r>
      <w:r w:rsidR="00F6303B" w:rsidRPr="007C209B">
        <w:rPr>
          <w:szCs w:val="28"/>
        </w:rPr>
        <w:t xml:space="preserve"> school facilities and qualified teachers, </w:t>
      </w:r>
      <w:r w:rsidR="00574270">
        <w:rPr>
          <w:szCs w:val="28"/>
        </w:rPr>
        <w:t xml:space="preserve">and </w:t>
      </w:r>
      <w:r w:rsidR="00183141" w:rsidRPr="007C209B">
        <w:rPr>
          <w:szCs w:val="28"/>
        </w:rPr>
        <w:t>to ensur</w:t>
      </w:r>
      <w:r w:rsidR="00574270">
        <w:rPr>
          <w:szCs w:val="28"/>
        </w:rPr>
        <w:t>ing</w:t>
      </w:r>
      <w:r w:rsidR="00183141" w:rsidRPr="007C209B">
        <w:rPr>
          <w:szCs w:val="28"/>
        </w:rPr>
        <w:t xml:space="preserve"> effective enjoyment of the right to</w:t>
      </w:r>
      <w:r w:rsidR="00F6303B" w:rsidRPr="007C209B">
        <w:rPr>
          <w:szCs w:val="28"/>
        </w:rPr>
        <w:t xml:space="preserve"> free primary education for all. It is also concerned</w:t>
      </w:r>
      <w:r w:rsidR="006C2BA6" w:rsidRPr="007C209B">
        <w:rPr>
          <w:szCs w:val="28"/>
        </w:rPr>
        <w:t xml:space="preserve"> that inadequacies in the public schooling system </w:t>
      </w:r>
      <w:r w:rsidR="00183141" w:rsidRPr="007C209B">
        <w:rPr>
          <w:szCs w:val="28"/>
        </w:rPr>
        <w:t xml:space="preserve">have </w:t>
      </w:r>
      <w:r w:rsidR="006C2BA6" w:rsidRPr="007C209B">
        <w:rPr>
          <w:szCs w:val="28"/>
        </w:rPr>
        <w:t>led to</w:t>
      </w:r>
      <w:r w:rsidR="00F6303B" w:rsidRPr="007C209B">
        <w:rPr>
          <w:szCs w:val="28"/>
        </w:rPr>
        <w:t xml:space="preserve"> the proliferation of so-called “low-cost private schools”</w:t>
      </w:r>
      <w:r w:rsidR="002A4D73">
        <w:rPr>
          <w:szCs w:val="28"/>
        </w:rPr>
        <w:t>,</w:t>
      </w:r>
      <w:r w:rsidR="00F6303B" w:rsidRPr="007C209B">
        <w:rPr>
          <w:szCs w:val="28"/>
        </w:rPr>
        <w:t xml:space="preserve"> which has led to</w:t>
      </w:r>
      <w:r w:rsidR="00CF77B5">
        <w:rPr>
          <w:szCs w:val="28"/>
        </w:rPr>
        <w:t xml:space="preserve"> </w:t>
      </w:r>
      <w:r w:rsidR="00F6303B" w:rsidRPr="007C209B">
        <w:rPr>
          <w:szCs w:val="28"/>
        </w:rPr>
        <w:t>segregation or discriminatory access to education</w:t>
      </w:r>
      <w:r w:rsidR="002A4D73">
        <w:rPr>
          <w:szCs w:val="28"/>
        </w:rPr>
        <w:t>,</w:t>
      </w:r>
      <w:r w:rsidR="00F6303B" w:rsidRPr="007C209B">
        <w:rPr>
          <w:szCs w:val="28"/>
        </w:rPr>
        <w:t xml:space="preserve"> particularly for disadvantaged and marginalized children, including children living in informal settlements and arid and semi-arid areas (arts. 13 and 14).</w:t>
      </w:r>
    </w:p>
    <w:p w:rsidR="00F6303B" w:rsidRPr="007C209B" w:rsidRDefault="003616E3" w:rsidP="003616E3">
      <w:pPr>
        <w:pStyle w:val="SingleTxtG"/>
        <w:tabs>
          <w:tab w:val="left" w:pos="1701"/>
        </w:tabs>
        <w:rPr>
          <w:b/>
          <w:szCs w:val="28"/>
        </w:rPr>
      </w:pPr>
      <w:r w:rsidRPr="007C209B">
        <w:rPr>
          <w:szCs w:val="28"/>
        </w:rPr>
        <w:t>58.</w:t>
      </w:r>
      <w:r w:rsidRPr="007C209B">
        <w:rPr>
          <w:szCs w:val="28"/>
        </w:rPr>
        <w:tab/>
      </w:r>
      <w:r w:rsidR="00F6303B" w:rsidRPr="007C209B">
        <w:rPr>
          <w:b/>
          <w:szCs w:val="28"/>
        </w:rPr>
        <w:t xml:space="preserve">Recalling that the State has the primary responsibility </w:t>
      </w:r>
      <w:r w:rsidR="00BD4CA3" w:rsidRPr="007C209B">
        <w:rPr>
          <w:b/>
          <w:szCs w:val="28"/>
        </w:rPr>
        <w:t xml:space="preserve">in ensuring </w:t>
      </w:r>
      <w:r w:rsidR="002A4D73">
        <w:rPr>
          <w:b/>
          <w:szCs w:val="28"/>
        </w:rPr>
        <w:t>the</w:t>
      </w:r>
      <w:r w:rsidR="002A4D73" w:rsidRPr="007C209B">
        <w:rPr>
          <w:b/>
          <w:szCs w:val="28"/>
        </w:rPr>
        <w:t xml:space="preserve"> </w:t>
      </w:r>
      <w:r w:rsidR="00BD4CA3" w:rsidRPr="007C209B">
        <w:rPr>
          <w:b/>
          <w:szCs w:val="28"/>
        </w:rPr>
        <w:t xml:space="preserve">right </w:t>
      </w:r>
      <w:r w:rsidR="00F6303B" w:rsidRPr="007C209B">
        <w:rPr>
          <w:b/>
          <w:szCs w:val="28"/>
        </w:rPr>
        <w:t xml:space="preserve">to education, the Committee recommends that the State party take all </w:t>
      </w:r>
      <w:r w:rsidR="00B2219B">
        <w:rPr>
          <w:b/>
          <w:szCs w:val="28"/>
        </w:rPr>
        <w:t xml:space="preserve">the </w:t>
      </w:r>
      <w:r w:rsidR="00F6303B" w:rsidRPr="007C209B">
        <w:rPr>
          <w:b/>
          <w:szCs w:val="28"/>
        </w:rPr>
        <w:t xml:space="preserve">measures </w:t>
      </w:r>
      <w:r w:rsidR="00B2219B" w:rsidRPr="007C209B">
        <w:rPr>
          <w:b/>
          <w:szCs w:val="28"/>
        </w:rPr>
        <w:t xml:space="preserve">necessary </w:t>
      </w:r>
      <w:r w:rsidR="00F6303B" w:rsidRPr="007C209B">
        <w:rPr>
          <w:b/>
          <w:szCs w:val="28"/>
        </w:rPr>
        <w:t xml:space="preserve">to strengthen its public education sector. </w:t>
      </w:r>
      <w:r w:rsidR="00183141" w:rsidRPr="007C209B">
        <w:rPr>
          <w:b/>
          <w:szCs w:val="28"/>
        </w:rPr>
        <w:t xml:space="preserve">The </w:t>
      </w:r>
      <w:r w:rsidR="00F6303B" w:rsidRPr="007C209B">
        <w:rPr>
          <w:b/>
          <w:szCs w:val="28"/>
        </w:rPr>
        <w:t xml:space="preserve">State party </w:t>
      </w:r>
      <w:r w:rsidR="00183141" w:rsidRPr="007C209B">
        <w:rPr>
          <w:b/>
          <w:szCs w:val="28"/>
        </w:rPr>
        <w:t xml:space="preserve">should </w:t>
      </w:r>
      <w:r w:rsidR="00F6303B" w:rsidRPr="007C209B">
        <w:rPr>
          <w:b/>
          <w:szCs w:val="28"/>
        </w:rPr>
        <w:t>increase the budget allocat</w:t>
      </w:r>
      <w:r w:rsidR="00034776">
        <w:rPr>
          <w:b/>
          <w:szCs w:val="28"/>
        </w:rPr>
        <w:t>ed</w:t>
      </w:r>
      <w:r w:rsidR="00F6303B" w:rsidRPr="007C209B">
        <w:rPr>
          <w:b/>
          <w:szCs w:val="28"/>
        </w:rPr>
        <w:t xml:space="preserve"> to primary education and take all </w:t>
      </w:r>
      <w:r w:rsidR="00B2219B">
        <w:rPr>
          <w:b/>
          <w:szCs w:val="28"/>
        </w:rPr>
        <w:t xml:space="preserve">the </w:t>
      </w:r>
      <w:r w:rsidR="00F6303B" w:rsidRPr="007C209B">
        <w:rPr>
          <w:b/>
          <w:szCs w:val="28"/>
        </w:rPr>
        <w:t xml:space="preserve">measures </w:t>
      </w:r>
      <w:r w:rsidR="00B2219B" w:rsidRPr="007C209B">
        <w:rPr>
          <w:b/>
          <w:szCs w:val="28"/>
        </w:rPr>
        <w:t xml:space="preserve">necessary </w:t>
      </w:r>
      <w:r w:rsidR="00F6303B" w:rsidRPr="007C209B">
        <w:rPr>
          <w:b/>
          <w:szCs w:val="28"/>
        </w:rPr>
        <w:t xml:space="preserve">to improve access to and </w:t>
      </w:r>
      <w:r w:rsidR="00B2219B">
        <w:rPr>
          <w:b/>
          <w:szCs w:val="28"/>
        </w:rPr>
        <w:t xml:space="preserve">the </w:t>
      </w:r>
      <w:r w:rsidR="00F6303B" w:rsidRPr="007C209B">
        <w:rPr>
          <w:b/>
          <w:szCs w:val="28"/>
        </w:rPr>
        <w:t>quality of primary education for all without hidden costs, particularly for children living in informal settlements and arid and semi-arid areas. It also recommends that the State party bring the</w:t>
      </w:r>
      <w:r w:rsidR="00CF77B5">
        <w:rPr>
          <w:b/>
          <w:szCs w:val="28"/>
        </w:rPr>
        <w:t xml:space="preserve"> </w:t>
      </w:r>
      <w:r w:rsidR="00F6303B" w:rsidRPr="007C209B">
        <w:rPr>
          <w:b/>
          <w:szCs w:val="28"/>
        </w:rPr>
        <w:t>Registration Guidelines for Alternative Provision of Basic Education and Training</w:t>
      </w:r>
      <w:r w:rsidR="00CF77B5">
        <w:rPr>
          <w:b/>
          <w:szCs w:val="28"/>
        </w:rPr>
        <w:t xml:space="preserve"> </w:t>
      </w:r>
      <w:r w:rsidR="00F6303B" w:rsidRPr="007C209B">
        <w:rPr>
          <w:b/>
          <w:szCs w:val="28"/>
        </w:rPr>
        <w:t xml:space="preserve">in line with </w:t>
      </w:r>
      <w:r w:rsidR="00B2219B">
        <w:rPr>
          <w:b/>
          <w:szCs w:val="28"/>
        </w:rPr>
        <w:t>a</w:t>
      </w:r>
      <w:r w:rsidR="00F6303B" w:rsidRPr="007C209B">
        <w:rPr>
          <w:b/>
          <w:szCs w:val="28"/>
        </w:rPr>
        <w:t>rticles 13 and 14 of the Covenant and other relevant international standards</w:t>
      </w:r>
      <w:r w:rsidR="00183141" w:rsidRPr="007C209B">
        <w:rPr>
          <w:b/>
          <w:szCs w:val="28"/>
        </w:rPr>
        <w:t>; that it</w:t>
      </w:r>
      <w:r w:rsidR="00F6303B" w:rsidRPr="007C209B">
        <w:rPr>
          <w:b/>
          <w:szCs w:val="28"/>
        </w:rPr>
        <w:t xml:space="preserve"> ensure that all schools, public, private, formal or non-formal, are registered</w:t>
      </w:r>
      <w:r w:rsidR="00183141" w:rsidRPr="007C209B">
        <w:rPr>
          <w:b/>
          <w:szCs w:val="28"/>
        </w:rPr>
        <w:t xml:space="preserve">; </w:t>
      </w:r>
      <w:r w:rsidR="00F6303B" w:rsidRPr="007C209B">
        <w:rPr>
          <w:b/>
          <w:szCs w:val="28"/>
        </w:rPr>
        <w:t xml:space="preserve">and </w:t>
      </w:r>
      <w:r w:rsidR="00183141" w:rsidRPr="007C209B">
        <w:rPr>
          <w:b/>
          <w:szCs w:val="28"/>
        </w:rPr>
        <w:t xml:space="preserve">that it </w:t>
      </w:r>
      <w:r w:rsidR="009B1BC2" w:rsidRPr="007C209B">
        <w:rPr>
          <w:b/>
          <w:szCs w:val="28"/>
        </w:rPr>
        <w:t>monitor their compliance with</w:t>
      </w:r>
      <w:r w:rsidR="00F6303B" w:rsidRPr="007C209B">
        <w:rPr>
          <w:b/>
          <w:szCs w:val="28"/>
        </w:rPr>
        <w:t xml:space="preserve"> the </w:t>
      </w:r>
      <w:r w:rsidR="00B2219B">
        <w:rPr>
          <w:b/>
          <w:szCs w:val="28"/>
        </w:rPr>
        <w:t>G</w:t>
      </w:r>
      <w:r w:rsidR="00F6303B" w:rsidRPr="007C209B">
        <w:rPr>
          <w:b/>
          <w:szCs w:val="28"/>
        </w:rPr>
        <w:t>uidelines.</w:t>
      </w:r>
    </w:p>
    <w:p w:rsidR="00F6303B" w:rsidRPr="007C209B" w:rsidRDefault="003616E3" w:rsidP="003616E3">
      <w:pPr>
        <w:pStyle w:val="SingleTxtG"/>
        <w:tabs>
          <w:tab w:val="left" w:pos="1701"/>
        </w:tabs>
        <w:rPr>
          <w:szCs w:val="28"/>
        </w:rPr>
      </w:pPr>
      <w:r w:rsidRPr="007C209B">
        <w:rPr>
          <w:szCs w:val="28"/>
        </w:rPr>
        <w:t>59.</w:t>
      </w:r>
      <w:r w:rsidRPr="007C209B">
        <w:rPr>
          <w:szCs w:val="28"/>
        </w:rPr>
        <w:tab/>
      </w:r>
      <w:r w:rsidR="00F6303B" w:rsidRPr="007C209B">
        <w:rPr>
          <w:szCs w:val="28"/>
        </w:rPr>
        <w:t xml:space="preserve">While noting the measures taken to assist children who </w:t>
      </w:r>
      <w:r w:rsidR="00B2219B">
        <w:rPr>
          <w:szCs w:val="28"/>
        </w:rPr>
        <w:t>ha</w:t>
      </w:r>
      <w:r w:rsidR="00034776">
        <w:rPr>
          <w:szCs w:val="28"/>
        </w:rPr>
        <w:t>ve</w:t>
      </w:r>
      <w:r w:rsidR="00B2219B">
        <w:rPr>
          <w:szCs w:val="28"/>
        </w:rPr>
        <w:t xml:space="preserve"> </w:t>
      </w:r>
      <w:r w:rsidR="00F6303B" w:rsidRPr="007C209B">
        <w:rPr>
          <w:szCs w:val="28"/>
        </w:rPr>
        <w:t xml:space="preserve">left school </w:t>
      </w:r>
      <w:r w:rsidR="00BD4CA3" w:rsidRPr="007C209B">
        <w:rPr>
          <w:szCs w:val="28"/>
        </w:rPr>
        <w:t xml:space="preserve">to </w:t>
      </w:r>
      <w:r w:rsidR="00F6303B" w:rsidRPr="007C209B">
        <w:rPr>
          <w:szCs w:val="28"/>
        </w:rPr>
        <w:t xml:space="preserve">continue to study, the Committee reiterates its concern at the large number of children dropping out of school, particularly girls due to early marriage and pregnancy (arts. 13 and 14). </w:t>
      </w:r>
    </w:p>
    <w:p w:rsidR="00F6303B" w:rsidRPr="007C209B" w:rsidRDefault="0022729B" w:rsidP="00392ECC">
      <w:pPr>
        <w:pStyle w:val="SingleTxtG"/>
        <w:tabs>
          <w:tab w:val="left" w:pos="1701"/>
        </w:tabs>
        <w:rPr>
          <w:b/>
          <w:szCs w:val="28"/>
        </w:rPr>
      </w:pPr>
      <w:r w:rsidRPr="00392ECC">
        <w:rPr>
          <w:szCs w:val="28"/>
        </w:rPr>
        <w:t>60.</w:t>
      </w:r>
      <w:r>
        <w:rPr>
          <w:b/>
          <w:szCs w:val="28"/>
        </w:rPr>
        <w:tab/>
      </w:r>
      <w:r w:rsidR="00F6303B" w:rsidRPr="007C209B">
        <w:rPr>
          <w:b/>
          <w:szCs w:val="28"/>
        </w:rPr>
        <w:t xml:space="preserve">The Committee recommends that the State party take the measures </w:t>
      </w:r>
      <w:r w:rsidR="00B2219B" w:rsidRPr="007C209B">
        <w:rPr>
          <w:b/>
          <w:szCs w:val="28"/>
        </w:rPr>
        <w:t xml:space="preserve">necessary </w:t>
      </w:r>
      <w:r w:rsidR="00F6303B" w:rsidRPr="007C209B">
        <w:rPr>
          <w:b/>
          <w:szCs w:val="28"/>
        </w:rPr>
        <w:t xml:space="preserve">to </w:t>
      </w:r>
      <w:r w:rsidR="00C07680" w:rsidRPr="007C209B">
        <w:rPr>
          <w:b/>
          <w:szCs w:val="28"/>
        </w:rPr>
        <w:t>address</w:t>
      </w:r>
      <w:r w:rsidR="00F6303B" w:rsidRPr="007C209B">
        <w:rPr>
          <w:b/>
          <w:szCs w:val="28"/>
        </w:rPr>
        <w:t xml:space="preserve"> the </w:t>
      </w:r>
      <w:r w:rsidR="00034776">
        <w:rPr>
          <w:b/>
          <w:szCs w:val="28"/>
        </w:rPr>
        <w:t>underlying reasons why children</w:t>
      </w:r>
      <w:r w:rsidR="00F6303B" w:rsidRPr="007C209B">
        <w:rPr>
          <w:b/>
          <w:szCs w:val="28"/>
        </w:rPr>
        <w:t xml:space="preserve"> drop</w:t>
      </w:r>
      <w:r w:rsidR="00034776">
        <w:rPr>
          <w:b/>
          <w:szCs w:val="28"/>
        </w:rPr>
        <w:t xml:space="preserve"> </w:t>
      </w:r>
      <w:r w:rsidR="00F6303B" w:rsidRPr="007C209B">
        <w:rPr>
          <w:b/>
          <w:szCs w:val="28"/>
        </w:rPr>
        <w:t xml:space="preserve">out </w:t>
      </w:r>
      <w:r w:rsidR="00034776">
        <w:rPr>
          <w:b/>
          <w:szCs w:val="28"/>
        </w:rPr>
        <w:t>of school, to</w:t>
      </w:r>
      <w:r w:rsidR="00F6303B" w:rsidRPr="007C209B">
        <w:rPr>
          <w:b/>
          <w:szCs w:val="28"/>
        </w:rPr>
        <w:t xml:space="preserve"> intensify its efforts </w:t>
      </w:r>
      <w:r w:rsidR="00C07680" w:rsidRPr="007C209B">
        <w:rPr>
          <w:b/>
          <w:szCs w:val="28"/>
        </w:rPr>
        <w:t xml:space="preserve">to </w:t>
      </w:r>
      <w:r w:rsidR="00E30ED1" w:rsidRPr="007C209B">
        <w:rPr>
          <w:b/>
          <w:szCs w:val="28"/>
        </w:rPr>
        <w:t xml:space="preserve">prevent students from </w:t>
      </w:r>
      <w:r w:rsidR="00034776">
        <w:rPr>
          <w:b/>
          <w:szCs w:val="28"/>
        </w:rPr>
        <w:t>doing so</w:t>
      </w:r>
      <w:r w:rsidR="00E30ED1" w:rsidRPr="007C209B">
        <w:rPr>
          <w:b/>
          <w:szCs w:val="28"/>
        </w:rPr>
        <w:t xml:space="preserve"> and </w:t>
      </w:r>
      <w:r w:rsidR="00F6303B" w:rsidRPr="007C209B">
        <w:rPr>
          <w:b/>
          <w:szCs w:val="28"/>
        </w:rPr>
        <w:t xml:space="preserve">to bring </w:t>
      </w:r>
      <w:r w:rsidR="00E30ED1" w:rsidRPr="007C209B">
        <w:rPr>
          <w:b/>
          <w:szCs w:val="28"/>
        </w:rPr>
        <w:t xml:space="preserve">those children </w:t>
      </w:r>
      <w:r w:rsidR="00F6303B" w:rsidRPr="007C209B">
        <w:rPr>
          <w:b/>
          <w:szCs w:val="28"/>
        </w:rPr>
        <w:t xml:space="preserve">back to </w:t>
      </w:r>
      <w:r w:rsidR="00E30ED1" w:rsidRPr="007C209B">
        <w:rPr>
          <w:b/>
          <w:szCs w:val="28"/>
        </w:rPr>
        <w:t>school to complete their education</w:t>
      </w:r>
      <w:r w:rsidR="00A566F1">
        <w:rPr>
          <w:b/>
          <w:szCs w:val="28"/>
        </w:rPr>
        <w:t>.</w:t>
      </w:r>
    </w:p>
    <w:p w:rsidR="00F6303B" w:rsidRPr="007C209B" w:rsidRDefault="00A566F1" w:rsidP="00A566F1">
      <w:pPr>
        <w:pStyle w:val="H23G"/>
      </w:pPr>
      <w:r>
        <w:tab/>
      </w:r>
      <w:r>
        <w:tab/>
      </w:r>
      <w:r w:rsidR="00182C09">
        <w:t>Access to the Internet</w:t>
      </w:r>
    </w:p>
    <w:p w:rsidR="00F6303B" w:rsidRPr="007C209B" w:rsidRDefault="0022729B" w:rsidP="00392ECC">
      <w:pPr>
        <w:pStyle w:val="SingleTxtG"/>
        <w:tabs>
          <w:tab w:val="left" w:pos="1701"/>
        </w:tabs>
        <w:rPr>
          <w:szCs w:val="28"/>
        </w:rPr>
      </w:pPr>
      <w:r>
        <w:rPr>
          <w:szCs w:val="28"/>
        </w:rPr>
        <w:t>61.</w:t>
      </w:r>
      <w:r>
        <w:rPr>
          <w:szCs w:val="28"/>
        </w:rPr>
        <w:tab/>
      </w:r>
      <w:r w:rsidR="006C2BA6" w:rsidRPr="007C209B">
        <w:rPr>
          <w:szCs w:val="28"/>
        </w:rPr>
        <w:t>While noting that more than 50 per</w:t>
      </w:r>
      <w:r w:rsidR="008222AC">
        <w:rPr>
          <w:szCs w:val="28"/>
        </w:rPr>
        <w:t xml:space="preserve"> </w:t>
      </w:r>
      <w:r w:rsidR="006C2BA6" w:rsidRPr="007C209B">
        <w:rPr>
          <w:szCs w:val="28"/>
        </w:rPr>
        <w:t xml:space="preserve">cent of the population has access to the Internet, the </w:t>
      </w:r>
      <w:r w:rsidR="007C4039">
        <w:rPr>
          <w:szCs w:val="28"/>
        </w:rPr>
        <w:t>C</w:t>
      </w:r>
      <w:r w:rsidR="006C2BA6" w:rsidRPr="007C209B">
        <w:rPr>
          <w:szCs w:val="28"/>
        </w:rPr>
        <w:t>ommittee expresses its concern that, among disadvantaged and marginalized individuals and groups and in rural areas, such access is limited</w:t>
      </w:r>
      <w:r w:rsidR="00F6303B" w:rsidRPr="007C209B">
        <w:rPr>
          <w:szCs w:val="28"/>
        </w:rPr>
        <w:t xml:space="preserve"> (art. 15).</w:t>
      </w:r>
    </w:p>
    <w:p w:rsidR="00F6303B" w:rsidRPr="007C209B" w:rsidRDefault="0022729B" w:rsidP="00392ECC">
      <w:pPr>
        <w:pStyle w:val="SingleTxtG"/>
        <w:tabs>
          <w:tab w:val="left" w:pos="1701"/>
        </w:tabs>
        <w:rPr>
          <w:b/>
          <w:szCs w:val="28"/>
        </w:rPr>
      </w:pPr>
      <w:r w:rsidRPr="00392ECC">
        <w:rPr>
          <w:szCs w:val="28"/>
        </w:rPr>
        <w:t>62.</w:t>
      </w:r>
      <w:r>
        <w:rPr>
          <w:b/>
          <w:szCs w:val="28"/>
        </w:rPr>
        <w:tab/>
      </w:r>
      <w:r w:rsidR="00F6303B" w:rsidRPr="007C209B">
        <w:rPr>
          <w:b/>
          <w:szCs w:val="28"/>
        </w:rPr>
        <w:t xml:space="preserve">The Committee recommends that the State </w:t>
      </w:r>
      <w:r w:rsidR="00516F3D" w:rsidRPr="007C209B">
        <w:rPr>
          <w:b/>
          <w:szCs w:val="28"/>
        </w:rPr>
        <w:t>party continue</w:t>
      </w:r>
      <w:r w:rsidR="006C2BA6" w:rsidRPr="007C209B">
        <w:rPr>
          <w:b/>
          <w:szCs w:val="28"/>
        </w:rPr>
        <w:t xml:space="preserve"> working to expand Internet access</w:t>
      </w:r>
      <w:r w:rsidR="00035927" w:rsidRPr="007C209B">
        <w:rPr>
          <w:b/>
          <w:szCs w:val="28"/>
        </w:rPr>
        <w:t>, in particular for disadvantaged and marginalized individuals and groups</w:t>
      </w:r>
      <w:r w:rsidR="006C2BA6" w:rsidRPr="007C209B">
        <w:rPr>
          <w:b/>
          <w:szCs w:val="28"/>
        </w:rPr>
        <w:t>.</w:t>
      </w:r>
    </w:p>
    <w:p w:rsidR="00F6303B" w:rsidRPr="007C209B" w:rsidRDefault="00F6303B" w:rsidP="007C209B">
      <w:pPr>
        <w:pStyle w:val="H1G"/>
      </w:pPr>
      <w:r w:rsidRPr="007C209B">
        <w:tab/>
        <w:t>D.</w:t>
      </w:r>
      <w:r w:rsidRPr="007C209B">
        <w:tab/>
        <w:t>Other recommendations</w:t>
      </w:r>
    </w:p>
    <w:p w:rsidR="00F6303B" w:rsidRPr="007C209B" w:rsidRDefault="0022729B" w:rsidP="00392ECC">
      <w:pPr>
        <w:pStyle w:val="SingleTxtG"/>
        <w:tabs>
          <w:tab w:val="left" w:pos="1701"/>
        </w:tabs>
        <w:rPr>
          <w:b/>
          <w:szCs w:val="28"/>
        </w:rPr>
      </w:pPr>
      <w:r w:rsidRPr="00392ECC">
        <w:rPr>
          <w:szCs w:val="28"/>
        </w:rPr>
        <w:t>63.</w:t>
      </w:r>
      <w:r>
        <w:rPr>
          <w:b/>
          <w:szCs w:val="28"/>
        </w:rPr>
        <w:tab/>
      </w:r>
      <w:r w:rsidR="00F6303B" w:rsidRPr="007C209B">
        <w:rPr>
          <w:b/>
          <w:szCs w:val="28"/>
        </w:rPr>
        <w:t>The Committee encourages the State party to ratify the Optional Protocol to the International Covenant on Economic, Social and Cultural Rights.</w:t>
      </w:r>
    </w:p>
    <w:p w:rsidR="00F6303B" w:rsidRPr="007C209B" w:rsidRDefault="0022729B" w:rsidP="00392ECC">
      <w:pPr>
        <w:pStyle w:val="SingleTxtG"/>
        <w:tabs>
          <w:tab w:val="left" w:pos="1701"/>
        </w:tabs>
        <w:rPr>
          <w:b/>
          <w:szCs w:val="28"/>
        </w:rPr>
      </w:pPr>
      <w:r w:rsidRPr="00392ECC">
        <w:rPr>
          <w:szCs w:val="28"/>
        </w:rPr>
        <w:t>64.</w:t>
      </w:r>
      <w:r>
        <w:rPr>
          <w:b/>
          <w:szCs w:val="28"/>
        </w:rPr>
        <w:tab/>
      </w:r>
      <w:r w:rsidR="009402CD" w:rsidRPr="007C209B">
        <w:rPr>
          <w:b/>
          <w:szCs w:val="28"/>
        </w:rPr>
        <w:t xml:space="preserve">The Committee also encourages the State party to withdraw its reservation to article 10 </w:t>
      </w:r>
      <w:r w:rsidR="007C4039">
        <w:rPr>
          <w:b/>
          <w:szCs w:val="28"/>
        </w:rPr>
        <w:t xml:space="preserve">(2) </w:t>
      </w:r>
      <w:r w:rsidR="009402CD" w:rsidRPr="007C209B">
        <w:rPr>
          <w:b/>
          <w:szCs w:val="28"/>
        </w:rPr>
        <w:t>of the Covenant.</w:t>
      </w:r>
    </w:p>
    <w:p w:rsidR="00C170E7" w:rsidRPr="007C209B" w:rsidRDefault="0022729B" w:rsidP="00392ECC">
      <w:pPr>
        <w:pStyle w:val="SingleTxtG"/>
        <w:tabs>
          <w:tab w:val="left" w:pos="1701"/>
        </w:tabs>
        <w:rPr>
          <w:b/>
          <w:szCs w:val="28"/>
        </w:rPr>
      </w:pPr>
      <w:r w:rsidRPr="00392ECC">
        <w:rPr>
          <w:szCs w:val="28"/>
        </w:rPr>
        <w:t>65.</w:t>
      </w:r>
      <w:r>
        <w:rPr>
          <w:b/>
          <w:szCs w:val="28"/>
        </w:rPr>
        <w:tab/>
      </w:r>
      <w:r w:rsidR="00C170E7" w:rsidRPr="003616E3">
        <w:rPr>
          <w:b/>
          <w:spacing w:val="-2"/>
          <w:szCs w:val="28"/>
        </w:rPr>
        <w:t xml:space="preserve">The Committee recommends that the State party take steps to progressively develop and apply appropriate indicators on the implementation of economic, social and cultural rights in order to facilitate the assessment of progress achieved by the State party in the compliance of its obligations under the Covenant for various segments of the population. In this context, the Committee refers the State party </w:t>
      </w:r>
      <w:proofErr w:type="gramStart"/>
      <w:r w:rsidR="00C170E7" w:rsidRPr="003616E3">
        <w:rPr>
          <w:b/>
          <w:spacing w:val="-2"/>
          <w:szCs w:val="28"/>
        </w:rPr>
        <w:t>to,</w:t>
      </w:r>
      <w:proofErr w:type="gramEnd"/>
      <w:r w:rsidR="00C170E7" w:rsidRPr="003616E3">
        <w:rPr>
          <w:b/>
          <w:spacing w:val="-2"/>
          <w:szCs w:val="28"/>
        </w:rPr>
        <w:t xml:space="preserve"> inter alia, the conceptual and methodological framework on human rights indicators developed by </w:t>
      </w:r>
      <w:r w:rsidR="007C4039" w:rsidRPr="003616E3">
        <w:rPr>
          <w:b/>
          <w:spacing w:val="-2"/>
          <w:szCs w:val="28"/>
        </w:rPr>
        <w:t xml:space="preserve">the </w:t>
      </w:r>
      <w:r w:rsidR="00C170E7" w:rsidRPr="003616E3">
        <w:rPr>
          <w:b/>
          <w:spacing w:val="-2"/>
          <w:szCs w:val="28"/>
        </w:rPr>
        <w:t>O</w:t>
      </w:r>
      <w:r w:rsidR="007C4039" w:rsidRPr="003616E3">
        <w:rPr>
          <w:b/>
          <w:spacing w:val="-2"/>
          <w:szCs w:val="28"/>
        </w:rPr>
        <w:t xml:space="preserve">ffice of the United Nations </w:t>
      </w:r>
      <w:r w:rsidR="00C170E7" w:rsidRPr="003616E3">
        <w:rPr>
          <w:b/>
          <w:spacing w:val="-2"/>
          <w:szCs w:val="28"/>
        </w:rPr>
        <w:t>H</w:t>
      </w:r>
      <w:r w:rsidR="007C4039" w:rsidRPr="003616E3">
        <w:rPr>
          <w:b/>
          <w:spacing w:val="-2"/>
          <w:szCs w:val="28"/>
        </w:rPr>
        <w:t xml:space="preserve">igh </w:t>
      </w:r>
      <w:r w:rsidR="00C170E7" w:rsidRPr="003616E3">
        <w:rPr>
          <w:b/>
          <w:spacing w:val="-2"/>
          <w:szCs w:val="28"/>
        </w:rPr>
        <w:t>C</w:t>
      </w:r>
      <w:r w:rsidR="007C4039" w:rsidRPr="003616E3">
        <w:rPr>
          <w:b/>
          <w:spacing w:val="-2"/>
          <w:szCs w:val="28"/>
        </w:rPr>
        <w:t xml:space="preserve">ommissioner on </w:t>
      </w:r>
      <w:r w:rsidR="00C170E7" w:rsidRPr="003616E3">
        <w:rPr>
          <w:b/>
          <w:spacing w:val="-2"/>
          <w:szCs w:val="28"/>
        </w:rPr>
        <w:t>H</w:t>
      </w:r>
      <w:r w:rsidR="007C4039" w:rsidRPr="003616E3">
        <w:rPr>
          <w:b/>
          <w:spacing w:val="-2"/>
          <w:szCs w:val="28"/>
        </w:rPr>
        <w:t xml:space="preserve">uman </w:t>
      </w:r>
      <w:r w:rsidR="00C170E7" w:rsidRPr="003616E3">
        <w:rPr>
          <w:b/>
          <w:spacing w:val="-2"/>
          <w:szCs w:val="28"/>
        </w:rPr>
        <w:t>R</w:t>
      </w:r>
      <w:r w:rsidR="007C4039" w:rsidRPr="003616E3">
        <w:rPr>
          <w:b/>
          <w:spacing w:val="-2"/>
          <w:szCs w:val="28"/>
        </w:rPr>
        <w:t>ights</w:t>
      </w:r>
      <w:r w:rsidR="00C170E7" w:rsidRPr="003616E3">
        <w:rPr>
          <w:b/>
          <w:spacing w:val="-2"/>
          <w:szCs w:val="28"/>
        </w:rPr>
        <w:t xml:space="preserve"> (HRI/MC/2008/3).</w:t>
      </w:r>
    </w:p>
    <w:p w:rsidR="00F6303B" w:rsidRPr="007C209B" w:rsidRDefault="0022729B" w:rsidP="00392ECC">
      <w:pPr>
        <w:pStyle w:val="SingleTxtG"/>
        <w:tabs>
          <w:tab w:val="left" w:pos="1701"/>
        </w:tabs>
        <w:rPr>
          <w:b/>
          <w:szCs w:val="28"/>
        </w:rPr>
      </w:pPr>
      <w:r w:rsidRPr="00392ECC">
        <w:rPr>
          <w:szCs w:val="28"/>
        </w:rPr>
        <w:t>66.</w:t>
      </w:r>
      <w:r>
        <w:rPr>
          <w:b/>
          <w:szCs w:val="28"/>
        </w:rPr>
        <w:tab/>
      </w:r>
      <w:r w:rsidR="00F6303B" w:rsidRPr="007C209B">
        <w:rPr>
          <w:b/>
          <w:szCs w:val="28"/>
        </w:rPr>
        <w:t>The Committee requests the State party to disseminate the present concluding observations widely among all levels of society, particularly among members of Parliament, public officials and judicial authorities, and to inform the Committee, in its next periodic report, about the steps taken to implement the recommendations contained herein. It also encourages the State party to engage non-governmental organizations and the wider civil society in the implementation of the present recommendations, as well as in the preparation of its next periodic report.</w:t>
      </w:r>
    </w:p>
    <w:p w:rsidR="00F6303B" w:rsidRPr="007C209B" w:rsidRDefault="003664DB" w:rsidP="00392ECC">
      <w:pPr>
        <w:pStyle w:val="SingleTxtG"/>
        <w:tabs>
          <w:tab w:val="left" w:pos="1701"/>
        </w:tabs>
        <w:rPr>
          <w:b/>
          <w:szCs w:val="28"/>
        </w:rPr>
      </w:pPr>
      <w:r w:rsidRPr="00392ECC">
        <w:rPr>
          <w:szCs w:val="28"/>
        </w:rPr>
        <w:t>67.</w:t>
      </w:r>
      <w:r>
        <w:rPr>
          <w:b/>
          <w:szCs w:val="28"/>
        </w:rPr>
        <w:tab/>
      </w:r>
      <w:r w:rsidR="003209BE">
        <w:rPr>
          <w:b/>
          <w:szCs w:val="28"/>
        </w:rPr>
        <w:t xml:space="preserve">The </w:t>
      </w:r>
      <w:r w:rsidR="00F6303B" w:rsidRPr="007C209B">
        <w:rPr>
          <w:b/>
          <w:szCs w:val="28"/>
        </w:rPr>
        <w:t>Committee requests the State party to submit its sixth periodic report, to be prepared in accordance with the reporting guidelines adopted by the Committee in 2008 (see E/C.12/2008/2), by 31 March 2021. The Committee also invites the State party to update its common core document in accordance with the harmonized guidelines on reporting under the international human rights treaties (see HRI/GEN/2/Rev.6, chap.</w:t>
      </w:r>
      <w:r w:rsidR="00CF77B5">
        <w:rPr>
          <w:b/>
          <w:szCs w:val="28"/>
        </w:rPr>
        <w:t xml:space="preserve"> </w:t>
      </w:r>
      <w:r w:rsidR="00F6303B" w:rsidRPr="007C209B">
        <w:rPr>
          <w:b/>
          <w:szCs w:val="28"/>
        </w:rPr>
        <w:t>I).</w:t>
      </w:r>
    </w:p>
    <w:p w:rsidR="00C82F62" w:rsidRPr="00A22E09" w:rsidRDefault="0039527A" w:rsidP="003616E3">
      <w:pPr>
        <w:pStyle w:val="SingleTxtG"/>
        <w:spacing w:after="0"/>
        <w:jc w:val="center"/>
        <w:rPr>
          <w:szCs w:val="28"/>
          <w:u w:val="single"/>
        </w:rPr>
      </w:pPr>
      <w:r w:rsidRPr="00A22E09">
        <w:rPr>
          <w:szCs w:val="28"/>
          <w:u w:val="single"/>
        </w:rPr>
        <w:tab/>
      </w:r>
      <w:r w:rsidRPr="00A22E09">
        <w:rPr>
          <w:szCs w:val="28"/>
          <w:u w:val="single"/>
        </w:rPr>
        <w:tab/>
      </w:r>
      <w:r w:rsidRPr="00A22E09">
        <w:rPr>
          <w:szCs w:val="28"/>
          <w:u w:val="single"/>
        </w:rPr>
        <w:tab/>
      </w:r>
    </w:p>
    <w:sectPr w:rsidR="00C82F62" w:rsidRPr="00A22E09" w:rsidSect="00C46F4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06T14:17:00Z" w:initials="Start">
    <w:p w:rsidR="00C46F45" w:rsidRDefault="00C46F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NO&gt;&gt;N1606900E&lt;&lt;ODS JOB NO&gt;&gt;</w:t>
      </w:r>
    </w:p>
    <w:p w:rsidR="00C46F45" w:rsidRDefault="00C46F45">
      <w:pPr>
        <w:pStyle w:val="CommentText"/>
      </w:pPr>
      <w:r>
        <w:t>&lt;&lt;ODS DOC SYMBOL1&gt;&gt;E/C.12/KEN/CO/2-5&lt;&lt;ODS DOC SYMBOL1&gt;&gt;</w:t>
      </w:r>
    </w:p>
    <w:p w:rsidR="00C46F45" w:rsidRDefault="00C46F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6C" w:rsidRDefault="00B0036C"/>
  </w:endnote>
  <w:endnote w:type="continuationSeparator" w:id="0">
    <w:p w:rsidR="00B0036C" w:rsidRDefault="00B0036C"/>
  </w:endnote>
  <w:endnote w:type="continuationNotice" w:id="1">
    <w:p w:rsidR="00B0036C" w:rsidRDefault="00B0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3A" w:rsidRPr="00CF77B5" w:rsidRDefault="00E53F3A" w:rsidP="007949E7">
    <w:pPr>
      <w:pStyle w:val="Footer"/>
      <w:tabs>
        <w:tab w:val="right" w:pos="9598"/>
        <w:tab w:val="right" w:pos="9638"/>
      </w:tabs>
      <w:rPr>
        <w:b/>
        <w:sz w:val="18"/>
      </w:rPr>
    </w:pPr>
    <w:r w:rsidRPr="00392ECC">
      <w:rPr>
        <w:b/>
        <w:sz w:val="18"/>
      </w:rPr>
      <w:fldChar w:fldCharType="begin"/>
    </w:r>
    <w:r w:rsidRPr="00392ECC">
      <w:rPr>
        <w:b/>
        <w:sz w:val="18"/>
      </w:rPr>
      <w:instrText xml:space="preserve"> PAGE  \* MERGEFORMAT </w:instrText>
    </w:r>
    <w:r w:rsidRPr="00392ECC">
      <w:rPr>
        <w:b/>
        <w:sz w:val="18"/>
      </w:rPr>
      <w:fldChar w:fldCharType="separate"/>
    </w:r>
    <w:r w:rsidR="008F08F3">
      <w:rPr>
        <w:b/>
        <w:noProof/>
        <w:sz w:val="18"/>
      </w:rPr>
      <w:t>4</w:t>
    </w:r>
    <w:r w:rsidRPr="00392EC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3A" w:rsidRPr="00392ECC" w:rsidRDefault="00E53F3A" w:rsidP="0010210D">
    <w:pPr>
      <w:pStyle w:val="Footer"/>
      <w:tabs>
        <w:tab w:val="right" w:pos="9598"/>
        <w:tab w:val="right" w:pos="9638"/>
      </w:tabs>
      <w:jc w:val="right"/>
      <w:rPr>
        <w:b/>
        <w:sz w:val="18"/>
      </w:rPr>
    </w:pPr>
    <w:r w:rsidRPr="00392ECC">
      <w:rPr>
        <w:b/>
        <w:sz w:val="18"/>
      </w:rPr>
      <w:fldChar w:fldCharType="begin"/>
    </w:r>
    <w:r w:rsidRPr="00392ECC">
      <w:rPr>
        <w:b/>
        <w:sz w:val="18"/>
      </w:rPr>
      <w:instrText xml:space="preserve"> PAGE  \* MERGEFORMAT </w:instrText>
    </w:r>
    <w:r w:rsidRPr="00392ECC">
      <w:rPr>
        <w:b/>
        <w:sz w:val="18"/>
      </w:rPr>
      <w:fldChar w:fldCharType="separate"/>
    </w:r>
    <w:r w:rsidR="008F08F3">
      <w:rPr>
        <w:b/>
        <w:noProof/>
        <w:sz w:val="18"/>
      </w:rPr>
      <w:t>3</w:t>
    </w:r>
    <w:r w:rsidRPr="00392E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C46F45" w:rsidTr="00C46F45">
      <w:tc>
        <w:tcPr>
          <w:tcW w:w="3758" w:type="dxa"/>
          <w:shd w:val="clear" w:color="auto" w:fill="auto"/>
        </w:tcPr>
        <w:p w:rsidR="00C46F45" w:rsidRDefault="00C46F45" w:rsidP="00C46F45">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12/KEN/CO/2-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KEN/CO/2-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GE.16-05359(E)</w:t>
          </w:r>
        </w:p>
        <w:p w:rsidR="00C46F45" w:rsidRPr="00C46F45" w:rsidRDefault="00C46F45" w:rsidP="00C46F45">
          <w:pPr>
            <w:pStyle w:val="Footer"/>
            <w:rPr>
              <w:rFonts w:ascii="Barcode 3 of 9 by request" w:hAnsi="Barcode 3 of 9 by request"/>
              <w:sz w:val="24"/>
            </w:rPr>
          </w:pPr>
          <w:r>
            <w:rPr>
              <w:rFonts w:ascii="Barcode 3 of 9 by request" w:hAnsi="Barcode 3 of 9 by request"/>
              <w:sz w:val="24"/>
            </w:rPr>
            <w:t>*1605359*</w:t>
          </w:r>
        </w:p>
      </w:tc>
      <w:tc>
        <w:tcPr>
          <w:tcW w:w="4928" w:type="dxa"/>
          <w:shd w:val="clear" w:color="auto" w:fill="auto"/>
        </w:tcPr>
        <w:p w:rsidR="00C46F45" w:rsidRDefault="00C46F45" w:rsidP="00C46F45">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46F45" w:rsidRPr="00C46F45" w:rsidRDefault="00C46F45" w:rsidP="00C46F4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6C" w:rsidRPr="000B175B" w:rsidRDefault="00B0036C" w:rsidP="000B175B">
      <w:pPr>
        <w:tabs>
          <w:tab w:val="right" w:pos="2155"/>
        </w:tabs>
        <w:spacing w:after="80"/>
        <w:ind w:left="680"/>
        <w:rPr>
          <w:u w:val="single"/>
        </w:rPr>
      </w:pPr>
      <w:r>
        <w:rPr>
          <w:u w:val="single"/>
        </w:rPr>
        <w:tab/>
      </w:r>
    </w:p>
  </w:footnote>
  <w:footnote w:type="continuationSeparator" w:id="0">
    <w:p w:rsidR="00B0036C" w:rsidRPr="00FC68B7" w:rsidRDefault="00B0036C" w:rsidP="00FC68B7">
      <w:pPr>
        <w:tabs>
          <w:tab w:val="left" w:pos="2155"/>
        </w:tabs>
        <w:spacing w:after="80"/>
        <w:ind w:left="680"/>
        <w:rPr>
          <w:u w:val="single"/>
        </w:rPr>
      </w:pPr>
      <w:r>
        <w:rPr>
          <w:u w:val="single"/>
        </w:rPr>
        <w:tab/>
      </w:r>
    </w:p>
  </w:footnote>
  <w:footnote w:type="continuationNotice" w:id="1">
    <w:p w:rsidR="00B0036C" w:rsidRDefault="00B0036C"/>
  </w:footnote>
  <w:footnote w:id="2">
    <w:p w:rsidR="00E53F3A" w:rsidRPr="00A754D8" w:rsidRDefault="00E53F3A" w:rsidP="007B54CC">
      <w:pPr>
        <w:pStyle w:val="FootnoteText"/>
        <w:rPr>
          <w:lang w:eastAsia="fr-FR"/>
        </w:rPr>
      </w:pPr>
      <w:r>
        <w:tab/>
      </w:r>
      <w:r w:rsidRPr="007B54CC">
        <w:rPr>
          <w:rStyle w:val="FootnoteReference"/>
          <w:sz w:val="20"/>
          <w:vertAlign w:val="baseline"/>
        </w:rPr>
        <w:t>*</w:t>
      </w:r>
      <w:r>
        <w:tab/>
      </w:r>
      <w:proofErr w:type="gramStart"/>
      <w:r w:rsidR="001B10B6" w:rsidRPr="003417FF">
        <w:rPr>
          <w:lang w:eastAsia="fr-FR"/>
        </w:rPr>
        <w:t>Adopted by the Committee at its fifty</w:t>
      </w:r>
      <w:r w:rsidR="00A22E09">
        <w:rPr>
          <w:lang w:eastAsia="fr-FR"/>
        </w:rPr>
        <w:t>-seventh session (22 February</w:t>
      </w:r>
      <w:r w:rsidR="007B54CC">
        <w:rPr>
          <w:lang w:eastAsia="fr-FR"/>
        </w:rPr>
        <w:t>-</w:t>
      </w:r>
      <w:r w:rsidR="001B10B6" w:rsidRPr="003417FF">
        <w:rPr>
          <w:lang w:eastAsia="fr-FR"/>
        </w:rPr>
        <w:t>4 March 2016).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3A" w:rsidRPr="003D2931" w:rsidRDefault="00F21274" w:rsidP="00E461F8">
    <w:pPr>
      <w:pStyle w:val="Header"/>
      <w:rPr>
        <w:lang w:val="fr-CH"/>
      </w:rPr>
    </w:pPr>
    <w:r>
      <w:rPr>
        <w:lang w:val="fr-CH"/>
      </w:rPr>
      <w:t>E/C.12/KEN/CO/2-5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3A" w:rsidRPr="003D2931" w:rsidRDefault="00F21274" w:rsidP="007949E7">
    <w:pPr>
      <w:pStyle w:val="Header"/>
      <w:jc w:val="right"/>
      <w:rPr>
        <w:lang w:val="fr-CH"/>
      </w:rPr>
    </w:pPr>
    <w:r>
      <w:rPr>
        <w:lang w:val="fr-CH"/>
      </w:rPr>
      <w:t>E/C.12/KEN/CO/2-5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FA20664C"/>
    <w:name w:val="WW8Num3"/>
    <w:lvl w:ilvl="0">
      <w:start w:val="1"/>
      <w:numFmt w:val="decimal"/>
      <w:lvlText w:val="%1."/>
      <w:lvlJc w:val="left"/>
      <w:pPr>
        <w:tabs>
          <w:tab w:val="num" w:pos="720"/>
        </w:tabs>
        <w:ind w:left="720" w:hanging="360"/>
      </w:pPr>
      <w:rPr>
        <w:rFonts w:ascii="Times New Roman" w:hAnsi="Times New Roman" w:cs="Times New Roman"/>
        <w:b w:val="0"/>
        <w:i w:val="0"/>
        <w:sz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3"/>
    <w:multiLevelType w:val="singleLevel"/>
    <w:tmpl w:val="00000000"/>
    <w:lvl w:ilvl="0">
      <w:start w:val="1"/>
      <w:numFmt w:val="decimal"/>
      <w:pStyle w:val="Quick1"/>
      <w:lvlText w:val="%1."/>
      <w:lvlJc w:val="left"/>
      <w:pPr>
        <w:tabs>
          <w:tab w:val="num" w:pos="720"/>
        </w:tabs>
      </w:pPr>
      <w:rPr>
        <w:rFonts w:ascii="Courier" w:hAnsi="Courier"/>
        <w:sz w:val="20"/>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F34936"/>
    <w:multiLevelType w:val="hybridMultilevel"/>
    <w:tmpl w:val="61DEE6C8"/>
    <w:lvl w:ilvl="0" w:tplc="2B0E07BE">
      <w:start w:val="6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A97647C"/>
    <w:multiLevelType w:val="hybridMultilevel"/>
    <w:tmpl w:val="4E7C38C0"/>
    <w:lvl w:ilvl="0" w:tplc="121C10C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0D4B3763"/>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6472FE"/>
    <w:multiLevelType w:val="hybridMultilevel"/>
    <w:tmpl w:val="7DFEF63A"/>
    <w:lvl w:ilvl="0" w:tplc="D0A87BF4">
      <w:start w:val="1"/>
      <w:numFmt w:val="decimal"/>
      <w:lvlText w:val="%1."/>
      <w:lvlJc w:val="left"/>
      <w:pPr>
        <w:tabs>
          <w:tab w:val="num" w:pos="720"/>
        </w:tabs>
        <w:ind w:left="72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lvl>
    <w:lvl w:ilvl="2" w:tplc="3086F506">
      <w:start w:val="1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C290B6C2">
      <w:start w:val="1"/>
      <w:numFmt w:val="lowerLetter"/>
      <w:lvlText w:val="(%5)"/>
      <w:lvlJc w:val="left"/>
      <w:pPr>
        <w:tabs>
          <w:tab w:val="num" w:pos="3660"/>
        </w:tabs>
        <w:ind w:left="3660" w:hanging="4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FA61A1"/>
    <w:multiLevelType w:val="hybridMultilevel"/>
    <w:tmpl w:val="1166D904"/>
    <w:lvl w:ilvl="0" w:tplc="39E0B43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FF5032E"/>
    <w:multiLevelType w:val="hybridMultilevel"/>
    <w:tmpl w:val="397CA40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064E66"/>
    <w:multiLevelType w:val="hybridMultilevel"/>
    <w:tmpl w:val="9538058A"/>
    <w:lvl w:ilvl="0" w:tplc="6AB299A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B991499"/>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5">
    <w:nsid w:val="41C02D7A"/>
    <w:multiLevelType w:val="hybridMultilevel"/>
    <w:tmpl w:val="4C7E0A02"/>
    <w:lvl w:ilvl="0" w:tplc="F814C244">
      <w:start w:val="6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4D55625"/>
    <w:multiLevelType w:val="hybridMultilevel"/>
    <w:tmpl w:val="E2F8D574"/>
    <w:lvl w:ilvl="0" w:tplc="5578373E">
      <w:start w:val="1"/>
      <w:numFmt w:val="decimal"/>
      <w:lvlText w:val="%1."/>
      <w:lvlJc w:val="left"/>
      <w:pPr>
        <w:ind w:left="1353" w:hanging="360"/>
      </w:pPr>
      <w:rPr>
        <w:b w:val="0"/>
        <w:color w:val="auto"/>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7">
    <w:nsid w:val="4F426E26"/>
    <w:multiLevelType w:val="hybridMultilevel"/>
    <w:tmpl w:val="9F088688"/>
    <w:lvl w:ilvl="0" w:tplc="6CEE47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06B22DF"/>
    <w:multiLevelType w:val="hybridMultilevel"/>
    <w:tmpl w:val="80721040"/>
    <w:lvl w:ilvl="0" w:tplc="120E0C2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61140090"/>
    <w:multiLevelType w:val="hybridMultilevel"/>
    <w:tmpl w:val="149C2216"/>
    <w:lvl w:ilvl="0" w:tplc="6C6CD3D4">
      <w:start w:val="65"/>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nsid w:val="695660B2"/>
    <w:multiLevelType w:val="hybridMultilevel"/>
    <w:tmpl w:val="817840A0"/>
    <w:lvl w:ilvl="0" w:tplc="EFC87680">
      <w:start w:val="6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6CB40077"/>
    <w:multiLevelType w:val="hybridMultilevel"/>
    <w:tmpl w:val="01DEE474"/>
    <w:lvl w:ilvl="0" w:tplc="670A7FDE">
      <w:start w:val="6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FCF1E62"/>
    <w:multiLevelType w:val="hybridMultilevel"/>
    <w:tmpl w:val="10D4D468"/>
    <w:lvl w:ilvl="0" w:tplc="DB9808CE">
      <w:start w:val="6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6235E56"/>
    <w:multiLevelType w:val="hybridMultilevel"/>
    <w:tmpl w:val="44443E2C"/>
    <w:lvl w:ilvl="0" w:tplc="70CA7670">
      <w:start w:val="6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7B570BF1"/>
    <w:multiLevelType w:val="hybridMultilevel"/>
    <w:tmpl w:val="516A9F00"/>
    <w:lvl w:ilvl="0" w:tplc="5EB4936C">
      <w:start w:val="1"/>
      <w:numFmt w:val="decimal"/>
      <w:lvlText w:val="%1."/>
      <w:lvlJc w:val="left"/>
      <w:pPr>
        <w:ind w:left="2278" w:hanging="576"/>
      </w:pPr>
      <w:rPr>
        <w:b w:val="0"/>
        <w:bCs w:val="0"/>
        <w:i w:val="0"/>
        <w:color w:val="auto"/>
        <w:sz w:val="20"/>
        <w:szCs w:val="20"/>
        <w:lang w:val="en-U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7FB10FAC"/>
    <w:multiLevelType w:val="hybridMultilevel"/>
    <w:tmpl w:val="7910BC98"/>
    <w:lvl w:ilvl="0" w:tplc="0FE6379A">
      <w:start w:val="1"/>
      <w:numFmt w:val="lowerLetter"/>
      <w:lvlText w:val="(%1)"/>
      <w:lvlJc w:val="left"/>
      <w:pPr>
        <w:ind w:left="4527" w:hanging="570"/>
      </w:pPr>
      <w:rPr>
        <w:rFonts w:hint="default"/>
      </w:rPr>
    </w:lvl>
    <w:lvl w:ilvl="1" w:tplc="08090019" w:tentative="1">
      <w:start w:val="1"/>
      <w:numFmt w:val="lowerLetter"/>
      <w:lvlText w:val="%2."/>
      <w:lvlJc w:val="left"/>
      <w:pPr>
        <w:ind w:left="5037" w:hanging="360"/>
      </w:pPr>
    </w:lvl>
    <w:lvl w:ilvl="2" w:tplc="0809001B" w:tentative="1">
      <w:start w:val="1"/>
      <w:numFmt w:val="lowerRoman"/>
      <w:lvlText w:val="%3."/>
      <w:lvlJc w:val="right"/>
      <w:pPr>
        <w:ind w:left="5757" w:hanging="180"/>
      </w:pPr>
    </w:lvl>
    <w:lvl w:ilvl="3" w:tplc="0809000F" w:tentative="1">
      <w:start w:val="1"/>
      <w:numFmt w:val="decimal"/>
      <w:lvlText w:val="%4."/>
      <w:lvlJc w:val="left"/>
      <w:pPr>
        <w:ind w:left="6477" w:hanging="360"/>
      </w:pPr>
    </w:lvl>
    <w:lvl w:ilvl="4" w:tplc="08090019" w:tentative="1">
      <w:start w:val="1"/>
      <w:numFmt w:val="lowerLetter"/>
      <w:lvlText w:val="%5."/>
      <w:lvlJc w:val="left"/>
      <w:pPr>
        <w:ind w:left="7197" w:hanging="360"/>
      </w:pPr>
    </w:lvl>
    <w:lvl w:ilvl="5" w:tplc="0809001B" w:tentative="1">
      <w:start w:val="1"/>
      <w:numFmt w:val="lowerRoman"/>
      <w:lvlText w:val="%6."/>
      <w:lvlJc w:val="right"/>
      <w:pPr>
        <w:ind w:left="7917" w:hanging="180"/>
      </w:pPr>
    </w:lvl>
    <w:lvl w:ilvl="6" w:tplc="0809000F" w:tentative="1">
      <w:start w:val="1"/>
      <w:numFmt w:val="decimal"/>
      <w:lvlText w:val="%7."/>
      <w:lvlJc w:val="left"/>
      <w:pPr>
        <w:ind w:left="8637" w:hanging="360"/>
      </w:pPr>
    </w:lvl>
    <w:lvl w:ilvl="7" w:tplc="08090019" w:tentative="1">
      <w:start w:val="1"/>
      <w:numFmt w:val="lowerLetter"/>
      <w:lvlText w:val="%8."/>
      <w:lvlJc w:val="left"/>
      <w:pPr>
        <w:ind w:left="9357" w:hanging="360"/>
      </w:pPr>
    </w:lvl>
    <w:lvl w:ilvl="8" w:tplc="0809001B" w:tentative="1">
      <w:start w:val="1"/>
      <w:numFmt w:val="lowerRoman"/>
      <w:lvlText w:val="%9."/>
      <w:lvlJc w:val="right"/>
      <w:pPr>
        <w:ind w:left="1007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2"/>
  </w:num>
  <w:num w:numId="14">
    <w:abstractNumId w:val="28"/>
  </w:num>
  <w:num w:numId="15">
    <w:abstractNumId w:val="17"/>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7"/>
  </w:num>
  <w:num w:numId="21">
    <w:abstractNumId w:val="24"/>
  </w:num>
  <w:num w:numId="22">
    <w:abstractNumId w:val="16"/>
  </w:num>
  <w:num w:numId="23">
    <w:abstractNumId w:val="26"/>
  </w:num>
  <w:num w:numId="24">
    <w:abstractNumId w:val="20"/>
  </w:num>
  <w:num w:numId="25">
    <w:abstractNumId w:val="23"/>
  </w:num>
  <w:num w:numId="26">
    <w:abstractNumId w:val="15"/>
  </w:num>
  <w:num w:numId="27">
    <w:abstractNumId w:val="29"/>
  </w:num>
  <w:num w:numId="28">
    <w:abstractNumId w:val="21"/>
  </w:num>
  <w:num w:numId="29">
    <w:abstractNumId w:val="10"/>
  </w:num>
  <w:num w:numId="30">
    <w:abstractNumId w:val="11"/>
    <w:lvlOverride w:ilvl="0">
      <w:startOverride w:val="3"/>
      <w:lvl w:ilvl="0">
        <w:start w:val="3"/>
        <w:numFmt w:val="decimal"/>
        <w:pStyle w:val="Quick1"/>
        <w:lvlText w:val="%1."/>
        <w:lvlJc w:val="left"/>
      </w:lvl>
    </w:lvlOverride>
  </w:num>
  <w:num w:numId="31">
    <w:abstractNumId w:val="18"/>
  </w:num>
  <w:num w:numId="32">
    <w:abstractNumId w:val="25"/>
  </w:num>
  <w:num w:numId="33">
    <w:abstractNumId w:val="33"/>
  </w:num>
  <w:num w:numId="34">
    <w:abstractNumId w:val="13"/>
  </w:num>
  <w:num w:numId="35">
    <w:abstractNumId w:val="30"/>
  </w:num>
  <w:num w:numId="36">
    <w:abstractNumId w:val="32"/>
  </w:num>
  <w:num w:numId="37">
    <w:abstractNumId w:val="34"/>
  </w:num>
  <w:num w:numId="3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3"/>
    <w:rsid w:val="00003705"/>
    <w:rsid w:val="00003796"/>
    <w:rsid w:val="00005337"/>
    <w:rsid w:val="00011065"/>
    <w:rsid w:val="0001150F"/>
    <w:rsid w:val="00013DE0"/>
    <w:rsid w:val="00014165"/>
    <w:rsid w:val="00016586"/>
    <w:rsid w:val="00016AA6"/>
    <w:rsid w:val="00017B41"/>
    <w:rsid w:val="00030B99"/>
    <w:rsid w:val="00030E91"/>
    <w:rsid w:val="00034776"/>
    <w:rsid w:val="0003497E"/>
    <w:rsid w:val="00035927"/>
    <w:rsid w:val="00037842"/>
    <w:rsid w:val="00037BA8"/>
    <w:rsid w:val="00037D02"/>
    <w:rsid w:val="000411BC"/>
    <w:rsid w:val="000415D0"/>
    <w:rsid w:val="00050F6B"/>
    <w:rsid w:val="00062B66"/>
    <w:rsid w:val="00062E4E"/>
    <w:rsid w:val="00064EA2"/>
    <w:rsid w:val="00065436"/>
    <w:rsid w:val="0006584C"/>
    <w:rsid w:val="0006738B"/>
    <w:rsid w:val="000679D1"/>
    <w:rsid w:val="000726E8"/>
    <w:rsid w:val="00072C8C"/>
    <w:rsid w:val="0008469C"/>
    <w:rsid w:val="00086976"/>
    <w:rsid w:val="00092D8B"/>
    <w:rsid w:val="000931C0"/>
    <w:rsid w:val="00093239"/>
    <w:rsid w:val="000A2266"/>
    <w:rsid w:val="000A53FA"/>
    <w:rsid w:val="000B175B"/>
    <w:rsid w:val="000B3A0F"/>
    <w:rsid w:val="000B7C86"/>
    <w:rsid w:val="000C04CA"/>
    <w:rsid w:val="000C3162"/>
    <w:rsid w:val="000C4C55"/>
    <w:rsid w:val="000D0C97"/>
    <w:rsid w:val="000D21BB"/>
    <w:rsid w:val="000E0415"/>
    <w:rsid w:val="000E64E7"/>
    <w:rsid w:val="000F6A25"/>
    <w:rsid w:val="0010210D"/>
    <w:rsid w:val="001136DD"/>
    <w:rsid w:val="001460D2"/>
    <w:rsid w:val="00150432"/>
    <w:rsid w:val="00165DF1"/>
    <w:rsid w:val="0017309E"/>
    <w:rsid w:val="00173234"/>
    <w:rsid w:val="001732DB"/>
    <w:rsid w:val="0017582F"/>
    <w:rsid w:val="00176A21"/>
    <w:rsid w:val="00182C09"/>
    <w:rsid w:val="00183058"/>
    <w:rsid w:val="00183141"/>
    <w:rsid w:val="0018590E"/>
    <w:rsid w:val="0018694B"/>
    <w:rsid w:val="001901DA"/>
    <w:rsid w:val="00192298"/>
    <w:rsid w:val="00192722"/>
    <w:rsid w:val="001937A7"/>
    <w:rsid w:val="0019683F"/>
    <w:rsid w:val="001A5F06"/>
    <w:rsid w:val="001B02DA"/>
    <w:rsid w:val="001B10B6"/>
    <w:rsid w:val="001B4B04"/>
    <w:rsid w:val="001B4BE0"/>
    <w:rsid w:val="001C009A"/>
    <w:rsid w:val="001C18D6"/>
    <w:rsid w:val="001C5291"/>
    <w:rsid w:val="001C6663"/>
    <w:rsid w:val="001C7895"/>
    <w:rsid w:val="001D1861"/>
    <w:rsid w:val="001D26DF"/>
    <w:rsid w:val="001D3443"/>
    <w:rsid w:val="001D35AC"/>
    <w:rsid w:val="001F1E5B"/>
    <w:rsid w:val="001F2911"/>
    <w:rsid w:val="001F39F2"/>
    <w:rsid w:val="001F3FDF"/>
    <w:rsid w:val="001F74B2"/>
    <w:rsid w:val="00202AF1"/>
    <w:rsid w:val="00203C70"/>
    <w:rsid w:val="00203EF9"/>
    <w:rsid w:val="00204081"/>
    <w:rsid w:val="00205CB1"/>
    <w:rsid w:val="00205E77"/>
    <w:rsid w:val="00207D3B"/>
    <w:rsid w:val="00211E0B"/>
    <w:rsid w:val="00214FB1"/>
    <w:rsid w:val="002212A4"/>
    <w:rsid w:val="0022729B"/>
    <w:rsid w:val="00232A45"/>
    <w:rsid w:val="00235C15"/>
    <w:rsid w:val="0023768E"/>
    <w:rsid w:val="0024165B"/>
    <w:rsid w:val="00242A93"/>
    <w:rsid w:val="0024392F"/>
    <w:rsid w:val="00246FD4"/>
    <w:rsid w:val="00247F51"/>
    <w:rsid w:val="002567CA"/>
    <w:rsid w:val="002601B0"/>
    <w:rsid w:val="00262694"/>
    <w:rsid w:val="002652F0"/>
    <w:rsid w:val="00265A4C"/>
    <w:rsid w:val="00272376"/>
    <w:rsid w:val="00274274"/>
    <w:rsid w:val="0027472C"/>
    <w:rsid w:val="00276A01"/>
    <w:rsid w:val="00277514"/>
    <w:rsid w:val="0028034D"/>
    <w:rsid w:val="00280EF0"/>
    <w:rsid w:val="0028701B"/>
    <w:rsid w:val="00290D07"/>
    <w:rsid w:val="002923F2"/>
    <w:rsid w:val="002A0496"/>
    <w:rsid w:val="002A1760"/>
    <w:rsid w:val="002A35AF"/>
    <w:rsid w:val="002A4D73"/>
    <w:rsid w:val="002A66E8"/>
    <w:rsid w:val="002B1089"/>
    <w:rsid w:val="002B6001"/>
    <w:rsid w:val="002C0F9B"/>
    <w:rsid w:val="002C1690"/>
    <w:rsid w:val="002C655B"/>
    <w:rsid w:val="002E0825"/>
    <w:rsid w:val="002E0856"/>
    <w:rsid w:val="002E0EBC"/>
    <w:rsid w:val="002E1967"/>
    <w:rsid w:val="002E3CD2"/>
    <w:rsid w:val="002E416E"/>
    <w:rsid w:val="002E4711"/>
    <w:rsid w:val="002F3320"/>
    <w:rsid w:val="002F6E5E"/>
    <w:rsid w:val="00304580"/>
    <w:rsid w:val="003066C7"/>
    <w:rsid w:val="003107FA"/>
    <w:rsid w:val="00313BB7"/>
    <w:rsid w:val="00315D28"/>
    <w:rsid w:val="00316C63"/>
    <w:rsid w:val="003209BE"/>
    <w:rsid w:val="003229D8"/>
    <w:rsid w:val="0033262B"/>
    <w:rsid w:val="003335E1"/>
    <w:rsid w:val="00336F14"/>
    <w:rsid w:val="00351568"/>
    <w:rsid w:val="003616E3"/>
    <w:rsid w:val="0036227D"/>
    <w:rsid w:val="003664DB"/>
    <w:rsid w:val="00366861"/>
    <w:rsid w:val="00366BE2"/>
    <w:rsid w:val="003710F6"/>
    <w:rsid w:val="00371B04"/>
    <w:rsid w:val="00376BF1"/>
    <w:rsid w:val="00380EA9"/>
    <w:rsid w:val="003840FD"/>
    <w:rsid w:val="0039277A"/>
    <w:rsid w:val="00392ECC"/>
    <w:rsid w:val="0039527A"/>
    <w:rsid w:val="00396D66"/>
    <w:rsid w:val="00396D87"/>
    <w:rsid w:val="003972E0"/>
    <w:rsid w:val="003A0B93"/>
    <w:rsid w:val="003A3758"/>
    <w:rsid w:val="003A565B"/>
    <w:rsid w:val="003B154F"/>
    <w:rsid w:val="003B1F43"/>
    <w:rsid w:val="003C0C09"/>
    <w:rsid w:val="003C12E7"/>
    <w:rsid w:val="003C2CC4"/>
    <w:rsid w:val="003D2931"/>
    <w:rsid w:val="003D4B23"/>
    <w:rsid w:val="003E1069"/>
    <w:rsid w:val="003E2FB7"/>
    <w:rsid w:val="003F111F"/>
    <w:rsid w:val="003F75E9"/>
    <w:rsid w:val="0040727F"/>
    <w:rsid w:val="0041007C"/>
    <w:rsid w:val="0041099C"/>
    <w:rsid w:val="004150B0"/>
    <w:rsid w:val="004170E9"/>
    <w:rsid w:val="00417343"/>
    <w:rsid w:val="0042047B"/>
    <w:rsid w:val="0042231B"/>
    <w:rsid w:val="004261A6"/>
    <w:rsid w:val="00430C86"/>
    <w:rsid w:val="004325CB"/>
    <w:rsid w:val="00432DBE"/>
    <w:rsid w:val="004464E0"/>
    <w:rsid w:val="00446DE4"/>
    <w:rsid w:val="004474BB"/>
    <w:rsid w:val="004478B2"/>
    <w:rsid w:val="00451E54"/>
    <w:rsid w:val="00452E3C"/>
    <w:rsid w:val="00457830"/>
    <w:rsid w:val="0047194A"/>
    <w:rsid w:val="004723AB"/>
    <w:rsid w:val="00473EE9"/>
    <w:rsid w:val="004769AE"/>
    <w:rsid w:val="00477CE1"/>
    <w:rsid w:val="00477F15"/>
    <w:rsid w:val="0048013E"/>
    <w:rsid w:val="00480DD8"/>
    <w:rsid w:val="004829E4"/>
    <w:rsid w:val="00486835"/>
    <w:rsid w:val="004977C9"/>
    <w:rsid w:val="004A2BBE"/>
    <w:rsid w:val="004A41CA"/>
    <w:rsid w:val="004B1225"/>
    <w:rsid w:val="004B7FC9"/>
    <w:rsid w:val="004D05C0"/>
    <w:rsid w:val="004D5CC4"/>
    <w:rsid w:val="004D6867"/>
    <w:rsid w:val="004D6967"/>
    <w:rsid w:val="004E52A3"/>
    <w:rsid w:val="004E71E7"/>
    <w:rsid w:val="004F42C8"/>
    <w:rsid w:val="005010FF"/>
    <w:rsid w:val="005030B5"/>
    <w:rsid w:val="0050370D"/>
    <w:rsid w:val="00510008"/>
    <w:rsid w:val="00516F3D"/>
    <w:rsid w:val="0052113D"/>
    <w:rsid w:val="005325ED"/>
    <w:rsid w:val="0053385F"/>
    <w:rsid w:val="00536F04"/>
    <w:rsid w:val="00540E79"/>
    <w:rsid w:val="005420F2"/>
    <w:rsid w:val="00542D8C"/>
    <w:rsid w:val="00571F4A"/>
    <w:rsid w:val="0057342E"/>
    <w:rsid w:val="00574270"/>
    <w:rsid w:val="00576ABE"/>
    <w:rsid w:val="00597B2E"/>
    <w:rsid w:val="005A1ED0"/>
    <w:rsid w:val="005A6FE4"/>
    <w:rsid w:val="005A7554"/>
    <w:rsid w:val="005B2ED5"/>
    <w:rsid w:val="005B3DB3"/>
    <w:rsid w:val="005B78C1"/>
    <w:rsid w:val="005C4659"/>
    <w:rsid w:val="005D21EC"/>
    <w:rsid w:val="005D5AA7"/>
    <w:rsid w:val="005D7A78"/>
    <w:rsid w:val="005E74C7"/>
    <w:rsid w:val="005F0D1D"/>
    <w:rsid w:val="005F4C7C"/>
    <w:rsid w:val="00600B84"/>
    <w:rsid w:val="00601CFC"/>
    <w:rsid w:val="00606B44"/>
    <w:rsid w:val="00607792"/>
    <w:rsid w:val="00611EB3"/>
    <w:rsid w:val="00611FC4"/>
    <w:rsid w:val="0061628C"/>
    <w:rsid w:val="006176FB"/>
    <w:rsid w:val="00622138"/>
    <w:rsid w:val="006273D1"/>
    <w:rsid w:val="00627ED0"/>
    <w:rsid w:val="00630BA0"/>
    <w:rsid w:val="00632FFA"/>
    <w:rsid w:val="00637580"/>
    <w:rsid w:val="00640B26"/>
    <w:rsid w:val="0064182F"/>
    <w:rsid w:val="006429A9"/>
    <w:rsid w:val="00643091"/>
    <w:rsid w:val="00650E27"/>
    <w:rsid w:val="00652599"/>
    <w:rsid w:val="00655710"/>
    <w:rsid w:val="0066198D"/>
    <w:rsid w:val="00662121"/>
    <w:rsid w:val="00663F79"/>
    <w:rsid w:val="00665595"/>
    <w:rsid w:val="006725EC"/>
    <w:rsid w:val="00672E22"/>
    <w:rsid w:val="006818D7"/>
    <w:rsid w:val="00684C2C"/>
    <w:rsid w:val="00690C10"/>
    <w:rsid w:val="00697B3A"/>
    <w:rsid w:val="006A6507"/>
    <w:rsid w:val="006A7392"/>
    <w:rsid w:val="006B4CD1"/>
    <w:rsid w:val="006B5EB9"/>
    <w:rsid w:val="006C0A9C"/>
    <w:rsid w:val="006C25B1"/>
    <w:rsid w:val="006C2BA6"/>
    <w:rsid w:val="006C69C1"/>
    <w:rsid w:val="006D01EA"/>
    <w:rsid w:val="006D360B"/>
    <w:rsid w:val="006D3ABA"/>
    <w:rsid w:val="006D41C7"/>
    <w:rsid w:val="006D6E8D"/>
    <w:rsid w:val="006E0A73"/>
    <w:rsid w:val="006E2762"/>
    <w:rsid w:val="006E35C6"/>
    <w:rsid w:val="006E564B"/>
    <w:rsid w:val="006F2455"/>
    <w:rsid w:val="006F24CF"/>
    <w:rsid w:val="006F7BAA"/>
    <w:rsid w:val="007005CE"/>
    <w:rsid w:val="007008CD"/>
    <w:rsid w:val="00701737"/>
    <w:rsid w:val="00704E63"/>
    <w:rsid w:val="00706A1D"/>
    <w:rsid w:val="00712F68"/>
    <w:rsid w:val="007217F0"/>
    <w:rsid w:val="00722191"/>
    <w:rsid w:val="007232A9"/>
    <w:rsid w:val="0072332E"/>
    <w:rsid w:val="0072534B"/>
    <w:rsid w:val="0072632A"/>
    <w:rsid w:val="007332A2"/>
    <w:rsid w:val="00737721"/>
    <w:rsid w:val="007408F6"/>
    <w:rsid w:val="00743312"/>
    <w:rsid w:val="00747D37"/>
    <w:rsid w:val="00753BD7"/>
    <w:rsid w:val="00756D43"/>
    <w:rsid w:val="0075726E"/>
    <w:rsid w:val="00763F8D"/>
    <w:rsid w:val="00765ADB"/>
    <w:rsid w:val="007674B5"/>
    <w:rsid w:val="007700DE"/>
    <w:rsid w:val="0077156C"/>
    <w:rsid w:val="00771D5A"/>
    <w:rsid w:val="00774861"/>
    <w:rsid w:val="00781D9E"/>
    <w:rsid w:val="00784B0B"/>
    <w:rsid w:val="00784C0B"/>
    <w:rsid w:val="00793CF6"/>
    <w:rsid w:val="007949E7"/>
    <w:rsid w:val="00795EC6"/>
    <w:rsid w:val="007A1923"/>
    <w:rsid w:val="007A64CD"/>
    <w:rsid w:val="007A690C"/>
    <w:rsid w:val="007B2C85"/>
    <w:rsid w:val="007B54CC"/>
    <w:rsid w:val="007B6BA5"/>
    <w:rsid w:val="007C1FBF"/>
    <w:rsid w:val="007C209B"/>
    <w:rsid w:val="007C3390"/>
    <w:rsid w:val="007C4039"/>
    <w:rsid w:val="007C4F4B"/>
    <w:rsid w:val="007C7C4A"/>
    <w:rsid w:val="007D6BC8"/>
    <w:rsid w:val="007E0E96"/>
    <w:rsid w:val="007E2C6D"/>
    <w:rsid w:val="007E62F6"/>
    <w:rsid w:val="007F0B83"/>
    <w:rsid w:val="007F1E0C"/>
    <w:rsid w:val="007F3C88"/>
    <w:rsid w:val="007F55EA"/>
    <w:rsid w:val="007F6611"/>
    <w:rsid w:val="00801EF7"/>
    <w:rsid w:val="00803C67"/>
    <w:rsid w:val="008134C2"/>
    <w:rsid w:val="008170ED"/>
    <w:rsid w:val="008175E9"/>
    <w:rsid w:val="008222AC"/>
    <w:rsid w:val="008242D7"/>
    <w:rsid w:val="008311A3"/>
    <w:rsid w:val="00834050"/>
    <w:rsid w:val="00840224"/>
    <w:rsid w:val="00845392"/>
    <w:rsid w:val="008547FF"/>
    <w:rsid w:val="00865939"/>
    <w:rsid w:val="00871FD5"/>
    <w:rsid w:val="008842F3"/>
    <w:rsid w:val="008979B1"/>
    <w:rsid w:val="008A6B25"/>
    <w:rsid w:val="008A6C4F"/>
    <w:rsid w:val="008B4BA4"/>
    <w:rsid w:val="008B4F29"/>
    <w:rsid w:val="008B7A3C"/>
    <w:rsid w:val="008D5B1F"/>
    <w:rsid w:val="008D74FE"/>
    <w:rsid w:val="008E0E46"/>
    <w:rsid w:val="008E0FD0"/>
    <w:rsid w:val="008E4FCB"/>
    <w:rsid w:val="008E57EE"/>
    <w:rsid w:val="008E653C"/>
    <w:rsid w:val="008F08F3"/>
    <w:rsid w:val="008F1555"/>
    <w:rsid w:val="008F5C72"/>
    <w:rsid w:val="008F78EE"/>
    <w:rsid w:val="008F79B2"/>
    <w:rsid w:val="00903522"/>
    <w:rsid w:val="00907A37"/>
    <w:rsid w:val="00907AD2"/>
    <w:rsid w:val="00912BF5"/>
    <w:rsid w:val="00922B52"/>
    <w:rsid w:val="009239F0"/>
    <w:rsid w:val="00924F4D"/>
    <w:rsid w:val="00925E4E"/>
    <w:rsid w:val="0092624C"/>
    <w:rsid w:val="009402CD"/>
    <w:rsid w:val="00943979"/>
    <w:rsid w:val="009440C7"/>
    <w:rsid w:val="009540F3"/>
    <w:rsid w:val="009559BE"/>
    <w:rsid w:val="00963CBA"/>
    <w:rsid w:val="00964760"/>
    <w:rsid w:val="00967060"/>
    <w:rsid w:val="0097162B"/>
    <w:rsid w:val="00973D8F"/>
    <w:rsid w:val="00974A8D"/>
    <w:rsid w:val="009763C2"/>
    <w:rsid w:val="00983ECE"/>
    <w:rsid w:val="00986F7D"/>
    <w:rsid w:val="00991261"/>
    <w:rsid w:val="00991368"/>
    <w:rsid w:val="00992B4A"/>
    <w:rsid w:val="009968D3"/>
    <w:rsid w:val="00997735"/>
    <w:rsid w:val="00997825"/>
    <w:rsid w:val="009A3A1A"/>
    <w:rsid w:val="009A60AE"/>
    <w:rsid w:val="009B1BC2"/>
    <w:rsid w:val="009B5BC6"/>
    <w:rsid w:val="009B7D68"/>
    <w:rsid w:val="009C01F9"/>
    <w:rsid w:val="009C43CE"/>
    <w:rsid w:val="009C4FE3"/>
    <w:rsid w:val="009D3A88"/>
    <w:rsid w:val="009E251C"/>
    <w:rsid w:val="009E278D"/>
    <w:rsid w:val="009E4FED"/>
    <w:rsid w:val="009E7C2A"/>
    <w:rsid w:val="009F014D"/>
    <w:rsid w:val="009F22A1"/>
    <w:rsid w:val="009F3A17"/>
    <w:rsid w:val="009F5977"/>
    <w:rsid w:val="00A0358A"/>
    <w:rsid w:val="00A11821"/>
    <w:rsid w:val="00A1182B"/>
    <w:rsid w:val="00A1427D"/>
    <w:rsid w:val="00A14809"/>
    <w:rsid w:val="00A200CB"/>
    <w:rsid w:val="00A21ADA"/>
    <w:rsid w:val="00A22E09"/>
    <w:rsid w:val="00A273D2"/>
    <w:rsid w:val="00A37D88"/>
    <w:rsid w:val="00A4594D"/>
    <w:rsid w:val="00A47BA7"/>
    <w:rsid w:val="00A50F86"/>
    <w:rsid w:val="00A566F1"/>
    <w:rsid w:val="00A56E42"/>
    <w:rsid w:val="00A609FF"/>
    <w:rsid w:val="00A7150E"/>
    <w:rsid w:val="00A72F22"/>
    <w:rsid w:val="00A748A6"/>
    <w:rsid w:val="00A74C14"/>
    <w:rsid w:val="00A754D8"/>
    <w:rsid w:val="00A77059"/>
    <w:rsid w:val="00A879A4"/>
    <w:rsid w:val="00A9232E"/>
    <w:rsid w:val="00A932C0"/>
    <w:rsid w:val="00AB1162"/>
    <w:rsid w:val="00AB3955"/>
    <w:rsid w:val="00AD4202"/>
    <w:rsid w:val="00AD4C72"/>
    <w:rsid w:val="00AE3ADD"/>
    <w:rsid w:val="00AF0988"/>
    <w:rsid w:val="00AF3ADF"/>
    <w:rsid w:val="00B0036C"/>
    <w:rsid w:val="00B056AC"/>
    <w:rsid w:val="00B06459"/>
    <w:rsid w:val="00B10F56"/>
    <w:rsid w:val="00B20D2F"/>
    <w:rsid w:val="00B20E0B"/>
    <w:rsid w:val="00B2219B"/>
    <w:rsid w:val="00B222CE"/>
    <w:rsid w:val="00B22CAC"/>
    <w:rsid w:val="00B25CA2"/>
    <w:rsid w:val="00B27AF8"/>
    <w:rsid w:val="00B30179"/>
    <w:rsid w:val="00B33EC0"/>
    <w:rsid w:val="00B41445"/>
    <w:rsid w:val="00B432E9"/>
    <w:rsid w:val="00B44C3B"/>
    <w:rsid w:val="00B50B5F"/>
    <w:rsid w:val="00B56806"/>
    <w:rsid w:val="00B57ADF"/>
    <w:rsid w:val="00B72158"/>
    <w:rsid w:val="00B81E12"/>
    <w:rsid w:val="00B92736"/>
    <w:rsid w:val="00B97E18"/>
    <w:rsid w:val="00BA0659"/>
    <w:rsid w:val="00BA3A0E"/>
    <w:rsid w:val="00BA57F8"/>
    <w:rsid w:val="00BA58CF"/>
    <w:rsid w:val="00BB3D40"/>
    <w:rsid w:val="00BB476A"/>
    <w:rsid w:val="00BC0578"/>
    <w:rsid w:val="00BC68AB"/>
    <w:rsid w:val="00BC69CD"/>
    <w:rsid w:val="00BC74E9"/>
    <w:rsid w:val="00BD07EF"/>
    <w:rsid w:val="00BD2AAA"/>
    <w:rsid w:val="00BD4CA3"/>
    <w:rsid w:val="00BD629E"/>
    <w:rsid w:val="00BE25B0"/>
    <w:rsid w:val="00BE4F74"/>
    <w:rsid w:val="00BE5A5B"/>
    <w:rsid w:val="00BE618E"/>
    <w:rsid w:val="00BF4DC2"/>
    <w:rsid w:val="00BF5582"/>
    <w:rsid w:val="00BF63A4"/>
    <w:rsid w:val="00BF73A8"/>
    <w:rsid w:val="00BF74FE"/>
    <w:rsid w:val="00C043D8"/>
    <w:rsid w:val="00C05876"/>
    <w:rsid w:val="00C07680"/>
    <w:rsid w:val="00C11B6B"/>
    <w:rsid w:val="00C12FA4"/>
    <w:rsid w:val="00C170E7"/>
    <w:rsid w:val="00C43863"/>
    <w:rsid w:val="00C463DD"/>
    <w:rsid w:val="00C46F45"/>
    <w:rsid w:val="00C50402"/>
    <w:rsid w:val="00C61FF1"/>
    <w:rsid w:val="00C65F9F"/>
    <w:rsid w:val="00C67CEE"/>
    <w:rsid w:val="00C7106A"/>
    <w:rsid w:val="00C7172B"/>
    <w:rsid w:val="00C7265E"/>
    <w:rsid w:val="00C728BC"/>
    <w:rsid w:val="00C73D77"/>
    <w:rsid w:val="00C745C3"/>
    <w:rsid w:val="00C7649E"/>
    <w:rsid w:val="00C82F62"/>
    <w:rsid w:val="00C85A4D"/>
    <w:rsid w:val="00C922BB"/>
    <w:rsid w:val="00C92AE9"/>
    <w:rsid w:val="00C97AA3"/>
    <w:rsid w:val="00CA6EE6"/>
    <w:rsid w:val="00CA7EC5"/>
    <w:rsid w:val="00CC0BB1"/>
    <w:rsid w:val="00CC4A80"/>
    <w:rsid w:val="00CC7DAE"/>
    <w:rsid w:val="00CD3F4D"/>
    <w:rsid w:val="00CD5BD3"/>
    <w:rsid w:val="00CE3DE6"/>
    <w:rsid w:val="00CE3FD5"/>
    <w:rsid w:val="00CE4A8F"/>
    <w:rsid w:val="00CE55A0"/>
    <w:rsid w:val="00CE55BA"/>
    <w:rsid w:val="00CE6360"/>
    <w:rsid w:val="00CE6C07"/>
    <w:rsid w:val="00CF3FD7"/>
    <w:rsid w:val="00CF77B5"/>
    <w:rsid w:val="00D024E8"/>
    <w:rsid w:val="00D03B0B"/>
    <w:rsid w:val="00D0475F"/>
    <w:rsid w:val="00D13424"/>
    <w:rsid w:val="00D14681"/>
    <w:rsid w:val="00D17AE3"/>
    <w:rsid w:val="00D2031B"/>
    <w:rsid w:val="00D20D8F"/>
    <w:rsid w:val="00D24438"/>
    <w:rsid w:val="00D25FE2"/>
    <w:rsid w:val="00D317BB"/>
    <w:rsid w:val="00D34660"/>
    <w:rsid w:val="00D41E83"/>
    <w:rsid w:val="00D43252"/>
    <w:rsid w:val="00D46FD2"/>
    <w:rsid w:val="00D5038A"/>
    <w:rsid w:val="00D551A6"/>
    <w:rsid w:val="00D55BF7"/>
    <w:rsid w:val="00D57936"/>
    <w:rsid w:val="00D627D5"/>
    <w:rsid w:val="00D64886"/>
    <w:rsid w:val="00D764AA"/>
    <w:rsid w:val="00D77996"/>
    <w:rsid w:val="00D80302"/>
    <w:rsid w:val="00D86FD6"/>
    <w:rsid w:val="00D968F0"/>
    <w:rsid w:val="00D978C6"/>
    <w:rsid w:val="00D97D35"/>
    <w:rsid w:val="00DA67AD"/>
    <w:rsid w:val="00DB0F0D"/>
    <w:rsid w:val="00DB4C78"/>
    <w:rsid w:val="00DB59AD"/>
    <w:rsid w:val="00DC242D"/>
    <w:rsid w:val="00DC2EF6"/>
    <w:rsid w:val="00DD1051"/>
    <w:rsid w:val="00DD2910"/>
    <w:rsid w:val="00DD2B7F"/>
    <w:rsid w:val="00DD552C"/>
    <w:rsid w:val="00DD6C78"/>
    <w:rsid w:val="00DE7BA9"/>
    <w:rsid w:val="00DF12F7"/>
    <w:rsid w:val="00DF1477"/>
    <w:rsid w:val="00E02C81"/>
    <w:rsid w:val="00E03F1D"/>
    <w:rsid w:val="00E04FFD"/>
    <w:rsid w:val="00E0678D"/>
    <w:rsid w:val="00E11495"/>
    <w:rsid w:val="00E11789"/>
    <w:rsid w:val="00E12488"/>
    <w:rsid w:val="00E12E8C"/>
    <w:rsid w:val="00E130AB"/>
    <w:rsid w:val="00E134E2"/>
    <w:rsid w:val="00E20588"/>
    <w:rsid w:val="00E20D69"/>
    <w:rsid w:val="00E23842"/>
    <w:rsid w:val="00E248E5"/>
    <w:rsid w:val="00E30CC4"/>
    <w:rsid w:val="00E30ED1"/>
    <w:rsid w:val="00E34C27"/>
    <w:rsid w:val="00E36950"/>
    <w:rsid w:val="00E40286"/>
    <w:rsid w:val="00E4080E"/>
    <w:rsid w:val="00E40F25"/>
    <w:rsid w:val="00E42A2B"/>
    <w:rsid w:val="00E4485E"/>
    <w:rsid w:val="00E45003"/>
    <w:rsid w:val="00E461F8"/>
    <w:rsid w:val="00E5203C"/>
    <w:rsid w:val="00E53F3A"/>
    <w:rsid w:val="00E5502F"/>
    <w:rsid w:val="00E55FE5"/>
    <w:rsid w:val="00E57021"/>
    <w:rsid w:val="00E626B6"/>
    <w:rsid w:val="00E62C9D"/>
    <w:rsid w:val="00E643CB"/>
    <w:rsid w:val="00E7260F"/>
    <w:rsid w:val="00E73015"/>
    <w:rsid w:val="00E7325B"/>
    <w:rsid w:val="00E751B0"/>
    <w:rsid w:val="00E76B60"/>
    <w:rsid w:val="00E76ED5"/>
    <w:rsid w:val="00E8205A"/>
    <w:rsid w:val="00E82F77"/>
    <w:rsid w:val="00E82F89"/>
    <w:rsid w:val="00E87921"/>
    <w:rsid w:val="00E905FF"/>
    <w:rsid w:val="00E96630"/>
    <w:rsid w:val="00E97BA2"/>
    <w:rsid w:val="00EC4318"/>
    <w:rsid w:val="00EC7C7B"/>
    <w:rsid w:val="00ED15E4"/>
    <w:rsid w:val="00ED4BEA"/>
    <w:rsid w:val="00ED7A2A"/>
    <w:rsid w:val="00EE7280"/>
    <w:rsid w:val="00EF1D7F"/>
    <w:rsid w:val="00EF215B"/>
    <w:rsid w:val="00EF3C5B"/>
    <w:rsid w:val="00EF49A8"/>
    <w:rsid w:val="00EF5942"/>
    <w:rsid w:val="00EF60A8"/>
    <w:rsid w:val="00F03AE0"/>
    <w:rsid w:val="00F06ADE"/>
    <w:rsid w:val="00F116F7"/>
    <w:rsid w:val="00F126D8"/>
    <w:rsid w:val="00F152A2"/>
    <w:rsid w:val="00F1616A"/>
    <w:rsid w:val="00F21274"/>
    <w:rsid w:val="00F30292"/>
    <w:rsid w:val="00F3067E"/>
    <w:rsid w:val="00F31CCB"/>
    <w:rsid w:val="00F34F8C"/>
    <w:rsid w:val="00F4062C"/>
    <w:rsid w:val="00F410F5"/>
    <w:rsid w:val="00F5157A"/>
    <w:rsid w:val="00F5241B"/>
    <w:rsid w:val="00F53EDA"/>
    <w:rsid w:val="00F56DEA"/>
    <w:rsid w:val="00F61A5F"/>
    <w:rsid w:val="00F622DB"/>
    <w:rsid w:val="00F6303B"/>
    <w:rsid w:val="00F6491C"/>
    <w:rsid w:val="00F66DA1"/>
    <w:rsid w:val="00F72B57"/>
    <w:rsid w:val="00F75CCD"/>
    <w:rsid w:val="00F76EA2"/>
    <w:rsid w:val="00F7753D"/>
    <w:rsid w:val="00F80E7D"/>
    <w:rsid w:val="00F81DCE"/>
    <w:rsid w:val="00F85F34"/>
    <w:rsid w:val="00F9054F"/>
    <w:rsid w:val="00F91B09"/>
    <w:rsid w:val="00F96B49"/>
    <w:rsid w:val="00FA06F7"/>
    <w:rsid w:val="00FB1138"/>
    <w:rsid w:val="00FB171A"/>
    <w:rsid w:val="00FB2C1E"/>
    <w:rsid w:val="00FB305B"/>
    <w:rsid w:val="00FB437E"/>
    <w:rsid w:val="00FB5F1A"/>
    <w:rsid w:val="00FB6EFF"/>
    <w:rsid w:val="00FB7C21"/>
    <w:rsid w:val="00FC0DB9"/>
    <w:rsid w:val="00FC3CF4"/>
    <w:rsid w:val="00FC68B7"/>
    <w:rsid w:val="00FD2B55"/>
    <w:rsid w:val="00FD56E4"/>
    <w:rsid w:val="00FD7BF6"/>
    <w:rsid w:val="00FE2364"/>
    <w:rsid w:val="00FE2CCE"/>
    <w:rsid w:val="00FE6104"/>
    <w:rsid w:val="00FE6F9A"/>
    <w:rsid w:val="00FF1B15"/>
    <w:rsid w:val="00FF1C0F"/>
    <w:rsid w:val="00FF4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B54C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rsid w:val="007B54CC"/>
    <w:pPr>
      <w:kinsoku w:val="0"/>
      <w:overflowPunct w:val="0"/>
      <w:autoSpaceDE w:val="0"/>
      <w:autoSpaceDN w:val="0"/>
      <w:adjustRightInd w:val="0"/>
      <w:snapToGrid w:val="0"/>
      <w:spacing w:after="120"/>
      <w:ind w:left="1134" w:right="1134"/>
      <w:jc w:val="both"/>
    </w:pPr>
    <w:rPr>
      <w:rFonts w:eastAsiaTheme="minorHAnsi"/>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54CC"/>
    <w:rPr>
      <w:rFonts w:ascii="Times New Roman" w:hAnsi="Times New Roman"/>
      <w:sz w:val="18"/>
      <w:vertAlign w:val="superscript"/>
    </w:rPr>
  </w:style>
  <w:style w:type="paragraph" w:styleId="FootnoteText">
    <w:name w:val="footnote text"/>
    <w:aliases w:val="5_G"/>
    <w:basedOn w:val="Normal"/>
    <w:qFormat/>
    <w:rsid w:val="007B54C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B54C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7B54C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rFonts w:eastAsiaTheme="minorHAnsi"/>
      <w:lang w:eastAsia="en-US"/>
    </w:rPr>
  </w:style>
  <w:style w:type="character" w:customStyle="1" w:styleId="HChGChar">
    <w:name w:val="_ H _Ch_G Char"/>
    <w:link w:val="HChG"/>
    <w:rsid w:val="00371B04"/>
    <w:rPr>
      <w:rFonts w:eastAsiaTheme="minorHAnsi"/>
      <w:b/>
      <w:sz w:val="28"/>
      <w:lang w:eastAsia="en-US"/>
    </w:rPr>
  </w:style>
  <w:style w:type="character" w:customStyle="1" w:styleId="H1GChar">
    <w:name w:val="_ H_1_G Char"/>
    <w:link w:val="H1G"/>
    <w:locked/>
    <w:rsid w:val="00C82F62"/>
    <w:rPr>
      <w:rFonts w:eastAsiaTheme="minorHAnsi"/>
      <w:b/>
      <w:sz w:val="24"/>
      <w:lang w:eastAsia="en-US"/>
    </w:rPr>
  </w:style>
  <w:style w:type="character" w:customStyle="1" w:styleId="apple-converted-space">
    <w:name w:val="apple-converted-space"/>
    <w:rsid w:val="00BD629E"/>
  </w:style>
  <w:style w:type="paragraph" w:styleId="ListParagraph">
    <w:name w:val="List Paragraph"/>
    <w:basedOn w:val="Normal"/>
    <w:uiPriority w:val="34"/>
    <w:qFormat/>
    <w:rsid w:val="00DC2EF6"/>
    <w:pPr>
      <w:ind w:left="720"/>
    </w:pPr>
  </w:style>
  <w:style w:type="character" w:customStyle="1" w:styleId="highlight">
    <w:name w:val="highlight"/>
    <w:rsid w:val="004723AB"/>
  </w:style>
  <w:style w:type="paragraph" w:customStyle="1" w:styleId="Quick1">
    <w:name w:val="Quick 1."/>
    <w:basedOn w:val="Normal"/>
    <w:rsid w:val="00380EA9"/>
    <w:pPr>
      <w:widowControl w:val="0"/>
      <w:numPr>
        <w:numId w:val="30"/>
      </w:numPr>
      <w:suppressAutoHyphens w:val="0"/>
      <w:spacing w:line="240" w:lineRule="auto"/>
    </w:pPr>
    <w:rPr>
      <w:rFonts w:ascii="Courier" w:hAnsi="Courier"/>
      <w:snapToGrid w:val="0"/>
      <w:sz w:val="24"/>
      <w:lang w:val="en-US"/>
    </w:rPr>
  </w:style>
  <w:style w:type="paragraph" w:styleId="CommentSubject">
    <w:name w:val="annotation subject"/>
    <w:basedOn w:val="CommentText"/>
    <w:next w:val="CommentText"/>
    <w:link w:val="CommentSubjectChar"/>
    <w:rsid w:val="005B2ED5"/>
    <w:rPr>
      <w:b/>
      <w:bCs/>
    </w:rPr>
  </w:style>
  <w:style w:type="character" w:customStyle="1" w:styleId="CommentTextChar">
    <w:name w:val="Comment Text Char"/>
    <w:link w:val="CommentText"/>
    <w:semiHidden/>
    <w:rsid w:val="005B2ED5"/>
    <w:rPr>
      <w:lang w:eastAsia="en-US"/>
    </w:rPr>
  </w:style>
  <w:style w:type="character" w:customStyle="1" w:styleId="CommentSubjectChar">
    <w:name w:val="Comment Subject Char"/>
    <w:link w:val="CommentSubject"/>
    <w:rsid w:val="005B2ED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B54C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rsid w:val="007B54CC"/>
    <w:pPr>
      <w:kinsoku w:val="0"/>
      <w:overflowPunct w:val="0"/>
      <w:autoSpaceDE w:val="0"/>
      <w:autoSpaceDN w:val="0"/>
      <w:adjustRightInd w:val="0"/>
      <w:snapToGrid w:val="0"/>
      <w:spacing w:after="120"/>
      <w:ind w:left="1134" w:right="1134"/>
      <w:jc w:val="both"/>
    </w:pPr>
    <w:rPr>
      <w:rFonts w:eastAsiaTheme="minorHAnsi"/>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qFormat/>
    <w:rsid w:val="007B54CC"/>
    <w:rPr>
      <w:rFonts w:ascii="Times New Roman" w:hAnsi="Times New Roman"/>
      <w:sz w:val="18"/>
      <w:vertAlign w:val="superscript"/>
    </w:rPr>
  </w:style>
  <w:style w:type="paragraph" w:styleId="FootnoteText">
    <w:name w:val="footnote text"/>
    <w:aliases w:val="5_G"/>
    <w:basedOn w:val="Normal"/>
    <w:qFormat/>
    <w:rsid w:val="007B54CC"/>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B54C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7B54C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semiHidden/>
    <w:rsid w:val="00FF4FB8"/>
    <w:rPr>
      <w:rFonts w:ascii="Tahoma" w:hAnsi="Tahoma" w:cs="Tahoma"/>
      <w:sz w:val="16"/>
      <w:szCs w:val="16"/>
    </w:rPr>
  </w:style>
  <w:style w:type="character" w:customStyle="1" w:styleId="SingleTxtGChar">
    <w:name w:val="_ Single Txt_G Char"/>
    <w:link w:val="SingleTxtG"/>
    <w:locked/>
    <w:rsid w:val="00A77059"/>
    <w:rPr>
      <w:rFonts w:eastAsiaTheme="minorHAnsi"/>
      <w:lang w:eastAsia="en-US"/>
    </w:rPr>
  </w:style>
  <w:style w:type="character" w:customStyle="1" w:styleId="HChGChar">
    <w:name w:val="_ H _Ch_G Char"/>
    <w:link w:val="HChG"/>
    <w:rsid w:val="00371B04"/>
    <w:rPr>
      <w:rFonts w:eastAsiaTheme="minorHAnsi"/>
      <w:b/>
      <w:sz w:val="28"/>
      <w:lang w:eastAsia="en-US"/>
    </w:rPr>
  </w:style>
  <w:style w:type="character" w:customStyle="1" w:styleId="H1GChar">
    <w:name w:val="_ H_1_G Char"/>
    <w:link w:val="H1G"/>
    <w:locked/>
    <w:rsid w:val="00C82F62"/>
    <w:rPr>
      <w:rFonts w:eastAsiaTheme="minorHAnsi"/>
      <w:b/>
      <w:sz w:val="24"/>
      <w:lang w:eastAsia="en-US"/>
    </w:rPr>
  </w:style>
  <w:style w:type="character" w:customStyle="1" w:styleId="apple-converted-space">
    <w:name w:val="apple-converted-space"/>
    <w:rsid w:val="00BD629E"/>
  </w:style>
  <w:style w:type="paragraph" w:styleId="ListParagraph">
    <w:name w:val="List Paragraph"/>
    <w:basedOn w:val="Normal"/>
    <w:uiPriority w:val="34"/>
    <w:qFormat/>
    <w:rsid w:val="00DC2EF6"/>
    <w:pPr>
      <w:ind w:left="720"/>
    </w:pPr>
  </w:style>
  <w:style w:type="character" w:customStyle="1" w:styleId="highlight">
    <w:name w:val="highlight"/>
    <w:rsid w:val="004723AB"/>
  </w:style>
  <w:style w:type="paragraph" w:customStyle="1" w:styleId="Quick1">
    <w:name w:val="Quick 1."/>
    <w:basedOn w:val="Normal"/>
    <w:rsid w:val="00380EA9"/>
    <w:pPr>
      <w:widowControl w:val="0"/>
      <w:numPr>
        <w:numId w:val="30"/>
      </w:numPr>
      <w:suppressAutoHyphens w:val="0"/>
      <w:spacing w:line="240" w:lineRule="auto"/>
    </w:pPr>
    <w:rPr>
      <w:rFonts w:ascii="Courier" w:hAnsi="Courier"/>
      <w:snapToGrid w:val="0"/>
      <w:sz w:val="24"/>
      <w:lang w:val="en-US"/>
    </w:rPr>
  </w:style>
  <w:style w:type="paragraph" w:styleId="CommentSubject">
    <w:name w:val="annotation subject"/>
    <w:basedOn w:val="CommentText"/>
    <w:next w:val="CommentText"/>
    <w:link w:val="CommentSubjectChar"/>
    <w:rsid w:val="005B2ED5"/>
    <w:rPr>
      <w:b/>
      <w:bCs/>
    </w:rPr>
  </w:style>
  <w:style w:type="character" w:customStyle="1" w:styleId="CommentTextChar">
    <w:name w:val="Comment Text Char"/>
    <w:link w:val="CommentText"/>
    <w:semiHidden/>
    <w:rsid w:val="005B2ED5"/>
    <w:rPr>
      <w:lang w:eastAsia="en-US"/>
    </w:rPr>
  </w:style>
  <w:style w:type="character" w:customStyle="1" w:styleId="CommentSubjectChar">
    <w:name w:val="Comment Subject Char"/>
    <w:link w:val="CommentSubject"/>
    <w:rsid w:val="005B2E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274">
      <w:bodyDiv w:val="1"/>
      <w:marLeft w:val="0"/>
      <w:marRight w:val="0"/>
      <w:marTop w:val="0"/>
      <w:marBottom w:val="0"/>
      <w:divBdr>
        <w:top w:val="none" w:sz="0" w:space="0" w:color="auto"/>
        <w:left w:val="none" w:sz="0" w:space="0" w:color="auto"/>
        <w:bottom w:val="none" w:sz="0" w:space="0" w:color="auto"/>
        <w:right w:val="none" w:sz="0" w:space="0" w:color="auto"/>
      </w:divBdr>
      <w:divsChild>
        <w:div w:id="425620430">
          <w:marLeft w:val="0"/>
          <w:marRight w:val="0"/>
          <w:marTop w:val="0"/>
          <w:marBottom w:val="0"/>
          <w:divBdr>
            <w:top w:val="none" w:sz="0" w:space="0" w:color="auto"/>
            <w:left w:val="none" w:sz="0" w:space="0" w:color="auto"/>
            <w:bottom w:val="none" w:sz="0" w:space="0" w:color="auto"/>
            <w:right w:val="none" w:sz="0" w:space="0" w:color="auto"/>
          </w:divBdr>
        </w:div>
        <w:div w:id="720863115">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1402362449">
          <w:marLeft w:val="0"/>
          <w:marRight w:val="0"/>
          <w:marTop w:val="0"/>
          <w:marBottom w:val="0"/>
          <w:divBdr>
            <w:top w:val="none" w:sz="0" w:space="0" w:color="auto"/>
            <w:left w:val="none" w:sz="0" w:space="0" w:color="auto"/>
            <w:bottom w:val="none" w:sz="0" w:space="0" w:color="auto"/>
            <w:right w:val="none" w:sz="0" w:space="0" w:color="auto"/>
          </w:divBdr>
        </w:div>
        <w:div w:id="2081948662">
          <w:marLeft w:val="0"/>
          <w:marRight w:val="0"/>
          <w:marTop w:val="0"/>
          <w:marBottom w:val="0"/>
          <w:divBdr>
            <w:top w:val="none" w:sz="0" w:space="0" w:color="auto"/>
            <w:left w:val="none" w:sz="0" w:space="0" w:color="auto"/>
            <w:bottom w:val="none" w:sz="0" w:space="0" w:color="auto"/>
            <w:right w:val="none" w:sz="0" w:space="0" w:color="auto"/>
          </w:divBdr>
        </w:div>
        <w:div w:id="2089812916">
          <w:marLeft w:val="0"/>
          <w:marRight w:val="0"/>
          <w:marTop w:val="0"/>
          <w:marBottom w:val="0"/>
          <w:divBdr>
            <w:top w:val="none" w:sz="0" w:space="0" w:color="auto"/>
            <w:left w:val="none" w:sz="0" w:space="0" w:color="auto"/>
            <w:bottom w:val="none" w:sz="0" w:space="0" w:color="auto"/>
            <w:right w:val="none" w:sz="0" w:space="0" w:color="auto"/>
          </w:divBdr>
        </w:div>
      </w:divsChild>
    </w:div>
    <w:div w:id="137696898">
      <w:bodyDiv w:val="1"/>
      <w:marLeft w:val="0"/>
      <w:marRight w:val="0"/>
      <w:marTop w:val="0"/>
      <w:marBottom w:val="0"/>
      <w:divBdr>
        <w:top w:val="none" w:sz="0" w:space="0" w:color="auto"/>
        <w:left w:val="none" w:sz="0" w:space="0" w:color="auto"/>
        <w:bottom w:val="none" w:sz="0" w:space="0" w:color="auto"/>
        <w:right w:val="none" w:sz="0" w:space="0" w:color="auto"/>
      </w:divBdr>
    </w:div>
    <w:div w:id="292097108">
      <w:bodyDiv w:val="1"/>
      <w:marLeft w:val="0"/>
      <w:marRight w:val="0"/>
      <w:marTop w:val="0"/>
      <w:marBottom w:val="0"/>
      <w:divBdr>
        <w:top w:val="none" w:sz="0" w:space="0" w:color="auto"/>
        <w:left w:val="none" w:sz="0" w:space="0" w:color="auto"/>
        <w:bottom w:val="none" w:sz="0" w:space="0" w:color="auto"/>
        <w:right w:val="none" w:sz="0" w:space="0" w:color="auto"/>
      </w:divBdr>
      <w:divsChild>
        <w:div w:id="38749671">
          <w:marLeft w:val="0"/>
          <w:marRight w:val="0"/>
          <w:marTop w:val="0"/>
          <w:marBottom w:val="0"/>
          <w:divBdr>
            <w:top w:val="none" w:sz="0" w:space="0" w:color="auto"/>
            <w:left w:val="none" w:sz="0" w:space="0" w:color="auto"/>
            <w:bottom w:val="none" w:sz="0" w:space="0" w:color="auto"/>
            <w:right w:val="none" w:sz="0" w:space="0" w:color="auto"/>
          </w:divBdr>
        </w:div>
        <w:div w:id="1287466501">
          <w:marLeft w:val="0"/>
          <w:marRight w:val="0"/>
          <w:marTop w:val="0"/>
          <w:marBottom w:val="0"/>
          <w:divBdr>
            <w:top w:val="none" w:sz="0" w:space="0" w:color="auto"/>
            <w:left w:val="none" w:sz="0" w:space="0" w:color="auto"/>
            <w:bottom w:val="none" w:sz="0" w:space="0" w:color="auto"/>
            <w:right w:val="none" w:sz="0" w:space="0" w:color="auto"/>
          </w:divBdr>
        </w:div>
        <w:div w:id="1496067834">
          <w:marLeft w:val="0"/>
          <w:marRight w:val="0"/>
          <w:marTop w:val="0"/>
          <w:marBottom w:val="0"/>
          <w:divBdr>
            <w:top w:val="none" w:sz="0" w:space="0" w:color="auto"/>
            <w:left w:val="none" w:sz="0" w:space="0" w:color="auto"/>
            <w:bottom w:val="none" w:sz="0" w:space="0" w:color="auto"/>
            <w:right w:val="none" w:sz="0" w:space="0" w:color="auto"/>
          </w:divBdr>
        </w:div>
      </w:divsChild>
    </w:div>
    <w:div w:id="1017266440">
      <w:bodyDiv w:val="1"/>
      <w:marLeft w:val="0"/>
      <w:marRight w:val="0"/>
      <w:marTop w:val="0"/>
      <w:marBottom w:val="0"/>
      <w:divBdr>
        <w:top w:val="none" w:sz="0" w:space="0" w:color="auto"/>
        <w:left w:val="none" w:sz="0" w:space="0" w:color="auto"/>
        <w:bottom w:val="none" w:sz="0" w:space="0" w:color="auto"/>
        <w:right w:val="none" w:sz="0" w:space="0" w:color="auto"/>
      </w:divBdr>
      <w:divsChild>
        <w:div w:id="248775573">
          <w:marLeft w:val="0"/>
          <w:marRight w:val="0"/>
          <w:marTop w:val="0"/>
          <w:marBottom w:val="0"/>
          <w:divBdr>
            <w:top w:val="none" w:sz="0" w:space="0" w:color="auto"/>
            <w:left w:val="none" w:sz="0" w:space="0" w:color="auto"/>
            <w:bottom w:val="none" w:sz="0" w:space="0" w:color="auto"/>
            <w:right w:val="none" w:sz="0" w:space="0" w:color="auto"/>
          </w:divBdr>
        </w:div>
        <w:div w:id="706182965">
          <w:marLeft w:val="0"/>
          <w:marRight w:val="0"/>
          <w:marTop w:val="0"/>
          <w:marBottom w:val="0"/>
          <w:divBdr>
            <w:top w:val="none" w:sz="0" w:space="0" w:color="auto"/>
            <w:left w:val="none" w:sz="0" w:space="0" w:color="auto"/>
            <w:bottom w:val="none" w:sz="0" w:space="0" w:color="auto"/>
            <w:right w:val="none" w:sz="0" w:space="0" w:color="auto"/>
          </w:divBdr>
        </w:div>
        <w:div w:id="1005402093">
          <w:marLeft w:val="0"/>
          <w:marRight w:val="0"/>
          <w:marTop w:val="0"/>
          <w:marBottom w:val="0"/>
          <w:divBdr>
            <w:top w:val="none" w:sz="0" w:space="0" w:color="auto"/>
            <w:left w:val="none" w:sz="0" w:space="0" w:color="auto"/>
            <w:bottom w:val="none" w:sz="0" w:space="0" w:color="auto"/>
            <w:right w:val="none" w:sz="0" w:space="0" w:color="auto"/>
          </w:divBdr>
        </w:div>
        <w:div w:id="1125929705">
          <w:marLeft w:val="0"/>
          <w:marRight w:val="0"/>
          <w:marTop w:val="0"/>
          <w:marBottom w:val="0"/>
          <w:divBdr>
            <w:top w:val="none" w:sz="0" w:space="0" w:color="auto"/>
            <w:left w:val="none" w:sz="0" w:space="0" w:color="auto"/>
            <w:bottom w:val="none" w:sz="0" w:space="0" w:color="auto"/>
            <w:right w:val="none" w:sz="0" w:space="0" w:color="auto"/>
          </w:divBdr>
        </w:div>
        <w:div w:id="1234777490">
          <w:marLeft w:val="0"/>
          <w:marRight w:val="0"/>
          <w:marTop w:val="0"/>
          <w:marBottom w:val="0"/>
          <w:divBdr>
            <w:top w:val="none" w:sz="0" w:space="0" w:color="auto"/>
            <w:left w:val="none" w:sz="0" w:space="0" w:color="auto"/>
            <w:bottom w:val="none" w:sz="0" w:space="0" w:color="auto"/>
            <w:right w:val="none" w:sz="0" w:space="0" w:color="auto"/>
          </w:divBdr>
        </w:div>
        <w:div w:id="1809783027">
          <w:marLeft w:val="0"/>
          <w:marRight w:val="0"/>
          <w:marTop w:val="0"/>
          <w:marBottom w:val="0"/>
          <w:divBdr>
            <w:top w:val="none" w:sz="0" w:space="0" w:color="auto"/>
            <w:left w:val="none" w:sz="0" w:space="0" w:color="auto"/>
            <w:bottom w:val="none" w:sz="0" w:space="0" w:color="auto"/>
            <w:right w:val="none" w:sz="0" w:space="0" w:color="auto"/>
          </w:divBdr>
        </w:div>
      </w:divsChild>
    </w:div>
    <w:div w:id="1070037811">
      <w:bodyDiv w:val="1"/>
      <w:marLeft w:val="0"/>
      <w:marRight w:val="0"/>
      <w:marTop w:val="0"/>
      <w:marBottom w:val="0"/>
      <w:divBdr>
        <w:top w:val="none" w:sz="0" w:space="0" w:color="auto"/>
        <w:left w:val="none" w:sz="0" w:space="0" w:color="auto"/>
        <w:bottom w:val="none" w:sz="0" w:space="0" w:color="auto"/>
        <w:right w:val="none" w:sz="0" w:space="0" w:color="auto"/>
      </w:divBdr>
    </w:div>
    <w:div w:id="1169371634">
      <w:bodyDiv w:val="1"/>
      <w:marLeft w:val="0"/>
      <w:marRight w:val="0"/>
      <w:marTop w:val="0"/>
      <w:marBottom w:val="0"/>
      <w:divBdr>
        <w:top w:val="none" w:sz="0" w:space="0" w:color="auto"/>
        <w:left w:val="none" w:sz="0" w:space="0" w:color="auto"/>
        <w:bottom w:val="none" w:sz="0" w:space="0" w:color="auto"/>
        <w:right w:val="none" w:sz="0" w:space="0" w:color="auto"/>
      </w:divBdr>
    </w:div>
    <w:div w:id="1172259983">
      <w:bodyDiv w:val="1"/>
      <w:marLeft w:val="0"/>
      <w:marRight w:val="0"/>
      <w:marTop w:val="0"/>
      <w:marBottom w:val="0"/>
      <w:divBdr>
        <w:top w:val="none" w:sz="0" w:space="0" w:color="auto"/>
        <w:left w:val="none" w:sz="0" w:space="0" w:color="auto"/>
        <w:bottom w:val="none" w:sz="0" w:space="0" w:color="auto"/>
        <w:right w:val="none" w:sz="0" w:space="0" w:color="auto"/>
      </w:divBdr>
    </w:div>
    <w:div w:id="1626693195">
      <w:bodyDiv w:val="1"/>
      <w:marLeft w:val="0"/>
      <w:marRight w:val="0"/>
      <w:marTop w:val="0"/>
      <w:marBottom w:val="0"/>
      <w:divBdr>
        <w:top w:val="none" w:sz="0" w:space="0" w:color="auto"/>
        <w:left w:val="none" w:sz="0" w:space="0" w:color="auto"/>
        <w:bottom w:val="none" w:sz="0" w:space="0" w:color="auto"/>
        <w:right w:val="none" w:sz="0" w:space="0" w:color="auto"/>
      </w:divBdr>
      <w:divsChild>
        <w:div w:id="132137814">
          <w:marLeft w:val="0"/>
          <w:marRight w:val="0"/>
          <w:marTop w:val="0"/>
          <w:marBottom w:val="0"/>
          <w:divBdr>
            <w:top w:val="none" w:sz="0" w:space="0" w:color="auto"/>
            <w:left w:val="none" w:sz="0" w:space="0" w:color="auto"/>
            <w:bottom w:val="none" w:sz="0" w:space="0" w:color="auto"/>
            <w:right w:val="none" w:sz="0" w:space="0" w:color="auto"/>
          </w:divBdr>
        </w:div>
        <w:div w:id="928657915">
          <w:marLeft w:val="0"/>
          <w:marRight w:val="0"/>
          <w:marTop w:val="0"/>
          <w:marBottom w:val="0"/>
          <w:divBdr>
            <w:top w:val="none" w:sz="0" w:space="0" w:color="auto"/>
            <w:left w:val="none" w:sz="0" w:space="0" w:color="auto"/>
            <w:bottom w:val="none" w:sz="0" w:space="0" w:color="auto"/>
            <w:right w:val="none" w:sz="0" w:space="0" w:color="auto"/>
          </w:divBdr>
        </w:div>
        <w:div w:id="2042783719">
          <w:marLeft w:val="0"/>
          <w:marRight w:val="0"/>
          <w:marTop w:val="0"/>
          <w:marBottom w:val="0"/>
          <w:divBdr>
            <w:top w:val="none" w:sz="0" w:space="0" w:color="auto"/>
            <w:left w:val="none" w:sz="0" w:space="0" w:color="auto"/>
            <w:bottom w:val="none" w:sz="0" w:space="0" w:color="auto"/>
            <w:right w:val="none" w:sz="0" w:space="0" w:color="auto"/>
          </w:divBdr>
        </w:div>
      </w:divsChild>
    </w:div>
    <w:div w:id="1757942687">
      <w:bodyDiv w:val="1"/>
      <w:marLeft w:val="0"/>
      <w:marRight w:val="0"/>
      <w:marTop w:val="0"/>
      <w:marBottom w:val="0"/>
      <w:divBdr>
        <w:top w:val="none" w:sz="0" w:space="0" w:color="auto"/>
        <w:left w:val="none" w:sz="0" w:space="0" w:color="auto"/>
        <w:bottom w:val="none" w:sz="0" w:space="0" w:color="auto"/>
        <w:right w:val="none" w:sz="0" w:space="0" w:color="auto"/>
      </w:divBdr>
    </w:div>
    <w:div w:id="17791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408F-2A18-4F88-B3A9-5DCD7398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4701</Words>
  <Characters>26801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1043830</vt:lpstr>
    </vt:vector>
  </TitlesOfParts>
  <Company>CSD</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1043830</dc:title>
  <dc:subject>CCPR/C/COL/6/CRP.1</dc:subject>
  <dc:creator>mtw</dc:creator>
  <dc:description>final</dc:description>
  <cp:lastModifiedBy>pdfeng</cp:lastModifiedBy>
  <cp:revision>2</cp:revision>
  <cp:lastPrinted>2016-03-02T13:23:00Z</cp:lastPrinted>
  <dcterms:created xsi:type="dcterms:W3CDTF">2016-04-06T12:18:00Z</dcterms:created>
  <dcterms:modified xsi:type="dcterms:W3CDTF">2016-04-06T12:18:00Z</dcterms:modified>
</cp:coreProperties>
</file>