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Hlk22197339"/>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86D12" w:rsidP="00586D12">
            <w:pPr>
              <w:suppressAutoHyphens w:val="0"/>
              <w:spacing w:after="20"/>
              <w:jc w:val="right"/>
            </w:pPr>
            <w:r w:rsidRPr="00586D12">
              <w:rPr>
                <w:sz w:val="40"/>
              </w:rPr>
              <w:t>E</w:t>
            </w:r>
            <w:r>
              <w:t>/C.12/ECU/Q/4/Add.1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86D12" w:rsidP="00586D12">
            <w:pPr>
              <w:spacing w:before="240"/>
            </w:pPr>
            <w:r>
              <w:t>Distr.: General</w:t>
            </w:r>
          </w:p>
          <w:p w:rsidR="00586D12" w:rsidRDefault="00586D12" w:rsidP="00586D12">
            <w:pPr>
              <w:suppressAutoHyphens w:val="0"/>
            </w:pPr>
            <w:r>
              <w:t>30 August 2019</w:t>
            </w:r>
          </w:p>
          <w:p w:rsidR="00586D12" w:rsidRDefault="00586D12" w:rsidP="00586D12">
            <w:pPr>
              <w:suppressAutoHyphens w:val="0"/>
            </w:pPr>
            <w:r>
              <w:t>English</w:t>
            </w:r>
          </w:p>
          <w:p w:rsidR="00586D12" w:rsidRDefault="00586D12" w:rsidP="00586D12">
            <w:pPr>
              <w:suppressAutoHyphens w:val="0"/>
            </w:pPr>
            <w:r>
              <w:t>Original: Spanish</w:t>
            </w:r>
          </w:p>
          <w:p w:rsidR="00586D12" w:rsidRDefault="00586D12" w:rsidP="00586D12">
            <w:pPr>
              <w:suppressAutoHyphens w:val="0"/>
            </w:pPr>
            <w:r>
              <w:t>English, French and Spanish only</w:t>
            </w:r>
          </w:p>
        </w:tc>
      </w:tr>
    </w:tbl>
    <w:p w:rsidR="00586D12" w:rsidRPr="00586D12" w:rsidRDefault="00586D12" w:rsidP="00586D12">
      <w:pPr>
        <w:spacing w:before="120"/>
        <w:rPr>
          <w:b/>
          <w:bCs/>
          <w:sz w:val="24"/>
          <w:szCs w:val="24"/>
        </w:rPr>
      </w:pPr>
      <w:r w:rsidRPr="00586D12">
        <w:rPr>
          <w:b/>
          <w:bCs/>
          <w:sz w:val="24"/>
          <w:szCs w:val="24"/>
        </w:rPr>
        <w:t>Committee on Economic, Social and Cultural Rights</w:t>
      </w:r>
    </w:p>
    <w:p w:rsidR="00586D12" w:rsidRPr="00586D12" w:rsidRDefault="00586D12" w:rsidP="00586D12">
      <w:pPr>
        <w:rPr>
          <w:b/>
          <w:bCs/>
        </w:rPr>
      </w:pPr>
      <w:r w:rsidRPr="00586D12">
        <w:rPr>
          <w:b/>
          <w:bCs/>
        </w:rPr>
        <w:t>Sixty-sixth session</w:t>
      </w:r>
    </w:p>
    <w:p w:rsidR="00586D12" w:rsidRPr="00E80C1B" w:rsidRDefault="00586D12" w:rsidP="00586D12">
      <w:r w:rsidRPr="00E80C1B">
        <w:t>30 September–18 October 2019</w:t>
      </w:r>
    </w:p>
    <w:p w:rsidR="00586D12" w:rsidRPr="00E80C1B" w:rsidRDefault="00586D12" w:rsidP="00586D12">
      <w:r w:rsidRPr="00E80C1B">
        <w:t>Item 6 (a) of the provisional agenda</w:t>
      </w:r>
    </w:p>
    <w:p w:rsidR="00586D12" w:rsidRPr="00586D12" w:rsidRDefault="00586D12" w:rsidP="00586D12">
      <w:pPr>
        <w:rPr>
          <w:b/>
          <w:bCs/>
        </w:rPr>
      </w:pPr>
      <w:r w:rsidRPr="00586D12">
        <w:rPr>
          <w:b/>
          <w:bCs/>
        </w:rPr>
        <w:t>Consideration of reports: reports submitted by States parties</w:t>
      </w:r>
      <w:r w:rsidRPr="00586D12">
        <w:rPr>
          <w:b/>
          <w:bCs/>
        </w:rPr>
        <w:br/>
        <w:t>in accordance with articles 16 and 17 of the Covenant</w:t>
      </w:r>
    </w:p>
    <w:p w:rsidR="00586D12" w:rsidRPr="00E80C1B" w:rsidRDefault="00586D12" w:rsidP="00586D12">
      <w:pPr>
        <w:pStyle w:val="HChG"/>
      </w:pPr>
      <w:r w:rsidRPr="00E80C1B">
        <w:tab/>
      </w:r>
      <w:r w:rsidRPr="00E80C1B">
        <w:tab/>
        <w:t>List of issues in relation to the fourth periodic report of Ecuador</w:t>
      </w:r>
    </w:p>
    <w:p w:rsidR="00586D12" w:rsidRPr="00E80C1B" w:rsidRDefault="00586D12" w:rsidP="00586D12">
      <w:pPr>
        <w:pStyle w:val="H23G"/>
      </w:pPr>
      <w:r w:rsidRPr="00E80C1B">
        <w:tab/>
      </w:r>
      <w:r w:rsidRPr="00E80C1B">
        <w:tab/>
        <w:t>Addendum</w:t>
      </w:r>
    </w:p>
    <w:p w:rsidR="00586D12" w:rsidRPr="00E80C1B" w:rsidRDefault="00586D12" w:rsidP="00586D12">
      <w:pPr>
        <w:pStyle w:val="HChG"/>
      </w:pPr>
      <w:r w:rsidRPr="00E80C1B">
        <w:tab/>
      </w:r>
      <w:r w:rsidRPr="00E80C1B">
        <w:tab/>
        <w:t>Replies of Ecuador to the list of issues</w:t>
      </w:r>
      <w:r w:rsidRPr="00586D12">
        <w:rPr>
          <w:b w:val="0"/>
          <w:bCs/>
          <w:sz w:val="20"/>
          <w:szCs w:val="14"/>
        </w:rPr>
        <w:footnoteReference w:customMarkFollows="1" w:id="1"/>
        <w:t>*</w:t>
      </w:r>
    </w:p>
    <w:p w:rsidR="00586D12" w:rsidRPr="00E80C1B" w:rsidRDefault="00586D12" w:rsidP="00586D12">
      <w:pPr>
        <w:pStyle w:val="SingleTxtG"/>
        <w:jc w:val="right"/>
      </w:pPr>
      <w:r w:rsidRPr="00E80C1B">
        <w:t>[Date received: 28 August 2019]</w:t>
      </w:r>
    </w:p>
    <w:p w:rsidR="00586D12" w:rsidRDefault="00586D12" w:rsidP="00586D12">
      <w:pPr>
        <w:pStyle w:val="SingleTxtG"/>
      </w:pPr>
      <w:r>
        <w:br w:type="page"/>
      </w:r>
    </w:p>
    <w:p w:rsidR="00B16D76" w:rsidRPr="00E80C1B" w:rsidRDefault="00B16D76" w:rsidP="00C0283A">
      <w:pPr>
        <w:pStyle w:val="H1G"/>
      </w:pPr>
      <w:r w:rsidRPr="00E80C1B">
        <w:lastRenderedPageBreak/>
        <w:tab/>
      </w:r>
      <w:bookmarkStart w:id="1" w:name="_Toc17473139"/>
      <w:bookmarkStart w:id="2" w:name="_Toc17473207"/>
      <w:bookmarkStart w:id="3" w:name="_Toc17473840"/>
      <w:r w:rsidRPr="00E80C1B">
        <w:tab/>
        <w:t>Reply to questions raised in paragraph 1 of the list of issues</w:t>
      </w:r>
    </w:p>
    <w:bookmarkEnd w:id="1"/>
    <w:bookmarkEnd w:id="2"/>
    <w:bookmarkEnd w:id="3"/>
    <w:p w:rsidR="00B16D76" w:rsidRPr="00E80C1B" w:rsidRDefault="00B16D76" w:rsidP="006A4331">
      <w:pPr>
        <w:pStyle w:val="SingleTxtG"/>
      </w:pPr>
      <w:r w:rsidRPr="00E80C1B">
        <w:t>1.</w:t>
      </w:r>
      <w:r w:rsidRPr="00E80C1B">
        <w:tab/>
        <w:t>Members of the public were included in the preparation of the National Development Plan (</w:t>
      </w:r>
      <w:r w:rsidR="00BB6C88">
        <w:t>“</w:t>
      </w:r>
      <w:r w:rsidRPr="00E80C1B">
        <w:t>Lifetime Plan</w:t>
      </w:r>
      <w:r w:rsidR="00BB6C88">
        <w:t>”</w:t>
      </w:r>
      <w:r w:rsidRPr="00E80C1B">
        <w:t xml:space="preserve">) by means of three mechanisms for their participation: </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12 forums, attended by 3,557 participants.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 xml:space="preserve">23 national dialogues concerning 180 themes and involving 25,112 participants and 6,024 organizations. A total of 5,065 proposals were received in </w:t>
      </w:r>
      <w:r w:rsidR="00D6447E">
        <w:t>4</w:t>
      </w:r>
      <w:r w:rsidR="00B16D76" w:rsidRPr="00E80C1B">
        <w:t xml:space="preserve"> categories: (1) public policy proposals; (2) proposals for action by ministries; (3) proposals in the area of legislation; and (4) proposals for other branches or levels of government.</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The Plan Para Todos (A plan for everyone) web page, used for the systematization of 1,356 national and international contributions.</w:t>
      </w:r>
    </w:p>
    <w:p w:rsidR="00B16D76" w:rsidRPr="00E80C1B" w:rsidRDefault="00B16D76" w:rsidP="006A4331">
      <w:pPr>
        <w:pStyle w:val="SingleTxtG"/>
      </w:pPr>
      <w:r w:rsidRPr="00E80C1B">
        <w:t>2.</w:t>
      </w:r>
      <w:r w:rsidRPr="00E80C1B">
        <w:tab/>
        <w:t>In addition, 7,038 contributions were received from decentralized autonomous governments, other branches of government and national equality councils.</w:t>
      </w:r>
      <w:r w:rsidRPr="00EF3BB8">
        <w:rPr>
          <w:rStyle w:val="FootnoteReference"/>
        </w:rPr>
        <w:footnoteReference w:id="2"/>
      </w:r>
    </w:p>
    <w:p w:rsidR="00B16D76" w:rsidRPr="00E80C1B" w:rsidRDefault="00B16D76" w:rsidP="006A4331">
      <w:pPr>
        <w:pStyle w:val="SingleTxtG"/>
      </w:pPr>
      <w:r w:rsidRPr="00E80C1B">
        <w:t>3.</w:t>
      </w:r>
      <w:r w:rsidRPr="00E80C1B">
        <w:tab/>
        <w:t>The National Development Plan has been established with a view to contributing to the progressive realization of economic, social and cultural rights on the basis of three main thematic components: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Lifetime rights for all</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An economy at the service of society</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More society, a better State.</w:t>
      </w:r>
    </w:p>
    <w:p w:rsidR="00B16D76" w:rsidRPr="00E80C1B" w:rsidRDefault="00B16D76" w:rsidP="00C0283A">
      <w:pPr>
        <w:pStyle w:val="H1G"/>
      </w:pPr>
      <w:bookmarkStart w:id="4" w:name="_Toc17473140"/>
      <w:bookmarkStart w:id="5" w:name="_Toc17473208"/>
      <w:bookmarkStart w:id="6" w:name="_Toc17473841"/>
      <w:r w:rsidRPr="00E80C1B">
        <w:tab/>
      </w:r>
      <w:r w:rsidRPr="00E80C1B">
        <w:tab/>
        <w:t>Reply to questions raised in paragraph 2 of the list of issues</w:t>
      </w:r>
      <w:bookmarkEnd w:id="4"/>
      <w:bookmarkEnd w:id="5"/>
      <w:bookmarkEnd w:id="6"/>
    </w:p>
    <w:p w:rsidR="00B16D76" w:rsidRPr="00E80C1B" w:rsidRDefault="00B16D76" w:rsidP="006A4331">
      <w:pPr>
        <w:pStyle w:val="SingleTxtG"/>
      </w:pPr>
      <w:r w:rsidRPr="00E80C1B">
        <w:t>4.</w:t>
      </w:r>
      <w:r w:rsidRPr="00E80C1B">
        <w:tab/>
        <w:t>Decision No. 148-12-SEP-CC concerned the case of Pablo Macario</w:t>
      </w:r>
      <w:bookmarkStart w:id="7" w:name="_GoBack"/>
      <w:bookmarkEnd w:id="7"/>
      <w:r w:rsidRPr="00E80C1B">
        <w:t xml:space="preserve"> Pucha Poveda and María Eufemia Ronquillo, aged 81 and 77 years, respectively, who had brought a lawsuit against Mr. Héctor Lara because the construction of a five-storey building adjacent to their home had caused its subsidence and destruction. </w:t>
      </w:r>
      <w:bookmarkStart w:id="8" w:name="_Hlk20833672"/>
      <w:r w:rsidRPr="00E80C1B">
        <w:t xml:space="preserve">The building erected by Mr. Lara did not comply with the corresponding municipal permits, and the required geotechnical surveys had not been carried out. </w:t>
      </w:r>
      <w:bookmarkStart w:id="9" w:name="_Hlk20834019"/>
      <w:bookmarkEnd w:id="8"/>
      <w:r w:rsidRPr="00E80C1B">
        <w:t xml:space="preserve">The ordinary courts having ruled in favour of Mr. Lara, they filed an application </w:t>
      </w:r>
      <w:bookmarkEnd w:id="9"/>
      <w:r w:rsidRPr="00E80C1B">
        <w:t>for a special protective remedy with the Constitutional Court against the judgment issued by the Civil Division of the National Court of Justice, claiming the violation of their rights to housing, to physical integrity and to a decent life.</w:t>
      </w:r>
    </w:p>
    <w:p w:rsidR="00B16D76" w:rsidRPr="00E80C1B" w:rsidRDefault="00B16D76" w:rsidP="006A4331">
      <w:pPr>
        <w:pStyle w:val="SingleTxtG"/>
      </w:pPr>
      <w:r w:rsidRPr="00E80C1B">
        <w:t>5.</w:t>
      </w:r>
      <w:r w:rsidRPr="00E80C1B">
        <w:tab/>
        <w:t>The Constitutional Court found, in accordance with the Covenant, that everyone has the right to adequate and decent housing, regardless of their economic and social situation, and cited the Committee</w:t>
      </w:r>
      <w:r w:rsidR="00BB6C88">
        <w:t>’</w:t>
      </w:r>
      <w:r w:rsidRPr="00E80C1B">
        <w:t xml:space="preserve">s general comment No. 4 on the right to adequate housing, which states: </w:t>
      </w:r>
      <w:r w:rsidR="00BB6C88">
        <w:t>“</w:t>
      </w:r>
      <w:r w:rsidRPr="00E80C1B">
        <w:t xml:space="preserve">1. Pursuant to article 11 (1) of the Covenant, States parties </w:t>
      </w:r>
      <w:r w:rsidR="00BB6C88">
        <w:t>‘</w:t>
      </w:r>
      <w:r w:rsidRPr="00E80C1B">
        <w:t>recognize the right of everyone to an adequate standard of living for himself and his family, including adequate food, clothing and housing, and to the continuous improvement of living conditions.</w:t>
      </w:r>
      <w:r w:rsidR="00BB6C88">
        <w:t>’”</w:t>
      </w:r>
    </w:p>
    <w:p w:rsidR="00B16D76" w:rsidRPr="00E80C1B" w:rsidRDefault="00B16D76" w:rsidP="00C0283A">
      <w:pPr>
        <w:pStyle w:val="H1G"/>
      </w:pPr>
      <w:bookmarkStart w:id="10" w:name="_Toc17473141"/>
      <w:bookmarkStart w:id="11" w:name="_Toc17473209"/>
      <w:bookmarkStart w:id="12" w:name="_Toc17473842"/>
      <w:r w:rsidRPr="00E80C1B">
        <w:tab/>
      </w:r>
      <w:r w:rsidRPr="00E80C1B">
        <w:tab/>
        <w:t>Reply to questions raised in paragraph 3 of the list of issues</w:t>
      </w:r>
    </w:p>
    <w:bookmarkEnd w:id="10"/>
    <w:bookmarkEnd w:id="11"/>
    <w:bookmarkEnd w:id="12"/>
    <w:p w:rsidR="00B16D76" w:rsidRPr="00E80C1B" w:rsidRDefault="00B16D76" w:rsidP="006A4331">
      <w:pPr>
        <w:pStyle w:val="SingleTxtG"/>
      </w:pPr>
      <w:r w:rsidRPr="00E80C1B">
        <w:t>6.</w:t>
      </w:r>
      <w:r w:rsidRPr="00E80C1B">
        <w:tab/>
        <w:t>The Government has taken the following steps: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Issuance of guidelines on the protection of persons who safeguard the rights of nature.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Issuance of standards for the promotion and protection of defenders of human rights and nature in order to establish the various actions that may be taken by the Ombudsman</w:t>
      </w:r>
      <w:r w:rsidR="00BB6C88">
        <w:t>’</w:t>
      </w:r>
      <w:r w:rsidR="00B16D76" w:rsidRPr="00E80C1B">
        <w:t>s Office, the coordination of those actions to be performed by the Office</w:t>
      </w:r>
      <w:r w:rsidR="00BB6C88">
        <w:t>’</w:t>
      </w:r>
      <w:r w:rsidR="00B16D76" w:rsidRPr="00E80C1B">
        <w:t>s general directorates for protection, education and research and public policy, and the manner in which they are to be implemented by units empowered to promote and protect human rights and nature.</w:t>
      </w:r>
    </w:p>
    <w:p w:rsidR="00B16D76" w:rsidRPr="00E80C1B" w:rsidRDefault="00245093" w:rsidP="00245093">
      <w:pPr>
        <w:pStyle w:val="Bullet1G"/>
        <w:numPr>
          <w:ilvl w:val="0"/>
          <w:numId w:val="0"/>
        </w:numPr>
        <w:tabs>
          <w:tab w:val="left" w:pos="1701"/>
        </w:tabs>
        <w:ind w:left="1701" w:hanging="170"/>
      </w:pPr>
      <w:r w:rsidRPr="00E80C1B">
        <w:lastRenderedPageBreak/>
        <w:t>•</w:t>
      </w:r>
      <w:r w:rsidRPr="00E80C1B">
        <w:tab/>
      </w:r>
      <w:r w:rsidR="00B16D76" w:rsidRPr="00E80C1B">
        <w:t>Establishment of a council of defenders of human rights and nature, composed of persons with experience in prevention and in the promotion and defence of human rights and nature, as a mechanism for the active and effective participation of civil society. The aim is to allow human rights defenders to carry out their activities freely; not to hinder them in their activities and to remove obstacles to their work; to prevent acts intended to discourage or criminalize their work; to protect them if they are at risk; to investigate and shed light on crimes committed against them with a view to the prosecution and punishment of perpetrators; and to ensure that comprehensive redress, on a basis of full independence and impartiality, is forthcoming.</w:t>
      </w:r>
    </w:p>
    <w:p w:rsidR="00B16D76" w:rsidRPr="00E80C1B" w:rsidRDefault="00B16D76" w:rsidP="006A4331">
      <w:pPr>
        <w:pStyle w:val="SingleTxtG"/>
      </w:pPr>
      <w:r w:rsidRPr="00E80C1B">
        <w:t>7.</w:t>
      </w:r>
      <w:r w:rsidRPr="00E80C1B">
        <w:tab/>
        <w:t>Furthermore, the Office of the Attorney General of the State, which administers the National System of Protection and Assistance to Victims, Witnesses and Other</w:t>
      </w:r>
      <w:r w:rsidR="0086053F">
        <w:t xml:space="preserve"> </w:t>
      </w:r>
      <w:r w:rsidRPr="00E80C1B">
        <w:t xml:space="preserve">Participants in Criminal Proceedings, ensures that any person, including human rights defenders, environmental defenders and defenders of indigenous, Afro-Ecuadorian and Montubio peoples, may apply for admission to the National System in cases of: </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Substantiated presumption of a threat to the applicant</w:t>
      </w:r>
      <w:r w:rsidR="00BB6C88">
        <w:t>’</w:t>
      </w:r>
      <w:r w:rsidR="00B16D76" w:rsidRPr="00E80C1B">
        <w:t>s physical, psychological, moral or sexual integrity, or the integrity of his or her property, as a result of his or her participation in criminal proceedings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Membership in a group requiring special consideration</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Active participation in criminal proceedings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Social disturbances caused by reports of a crime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Psychological vulnerability</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Social vulnerability</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Consequences of a reported crime for the applicant</w:t>
      </w:r>
      <w:r w:rsidR="00BB6C88">
        <w:t>’</w:t>
      </w:r>
      <w:r w:rsidR="00B16D76" w:rsidRPr="00E80C1B">
        <w:t>s welfare.</w:t>
      </w:r>
    </w:p>
    <w:p w:rsidR="00B16D76" w:rsidRPr="00E80C1B" w:rsidRDefault="00B16D76" w:rsidP="006A4331">
      <w:pPr>
        <w:pStyle w:val="SingleTxtG"/>
      </w:pPr>
      <w:r w:rsidRPr="00E80C1B">
        <w:t>8.</w:t>
      </w:r>
      <w:r w:rsidRPr="00E80C1B">
        <w:tab/>
        <w:t xml:space="preserve">Finally, the Secretariat for Human Rights has resumed work on the formulation of a comprehensive policy on the promotion and protection of defenders of human rights and nature. The four key components of this policy are to be: the promotion of rights; the prevention of violence; the protection and safeguarding of rights; and investigation, prosecution and punishment. </w:t>
      </w:r>
    </w:p>
    <w:p w:rsidR="00B16D76" w:rsidRPr="00E80C1B" w:rsidRDefault="00B16D76" w:rsidP="00C0283A">
      <w:pPr>
        <w:pStyle w:val="H1G"/>
      </w:pPr>
      <w:bookmarkStart w:id="13" w:name="_Toc17473142"/>
      <w:bookmarkStart w:id="14" w:name="_Toc17473210"/>
      <w:bookmarkStart w:id="15" w:name="_Toc17473843"/>
      <w:r w:rsidRPr="00E80C1B">
        <w:tab/>
      </w:r>
      <w:r w:rsidRPr="00E80C1B">
        <w:tab/>
        <w:t>Reply to questions raised in paragraph 4 of the list of issues</w:t>
      </w:r>
    </w:p>
    <w:bookmarkEnd w:id="13"/>
    <w:bookmarkEnd w:id="14"/>
    <w:bookmarkEnd w:id="15"/>
    <w:p w:rsidR="00B16D76" w:rsidRPr="00E80C1B" w:rsidRDefault="00B16D76" w:rsidP="006A4331">
      <w:pPr>
        <w:pStyle w:val="SingleTxtG"/>
      </w:pPr>
      <w:r w:rsidRPr="00E80C1B">
        <w:t>9.</w:t>
      </w:r>
      <w:r w:rsidRPr="00E80C1B">
        <w:tab/>
        <w:t>In fulfilment of its obligations under the Paris Agreement, in March 2019 Ecuador submitted its first nationally determined contribution under the United Nations Framework Convention on Climate Change. The nationally determined contribution includes the actions, plans, projects and measures adopted by Ecuador to mitigate and adapt to climate change:</w:t>
      </w:r>
    </w:p>
    <w:p w:rsidR="00B16D76" w:rsidRPr="00E80C1B" w:rsidRDefault="00B16D76" w:rsidP="00B82E90">
      <w:pPr>
        <w:pStyle w:val="H4G"/>
      </w:pPr>
      <w:r w:rsidRPr="00E80C1B">
        <w:tab/>
      </w:r>
      <w:r w:rsidRPr="00E80C1B">
        <w:tab/>
        <w:t>Mitigation component in the unconditional scenario</w:t>
      </w:r>
    </w:p>
    <w:p w:rsidR="00B16D76" w:rsidRPr="00E80C1B" w:rsidRDefault="00B16D76" w:rsidP="006A4331">
      <w:pPr>
        <w:pStyle w:val="SingleTxtG"/>
      </w:pPr>
      <w:r w:rsidRPr="00E80C1B">
        <w:t>10.</w:t>
      </w:r>
      <w:r w:rsidRPr="00E80C1B">
        <w:tab/>
        <w:t>Action lines: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Promote the use of renewable energy</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Strengthen energy efficiency and changes in consumer behaviour</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Foster and implement sustainable mobility.</w:t>
      </w:r>
    </w:p>
    <w:p w:rsidR="00B16D76" w:rsidRPr="00E80C1B" w:rsidRDefault="00B16D76" w:rsidP="006A4331">
      <w:pPr>
        <w:pStyle w:val="SingleTxtG"/>
      </w:pPr>
      <w:r w:rsidRPr="00E80C1B">
        <w:t>11.</w:t>
      </w:r>
      <w:r w:rsidRPr="00E80C1B">
        <w:tab/>
        <w:t>Initiatives: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Development of hydropower stations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The Optimization of Power Generation and Energy Efficiency Programme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Promotion of non-conventional renewable energy sources (wind, solar and landfill biogas)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The Efficient Cooking Programme (induction stoves).</w:t>
      </w:r>
    </w:p>
    <w:p w:rsidR="00B16D76" w:rsidRPr="00E80C1B" w:rsidRDefault="00B16D76" w:rsidP="00B82E90">
      <w:pPr>
        <w:pStyle w:val="H4G"/>
      </w:pPr>
      <w:r w:rsidRPr="00E80C1B">
        <w:lastRenderedPageBreak/>
        <w:tab/>
      </w:r>
      <w:r w:rsidRPr="00E80C1B">
        <w:tab/>
        <w:t>Mitigation component in the conditional scenario</w:t>
      </w:r>
    </w:p>
    <w:p w:rsidR="00B16D76" w:rsidRPr="00E80C1B" w:rsidRDefault="00B16D76" w:rsidP="006A4331">
      <w:pPr>
        <w:pStyle w:val="SingleTxtG"/>
      </w:pPr>
      <w:r w:rsidRPr="00E80C1B">
        <w:t>12.</w:t>
      </w:r>
      <w:r w:rsidRPr="00E80C1B">
        <w:tab/>
        <w:t>Action lines: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Adopt, reformulate and update regulations to promote sustainable energy use and energy efficiency in an inclusive manner in all subsectors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Develop and implement safe and sustainable modes of transport</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Promote the development and use of renewable energy while ensuring its full accessibility</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Promote energy savings and efficiency and a change in consumer behaviour</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Promote research leading to the implementation of energy solutions while reducing the gender gap.</w:t>
      </w:r>
    </w:p>
    <w:p w:rsidR="00B16D76" w:rsidRPr="00E80C1B" w:rsidRDefault="00B16D76" w:rsidP="00B82E90">
      <w:pPr>
        <w:pStyle w:val="H4G"/>
      </w:pPr>
      <w:r w:rsidRPr="00E80C1B">
        <w:tab/>
      </w:r>
      <w:r w:rsidRPr="00E80C1B">
        <w:tab/>
        <w:t>Adaptation component in the conditional scenario</w:t>
      </w:r>
    </w:p>
    <w:p w:rsidR="00B16D76" w:rsidRPr="00E80C1B" w:rsidRDefault="00B16D76" w:rsidP="006A4331">
      <w:pPr>
        <w:pStyle w:val="SingleTxtG"/>
      </w:pPr>
      <w:r w:rsidRPr="00E80C1B">
        <w:t>13.</w:t>
      </w:r>
      <w:r w:rsidRPr="00E80C1B">
        <w:tab/>
        <w:t>At the macro level:</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Inclusion of the climate variable in public policies and in risk management and sectoral planning tools.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Climate risk reduction in oil and mining industry value chains and in power generation, transmission, distribution and marketing infrastructure through the development of sector-specific climate risk and vulnerability assessments that will serve as a basis for the identification, proposal and implementation of measures to promote adaptation to the effects of climate variability and climate change.</w:t>
      </w:r>
    </w:p>
    <w:p w:rsidR="00B16D76" w:rsidRPr="00E80C1B" w:rsidRDefault="00B16D76" w:rsidP="006A4331">
      <w:pPr>
        <w:pStyle w:val="SingleTxtG"/>
      </w:pPr>
      <w:r w:rsidRPr="00E80C1B">
        <w:t>14.</w:t>
      </w:r>
      <w:r w:rsidRPr="00E80C1B">
        <w:tab/>
        <w:t>At the operational level:</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Production of climate risk and vulnerability assessments for road infrastructure to serve as a basis for the identification, proposal and implementation of measures to promote adaptation to the effects of climatic variability and climate change in the design, construction, operation and maintenance phases of road infrastructure projects.</w:t>
      </w:r>
    </w:p>
    <w:p w:rsidR="00B16D76" w:rsidRPr="00E80C1B" w:rsidRDefault="00B16D76" w:rsidP="00B82E90">
      <w:pPr>
        <w:pStyle w:val="H1G"/>
      </w:pPr>
      <w:bookmarkStart w:id="16" w:name="_Toc17473143"/>
      <w:bookmarkStart w:id="17" w:name="_Toc17473211"/>
      <w:bookmarkStart w:id="18" w:name="_Toc17473844"/>
      <w:r w:rsidRPr="00E80C1B">
        <w:tab/>
      </w:r>
      <w:r w:rsidRPr="00E80C1B">
        <w:tab/>
        <w:t>Reply to questions raised in paragraph 5 of the list of issues</w:t>
      </w:r>
    </w:p>
    <w:bookmarkEnd w:id="16"/>
    <w:bookmarkEnd w:id="17"/>
    <w:bookmarkEnd w:id="18"/>
    <w:p w:rsidR="00B16D76" w:rsidRPr="00E80C1B" w:rsidRDefault="00B16D76" w:rsidP="006A4331">
      <w:pPr>
        <w:pStyle w:val="SingleTxtG"/>
      </w:pPr>
      <w:r w:rsidRPr="00E80C1B">
        <w:t>15.</w:t>
      </w:r>
      <w:r w:rsidRPr="00E80C1B">
        <w:tab/>
        <w:t xml:space="preserve">Ecuador has quarterly and multi-year (2019–2021) targets for the indicator </w:t>
      </w:r>
      <w:r w:rsidR="00BB6C88">
        <w:t>“</w:t>
      </w:r>
      <w:r w:rsidRPr="00E80C1B">
        <w:t>central government social spending floor</w:t>
      </w:r>
      <w:r w:rsidR="00BB6C88">
        <w:t>”</w:t>
      </w:r>
      <w:r w:rsidRPr="00E80C1B">
        <w:t>. These targets are tied in with the country</w:t>
      </w:r>
      <w:r w:rsidR="00BB6C88">
        <w:t>’</w:t>
      </w:r>
      <w:r w:rsidRPr="00E80C1B">
        <w:t xml:space="preserve">s macroeconomic and social programme. The Prosperity Plan, which is the main pillar of that programme, incorporates several components designed to fortify the dollarization regime: </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Restoring a prudent fiscal policy</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Strengthening the institutional framework of the Central Bank of Ecuador</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Increasing the resilience of the financial system</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Boosting competitiveness, growth and job creation</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Promoting shared prosperity and protecting the poor and the vulnerable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Improving transparency and good governance.</w:t>
      </w:r>
    </w:p>
    <w:p w:rsidR="00B16D76" w:rsidRPr="00E80C1B" w:rsidRDefault="00B16D76" w:rsidP="006A4331">
      <w:pPr>
        <w:pStyle w:val="SingleTxtG"/>
      </w:pPr>
      <w:r w:rsidRPr="00E80C1B">
        <w:t>16.</w:t>
      </w:r>
      <w:r w:rsidRPr="00E80C1B">
        <w:tab/>
        <w:t>As part of the Prosperity Plan, the Government undertakes to manage public finances in an orderly and transparent manner and to ensure that reliable and efficient regulations are in place that will allow it to attract foreign investment. It also commits to replenishing the reserves of the Central Bank of Ecuador to keep the dollarization regime on a sound and sustainable footing.</w:t>
      </w:r>
    </w:p>
    <w:p w:rsidR="00B16D76" w:rsidRPr="00E80C1B" w:rsidRDefault="00B16D76" w:rsidP="006A4331">
      <w:pPr>
        <w:pStyle w:val="SingleTxtG"/>
      </w:pPr>
      <w:r w:rsidRPr="00E80C1B">
        <w:t>17.</w:t>
      </w:r>
      <w:r w:rsidRPr="00E80C1B">
        <w:tab/>
        <w:t>The Prosperity Plan sets out 11 reforms: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Downsizing of the State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Reduction of excessive spending</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Transparency in public procurement</w:t>
      </w:r>
    </w:p>
    <w:p w:rsidR="00B16D76" w:rsidRPr="00E80C1B" w:rsidRDefault="00245093" w:rsidP="00245093">
      <w:pPr>
        <w:pStyle w:val="Bullet1G"/>
        <w:numPr>
          <w:ilvl w:val="0"/>
          <w:numId w:val="0"/>
        </w:numPr>
        <w:tabs>
          <w:tab w:val="left" w:pos="1701"/>
        </w:tabs>
        <w:ind w:left="1701" w:hanging="170"/>
      </w:pPr>
      <w:r w:rsidRPr="00E80C1B">
        <w:lastRenderedPageBreak/>
        <w:t>•</w:t>
      </w:r>
      <w:r w:rsidRPr="00E80C1B">
        <w:tab/>
      </w:r>
      <w:r w:rsidR="00B16D76" w:rsidRPr="00E80C1B">
        <w:t>Optimization of the operations of State-owned enterprises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Continued investment in infrastructure and other development projects using State resources and private investment based on the public-private partnership model in 2018–2021</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Strengthening of central bank reserves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Stable and predictable access to external financing offered on better repayment terms and at lower interest rates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Responsible use of natural resources in ways that will generate greater revenues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Efficient and equitable fuel subsidies targeted at those who actually need them</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Updating of premium-grade petrol prices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Optimization of diesel subsidies for the business sector using a smart strategy to avoid losses in competitiveness and jobs.</w:t>
      </w:r>
    </w:p>
    <w:p w:rsidR="00B16D76" w:rsidRPr="00E80C1B" w:rsidRDefault="00B16D76" w:rsidP="00B82E90">
      <w:pPr>
        <w:pStyle w:val="H1G"/>
      </w:pPr>
      <w:bookmarkStart w:id="19" w:name="_Toc17473144"/>
      <w:bookmarkStart w:id="20" w:name="_Toc17473212"/>
      <w:bookmarkStart w:id="21" w:name="_Toc17473845"/>
      <w:r w:rsidRPr="00E80C1B">
        <w:tab/>
      </w:r>
      <w:r w:rsidRPr="00E80C1B">
        <w:tab/>
        <w:t>Reply to questions raised in paragraph 6 of the list of issues</w:t>
      </w:r>
    </w:p>
    <w:bookmarkEnd w:id="19"/>
    <w:bookmarkEnd w:id="20"/>
    <w:bookmarkEnd w:id="21"/>
    <w:p w:rsidR="00B16D76" w:rsidRPr="00E80C1B" w:rsidRDefault="00B16D76" w:rsidP="006A4331">
      <w:pPr>
        <w:pStyle w:val="SingleTxtG"/>
      </w:pPr>
      <w:r w:rsidRPr="00E80C1B">
        <w:t>18.</w:t>
      </w:r>
      <w:r w:rsidRPr="00E80C1B">
        <w:tab/>
        <w:t xml:space="preserve">The aim of promoting open government has been translated into concrete action with the announcement that Ecuador intends to join the Open Government Partnership. A core group composed of three civil society organizations, three academic institutions and four governmental bodies and advised by a consultant from the Inter-American Development Bank is responsible for the coordination, implementation and monitoring of the first Open Government Action Plan of Ecuador 2019–2021. Future action lines include: </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Innovation in public participation, transparency and anti-corruption systems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The Extractive Industries Transparency Initiative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Open contracting standards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The Infrastructure Transparency Initiative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Ratification of the Regional Agreement on Access to Information, Public Participation and Justice in Environmental Matters in Latin America and the Caribbean (the Escazú Agreement)</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Transparency of information on the environment, energy, poverty, health, public procurement and road safety</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Streamlining of priority procedures and processes, and upgrading of the public portal for contacting government agencies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Co-development of an open data policy and tools for its implementation, and improvement of the open data platform</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Co-development of public policies on combating violence based on gender, sexual diversity and all its expressions and on food security and sovereignty</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Co-development of a strategy for reducing inequalities and discrimination affecting people of African descent.</w:t>
      </w:r>
    </w:p>
    <w:p w:rsidR="00B16D76" w:rsidRPr="00E80C1B" w:rsidRDefault="00B16D76" w:rsidP="006A4331">
      <w:pPr>
        <w:pStyle w:val="SingleTxtG"/>
      </w:pPr>
      <w:r w:rsidRPr="00E80C1B">
        <w:t>19.</w:t>
      </w:r>
      <w:r w:rsidRPr="00E80C1B">
        <w:tab/>
        <w:t>In addition, executive branch institutions are subject to monitoring and follow-up on an ongoing basis and receive support and advisory services to ensure their accountability.</w:t>
      </w:r>
    </w:p>
    <w:p w:rsidR="00B16D76" w:rsidRPr="00E80C1B" w:rsidRDefault="00B16D76" w:rsidP="006A4331">
      <w:pPr>
        <w:pStyle w:val="SingleTxtG"/>
      </w:pPr>
      <w:r w:rsidRPr="00E80C1B">
        <w:t>20.</w:t>
      </w:r>
      <w:r w:rsidRPr="00E80C1B">
        <w:tab/>
        <w:t>The following steps have been taken in support of transparency and open government:</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Under the Model for Transparent, Participatory Local Administrative Units, transparency brigades have supported the implementation of activities and the delivery of outputs relating to the promotion, monitoring, assessment and the strengthening of transparency of decentralized autonomous governments and the</w:t>
      </w:r>
      <w:r w:rsidR="0086053F">
        <w:t xml:space="preserve"> </w:t>
      </w:r>
      <w:r w:rsidR="00B16D76" w:rsidRPr="00E80C1B">
        <w:t>creation of feedback loops in that connection</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Complaints boxes have been installed in various State institutions to foster a culture of transparency and to combat corruption in the civil service</w:t>
      </w:r>
    </w:p>
    <w:p w:rsidR="00B16D76" w:rsidRPr="00E80C1B" w:rsidRDefault="00245093" w:rsidP="00245093">
      <w:pPr>
        <w:pStyle w:val="Bullet1G"/>
        <w:numPr>
          <w:ilvl w:val="0"/>
          <w:numId w:val="0"/>
        </w:numPr>
        <w:tabs>
          <w:tab w:val="left" w:pos="1701"/>
        </w:tabs>
        <w:ind w:left="1701" w:hanging="170"/>
      </w:pPr>
      <w:r w:rsidRPr="00E80C1B">
        <w:lastRenderedPageBreak/>
        <w:t>•</w:t>
      </w:r>
      <w:r w:rsidRPr="00E80C1B">
        <w:tab/>
      </w:r>
      <w:r w:rsidR="00B16D76" w:rsidRPr="00E80C1B">
        <w:t xml:space="preserve">A national system has been established to strengthen and implement measures for the prevention, detection and punishment of corruption with a view to increasing transparency and reducing impunity. </w:t>
      </w:r>
    </w:p>
    <w:p w:rsidR="00B16D76" w:rsidRPr="00E80C1B" w:rsidRDefault="00B16D76" w:rsidP="006A4331">
      <w:pPr>
        <w:pStyle w:val="SingleTxtG"/>
      </w:pPr>
      <w:r w:rsidRPr="00E80C1B">
        <w:t>21.</w:t>
      </w:r>
      <w:r w:rsidRPr="00E80C1B">
        <w:tab/>
        <w:t>The following mechanisms have been established to support ongoing public oversight and accountability:</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A public oversight group</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A public service users</w:t>
      </w:r>
      <w:r w:rsidR="00BB6C88">
        <w:t>’</w:t>
      </w:r>
      <w:r w:rsidR="00B16D76" w:rsidRPr="00E80C1B">
        <w:t xml:space="preserve"> committee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A public observatory</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Community ombudsmen (technical support).</w:t>
      </w:r>
    </w:p>
    <w:p w:rsidR="00B16D76" w:rsidRPr="00E80C1B" w:rsidRDefault="00B16D76" w:rsidP="006A4331">
      <w:pPr>
        <w:pStyle w:val="SingleTxtG"/>
      </w:pPr>
      <w:r w:rsidRPr="00E80C1B">
        <w:t>22.</w:t>
      </w:r>
      <w:r w:rsidRPr="00E80C1B">
        <w:tab/>
        <w:t xml:space="preserve">In March 2018, a mandate for the evaluation of the performance of authorities appointed by the Council for Public Participation and Oversight was adopted, and the performance of a number of institutions and holders of high office was evaluated on the basis of complaints received from members of the public. </w:t>
      </w:r>
    </w:p>
    <w:p w:rsidR="00B16D76" w:rsidRPr="00E80C1B" w:rsidRDefault="00B16D76" w:rsidP="006A4331">
      <w:pPr>
        <w:pStyle w:val="SingleTxtG"/>
      </w:pPr>
      <w:r w:rsidRPr="00E80C1B">
        <w:t>23.</w:t>
      </w:r>
      <w:r w:rsidRPr="00E80C1B">
        <w:tab/>
        <w:t xml:space="preserve">As a result, 27 senior officials were relieved of their duties, and the Transitional Council for Public Participation and Oversight proceeded to appoint new officials to replace those who had been dismissed. </w:t>
      </w:r>
    </w:p>
    <w:p w:rsidR="00B16D76" w:rsidRPr="00E80C1B" w:rsidRDefault="00B16D76" w:rsidP="006A4331">
      <w:pPr>
        <w:pStyle w:val="SingleTxtG"/>
      </w:pPr>
      <w:r w:rsidRPr="00E80C1B">
        <w:t>24.</w:t>
      </w:r>
      <w:r w:rsidRPr="00E80C1B">
        <w:tab/>
        <w:t xml:space="preserve">Furthermore, the transparency and public oversight branch of government has launched the National Public Integrity and Anti-Corruption Plan 2019–2023 with the aim of working towards three strategic objectives: </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To promote integrity in the civil service and in private agencies entrusted with public resources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 xml:space="preserve">To strengthen the various ways in which citizen action groups are organized in order to ensure they can influence public affairs </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 xml:space="preserve">To strengthen public and private inter-institutional cooperation and coordination of initiatives and activities aimed at preventing and combating corruption. </w:t>
      </w:r>
    </w:p>
    <w:p w:rsidR="00B16D76" w:rsidRPr="00E80C1B" w:rsidRDefault="00B16D76" w:rsidP="00B82E90">
      <w:pPr>
        <w:pStyle w:val="H1G"/>
      </w:pPr>
      <w:bookmarkStart w:id="22" w:name="_b6f6v8se27w9" w:colFirst="0" w:colLast="0"/>
      <w:bookmarkStart w:id="23" w:name="_Toc17473146"/>
      <w:bookmarkStart w:id="24" w:name="_Toc17473214"/>
      <w:bookmarkStart w:id="25" w:name="_Toc17473847"/>
      <w:bookmarkEnd w:id="22"/>
      <w:r w:rsidRPr="00E80C1B">
        <w:tab/>
      </w:r>
      <w:r w:rsidRPr="00E80C1B">
        <w:tab/>
        <w:t>Reply to questions raised in paragraph 7 of the list of issues</w:t>
      </w:r>
    </w:p>
    <w:bookmarkEnd w:id="23"/>
    <w:bookmarkEnd w:id="24"/>
    <w:bookmarkEnd w:id="25"/>
    <w:p w:rsidR="00B16D76" w:rsidRPr="00E80C1B" w:rsidRDefault="00B16D76" w:rsidP="006A4331">
      <w:pPr>
        <w:pStyle w:val="SingleTxtG"/>
      </w:pPr>
      <w:r w:rsidRPr="00E80C1B">
        <w:t>25.</w:t>
      </w:r>
      <w:r w:rsidRPr="00E80C1B">
        <w:tab/>
        <w:t>The Government conducts prior consultations with the main objective of ensuring that the members of the public are able to participate in decision-making and have access to truthful and timely information on the plan or programme to be developed. To this end, the views and observations of indigenous communities, peoples and nationalities are taken into account so that the areas or production blocks to be put up for tender are developed appropriately, in an environmentally sound manner and in a spirit of solidarity.</w:t>
      </w:r>
    </w:p>
    <w:p w:rsidR="00B16D76" w:rsidRPr="00E80C1B" w:rsidRDefault="00B16D76" w:rsidP="006A4331">
      <w:pPr>
        <w:pStyle w:val="SingleTxtG"/>
      </w:pPr>
      <w:r w:rsidRPr="00E80C1B">
        <w:t>26.</w:t>
      </w:r>
      <w:r w:rsidRPr="00E80C1B">
        <w:tab/>
        <w:t xml:space="preserve">As was stated in the judgment in the case </w:t>
      </w:r>
      <w:r w:rsidRPr="007F279E">
        <w:rPr>
          <w:i/>
          <w:iCs/>
        </w:rPr>
        <w:t>Kichwa Indigenous People of Sarayaku v. Ecuador</w:t>
      </w:r>
      <w:r w:rsidRPr="00E80C1B">
        <w:t xml:space="preserve">, Ecuador has enshrined the right to free, prior and informed consultation in its Constitution. It was therefore deemed necessary to address the subject in the Organic Act on Citizen Participation and to issue regulations on free, prior and informed consultations in connection with tenders for hydrocarbon-bearing tracts and blocks. </w:t>
      </w:r>
    </w:p>
    <w:p w:rsidR="00B16D76" w:rsidRPr="00E80C1B" w:rsidRDefault="00B16D76" w:rsidP="006A4331">
      <w:pPr>
        <w:pStyle w:val="SingleTxtG"/>
      </w:pPr>
      <w:r w:rsidRPr="00E80C1B">
        <w:t>27.</w:t>
      </w:r>
      <w:r w:rsidRPr="00E80C1B">
        <w:tab/>
        <w:t>Prior consultation is an internationally recognized mechanism that is based on a number of guiding principles that are set forth in various international instruments. Consultations should be: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Free;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Prior;</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Informed;</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Undertaken in good faith;</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Culturally appropriate.</w:t>
      </w:r>
    </w:p>
    <w:p w:rsidR="00B16D76" w:rsidRPr="00E80C1B" w:rsidRDefault="00B16D76" w:rsidP="006A4331">
      <w:pPr>
        <w:pStyle w:val="SingleTxtG"/>
      </w:pPr>
      <w:r w:rsidRPr="00E80C1B">
        <w:t>28.</w:t>
      </w:r>
      <w:r w:rsidRPr="00E80C1B">
        <w:tab/>
        <w:t xml:space="preserve">In order to carry out free, prior and informed consultations in keeping with the world views and living conditions of each of the peoples and nations concerned, the State first undertakes social and environmental assessments that serve as a basis for devising an initial </w:t>
      </w:r>
      <w:r w:rsidRPr="00E80C1B">
        <w:lastRenderedPageBreak/>
        <w:t>approach to the community that will take into account the social and environmental factors necessary for conducting the consultation properly.</w:t>
      </w:r>
    </w:p>
    <w:p w:rsidR="00B16D76" w:rsidRPr="00E80C1B" w:rsidRDefault="00B16D76" w:rsidP="006A4331">
      <w:pPr>
        <w:pStyle w:val="SingleTxtG"/>
      </w:pPr>
      <w:r w:rsidRPr="00E80C1B">
        <w:t>29.</w:t>
      </w:r>
      <w:r w:rsidRPr="00E80C1B">
        <w:tab/>
        <w:t>The following participation mechanisms are used:</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Permanent consultation offices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Public hearings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Mobile consultation offices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Public information centres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Civic dialogue forums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Feedback assemblies.</w:t>
      </w:r>
    </w:p>
    <w:p w:rsidR="00B16D76" w:rsidRPr="00E80C1B" w:rsidRDefault="00B16D76" w:rsidP="006A4331">
      <w:pPr>
        <w:pStyle w:val="SingleTxtG"/>
      </w:pPr>
      <w:r w:rsidRPr="00E80C1B">
        <w:t>30.</w:t>
      </w:r>
      <w:r w:rsidRPr="00E80C1B">
        <w:tab/>
        <w:t>In respect of blocks 79 and 83, the prior consultation process afforded an opportunity for participation and dialogue in good faith with persons living in the project area. These persons took part in the process, exercising their rights to participate and to be informed.</w:t>
      </w:r>
    </w:p>
    <w:p w:rsidR="00B16D76" w:rsidRPr="00E80C1B" w:rsidRDefault="00B16D76" w:rsidP="006A4331">
      <w:pPr>
        <w:pStyle w:val="SingleTxtG"/>
      </w:pPr>
      <w:r w:rsidRPr="00E80C1B">
        <w:t>31.</w:t>
      </w:r>
      <w:r w:rsidRPr="00E80C1B">
        <w:tab/>
        <w:t>The Government has taken various measures to guarantee the rights of indigenous peoples in voluntary isolation, who are accorded special attention in Ecuador. Firstly, to ensure that all activities undertaken in connection with hydrocarbon operations provide special protection and observe the principles of precaution and non-contact with indigenous peoples in voluntary isolation, steps were taken to update the protocol of conduct governing hydrocarbon operators subject to oversight in areas adjacent to the Tagaeri-Taromenane Protected Zone and its buffer zone. Advances in this regard include: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The guiding principles of the protocol have been updated in line with international standards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Methodologies and actions for the operationalization of the protocol have been developed and implemented</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A high-level committee has been established to carry out follow-up</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Training has been provided in the companies involved in the operations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Provision has been made for the suspension of operations should events occur that pose a threat to indigenous peoples in voluntary isolation (applicable to all activities carried out in areas adjacent to the Tagaeri-Taromenane Protected Zone, including blocks 31 and 43).</w:t>
      </w:r>
    </w:p>
    <w:p w:rsidR="00B16D76" w:rsidRPr="00E80C1B" w:rsidRDefault="00B16D76" w:rsidP="006A4331">
      <w:pPr>
        <w:pStyle w:val="SingleTxtG"/>
      </w:pPr>
      <w:r w:rsidRPr="00E80C1B">
        <w:t>32.</w:t>
      </w:r>
      <w:r w:rsidRPr="00E80C1B">
        <w:tab/>
        <w:t xml:space="preserve">The Government has not issued environmental permits within the Tagaeri-Taromenane Protected Zone or the buffer zone delimited by Executive Decree No. 2187 of 3 January 2007. </w:t>
      </w:r>
    </w:p>
    <w:p w:rsidR="00B16D76" w:rsidRPr="00E80C1B" w:rsidRDefault="00B16D76" w:rsidP="006A4331">
      <w:pPr>
        <w:pStyle w:val="SingleTxtG"/>
      </w:pPr>
      <w:r w:rsidRPr="00E80C1B">
        <w:t>33.</w:t>
      </w:r>
      <w:r w:rsidRPr="00E80C1B">
        <w:tab/>
        <w:t>One specific case in which steps have been taken to safeguard the rights of indigenous peoples in voluntary isolation relates to the latest environmental licence to have been issued for the development and production of the Ishpingo Norte field. The environmental impact study and the environmental management plan established that the buffer zone of the Tagaeri-Taromenane Protected Zone falls within the project</w:t>
      </w:r>
      <w:r w:rsidR="00BB6C88">
        <w:t>’</w:t>
      </w:r>
      <w:r w:rsidRPr="00E80C1B">
        <w:t>s area of direct influence owing to its proximity to the location where platforms will be installed; accordingly, there is a risk of accidentally encountering members of peoples in voluntary isolation.</w:t>
      </w:r>
    </w:p>
    <w:p w:rsidR="00B16D76" w:rsidRPr="00E80C1B" w:rsidRDefault="00B16D76" w:rsidP="006A4331">
      <w:pPr>
        <w:pStyle w:val="SingleTxtG"/>
      </w:pPr>
      <w:r w:rsidRPr="00E80C1B">
        <w:t>34.</w:t>
      </w:r>
      <w:r w:rsidRPr="00E80C1B">
        <w:tab/>
        <w:t>In this context, the environmental management plan provides for actions and measures to manage the risk of unwanted contact with indigenous peoples in voluntary isolation. The operator, Petroamazonas EP, will have to undertake these actions and apply these measures once it has reached agreement concerning all of the actions it is to take with the Secretariat for Human Rights. Actions that have been approved in the environmental management plan include: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Conduct environmental and biotic monitoring within the buffer zone to confirm or rule out the presence of impacts there</w:t>
      </w:r>
    </w:p>
    <w:p w:rsidR="00B16D76" w:rsidRPr="00E80C1B" w:rsidRDefault="00245093" w:rsidP="00245093">
      <w:pPr>
        <w:pStyle w:val="Bullet1G"/>
        <w:numPr>
          <w:ilvl w:val="0"/>
          <w:numId w:val="0"/>
        </w:numPr>
        <w:tabs>
          <w:tab w:val="left" w:pos="1701"/>
        </w:tabs>
        <w:ind w:left="1701" w:hanging="170"/>
      </w:pPr>
      <w:r w:rsidRPr="00E80C1B">
        <w:lastRenderedPageBreak/>
        <w:t>•</w:t>
      </w:r>
      <w:r w:rsidRPr="00E80C1B">
        <w:tab/>
      </w:r>
      <w:r w:rsidR="00B16D76" w:rsidRPr="00E80C1B">
        <w:t>Verify that the work is carried out within the duly permitted areas and that, in the event that monitoring is to be conducted in the buffer zone of the Tagaeri-Taromenane Protected Zone, a timetable of activities is submitted for approval before entering</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Implement the inter-institutional cooperation agreement between the Secretariat for Human Rights and Petroamazonas EP on training and on the oversight and monitoring of blocks 21, 31, 43 and 55 in respect of indigenous peoples in voluntary isolation and execute the plan for the implementation of the protocol of conduct governing hydrocarbon operators subject to oversight in areas adjacent to the Tagaeri-Taromenane Protected Zone.</w:t>
      </w:r>
    </w:p>
    <w:p w:rsidR="00B16D76" w:rsidRPr="00E80C1B" w:rsidRDefault="00B16D76" w:rsidP="006A4331">
      <w:pPr>
        <w:pStyle w:val="SingleTxtG"/>
      </w:pPr>
      <w:r w:rsidRPr="00E80C1B">
        <w:t>35.</w:t>
      </w:r>
      <w:r w:rsidRPr="00E80C1B">
        <w:tab/>
        <w:t>The following measures have also been adopted with a view to the protection of indigenous peoples in voluntary isolation:</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Monitoring for the purpose of identifying signs or possible signs of the presence of indigenous peoples in voluntary isolation (searches and patrols)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Radio monitoring by the Shiripuno monitoring station of the communities neighbouring the Tagaeri-Taromenane Protected Zone, its buffer zone, territories inhabited and frequented by indigenous peoples in voluntary isolation and areas of influence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Remote monitoring subsystem for collecting information on the territory of indigenous peoples in voluntary isolation in the northern Ecuadorian Amazon and the specific pressure factors that affect them</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 xml:space="preserve">Remote sensing analysis using low- (satellite imagery) and high-resolution (georeferenced digital aerial photography) remote sensors </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Overflights to identify sites posing a threat to indigenous peoples living in voluntary isolation and occupied sites and to collect additional data</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Training of local staff</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Mapping and updating of maps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Identification of areas that indigenous peoples have historically occupied or travelled through</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Verification of conditions in the territories of indigenous peoples living in voluntary isolation</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Analysis of the threats to indigenous peoples living in voluntary isolation identified in surrounding areas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Drafting of reports on the viability of activities in the Tagaeri-Taromenane Protected Zone</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Joint work with strategic communities</w:t>
      </w:r>
    </w:p>
    <w:p w:rsidR="00B16D76" w:rsidRPr="00E80C1B" w:rsidRDefault="00245093" w:rsidP="00245093">
      <w:pPr>
        <w:pStyle w:val="Bullet1G"/>
        <w:numPr>
          <w:ilvl w:val="0"/>
          <w:numId w:val="0"/>
        </w:numPr>
        <w:tabs>
          <w:tab w:val="left" w:pos="1701"/>
        </w:tabs>
        <w:ind w:left="1701" w:hanging="170"/>
      </w:pPr>
      <w:r w:rsidRPr="00E80C1B">
        <w:t>•</w:t>
      </w:r>
      <w:r w:rsidRPr="00E80C1B">
        <w:tab/>
      </w:r>
      <w:r w:rsidR="00B16D76" w:rsidRPr="00E80C1B">
        <w:t>Coordination of actions with public and private institutions in their respective spheres of responsibility to ensure the protection of indigenous peoples in voluntary isolation in the Protected Zone, its buffer zone and area of influence</w:t>
      </w:r>
    </w:p>
    <w:p w:rsidR="00907037" w:rsidRDefault="00245093" w:rsidP="00245093">
      <w:pPr>
        <w:pStyle w:val="Bullet1G"/>
        <w:numPr>
          <w:ilvl w:val="0"/>
          <w:numId w:val="0"/>
        </w:numPr>
        <w:tabs>
          <w:tab w:val="left" w:pos="1701"/>
        </w:tabs>
        <w:ind w:left="1701" w:hanging="170"/>
      </w:pPr>
      <w:r>
        <w:t>•</w:t>
      </w:r>
      <w:r>
        <w:tab/>
      </w:r>
      <w:r w:rsidR="00B16D76" w:rsidRPr="00E80C1B">
        <w:t>Visits by mobile medical and immunization teams to communities located in the Tagaeri-Taromenane Protected Zone.</w:t>
      </w:r>
    </w:p>
    <w:p w:rsidR="007814BC" w:rsidRDefault="00907037" w:rsidP="00907037">
      <w:pPr>
        <w:pStyle w:val="H1G"/>
      </w:pPr>
      <w:r>
        <w:tab/>
      </w:r>
      <w:r>
        <w:tab/>
      </w:r>
      <w:r w:rsidR="00B16D76" w:rsidRPr="00E80C1B">
        <w:t>Reply to questions raised in paragraph 8 of the list of issues</w:t>
      </w:r>
    </w:p>
    <w:p w:rsidR="00907037" w:rsidRDefault="00907037">
      <w:pPr>
        <w:suppressAutoHyphens w:val="0"/>
        <w:spacing w:after="200" w:line="276" w:lineRule="auto"/>
        <w:sectPr w:rsidR="0090703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7814BC" w:rsidRPr="00ED3FB2" w:rsidRDefault="004558C6" w:rsidP="00ED3FB2">
      <w:pPr>
        <w:pStyle w:val="Heading1"/>
        <w:rPr>
          <w:b/>
          <w:bCs/>
        </w:rP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5pt;margin-top:25.2pt;width:681.05pt;height:240pt;z-index:-251658752" wrapcoords="-23 1217 -23 20322 2507 20322 21600 20322 21600 1217 -23 1217">
            <v:imagedata r:id="rId14" o:title=""/>
            <w10:wrap type="square"/>
          </v:shape>
          <o:OLEObject Type="Embed" ProgID="Excel.Sheet.12" ShapeID="_x0000_s1026" DrawAspect="Content" ObjectID="_1633164673" r:id="rId15"/>
        </w:object>
      </w:r>
      <w:r w:rsidR="007814BC" w:rsidRPr="00907037">
        <w:t>Table 1</w:t>
      </w:r>
      <w:r w:rsidR="007814BC" w:rsidRPr="00907037">
        <w:br/>
      </w:r>
      <w:r w:rsidR="007814BC" w:rsidRPr="00ED3FB2">
        <w:rPr>
          <w:b/>
          <w:bCs/>
        </w:rPr>
        <w:t>Percentage of the population living below the poverty line, 2007–2018</w:t>
      </w:r>
    </w:p>
    <w:p w:rsidR="00F776F4" w:rsidRDefault="007814BC" w:rsidP="003347D3">
      <w:pPr>
        <w:spacing w:before="120" w:after="240"/>
        <w:ind w:left="284" w:right="1134" w:firstLine="170"/>
        <w:rPr>
          <w:sz w:val="18"/>
        </w:rPr>
      </w:pPr>
      <w:r w:rsidRPr="00ED3FB2">
        <w:rPr>
          <w:i/>
          <w:iCs/>
          <w:sz w:val="18"/>
        </w:rPr>
        <w:t>Source</w:t>
      </w:r>
      <w:r w:rsidRPr="00ED3FB2">
        <w:rPr>
          <w:sz w:val="18"/>
        </w:rPr>
        <w:t>: National Statistics and Census Institute.</w:t>
      </w:r>
    </w:p>
    <w:p w:rsidR="00F776F4" w:rsidRDefault="00F776F4">
      <w:pPr>
        <w:suppressAutoHyphens w:val="0"/>
        <w:spacing w:after="200" w:line="276" w:lineRule="auto"/>
        <w:rPr>
          <w:sz w:val="18"/>
        </w:rPr>
      </w:pPr>
      <w:r>
        <w:rPr>
          <w:sz w:val="18"/>
        </w:rPr>
        <w:br w:type="page"/>
      </w:r>
    </w:p>
    <w:p w:rsidR="007814BC" w:rsidRPr="00ED3FB2" w:rsidRDefault="007814BC" w:rsidP="00ED3FB2">
      <w:pPr>
        <w:pStyle w:val="Heading1"/>
        <w:spacing w:after="120"/>
        <w:rPr>
          <w:b/>
          <w:bCs/>
        </w:rPr>
      </w:pPr>
      <w:r w:rsidRPr="00907037">
        <w:lastRenderedPageBreak/>
        <w:t>Table 2</w:t>
      </w:r>
      <w:r w:rsidRPr="00907037">
        <w:br/>
      </w:r>
      <w:r w:rsidRPr="00ED3FB2">
        <w:rPr>
          <w:b/>
          <w:bCs/>
        </w:rPr>
        <w:t>Public expenditure allocated for social priorities, 2009–2019</w:t>
      </w:r>
    </w:p>
    <w:tbl>
      <w:tblPr>
        <w:tblW w:w="13776" w:type="dxa"/>
        <w:tblInd w:w="283" w:type="dxa"/>
        <w:tblLayout w:type="fixed"/>
        <w:tblCellMar>
          <w:left w:w="0" w:type="dxa"/>
          <w:right w:w="0" w:type="dxa"/>
        </w:tblCellMar>
        <w:tblLook w:val="04A0" w:firstRow="1" w:lastRow="0" w:firstColumn="1" w:lastColumn="0" w:noHBand="0" w:noVBand="1"/>
      </w:tblPr>
      <w:tblGrid>
        <w:gridCol w:w="1255"/>
        <w:gridCol w:w="1584"/>
        <w:gridCol w:w="920"/>
        <w:gridCol w:w="1631"/>
        <w:gridCol w:w="873"/>
        <w:gridCol w:w="1678"/>
        <w:gridCol w:w="829"/>
        <w:gridCol w:w="1722"/>
        <w:gridCol w:w="788"/>
        <w:gridCol w:w="1763"/>
        <w:gridCol w:w="733"/>
      </w:tblGrid>
      <w:tr w:rsidR="004F7544" w:rsidRPr="006F0E46" w:rsidTr="004F7544">
        <w:trPr>
          <w:tblHeader/>
        </w:trPr>
        <w:tc>
          <w:tcPr>
            <w:tcW w:w="455" w:type="pct"/>
            <w:tcBorders>
              <w:top w:val="single" w:sz="4" w:space="0" w:color="auto"/>
            </w:tcBorders>
            <w:shd w:val="clear" w:color="auto" w:fill="auto"/>
            <w:vAlign w:val="bottom"/>
          </w:tcPr>
          <w:p w:rsidR="004F7544" w:rsidRPr="006F0E46" w:rsidRDefault="004F7544" w:rsidP="004F7544">
            <w:pPr>
              <w:spacing w:before="80" w:after="80" w:line="200" w:lineRule="exact"/>
              <w:rPr>
                <w:i/>
                <w:spacing w:val="4"/>
                <w:w w:val="103"/>
                <w:kern w:val="14"/>
                <w:sz w:val="16"/>
                <w:lang w:val="es-EC"/>
              </w:rPr>
            </w:pPr>
          </w:p>
        </w:tc>
        <w:tc>
          <w:tcPr>
            <w:tcW w:w="909" w:type="pct"/>
            <w:gridSpan w:val="2"/>
            <w:tcBorders>
              <w:top w:val="single" w:sz="4" w:space="0" w:color="auto"/>
              <w:bottom w:val="single" w:sz="4" w:space="0" w:color="auto"/>
              <w:right w:val="single" w:sz="24" w:space="0" w:color="FFFFFF" w:themeColor="background1"/>
            </w:tcBorders>
            <w:shd w:val="clear" w:color="auto" w:fill="auto"/>
            <w:noWrap/>
            <w:vAlign w:val="bottom"/>
            <w:hideMark/>
          </w:tcPr>
          <w:p w:rsidR="004F7544" w:rsidRPr="006F0E46" w:rsidRDefault="004F7544" w:rsidP="004F7544">
            <w:pPr>
              <w:spacing w:before="80" w:after="80" w:line="200" w:lineRule="exact"/>
              <w:jc w:val="center"/>
              <w:rPr>
                <w:i/>
                <w:spacing w:val="4"/>
                <w:w w:val="103"/>
                <w:kern w:val="14"/>
                <w:sz w:val="16"/>
                <w:lang w:val="es-EC"/>
              </w:rPr>
            </w:pPr>
            <w:r w:rsidRPr="006F0E46">
              <w:rPr>
                <w:i/>
                <w:spacing w:val="4"/>
                <w:w w:val="103"/>
                <w:kern w:val="14"/>
                <w:sz w:val="16"/>
                <w:lang w:val="es-EC"/>
              </w:rPr>
              <w:t>Educación</w:t>
            </w:r>
          </w:p>
        </w:tc>
        <w:tc>
          <w:tcPr>
            <w:tcW w:w="909"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4F7544" w:rsidRPr="006F0E46" w:rsidRDefault="004F7544" w:rsidP="004F7544">
            <w:pPr>
              <w:spacing w:before="80" w:after="80" w:line="200" w:lineRule="exact"/>
              <w:jc w:val="center"/>
              <w:rPr>
                <w:i/>
                <w:spacing w:val="4"/>
                <w:w w:val="103"/>
                <w:kern w:val="14"/>
                <w:sz w:val="16"/>
                <w:lang w:val="es-EC"/>
              </w:rPr>
            </w:pPr>
            <w:r w:rsidRPr="006F0E46">
              <w:rPr>
                <w:i/>
                <w:spacing w:val="4"/>
                <w:w w:val="103"/>
                <w:kern w:val="14"/>
                <w:sz w:val="16"/>
                <w:lang w:val="es-EC"/>
              </w:rPr>
              <w:t>Alimentación</w:t>
            </w:r>
            <w:r w:rsidRPr="00D4465F">
              <w:rPr>
                <w:rStyle w:val="FootnoteReference"/>
              </w:rPr>
              <w:footnoteReference w:id="3"/>
            </w:r>
          </w:p>
        </w:tc>
        <w:tc>
          <w:tcPr>
            <w:tcW w:w="910"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4F7544" w:rsidRPr="006F0E46" w:rsidRDefault="004F7544" w:rsidP="004F7544">
            <w:pPr>
              <w:spacing w:before="80" w:after="80" w:line="200" w:lineRule="exact"/>
              <w:jc w:val="center"/>
              <w:rPr>
                <w:i/>
                <w:spacing w:val="4"/>
                <w:w w:val="103"/>
                <w:kern w:val="14"/>
                <w:sz w:val="16"/>
                <w:lang w:val="es-EC"/>
              </w:rPr>
            </w:pPr>
            <w:r w:rsidRPr="006F0E46">
              <w:rPr>
                <w:i/>
                <w:spacing w:val="4"/>
                <w:w w:val="103"/>
                <w:kern w:val="14"/>
                <w:sz w:val="16"/>
                <w:lang w:val="es-EC"/>
              </w:rPr>
              <w:t>Salud</w:t>
            </w:r>
          </w:p>
        </w:tc>
        <w:tc>
          <w:tcPr>
            <w:tcW w:w="911"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4F7544" w:rsidRPr="006F0E46" w:rsidRDefault="004F7544" w:rsidP="004F7544">
            <w:pPr>
              <w:spacing w:before="80" w:after="80" w:line="200" w:lineRule="exact"/>
              <w:jc w:val="center"/>
              <w:rPr>
                <w:i/>
                <w:spacing w:val="4"/>
                <w:w w:val="103"/>
                <w:kern w:val="14"/>
                <w:sz w:val="16"/>
                <w:lang w:val="es-EC"/>
              </w:rPr>
            </w:pPr>
            <w:r w:rsidRPr="006F0E46">
              <w:rPr>
                <w:i/>
                <w:spacing w:val="4"/>
                <w:w w:val="103"/>
                <w:kern w:val="14"/>
                <w:sz w:val="16"/>
                <w:lang w:val="es-EC"/>
              </w:rPr>
              <w:t>Agua</w:t>
            </w:r>
            <w:r w:rsidRPr="00D4465F">
              <w:rPr>
                <w:rStyle w:val="FootnoteReference"/>
              </w:rPr>
              <w:footnoteReference w:id="4"/>
            </w:r>
          </w:p>
        </w:tc>
        <w:tc>
          <w:tcPr>
            <w:tcW w:w="906" w:type="pct"/>
            <w:gridSpan w:val="2"/>
            <w:tcBorders>
              <w:top w:val="single" w:sz="4" w:space="0" w:color="auto"/>
              <w:left w:val="single" w:sz="24" w:space="0" w:color="FFFFFF" w:themeColor="background1"/>
              <w:bottom w:val="single" w:sz="4" w:space="0" w:color="auto"/>
            </w:tcBorders>
            <w:shd w:val="clear" w:color="auto" w:fill="auto"/>
            <w:noWrap/>
            <w:vAlign w:val="bottom"/>
            <w:hideMark/>
          </w:tcPr>
          <w:p w:rsidR="004F7544" w:rsidRPr="006F0E46" w:rsidRDefault="004F7544" w:rsidP="004F7544">
            <w:pPr>
              <w:spacing w:before="80" w:after="80" w:line="200" w:lineRule="exact"/>
              <w:jc w:val="center"/>
              <w:rPr>
                <w:i/>
                <w:spacing w:val="4"/>
                <w:w w:val="103"/>
                <w:kern w:val="14"/>
                <w:sz w:val="16"/>
                <w:lang w:val="es-EC"/>
              </w:rPr>
            </w:pPr>
            <w:r w:rsidRPr="006F0E46">
              <w:rPr>
                <w:i/>
                <w:spacing w:val="4"/>
                <w:w w:val="103"/>
                <w:kern w:val="14"/>
                <w:sz w:val="16"/>
                <w:lang w:val="es-EC"/>
              </w:rPr>
              <w:t>Desarrollo urbano y vivienda</w:t>
            </w:r>
          </w:p>
        </w:tc>
      </w:tr>
      <w:tr w:rsidR="004F7544" w:rsidRPr="006F0E46" w:rsidTr="004F7544">
        <w:trPr>
          <w:tblHeader/>
        </w:trPr>
        <w:tc>
          <w:tcPr>
            <w:tcW w:w="455" w:type="pct"/>
            <w:tcBorders>
              <w:bottom w:val="single" w:sz="12" w:space="0" w:color="auto"/>
            </w:tcBorders>
            <w:shd w:val="clear" w:color="auto" w:fill="auto"/>
          </w:tcPr>
          <w:p w:rsidR="004F7544" w:rsidRPr="006F0E46" w:rsidRDefault="004F7544" w:rsidP="004F7544">
            <w:pPr>
              <w:spacing w:before="80" w:after="80" w:line="200" w:lineRule="exact"/>
              <w:rPr>
                <w:i/>
                <w:spacing w:val="4"/>
                <w:w w:val="103"/>
                <w:kern w:val="14"/>
                <w:sz w:val="16"/>
                <w:lang w:val="es-EC"/>
              </w:rPr>
            </w:pPr>
          </w:p>
        </w:tc>
        <w:tc>
          <w:tcPr>
            <w:tcW w:w="575" w:type="pct"/>
            <w:tcBorders>
              <w:top w:val="single" w:sz="4" w:space="0" w:color="auto"/>
              <w:bottom w:val="single" w:sz="12" w:space="0" w:color="auto"/>
            </w:tcBorders>
            <w:shd w:val="clear" w:color="auto" w:fill="auto"/>
            <w:noWrap/>
            <w:vAlign w:val="bottom"/>
            <w:hideMark/>
          </w:tcPr>
          <w:p w:rsidR="004F7544" w:rsidRPr="006F0E46" w:rsidRDefault="004F7544" w:rsidP="004F7544">
            <w:pPr>
              <w:spacing w:before="80" w:after="80" w:line="200" w:lineRule="exact"/>
              <w:jc w:val="right"/>
              <w:rPr>
                <w:i/>
                <w:spacing w:val="4"/>
                <w:w w:val="103"/>
                <w:kern w:val="14"/>
                <w:sz w:val="16"/>
                <w:lang w:val="es-EC"/>
              </w:rPr>
            </w:pPr>
            <w:r w:rsidRPr="006F0E46">
              <w:rPr>
                <w:i/>
                <w:spacing w:val="4"/>
                <w:w w:val="103"/>
                <w:kern w:val="14"/>
                <w:sz w:val="16"/>
                <w:lang w:val="es-EC"/>
              </w:rPr>
              <w:t>Devengado</w:t>
            </w:r>
          </w:p>
        </w:tc>
        <w:tc>
          <w:tcPr>
            <w:tcW w:w="334" w:type="pct"/>
            <w:tcBorders>
              <w:top w:val="single" w:sz="4" w:space="0" w:color="auto"/>
              <w:bottom w:val="single" w:sz="12" w:space="0" w:color="auto"/>
              <w:right w:val="single" w:sz="24" w:space="0" w:color="FFFFFF" w:themeColor="background1"/>
            </w:tcBorders>
            <w:shd w:val="clear" w:color="auto" w:fill="auto"/>
            <w:noWrap/>
            <w:vAlign w:val="bottom"/>
            <w:hideMark/>
          </w:tcPr>
          <w:p w:rsidR="004F7544" w:rsidRPr="006F0E46" w:rsidRDefault="004F7544" w:rsidP="004F7544">
            <w:pPr>
              <w:spacing w:before="80" w:after="80" w:line="200" w:lineRule="exact"/>
              <w:jc w:val="right"/>
              <w:rPr>
                <w:i/>
                <w:spacing w:val="4"/>
                <w:w w:val="103"/>
                <w:kern w:val="14"/>
                <w:sz w:val="16"/>
                <w:lang w:val="es-EC"/>
              </w:rPr>
            </w:pPr>
            <w:r w:rsidRPr="006F0E46">
              <w:rPr>
                <w:i/>
                <w:spacing w:val="4"/>
                <w:w w:val="103"/>
                <w:kern w:val="14"/>
                <w:sz w:val="16"/>
                <w:lang w:val="es-EC"/>
              </w:rPr>
              <w:t>%</w:t>
            </w:r>
          </w:p>
        </w:tc>
        <w:tc>
          <w:tcPr>
            <w:tcW w:w="592" w:type="pct"/>
            <w:tcBorders>
              <w:top w:val="single" w:sz="4" w:space="0" w:color="auto"/>
              <w:left w:val="single" w:sz="24" w:space="0" w:color="FFFFFF" w:themeColor="background1"/>
              <w:bottom w:val="single" w:sz="12" w:space="0" w:color="auto"/>
            </w:tcBorders>
            <w:shd w:val="clear" w:color="auto" w:fill="auto"/>
            <w:noWrap/>
            <w:vAlign w:val="bottom"/>
            <w:hideMark/>
          </w:tcPr>
          <w:p w:rsidR="004F7544" w:rsidRPr="006F0E46" w:rsidRDefault="004F7544" w:rsidP="004F7544">
            <w:pPr>
              <w:spacing w:before="80" w:after="80" w:line="200" w:lineRule="exact"/>
              <w:jc w:val="right"/>
              <w:rPr>
                <w:i/>
                <w:spacing w:val="4"/>
                <w:w w:val="103"/>
                <w:kern w:val="14"/>
                <w:sz w:val="16"/>
                <w:lang w:val="es-EC"/>
              </w:rPr>
            </w:pPr>
            <w:r w:rsidRPr="006F0E46">
              <w:rPr>
                <w:i/>
                <w:spacing w:val="4"/>
                <w:w w:val="103"/>
                <w:kern w:val="14"/>
                <w:sz w:val="16"/>
                <w:lang w:val="es-EC"/>
              </w:rPr>
              <w:t>Devengado</w:t>
            </w:r>
          </w:p>
        </w:tc>
        <w:tc>
          <w:tcPr>
            <w:tcW w:w="317" w:type="pct"/>
            <w:tcBorders>
              <w:top w:val="single" w:sz="4" w:space="0" w:color="auto"/>
              <w:bottom w:val="single" w:sz="12" w:space="0" w:color="auto"/>
              <w:right w:val="single" w:sz="24" w:space="0" w:color="FFFFFF" w:themeColor="background1"/>
            </w:tcBorders>
            <w:shd w:val="clear" w:color="auto" w:fill="auto"/>
            <w:noWrap/>
            <w:vAlign w:val="bottom"/>
            <w:hideMark/>
          </w:tcPr>
          <w:p w:rsidR="004F7544" w:rsidRPr="006F0E46" w:rsidRDefault="004F7544" w:rsidP="004F7544">
            <w:pPr>
              <w:spacing w:before="80" w:after="80" w:line="200" w:lineRule="exact"/>
              <w:jc w:val="right"/>
              <w:rPr>
                <w:i/>
                <w:spacing w:val="4"/>
                <w:w w:val="103"/>
                <w:kern w:val="14"/>
                <w:sz w:val="16"/>
                <w:lang w:val="es-EC"/>
              </w:rPr>
            </w:pPr>
            <w:r w:rsidRPr="006F0E46">
              <w:rPr>
                <w:i/>
                <w:spacing w:val="4"/>
                <w:w w:val="103"/>
                <w:kern w:val="14"/>
                <w:sz w:val="16"/>
                <w:lang w:val="es-EC"/>
              </w:rPr>
              <w:t>%</w:t>
            </w:r>
          </w:p>
        </w:tc>
        <w:tc>
          <w:tcPr>
            <w:tcW w:w="609" w:type="pct"/>
            <w:tcBorders>
              <w:top w:val="single" w:sz="4" w:space="0" w:color="auto"/>
              <w:left w:val="single" w:sz="24" w:space="0" w:color="FFFFFF" w:themeColor="background1"/>
              <w:bottom w:val="single" w:sz="12" w:space="0" w:color="auto"/>
            </w:tcBorders>
            <w:shd w:val="clear" w:color="auto" w:fill="auto"/>
            <w:noWrap/>
            <w:vAlign w:val="bottom"/>
            <w:hideMark/>
          </w:tcPr>
          <w:p w:rsidR="004F7544" w:rsidRPr="006F0E46" w:rsidRDefault="004F7544" w:rsidP="004F7544">
            <w:pPr>
              <w:spacing w:before="80" w:after="80" w:line="200" w:lineRule="exact"/>
              <w:jc w:val="right"/>
              <w:rPr>
                <w:i/>
                <w:spacing w:val="4"/>
                <w:w w:val="103"/>
                <w:kern w:val="14"/>
                <w:sz w:val="16"/>
                <w:lang w:val="es-EC"/>
              </w:rPr>
            </w:pPr>
            <w:r w:rsidRPr="006F0E46">
              <w:rPr>
                <w:i/>
                <w:spacing w:val="4"/>
                <w:w w:val="103"/>
                <w:kern w:val="14"/>
                <w:sz w:val="16"/>
                <w:lang w:val="es-EC"/>
              </w:rPr>
              <w:t>Devengado</w:t>
            </w:r>
          </w:p>
        </w:tc>
        <w:tc>
          <w:tcPr>
            <w:tcW w:w="301" w:type="pct"/>
            <w:tcBorders>
              <w:top w:val="single" w:sz="4" w:space="0" w:color="auto"/>
              <w:bottom w:val="single" w:sz="12" w:space="0" w:color="auto"/>
              <w:right w:val="single" w:sz="24" w:space="0" w:color="FFFFFF" w:themeColor="background1"/>
            </w:tcBorders>
            <w:shd w:val="clear" w:color="auto" w:fill="auto"/>
            <w:noWrap/>
            <w:vAlign w:val="bottom"/>
            <w:hideMark/>
          </w:tcPr>
          <w:p w:rsidR="004F7544" w:rsidRPr="006F0E46" w:rsidRDefault="004F7544" w:rsidP="004F7544">
            <w:pPr>
              <w:spacing w:before="80" w:after="80" w:line="200" w:lineRule="exact"/>
              <w:jc w:val="right"/>
              <w:rPr>
                <w:i/>
                <w:spacing w:val="4"/>
                <w:w w:val="103"/>
                <w:kern w:val="14"/>
                <w:sz w:val="16"/>
                <w:lang w:val="es-EC"/>
              </w:rPr>
            </w:pPr>
            <w:r w:rsidRPr="006F0E46">
              <w:rPr>
                <w:i/>
                <w:spacing w:val="4"/>
                <w:w w:val="103"/>
                <w:kern w:val="14"/>
                <w:sz w:val="16"/>
                <w:lang w:val="es-EC"/>
              </w:rPr>
              <w:t>%</w:t>
            </w:r>
          </w:p>
        </w:tc>
        <w:tc>
          <w:tcPr>
            <w:tcW w:w="625" w:type="pct"/>
            <w:tcBorders>
              <w:top w:val="single" w:sz="4" w:space="0" w:color="auto"/>
              <w:left w:val="single" w:sz="24" w:space="0" w:color="FFFFFF" w:themeColor="background1"/>
              <w:bottom w:val="single" w:sz="12" w:space="0" w:color="auto"/>
            </w:tcBorders>
            <w:shd w:val="clear" w:color="auto" w:fill="auto"/>
            <w:noWrap/>
            <w:vAlign w:val="bottom"/>
            <w:hideMark/>
          </w:tcPr>
          <w:p w:rsidR="004F7544" w:rsidRPr="006F0E46" w:rsidRDefault="004F7544" w:rsidP="004F7544">
            <w:pPr>
              <w:spacing w:before="80" w:after="80" w:line="200" w:lineRule="exact"/>
              <w:jc w:val="right"/>
              <w:rPr>
                <w:i/>
                <w:spacing w:val="4"/>
                <w:w w:val="103"/>
                <w:kern w:val="14"/>
                <w:sz w:val="16"/>
                <w:lang w:val="es-EC"/>
              </w:rPr>
            </w:pPr>
            <w:r w:rsidRPr="006F0E46">
              <w:rPr>
                <w:i/>
                <w:spacing w:val="4"/>
                <w:w w:val="103"/>
                <w:kern w:val="14"/>
                <w:sz w:val="16"/>
                <w:lang w:val="es-EC"/>
              </w:rPr>
              <w:t>Devengado</w:t>
            </w:r>
          </w:p>
        </w:tc>
        <w:tc>
          <w:tcPr>
            <w:tcW w:w="286" w:type="pct"/>
            <w:tcBorders>
              <w:top w:val="single" w:sz="4" w:space="0" w:color="auto"/>
              <w:bottom w:val="single" w:sz="12" w:space="0" w:color="auto"/>
              <w:right w:val="single" w:sz="24" w:space="0" w:color="FFFFFF" w:themeColor="background1"/>
            </w:tcBorders>
            <w:shd w:val="clear" w:color="auto" w:fill="auto"/>
            <w:noWrap/>
            <w:vAlign w:val="bottom"/>
            <w:hideMark/>
          </w:tcPr>
          <w:p w:rsidR="004F7544" w:rsidRPr="006F0E46" w:rsidRDefault="004F7544" w:rsidP="004F7544">
            <w:pPr>
              <w:spacing w:before="80" w:after="80" w:line="200" w:lineRule="exact"/>
              <w:jc w:val="right"/>
              <w:rPr>
                <w:i/>
                <w:spacing w:val="4"/>
                <w:w w:val="103"/>
                <w:kern w:val="14"/>
                <w:sz w:val="16"/>
                <w:lang w:val="es-EC"/>
              </w:rPr>
            </w:pPr>
            <w:r w:rsidRPr="006F0E46">
              <w:rPr>
                <w:i/>
                <w:spacing w:val="4"/>
                <w:w w:val="103"/>
                <w:kern w:val="14"/>
                <w:sz w:val="16"/>
                <w:lang w:val="es-EC"/>
              </w:rPr>
              <w:t>%</w:t>
            </w:r>
          </w:p>
        </w:tc>
        <w:tc>
          <w:tcPr>
            <w:tcW w:w="640" w:type="pct"/>
            <w:tcBorders>
              <w:top w:val="single" w:sz="4" w:space="0" w:color="auto"/>
              <w:left w:val="single" w:sz="24" w:space="0" w:color="FFFFFF" w:themeColor="background1"/>
              <w:bottom w:val="single" w:sz="12" w:space="0" w:color="auto"/>
            </w:tcBorders>
            <w:shd w:val="clear" w:color="auto" w:fill="auto"/>
            <w:noWrap/>
            <w:vAlign w:val="bottom"/>
            <w:hideMark/>
          </w:tcPr>
          <w:p w:rsidR="004F7544" w:rsidRPr="006F0E46" w:rsidRDefault="004F7544" w:rsidP="004F7544">
            <w:pPr>
              <w:spacing w:before="80" w:after="80" w:line="200" w:lineRule="exact"/>
              <w:jc w:val="right"/>
              <w:rPr>
                <w:i/>
                <w:spacing w:val="4"/>
                <w:w w:val="103"/>
                <w:kern w:val="14"/>
                <w:sz w:val="16"/>
                <w:lang w:val="es-EC"/>
              </w:rPr>
            </w:pPr>
            <w:r w:rsidRPr="006F0E46">
              <w:rPr>
                <w:i/>
                <w:spacing w:val="4"/>
                <w:w w:val="103"/>
                <w:kern w:val="14"/>
                <w:sz w:val="16"/>
                <w:lang w:val="es-EC"/>
              </w:rPr>
              <w:t>Devengado</w:t>
            </w:r>
          </w:p>
        </w:tc>
        <w:tc>
          <w:tcPr>
            <w:tcW w:w="266" w:type="pct"/>
            <w:tcBorders>
              <w:top w:val="single" w:sz="4" w:space="0" w:color="auto"/>
              <w:bottom w:val="single" w:sz="12" w:space="0" w:color="auto"/>
            </w:tcBorders>
            <w:shd w:val="clear" w:color="auto" w:fill="auto"/>
            <w:noWrap/>
            <w:vAlign w:val="bottom"/>
            <w:hideMark/>
          </w:tcPr>
          <w:p w:rsidR="004F7544" w:rsidRPr="006F0E46" w:rsidRDefault="004F7544" w:rsidP="004F7544">
            <w:pPr>
              <w:spacing w:before="80" w:after="80" w:line="200" w:lineRule="exact"/>
              <w:jc w:val="right"/>
              <w:rPr>
                <w:i/>
                <w:spacing w:val="4"/>
                <w:w w:val="103"/>
                <w:kern w:val="14"/>
                <w:sz w:val="16"/>
                <w:lang w:val="es-EC"/>
              </w:rPr>
            </w:pPr>
            <w:r w:rsidRPr="006F0E46">
              <w:rPr>
                <w:i/>
                <w:spacing w:val="4"/>
                <w:w w:val="103"/>
                <w:kern w:val="14"/>
                <w:sz w:val="16"/>
                <w:lang w:val="es-EC"/>
              </w:rPr>
              <w:t>%</w:t>
            </w:r>
          </w:p>
        </w:tc>
      </w:tr>
      <w:tr w:rsidR="004F7544" w:rsidRPr="006F0E46" w:rsidTr="004F7544">
        <w:tc>
          <w:tcPr>
            <w:tcW w:w="455" w:type="pct"/>
            <w:tcBorders>
              <w:top w:val="single" w:sz="12" w:space="0" w:color="auto"/>
            </w:tcBorders>
            <w:shd w:val="clear" w:color="auto" w:fill="auto"/>
          </w:tcPr>
          <w:p w:rsidR="004F7544" w:rsidRPr="006F0E46" w:rsidRDefault="004F7544" w:rsidP="004F7544">
            <w:pPr>
              <w:spacing w:before="40" w:after="40" w:line="220" w:lineRule="exact"/>
              <w:rPr>
                <w:sz w:val="18"/>
                <w:lang w:val="es-EC"/>
              </w:rPr>
            </w:pPr>
            <w:r>
              <w:rPr>
                <w:sz w:val="18"/>
                <w:lang w:val="es-EC"/>
              </w:rPr>
              <w:t>2009</w:t>
            </w:r>
          </w:p>
        </w:tc>
        <w:tc>
          <w:tcPr>
            <w:tcW w:w="575" w:type="pct"/>
            <w:tcBorders>
              <w:top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2.817.234.642,87</w:t>
            </w:r>
          </w:p>
        </w:tc>
        <w:tc>
          <w:tcPr>
            <w:tcW w:w="334" w:type="pct"/>
            <w:tcBorders>
              <w:top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4,51</w:t>
            </w:r>
          </w:p>
        </w:tc>
        <w:tc>
          <w:tcPr>
            <w:tcW w:w="592" w:type="pct"/>
            <w:tcBorders>
              <w:top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217.467.213,66</w:t>
            </w:r>
          </w:p>
        </w:tc>
        <w:tc>
          <w:tcPr>
            <w:tcW w:w="317" w:type="pct"/>
            <w:tcBorders>
              <w:top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0,08</w:t>
            </w:r>
          </w:p>
        </w:tc>
        <w:tc>
          <w:tcPr>
            <w:tcW w:w="609" w:type="pct"/>
            <w:tcBorders>
              <w:top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921.649.568,30</w:t>
            </w:r>
          </w:p>
        </w:tc>
        <w:tc>
          <w:tcPr>
            <w:tcW w:w="301" w:type="pct"/>
            <w:tcBorders>
              <w:top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1,47</w:t>
            </w:r>
          </w:p>
        </w:tc>
        <w:tc>
          <w:tcPr>
            <w:tcW w:w="625" w:type="pct"/>
            <w:tcBorders>
              <w:top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7.010.981,08</w:t>
            </w:r>
          </w:p>
        </w:tc>
        <w:tc>
          <w:tcPr>
            <w:tcW w:w="286" w:type="pct"/>
            <w:tcBorders>
              <w:top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0,01</w:t>
            </w:r>
          </w:p>
        </w:tc>
        <w:tc>
          <w:tcPr>
            <w:tcW w:w="640" w:type="pct"/>
            <w:tcBorders>
              <w:top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235.881.516,97</w:t>
            </w:r>
          </w:p>
        </w:tc>
        <w:tc>
          <w:tcPr>
            <w:tcW w:w="266" w:type="pct"/>
            <w:tcBorders>
              <w:top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0,38</w:t>
            </w:r>
          </w:p>
        </w:tc>
      </w:tr>
      <w:tr w:rsidR="004F7544" w:rsidRPr="006F0E46" w:rsidTr="004F7544">
        <w:tc>
          <w:tcPr>
            <w:tcW w:w="455" w:type="pct"/>
            <w:shd w:val="clear" w:color="auto" w:fill="auto"/>
          </w:tcPr>
          <w:p w:rsidR="004F7544" w:rsidRPr="006F0E46" w:rsidRDefault="004F7544" w:rsidP="004F7544">
            <w:pPr>
              <w:spacing w:before="40" w:after="40" w:line="220" w:lineRule="exact"/>
              <w:rPr>
                <w:sz w:val="18"/>
                <w:lang w:val="es-EC"/>
              </w:rPr>
            </w:pPr>
            <w:r>
              <w:rPr>
                <w:sz w:val="18"/>
                <w:lang w:val="es-EC"/>
              </w:rPr>
              <w:t>2010</w:t>
            </w:r>
          </w:p>
        </w:tc>
        <w:tc>
          <w:tcPr>
            <w:tcW w:w="57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3.049.021.871,67</w:t>
            </w:r>
          </w:p>
        </w:tc>
        <w:tc>
          <w:tcPr>
            <w:tcW w:w="334"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4,38</w:t>
            </w:r>
          </w:p>
        </w:tc>
        <w:tc>
          <w:tcPr>
            <w:tcW w:w="592"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251.934.219,59</w:t>
            </w:r>
          </w:p>
        </w:tc>
        <w:tc>
          <w:tcPr>
            <w:tcW w:w="317"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0,11</w:t>
            </w:r>
          </w:p>
        </w:tc>
        <w:tc>
          <w:tcPr>
            <w:tcW w:w="609"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1.153.272.224,84</w:t>
            </w:r>
          </w:p>
        </w:tc>
        <w:tc>
          <w:tcPr>
            <w:tcW w:w="301"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1,66</w:t>
            </w:r>
          </w:p>
        </w:tc>
        <w:tc>
          <w:tcPr>
            <w:tcW w:w="62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89.008.245,47</w:t>
            </w:r>
          </w:p>
        </w:tc>
        <w:tc>
          <w:tcPr>
            <w:tcW w:w="28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0,13</w:t>
            </w:r>
          </w:p>
        </w:tc>
        <w:tc>
          <w:tcPr>
            <w:tcW w:w="640"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213.680.224,45</w:t>
            </w:r>
          </w:p>
        </w:tc>
        <w:tc>
          <w:tcPr>
            <w:tcW w:w="26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0,31</w:t>
            </w:r>
          </w:p>
        </w:tc>
      </w:tr>
      <w:tr w:rsidR="004F7544" w:rsidRPr="006F0E46" w:rsidTr="004F7544">
        <w:tc>
          <w:tcPr>
            <w:tcW w:w="455" w:type="pct"/>
            <w:shd w:val="clear" w:color="auto" w:fill="auto"/>
          </w:tcPr>
          <w:p w:rsidR="004F7544" w:rsidRPr="006F0E46" w:rsidRDefault="004F7544" w:rsidP="004F7544">
            <w:pPr>
              <w:spacing w:before="40" w:after="40" w:line="220" w:lineRule="exact"/>
              <w:rPr>
                <w:sz w:val="18"/>
                <w:lang w:val="es-EC"/>
              </w:rPr>
            </w:pPr>
            <w:r>
              <w:rPr>
                <w:sz w:val="18"/>
                <w:lang w:val="es-EC"/>
              </w:rPr>
              <w:t>2011</w:t>
            </w:r>
          </w:p>
        </w:tc>
        <w:tc>
          <w:tcPr>
            <w:tcW w:w="57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3.567.985.256,48</w:t>
            </w:r>
          </w:p>
        </w:tc>
        <w:tc>
          <w:tcPr>
            <w:tcW w:w="334"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4,50</w:t>
            </w:r>
          </w:p>
        </w:tc>
        <w:tc>
          <w:tcPr>
            <w:tcW w:w="592"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277.474.220,63</w:t>
            </w:r>
          </w:p>
        </w:tc>
        <w:tc>
          <w:tcPr>
            <w:tcW w:w="317"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0,11</w:t>
            </w:r>
          </w:p>
        </w:tc>
        <w:tc>
          <w:tcPr>
            <w:tcW w:w="609"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1.307.786.559,71</w:t>
            </w:r>
          </w:p>
        </w:tc>
        <w:tc>
          <w:tcPr>
            <w:tcW w:w="301"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1,65</w:t>
            </w:r>
          </w:p>
        </w:tc>
        <w:tc>
          <w:tcPr>
            <w:tcW w:w="62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213.318,63</w:t>
            </w:r>
          </w:p>
        </w:tc>
        <w:tc>
          <w:tcPr>
            <w:tcW w:w="28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0,00</w:t>
            </w:r>
          </w:p>
        </w:tc>
        <w:tc>
          <w:tcPr>
            <w:tcW w:w="640"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217.410.317,38</w:t>
            </w:r>
          </w:p>
        </w:tc>
        <w:tc>
          <w:tcPr>
            <w:tcW w:w="26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0,27</w:t>
            </w:r>
          </w:p>
        </w:tc>
      </w:tr>
      <w:tr w:rsidR="004F7544" w:rsidRPr="006F0E46" w:rsidTr="004F7544">
        <w:tc>
          <w:tcPr>
            <w:tcW w:w="455" w:type="pct"/>
            <w:shd w:val="clear" w:color="auto" w:fill="auto"/>
          </w:tcPr>
          <w:p w:rsidR="004F7544" w:rsidRPr="006F0E46" w:rsidRDefault="004F7544" w:rsidP="004F7544">
            <w:pPr>
              <w:spacing w:before="40" w:after="40" w:line="220" w:lineRule="exact"/>
              <w:rPr>
                <w:sz w:val="18"/>
                <w:lang w:val="es-EC"/>
              </w:rPr>
            </w:pPr>
            <w:r>
              <w:rPr>
                <w:sz w:val="18"/>
                <w:lang w:val="es-EC"/>
              </w:rPr>
              <w:t>2012</w:t>
            </w:r>
          </w:p>
        </w:tc>
        <w:tc>
          <w:tcPr>
            <w:tcW w:w="57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3.867.265.753,62</w:t>
            </w:r>
          </w:p>
        </w:tc>
        <w:tc>
          <w:tcPr>
            <w:tcW w:w="334"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4,40</w:t>
            </w:r>
          </w:p>
        </w:tc>
        <w:tc>
          <w:tcPr>
            <w:tcW w:w="592"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384.108.751,80</w:t>
            </w:r>
          </w:p>
        </w:tc>
        <w:tc>
          <w:tcPr>
            <w:tcW w:w="317"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0,06</w:t>
            </w:r>
          </w:p>
        </w:tc>
        <w:tc>
          <w:tcPr>
            <w:tcW w:w="609"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1.678.764.525,44</w:t>
            </w:r>
          </w:p>
        </w:tc>
        <w:tc>
          <w:tcPr>
            <w:tcW w:w="301"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1,91</w:t>
            </w:r>
          </w:p>
        </w:tc>
        <w:tc>
          <w:tcPr>
            <w:tcW w:w="62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112.122.945,16</w:t>
            </w:r>
          </w:p>
        </w:tc>
        <w:tc>
          <w:tcPr>
            <w:tcW w:w="28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0,13</w:t>
            </w:r>
          </w:p>
        </w:tc>
        <w:tc>
          <w:tcPr>
            <w:tcW w:w="640"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449.817.646,45</w:t>
            </w:r>
          </w:p>
        </w:tc>
        <w:tc>
          <w:tcPr>
            <w:tcW w:w="26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0,51</w:t>
            </w:r>
          </w:p>
        </w:tc>
      </w:tr>
      <w:tr w:rsidR="004F7544" w:rsidRPr="006F0E46" w:rsidTr="004F7544">
        <w:tc>
          <w:tcPr>
            <w:tcW w:w="455" w:type="pct"/>
            <w:shd w:val="clear" w:color="auto" w:fill="auto"/>
          </w:tcPr>
          <w:p w:rsidR="004F7544" w:rsidRPr="006F0E46" w:rsidRDefault="004F7544" w:rsidP="004F7544">
            <w:pPr>
              <w:spacing w:before="40" w:after="40" w:line="220" w:lineRule="exact"/>
              <w:rPr>
                <w:sz w:val="18"/>
                <w:lang w:val="es-EC"/>
              </w:rPr>
            </w:pPr>
            <w:r>
              <w:rPr>
                <w:sz w:val="18"/>
                <w:lang w:val="es-EC"/>
              </w:rPr>
              <w:t>2013</w:t>
            </w:r>
          </w:p>
        </w:tc>
        <w:tc>
          <w:tcPr>
            <w:tcW w:w="57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4.666.910.435,95</w:t>
            </w:r>
          </w:p>
        </w:tc>
        <w:tc>
          <w:tcPr>
            <w:tcW w:w="334"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4,91</w:t>
            </w:r>
          </w:p>
        </w:tc>
        <w:tc>
          <w:tcPr>
            <w:tcW w:w="592"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299.310.684,05</w:t>
            </w:r>
          </w:p>
        </w:tc>
        <w:tc>
          <w:tcPr>
            <w:tcW w:w="317"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0,00</w:t>
            </w:r>
          </w:p>
        </w:tc>
        <w:tc>
          <w:tcPr>
            <w:tcW w:w="609"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2.007.946.187,64</w:t>
            </w:r>
          </w:p>
        </w:tc>
        <w:tc>
          <w:tcPr>
            <w:tcW w:w="301"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2,11</w:t>
            </w:r>
          </w:p>
        </w:tc>
        <w:tc>
          <w:tcPr>
            <w:tcW w:w="62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1.659.869,42</w:t>
            </w:r>
          </w:p>
        </w:tc>
        <w:tc>
          <w:tcPr>
            <w:tcW w:w="28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0,00</w:t>
            </w:r>
          </w:p>
        </w:tc>
        <w:tc>
          <w:tcPr>
            <w:tcW w:w="640"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803.546.018,31</w:t>
            </w:r>
          </w:p>
        </w:tc>
        <w:tc>
          <w:tcPr>
            <w:tcW w:w="26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0,84</w:t>
            </w:r>
          </w:p>
        </w:tc>
      </w:tr>
      <w:tr w:rsidR="004F7544" w:rsidRPr="006F0E46" w:rsidTr="004F7544">
        <w:tc>
          <w:tcPr>
            <w:tcW w:w="455" w:type="pct"/>
            <w:shd w:val="clear" w:color="auto" w:fill="auto"/>
          </w:tcPr>
          <w:p w:rsidR="004F7544" w:rsidRPr="006F0E46" w:rsidRDefault="004F7544" w:rsidP="004F7544">
            <w:pPr>
              <w:spacing w:before="40" w:after="40" w:line="220" w:lineRule="exact"/>
              <w:rPr>
                <w:sz w:val="18"/>
                <w:lang w:val="es-EC"/>
              </w:rPr>
            </w:pPr>
            <w:r>
              <w:rPr>
                <w:sz w:val="18"/>
                <w:lang w:val="es-EC"/>
              </w:rPr>
              <w:t>2014</w:t>
            </w:r>
          </w:p>
        </w:tc>
        <w:tc>
          <w:tcPr>
            <w:tcW w:w="57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4.792.199.326,19</w:t>
            </w:r>
          </w:p>
        </w:tc>
        <w:tc>
          <w:tcPr>
            <w:tcW w:w="334"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4,71</w:t>
            </w:r>
          </w:p>
        </w:tc>
        <w:tc>
          <w:tcPr>
            <w:tcW w:w="592"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391.029.659,59</w:t>
            </w:r>
          </w:p>
        </w:tc>
        <w:tc>
          <w:tcPr>
            <w:tcW w:w="317"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0,08</w:t>
            </w:r>
          </w:p>
        </w:tc>
        <w:tc>
          <w:tcPr>
            <w:tcW w:w="609"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2.200.510.168,00</w:t>
            </w:r>
          </w:p>
        </w:tc>
        <w:tc>
          <w:tcPr>
            <w:tcW w:w="301"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2,16</w:t>
            </w:r>
          </w:p>
        </w:tc>
        <w:tc>
          <w:tcPr>
            <w:tcW w:w="62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206.237.581,67</w:t>
            </w:r>
          </w:p>
        </w:tc>
        <w:tc>
          <w:tcPr>
            <w:tcW w:w="28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0,20</w:t>
            </w:r>
          </w:p>
        </w:tc>
        <w:tc>
          <w:tcPr>
            <w:tcW w:w="640"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733.640.872,44</w:t>
            </w:r>
          </w:p>
        </w:tc>
        <w:tc>
          <w:tcPr>
            <w:tcW w:w="26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0,72</w:t>
            </w:r>
          </w:p>
        </w:tc>
      </w:tr>
      <w:tr w:rsidR="004F7544" w:rsidRPr="006F0E46" w:rsidTr="004F7544">
        <w:tc>
          <w:tcPr>
            <w:tcW w:w="455" w:type="pct"/>
            <w:shd w:val="clear" w:color="auto" w:fill="auto"/>
          </w:tcPr>
          <w:p w:rsidR="004F7544" w:rsidRPr="006F0E46" w:rsidRDefault="004F7544" w:rsidP="004F7544">
            <w:pPr>
              <w:spacing w:before="40" w:after="40" w:line="220" w:lineRule="exact"/>
              <w:rPr>
                <w:sz w:val="18"/>
                <w:lang w:val="es-EC"/>
              </w:rPr>
            </w:pPr>
            <w:r>
              <w:rPr>
                <w:sz w:val="18"/>
                <w:lang w:val="es-EC"/>
              </w:rPr>
              <w:t>2015</w:t>
            </w:r>
          </w:p>
        </w:tc>
        <w:tc>
          <w:tcPr>
            <w:tcW w:w="57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4.525.435.068,33</w:t>
            </w:r>
          </w:p>
        </w:tc>
        <w:tc>
          <w:tcPr>
            <w:tcW w:w="334"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4,56</w:t>
            </w:r>
          </w:p>
        </w:tc>
        <w:tc>
          <w:tcPr>
            <w:tcW w:w="592"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498.649.646,06</w:t>
            </w:r>
          </w:p>
        </w:tc>
        <w:tc>
          <w:tcPr>
            <w:tcW w:w="317"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0,12</w:t>
            </w:r>
          </w:p>
        </w:tc>
        <w:tc>
          <w:tcPr>
            <w:tcW w:w="609"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2.361.812.084,81</w:t>
            </w:r>
          </w:p>
        </w:tc>
        <w:tc>
          <w:tcPr>
            <w:tcW w:w="301"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2,38</w:t>
            </w:r>
          </w:p>
        </w:tc>
        <w:tc>
          <w:tcPr>
            <w:tcW w:w="62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251.461.460,07</w:t>
            </w:r>
          </w:p>
        </w:tc>
        <w:tc>
          <w:tcPr>
            <w:tcW w:w="28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0,25</w:t>
            </w:r>
          </w:p>
        </w:tc>
        <w:tc>
          <w:tcPr>
            <w:tcW w:w="640"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534.182.931,87</w:t>
            </w:r>
          </w:p>
        </w:tc>
        <w:tc>
          <w:tcPr>
            <w:tcW w:w="26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0,54</w:t>
            </w:r>
          </w:p>
        </w:tc>
      </w:tr>
      <w:tr w:rsidR="004F7544" w:rsidRPr="006F0E46" w:rsidTr="004F7544">
        <w:tc>
          <w:tcPr>
            <w:tcW w:w="455" w:type="pct"/>
            <w:shd w:val="clear" w:color="auto" w:fill="auto"/>
          </w:tcPr>
          <w:p w:rsidR="004F7544" w:rsidRPr="006F0E46" w:rsidRDefault="004F7544" w:rsidP="004F7544">
            <w:pPr>
              <w:spacing w:before="40" w:after="40" w:line="220" w:lineRule="exact"/>
              <w:rPr>
                <w:sz w:val="18"/>
                <w:lang w:val="es-EC"/>
              </w:rPr>
            </w:pPr>
            <w:r>
              <w:rPr>
                <w:sz w:val="18"/>
                <w:lang w:val="es-EC"/>
              </w:rPr>
              <w:t>2016</w:t>
            </w:r>
          </w:p>
        </w:tc>
        <w:tc>
          <w:tcPr>
            <w:tcW w:w="57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4.360.034.708,90</w:t>
            </w:r>
          </w:p>
        </w:tc>
        <w:tc>
          <w:tcPr>
            <w:tcW w:w="334"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2,43</w:t>
            </w:r>
          </w:p>
        </w:tc>
        <w:tc>
          <w:tcPr>
            <w:tcW w:w="592"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234.717.888,66</w:t>
            </w:r>
          </w:p>
        </w:tc>
        <w:tc>
          <w:tcPr>
            <w:tcW w:w="317"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0,01</w:t>
            </w:r>
          </w:p>
        </w:tc>
        <w:tc>
          <w:tcPr>
            <w:tcW w:w="609"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2.427.055.070,84</w:t>
            </w:r>
          </w:p>
        </w:tc>
        <w:tc>
          <w:tcPr>
            <w:tcW w:w="301"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0,86</w:t>
            </w:r>
          </w:p>
        </w:tc>
        <w:tc>
          <w:tcPr>
            <w:tcW w:w="62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317.167.790,07</w:t>
            </w:r>
          </w:p>
        </w:tc>
        <w:tc>
          <w:tcPr>
            <w:tcW w:w="28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0,32</w:t>
            </w:r>
          </w:p>
        </w:tc>
        <w:tc>
          <w:tcPr>
            <w:tcW w:w="640"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856.740.745,54</w:t>
            </w:r>
          </w:p>
        </w:tc>
        <w:tc>
          <w:tcPr>
            <w:tcW w:w="26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4,36</w:t>
            </w:r>
          </w:p>
        </w:tc>
      </w:tr>
      <w:tr w:rsidR="004F7544" w:rsidRPr="006F0E46" w:rsidTr="004F7544">
        <w:tc>
          <w:tcPr>
            <w:tcW w:w="455" w:type="pct"/>
            <w:shd w:val="clear" w:color="auto" w:fill="auto"/>
          </w:tcPr>
          <w:p w:rsidR="004F7544" w:rsidRPr="006F0E46" w:rsidRDefault="004F7544" w:rsidP="004F7544">
            <w:pPr>
              <w:spacing w:before="40" w:after="40" w:line="220" w:lineRule="exact"/>
              <w:rPr>
                <w:sz w:val="18"/>
                <w:lang w:val="es-EC"/>
              </w:rPr>
            </w:pPr>
            <w:r>
              <w:rPr>
                <w:sz w:val="18"/>
                <w:lang w:val="es-EC"/>
              </w:rPr>
              <w:t>2017</w:t>
            </w:r>
          </w:p>
        </w:tc>
        <w:tc>
          <w:tcPr>
            <w:tcW w:w="57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4.812.477.779,37</w:t>
            </w:r>
          </w:p>
        </w:tc>
        <w:tc>
          <w:tcPr>
            <w:tcW w:w="334"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4,61</w:t>
            </w:r>
          </w:p>
        </w:tc>
        <w:tc>
          <w:tcPr>
            <w:tcW w:w="592"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220.495.266,53</w:t>
            </w:r>
          </w:p>
        </w:tc>
        <w:tc>
          <w:tcPr>
            <w:tcW w:w="317"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0,00</w:t>
            </w:r>
          </w:p>
        </w:tc>
        <w:tc>
          <w:tcPr>
            <w:tcW w:w="609"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2.726.973.950,21</w:t>
            </w:r>
          </w:p>
        </w:tc>
        <w:tc>
          <w:tcPr>
            <w:tcW w:w="301"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2,61</w:t>
            </w:r>
          </w:p>
        </w:tc>
        <w:tc>
          <w:tcPr>
            <w:tcW w:w="62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86.958.954,79</w:t>
            </w:r>
          </w:p>
        </w:tc>
        <w:tc>
          <w:tcPr>
            <w:tcW w:w="28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0,08</w:t>
            </w:r>
          </w:p>
        </w:tc>
        <w:tc>
          <w:tcPr>
            <w:tcW w:w="640"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845.103.177,39</w:t>
            </w:r>
          </w:p>
        </w:tc>
        <w:tc>
          <w:tcPr>
            <w:tcW w:w="26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0,81</w:t>
            </w:r>
          </w:p>
        </w:tc>
      </w:tr>
      <w:tr w:rsidR="004F7544" w:rsidRPr="006F0E46" w:rsidTr="004F7544">
        <w:tc>
          <w:tcPr>
            <w:tcW w:w="455" w:type="pct"/>
            <w:shd w:val="clear" w:color="auto" w:fill="auto"/>
          </w:tcPr>
          <w:p w:rsidR="004F7544" w:rsidRPr="006F0E46" w:rsidRDefault="004F7544" w:rsidP="004F7544">
            <w:pPr>
              <w:spacing w:before="40" w:after="40" w:line="220" w:lineRule="exact"/>
              <w:rPr>
                <w:sz w:val="18"/>
                <w:lang w:val="es-EC"/>
              </w:rPr>
            </w:pPr>
            <w:r>
              <w:rPr>
                <w:sz w:val="18"/>
                <w:lang w:val="es-EC"/>
              </w:rPr>
              <w:t>2018</w:t>
            </w:r>
          </w:p>
        </w:tc>
        <w:tc>
          <w:tcPr>
            <w:tcW w:w="57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4.970.926.029,96</w:t>
            </w:r>
          </w:p>
        </w:tc>
        <w:tc>
          <w:tcPr>
            <w:tcW w:w="334"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4,59</w:t>
            </w:r>
          </w:p>
        </w:tc>
        <w:tc>
          <w:tcPr>
            <w:tcW w:w="592"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134.451.215,88</w:t>
            </w:r>
          </w:p>
        </w:tc>
        <w:tc>
          <w:tcPr>
            <w:tcW w:w="317"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0,00</w:t>
            </w:r>
          </w:p>
        </w:tc>
        <w:tc>
          <w:tcPr>
            <w:tcW w:w="609"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2.882.933.299,93</w:t>
            </w:r>
          </w:p>
        </w:tc>
        <w:tc>
          <w:tcPr>
            <w:tcW w:w="301"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2,66</w:t>
            </w:r>
          </w:p>
        </w:tc>
        <w:tc>
          <w:tcPr>
            <w:tcW w:w="625"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79.911.950,87</w:t>
            </w:r>
          </w:p>
        </w:tc>
        <w:tc>
          <w:tcPr>
            <w:tcW w:w="28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0,07</w:t>
            </w:r>
          </w:p>
        </w:tc>
        <w:tc>
          <w:tcPr>
            <w:tcW w:w="640"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348.815.485,95</w:t>
            </w:r>
          </w:p>
        </w:tc>
        <w:tc>
          <w:tcPr>
            <w:tcW w:w="266" w:type="pct"/>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0,32</w:t>
            </w:r>
          </w:p>
        </w:tc>
      </w:tr>
      <w:tr w:rsidR="004F7544" w:rsidRPr="006F0E46" w:rsidTr="004F7544">
        <w:tc>
          <w:tcPr>
            <w:tcW w:w="455" w:type="pct"/>
            <w:tcBorders>
              <w:bottom w:val="single" w:sz="12" w:space="0" w:color="auto"/>
            </w:tcBorders>
            <w:shd w:val="clear" w:color="auto" w:fill="auto"/>
          </w:tcPr>
          <w:p w:rsidR="004F7544" w:rsidRPr="006F0E46" w:rsidRDefault="004F7544" w:rsidP="004F7544">
            <w:pPr>
              <w:spacing w:before="40" w:after="40" w:line="220" w:lineRule="exact"/>
              <w:rPr>
                <w:sz w:val="18"/>
                <w:lang w:val="es-EC"/>
              </w:rPr>
            </w:pPr>
            <w:r w:rsidRPr="006F0E46">
              <w:rPr>
                <w:sz w:val="18"/>
                <w:lang w:val="es-EC"/>
              </w:rPr>
              <w:t>2019 (julio</w:t>
            </w:r>
            <w:r>
              <w:rPr>
                <w:sz w:val="18"/>
                <w:lang w:val="es-EC"/>
              </w:rPr>
              <w:t>)</w:t>
            </w:r>
          </w:p>
        </w:tc>
        <w:tc>
          <w:tcPr>
            <w:tcW w:w="575" w:type="pct"/>
            <w:tcBorders>
              <w:bottom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2.437.788.695,80</w:t>
            </w:r>
          </w:p>
        </w:tc>
        <w:tc>
          <w:tcPr>
            <w:tcW w:w="334" w:type="pct"/>
            <w:tcBorders>
              <w:bottom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2,23</w:t>
            </w:r>
          </w:p>
        </w:tc>
        <w:tc>
          <w:tcPr>
            <w:tcW w:w="592" w:type="pct"/>
            <w:tcBorders>
              <w:bottom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51.888.152,74</w:t>
            </w:r>
          </w:p>
        </w:tc>
        <w:tc>
          <w:tcPr>
            <w:tcW w:w="317" w:type="pct"/>
            <w:tcBorders>
              <w:bottom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0,00</w:t>
            </w:r>
          </w:p>
        </w:tc>
        <w:tc>
          <w:tcPr>
            <w:tcW w:w="609" w:type="pct"/>
            <w:tcBorders>
              <w:bottom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1.669.693.936,71</w:t>
            </w:r>
          </w:p>
        </w:tc>
        <w:tc>
          <w:tcPr>
            <w:tcW w:w="301" w:type="pct"/>
            <w:tcBorders>
              <w:bottom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1,53</w:t>
            </w:r>
          </w:p>
        </w:tc>
        <w:tc>
          <w:tcPr>
            <w:tcW w:w="625" w:type="pct"/>
            <w:tcBorders>
              <w:bottom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18.749.626,02</w:t>
            </w:r>
          </w:p>
        </w:tc>
        <w:tc>
          <w:tcPr>
            <w:tcW w:w="286" w:type="pct"/>
            <w:tcBorders>
              <w:bottom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0,02</w:t>
            </w:r>
          </w:p>
        </w:tc>
        <w:tc>
          <w:tcPr>
            <w:tcW w:w="640" w:type="pct"/>
            <w:tcBorders>
              <w:bottom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168.596.294,25</w:t>
            </w:r>
          </w:p>
        </w:tc>
        <w:tc>
          <w:tcPr>
            <w:tcW w:w="266" w:type="pct"/>
            <w:tcBorders>
              <w:bottom w:val="single" w:sz="12" w:space="0" w:color="auto"/>
            </w:tcBorders>
            <w:shd w:val="clear" w:color="auto" w:fill="auto"/>
            <w:noWrap/>
            <w:vAlign w:val="bottom"/>
            <w:hideMark/>
          </w:tcPr>
          <w:p w:rsidR="004F7544" w:rsidRPr="006F0E46" w:rsidRDefault="004F7544" w:rsidP="004F7544">
            <w:pPr>
              <w:spacing w:before="40" w:after="40" w:line="220" w:lineRule="exact"/>
              <w:jc w:val="right"/>
              <w:rPr>
                <w:sz w:val="18"/>
                <w:lang w:val="es-EC"/>
              </w:rPr>
            </w:pPr>
            <w:r w:rsidRPr="006F0E46">
              <w:rPr>
                <w:sz w:val="18"/>
                <w:lang w:val="es-EC"/>
              </w:rPr>
              <w:t>0,15</w:t>
            </w:r>
          </w:p>
        </w:tc>
      </w:tr>
    </w:tbl>
    <w:p w:rsidR="007814BC" w:rsidRPr="00A21CD2" w:rsidRDefault="007814BC" w:rsidP="00A21CD2">
      <w:pPr>
        <w:spacing w:before="120"/>
        <w:ind w:left="284" w:right="1134" w:firstLine="170"/>
        <w:rPr>
          <w:sz w:val="18"/>
        </w:rPr>
      </w:pPr>
      <w:r w:rsidRPr="00A21CD2">
        <w:rPr>
          <w:i/>
          <w:iCs/>
          <w:sz w:val="18"/>
        </w:rPr>
        <w:t>Source</w:t>
      </w:r>
      <w:r w:rsidRPr="00A21CD2">
        <w:rPr>
          <w:sz w:val="18"/>
        </w:rPr>
        <w:t>: Ministry of Economic Affairs and Finance.</w:t>
      </w:r>
    </w:p>
    <w:p w:rsidR="00907037" w:rsidRPr="00A21CD2" w:rsidRDefault="00907037" w:rsidP="00A21CD2">
      <w:pPr>
        <w:spacing w:before="120"/>
        <w:ind w:left="1134" w:right="1134" w:firstLine="170"/>
        <w:rPr>
          <w:sz w:val="18"/>
        </w:rPr>
        <w:sectPr w:rsidR="00907037" w:rsidRPr="00A21CD2" w:rsidSect="00ED3A14">
          <w:headerReference w:type="even"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p w:rsidR="007814BC" w:rsidRPr="00E80C1B" w:rsidRDefault="007814BC" w:rsidP="00226CB2">
      <w:pPr>
        <w:pStyle w:val="H1G"/>
      </w:pPr>
      <w:r w:rsidRPr="00E80C1B">
        <w:lastRenderedPageBreak/>
        <w:tab/>
      </w:r>
      <w:r w:rsidRPr="00E80C1B">
        <w:tab/>
        <w:t>Reply to questions raised in paragraph 9 of the list of issues</w:t>
      </w:r>
    </w:p>
    <w:p w:rsidR="007814BC" w:rsidRPr="00E80C1B" w:rsidRDefault="007814BC" w:rsidP="006A4331">
      <w:pPr>
        <w:pStyle w:val="SingleTxtG"/>
      </w:pPr>
      <w:r w:rsidRPr="00E80C1B">
        <w:t>36.</w:t>
      </w:r>
      <w:r w:rsidRPr="00E80C1B">
        <w:tab/>
        <w:t>Social protection policies are translated into strategies, programmes and projects that are carried out by the country</w:t>
      </w:r>
      <w:r w:rsidR="00BB6C88">
        <w:t>’</w:t>
      </w:r>
      <w:r w:rsidRPr="00E80C1B">
        <w:t xml:space="preserve">s missions, particularly the </w:t>
      </w:r>
      <w:r w:rsidR="00BB6C88">
        <w:t>“</w:t>
      </w:r>
      <w:r w:rsidRPr="00E80C1B">
        <w:t>Menos Pobreza, Más Desarrollo</w:t>
      </w:r>
      <w:r w:rsidR="00BB6C88">
        <w:t>”</w:t>
      </w:r>
      <w:r w:rsidRPr="00E80C1B">
        <w:t xml:space="preserve"> (less poverty, more development), </w:t>
      </w:r>
      <w:r w:rsidR="00BB6C88">
        <w:t>“</w:t>
      </w:r>
      <w:r w:rsidRPr="00E80C1B">
        <w:t>Mis Mejores Años</w:t>
      </w:r>
      <w:r w:rsidR="00BB6C88">
        <w:t>”</w:t>
      </w:r>
      <w:r w:rsidRPr="00E80C1B">
        <w:t xml:space="preserve"> (my best years), </w:t>
      </w:r>
      <w:r w:rsidR="00BB6C88">
        <w:t>“</w:t>
      </w:r>
      <w:r w:rsidRPr="00E80C1B">
        <w:t>Las Manuelas</w:t>
      </w:r>
      <w:r w:rsidR="00BB6C88">
        <w:t>”</w:t>
      </w:r>
      <w:r w:rsidRPr="00E80C1B">
        <w:t xml:space="preserve">, </w:t>
      </w:r>
      <w:r w:rsidR="00BB6C88">
        <w:t>“</w:t>
      </w:r>
      <w:r w:rsidRPr="00E80C1B">
        <w:t>Las Joaquinas</w:t>
      </w:r>
      <w:r w:rsidR="00BB6C88">
        <w:t>”</w:t>
      </w:r>
      <w:r w:rsidRPr="00E80C1B">
        <w:t xml:space="preserve">, </w:t>
      </w:r>
      <w:r w:rsidR="00BB6C88">
        <w:t>“</w:t>
      </w:r>
      <w:r w:rsidRPr="00E80C1B">
        <w:t>Ternura</w:t>
      </w:r>
      <w:r w:rsidR="00BB6C88">
        <w:t>”</w:t>
      </w:r>
      <w:r w:rsidRPr="00E80C1B">
        <w:t xml:space="preserve"> (tenderness) and </w:t>
      </w:r>
      <w:r w:rsidR="00BB6C88">
        <w:t>“</w:t>
      </w:r>
      <w:r w:rsidRPr="00E80C1B">
        <w:t>Impulso Joven</w:t>
      </w:r>
      <w:r w:rsidR="00BB6C88">
        <w:t>”</w:t>
      </w:r>
      <w:r w:rsidRPr="00E80C1B">
        <w:t xml:space="preserve"> (youth momentum) missions.</w:t>
      </w:r>
      <w:r w:rsidR="0086053F">
        <w:t xml:space="preserve"> </w:t>
      </w:r>
      <w:r w:rsidRPr="00E80C1B">
        <w:t xml:space="preserve">Some of these strategies are implemented on a cross-sectoral basis as part of the </w:t>
      </w:r>
      <w:r w:rsidR="00BB6C88">
        <w:t>“</w:t>
      </w:r>
      <w:r w:rsidRPr="00E80C1B">
        <w:t>Misión Mujer</w:t>
      </w:r>
      <w:r w:rsidR="00BB6C88">
        <w:t>”</w:t>
      </w:r>
      <w:r w:rsidRPr="00E80C1B">
        <w:t xml:space="preserve"> (women</w:t>
      </w:r>
      <w:r w:rsidR="00BB6C88">
        <w:t>’</w:t>
      </w:r>
      <w:r w:rsidRPr="00E80C1B">
        <w:t>s mission). Their application is subject to periodic monitoring by the Technical Secretariat of Planning of Ecuador.</w:t>
      </w:r>
    </w:p>
    <w:p w:rsidR="007814BC" w:rsidRPr="00E80C1B" w:rsidRDefault="007814BC" w:rsidP="006A4331">
      <w:pPr>
        <w:pStyle w:val="SingleTxtG"/>
      </w:pPr>
      <w:r w:rsidRPr="00E80C1B">
        <w:t>37.</w:t>
      </w:r>
      <w:r w:rsidRPr="00E80C1B">
        <w:tab/>
        <w:t>A basic social protection floor for disadvantaged persons and groups is provided by:</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Conditional and unconditional cash transfer programmes: the Human Development Bond and its variable component, the Joaquín Gallegos Lara voucher scheme and, since 2019, a voucher scheme for the children of victims of femicide</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 xml:space="preserve">Pensions: old-age pensions, disability pensions and the </w:t>
      </w:r>
      <w:r w:rsidR="00BB6C88">
        <w:t>“</w:t>
      </w:r>
      <w:r w:rsidR="007814BC" w:rsidRPr="00E80C1B">
        <w:t>Mis Mejores Años</w:t>
      </w:r>
      <w:r w:rsidR="00BB6C88">
        <w:t>”</w:t>
      </w:r>
      <w:r w:rsidR="007814BC" w:rsidRPr="00E80C1B">
        <w:t xml:space="preserve"> (my best years) pension</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Services for people in situations of poverty or vulnerability: comprehensive child development services, elder care services, care for persons with disabilities and services for children and adolescents in need of special protection.</w:t>
      </w:r>
    </w:p>
    <w:p w:rsidR="007814BC" w:rsidRPr="00E80C1B" w:rsidRDefault="007814BC" w:rsidP="006A4331">
      <w:pPr>
        <w:pStyle w:val="SingleTxtG"/>
      </w:pPr>
      <w:r w:rsidRPr="00E80C1B">
        <w:t>38.</w:t>
      </w:r>
      <w:r w:rsidRPr="00E80C1B">
        <w:tab/>
        <w:t>In addition, with the passage of the Organic Act on National Equality Councils, it was established that national equality councils would be formed to deal with issues relating to gender, intergenerational matters, peoples and nations, disability and human mobility. This law also mandated these councils to formulate, mainstream, monitor, evaluate and follow up on public policies in each of these areas.</w:t>
      </w:r>
    </w:p>
    <w:p w:rsidR="007814BC" w:rsidRPr="00E80C1B" w:rsidRDefault="007814BC" w:rsidP="006A4331">
      <w:pPr>
        <w:pStyle w:val="SingleTxtG"/>
      </w:pPr>
      <w:r w:rsidRPr="00E80C1B">
        <w:t>39.</w:t>
      </w:r>
      <w:r w:rsidRPr="00E80C1B">
        <w:tab/>
        <w:t>The National Equality Councils supported the National Statistics and Census Institute in developing tools for the collection of information on perceptions of discrimination in the multi-year follow-up survey to the National Development Plan. These tools are designed for use in monitoring progress towards one of the Plan</w:t>
      </w:r>
      <w:r w:rsidR="00BB6C88">
        <w:t>’</w:t>
      </w:r>
      <w:r w:rsidRPr="00E80C1B">
        <w:t>s objectives (</w:t>
      </w:r>
      <w:r w:rsidR="00BB6C88">
        <w:t>“</w:t>
      </w:r>
      <w:r w:rsidRPr="00E80C1B">
        <w:t>improve indicators of perceptions of discrimination and exclusion</w:t>
      </w:r>
      <w:r w:rsidR="00BB6C88">
        <w:t>”</w:t>
      </w:r>
      <w:r w:rsidRPr="00E80C1B">
        <w:t>).</w:t>
      </w:r>
    </w:p>
    <w:p w:rsidR="007814BC" w:rsidRPr="00E80C1B" w:rsidRDefault="007814BC" w:rsidP="006A4331">
      <w:pPr>
        <w:pStyle w:val="SingleTxtG"/>
      </w:pPr>
      <w:r w:rsidRPr="00E80C1B">
        <w:t>40.</w:t>
      </w:r>
      <w:r w:rsidRPr="00E80C1B">
        <w:tab/>
        <w:t>Policy tools relevant to disadvantaged groups include:</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The new implementing regulations for the Disabilities Act concerning the timely approval of benefits for persons with disabilities</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A handbook on sexual and reproductive rights and a life free from violence for persons with disabilities</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Protocols, procedures and directories on the protection of the rights of persons with disabilities</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A handbook on the judicial rights of persons with disabilities</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The National Agen</w:t>
      </w:r>
      <w:r w:rsidR="00CD60FE">
        <w:t>da on Women and Gender Equality</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 xml:space="preserve">The National Agendas for Persons with Disabilities 2014–2017 and 2017–2021 </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An action plan on forcibly displaced foreigners in Ecuador</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Guidelines on oversight of the exercise of labour rights by foreign migrant workers.</w:t>
      </w:r>
    </w:p>
    <w:p w:rsidR="007814BC" w:rsidRPr="00E80C1B" w:rsidRDefault="007814BC" w:rsidP="00226CB2">
      <w:pPr>
        <w:pStyle w:val="H1G"/>
      </w:pPr>
      <w:bookmarkStart w:id="26" w:name="_zag91fijld5i" w:colFirst="0" w:colLast="0"/>
      <w:bookmarkEnd w:id="26"/>
      <w:r w:rsidRPr="00E80C1B">
        <w:tab/>
      </w:r>
      <w:r w:rsidR="00226CB2">
        <w:tab/>
      </w:r>
      <w:r w:rsidRPr="00E80C1B">
        <w:t>Reply to the questions raised in paragraph 10 of the list of issues</w:t>
      </w:r>
    </w:p>
    <w:p w:rsidR="007814BC" w:rsidRPr="00E80C1B" w:rsidRDefault="007814BC" w:rsidP="006A4331">
      <w:pPr>
        <w:pStyle w:val="SingleTxtG"/>
      </w:pPr>
      <w:r w:rsidRPr="00E80C1B">
        <w:t>41.</w:t>
      </w:r>
      <w:r w:rsidRPr="00E80C1B">
        <w:tab/>
        <w:t xml:space="preserve">The Government has taken the following steps: </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 xml:space="preserve">Inter-institutional development of a step-by-step procedure for the denunciation of </w:t>
      </w:r>
      <w:r w:rsidR="00BB6C88">
        <w:t>“</w:t>
      </w:r>
      <w:r w:rsidR="007814BC" w:rsidRPr="00E80C1B">
        <w:t>dehomosexualization</w:t>
      </w:r>
      <w:r w:rsidR="00BB6C88">
        <w:t>”</w:t>
      </w:r>
      <w:r w:rsidR="007814BC" w:rsidRPr="00E80C1B">
        <w:t xml:space="preserve"> clinics is currently under way.</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Training on gender, violence prevention and sexual diversity for more than 136,856 public- and private-sector personnel. Training on the right to equality and the prohibition of discrimination against LGBTI persons for 115,573 public servants.</w:t>
      </w:r>
    </w:p>
    <w:p w:rsidR="007814BC" w:rsidRPr="00E80C1B" w:rsidRDefault="00245093" w:rsidP="00245093">
      <w:pPr>
        <w:pStyle w:val="Bullet1G"/>
        <w:numPr>
          <w:ilvl w:val="0"/>
          <w:numId w:val="0"/>
        </w:numPr>
        <w:tabs>
          <w:tab w:val="left" w:pos="1701"/>
        </w:tabs>
        <w:ind w:left="1701" w:hanging="170"/>
      </w:pPr>
      <w:r w:rsidRPr="00E80C1B">
        <w:lastRenderedPageBreak/>
        <w:t>•</w:t>
      </w:r>
      <w:r w:rsidRPr="00E80C1B">
        <w:tab/>
      </w:r>
      <w:r w:rsidR="007814BC" w:rsidRPr="00E80C1B">
        <w:t>Training for health personnel in health-care services for the LGBTI community in the national health system and the development of technical standards on care for the LGBTI community.</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Development of procedures to protect the rights of LGBTI persons in the course of investigations and to ensure that procedures are followed in respect of judicial safeguards, due process and amicus curiae briefs.</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Dissemination of information on the rights of LG</w:t>
      </w:r>
      <w:r w:rsidR="00CD60FE" w:rsidRPr="00E80C1B">
        <w:t>B</w:t>
      </w:r>
      <w:r w:rsidR="007814BC" w:rsidRPr="00E80C1B">
        <w:t>TI people and on the types of discrimination that they face.</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 xml:space="preserve">Organization of </w:t>
      </w:r>
      <w:r w:rsidR="00BB6C88">
        <w:t>“</w:t>
      </w:r>
      <w:r w:rsidR="007814BC" w:rsidRPr="00E80C1B">
        <w:t>trans days</w:t>
      </w:r>
      <w:r w:rsidR="00BB6C88">
        <w:t>”</w:t>
      </w:r>
      <w:r w:rsidR="007814BC" w:rsidRPr="00E80C1B">
        <w:t xml:space="preserve"> as a forum for dialogue and the creation of closer bonds between the State and society with the aim of raising public awareness about the rights of trans persons. </w:t>
      </w:r>
    </w:p>
    <w:p w:rsidR="007814BC" w:rsidRPr="00E80C1B" w:rsidRDefault="007814BC" w:rsidP="006A4331">
      <w:pPr>
        <w:pStyle w:val="SingleTxtG"/>
      </w:pPr>
      <w:r w:rsidRPr="00E80C1B">
        <w:t>42.</w:t>
      </w:r>
      <w:r w:rsidRPr="00E80C1B">
        <w:tab/>
        <w:t>Activities carried out to develop strategic information include:</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A 2012 case study on the living conditions, social inclusion and enjoyment of human rights of the LGBTI community in Ecuador.</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The 2018 multi-year follow-up survey to the National Development Plan, which was designed to collect information on the general public</w:t>
      </w:r>
      <w:r w:rsidR="00BB6C88">
        <w:t>’</w:t>
      </w:r>
      <w:r w:rsidR="007814BC" w:rsidRPr="00E80C1B">
        <w:t>s perceptions of discrimination against population groups that historically have been subjected to discrimination on the basis of ethnic origin, sex, gender, age, disability and/or migrant status.</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Inclusion in the administrative records maintained by the Ministry of Public Health (Daily Automated Record of Outpatient Consultations and Care) of sexual orientation and gender identity variables, including an intersex variable, in order to compile information on the health status of LGBTI persons.</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Qualitative research.</w:t>
      </w:r>
    </w:p>
    <w:p w:rsidR="007814BC" w:rsidRPr="00E80C1B" w:rsidRDefault="007814BC" w:rsidP="00226CB2">
      <w:pPr>
        <w:pStyle w:val="H1G"/>
      </w:pPr>
      <w:bookmarkStart w:id="27" w:name="_gsbigov6u9ig" w:colFirst="0" w:colLast="0"/>
      <w:bookmarkStart w:id="28" w:name="_Toc17473150"/>
      <w:bookmarkStart w:id="29" w:name="_Toc17473218"/>
      <w:bookmarkStart w:id="30" w:name="_Toc17473851"/>
      <w:bookmarkEnd w:id="27"/>
      <w:r w:rsidRPr="00E80C1B">
        <w:tab/>
      </w:r>
      <w:r w:rsidRPr="00E80C1B">
        <w:tab/>
        <w:t>Reply to questions raised in paragraph 11 of the list of issues</w:t>
      </w:r>
    </w:p>
    <w:bookmarkEnd w:id="28"/>
    <w:bookmarkEnd w:id="29"/>
    <w:bookmarkEnd w:id="30"/>
    <w:p w:rsidR="007814BC" w:rsidRPr="00E80C1B" w:rsidRDefault="007814BC" w:rsidP="006A4331">
      <w:pPr>
        <w:pStyle w:val="SingleTxtG"/>
      </w:pPr>
      <w:r w:rsidRPr="00E80C1B">
        <w:t>43.</w:t>
      </w:r>
      <w:r w:rsidRPr="00E80C1B">
        <w:tab/>
        <w:t>The following measures taken by the State have had a positive impact in terms of the equality of rights of men and women.</w:t>
      </w:r>
    </w:p>
    <w:p w:rsidR="007814BC" w:rsidRPr="00E80C1B" w:rsidRDefault="007814BC" w:rsidP="006A4331">
      <w:pPr>
        <w:pStyle w:val="SingleTxtG"/>
      </w:pPr>
      <w:r w:rsidRPr="00E80C1B">
        <w:t>44.</w:t>
      </w:r>
      <w:r w:rsidRPr="00E80C1B">
        <w:tab/>
        <w:t xml:space="preserve">Training and campaigns: </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Gender training for media workers with an emphasis on promoting inclusive and participatory forms of communication.</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Campaigns to mark International Women</w:t>
      </w:r>
      <w:r w:rsidR="00BB6C88">
        <w:t>’</w:t>
      </w:r>
      <w:r w:rsidR="007814BC" w:rsidRPr="00E80C1B">
        <w:t>s Day and the International Day of Non-Violence.</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Development of a training platform on the rights to communication and information designed to ensure that members of the community are aware of the mechanisms for the enforcement of their rights.</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 xml:space="preserve">The </w:t>
      </w:r>
      <w:r w:rsidR="00BB6C88">
        <w:t>“</w:t>
      </w:r>
      <w:r w:rsidR="007814BC" w:rsidRPr="00E80C1B">
        <w:t>Ahora Se Escucha Mi Voz</w:t>
      </w:r>
      <w:r w:rsidR="00BB6C88">
        <w:t>”</w:t>
      </w:r>
      <w:r w:rsidR="007814BC" w:rsidRPr="00E80C1B">
        <w:t xml:space="preserve"> (Now my voice is being heard) campaign, in which 15 local agendas served as mechanisms for dissemination, training and awareness-raising, with approximately 17,705 beneficiaries.</w:t>
      </w:r>
      <w:r w:rsidR="007814BC" w:rsidRPr="00EF3BB8">
        <w:rPr>
          <w:rStyle w:val="FootnoteReference"/>
        </w:rPr>
        <w:footnoteReference w:id="5"/>
      </w:r>
    </w:p>
    <w:p w:rsidR="007814BC" w:rsidRPr="00E80C1B" w:rsidRDefault="007814BC" w:rsidP="006A4331">
      <w:pPr>
        <w:pStyle w:val="SingleTxtG"/>
      </w:pPr>
      <w:r w:rsidRPr="00E80C1B">
        <w:t>45.</w:t>
      </w:r>
      <w:r w:rsidRPr="00E80C1B">
        <w:tab/>
        <w:t xml:space="preserve">In the sphere of employment: </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 xml:space="preserve">An increase in the number of women recruited through merit-based selection processes and competitive examinations to high-level positions in various branches of government. The legislative, electoral and judicial branches are all headed by women. </w:t>
      </w:r>
    </w:p>
    <w:p w:rsidR="007814BC" w:rsidRPr="00E80C1B" w:rsidRDefault="007814BC" w:rsidP="006A4331">
      <w:pPr>
        <w:pStyle w:val="SingleTxtG"/>
      </w:pPr>
      <w:r w:rsidRPr="00E80C1B">
        <w:t>46.</w:t>
      </w:r>
      <w:r w:rsidRPr="00E80C1B">
        <w:tab/>
        <w:t>In elections in 2016:</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 xml:space="preserve">16 women were elected mayor. </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2 women became deputy prefects of their provinces.</w:t>
      </w:r>
    </w:p>
    <w:p w:rsidR="007814BC" w:rsidRPr="00E80C1B" w:rsidRDefault="00245093" w:rsidP="00245093">
      <w:pPr>
        <w:pStyle w:val="Bullet1G"/>
        <w:numPr>
          <w:ilvl w:val="0"/>
          <w:numId w:val="0"/>
        </w:numPr>
        <w:tabs>
          <w:tab w:val="left" w:pos="1701"/>
        </w:tabs>
        <w:ind w:left="1701" w:hanging="170"/>
      </w:pPr>
      <w:r w:rsidRPr="00E80C1B">
        <w:lastRenderedPageBreak/>
        <w:t>•</w:t>
      </w:r>
      <w:r w:rsidRPr="00E80C1B">
        <w:tab/>
      </w:r>
      <w:r w:rsidR="007814BC" w:rsidRPr="00E80C1B">
        <w:t>Women won 34 per cent of the seats on urban councils and 25 per cent of the seats on rural and parish councils.</w:t>
      </w:r>
      <w:r w:rsidR="007814BC" w:rsidRPr="00EF3BB8">
        <w:rPr>
          <w:rStyle w:val="FootnoteReference"/>
        </w:rPr>
        <w:footnoteReference w:id="6"/>
      </w:r>
    </w:p>
    <w:p w:rsidR="007814BC" w:rsidRPr="00E80C1B" w:rsidRDefault="007814BC" w:rsidP="006A4331">
      <w:pPr>
        <w:pStyle w:val="SingleTxtG"/>
      </w:pPr>
      <w:r w:rsidRPr="00E80C1B">
        <w:t>47.</w:t>
      </w:r>
      <w:r w:rsidRPr="00E80C1B">
        <w:tab/>
        <w:t xml:space="preserve">In the 2017 legislative elections: </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Women held 38 per cent of the seats in the National Assembly.</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Of the 15 legislators elected on the basis of nationwide proportional representation, 8 were women and 7 men.</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Of the legislators elected by the provinces, 42 (36.2 per cent) were women and 74 (63.8 per cent) were men.</w:t>
      </w:r>
    </w:p>
    <w:p w:rsidR="007814BC" w:rsidRPr="00E80C1B" w:rsidRDefault="00245093" w:rsidP="00245093">
      <w:pPr>
        <w:pStyle w:val="Bullet1G"/>
        <w:numPr>
          <w:ilvl w:val="0"/>
          <w:numId w:val="0"/>
        </w:numPr>
        <w:tabs>
          <w:tab w:val="left" w:pos="1701"/>
        </w:tabs>
        <w:ind w:left="1701" w:hanging="170"/>
      </w:pPr>
      <w:r w:rsidRPr="00E80C1B">
        <w:t>•</w:t>
      </w:r>
      <w:r w:rsidRPr="00E80C1B">
        <w:tab/>
      </w:r>
      <w:r w:rsidR="007814BC" w:rsidRPr="00E80C1B">
        <w:t>Of the legislators elected by Ecuadorians living abroad, 2 out of 6 were women.</w:t>
      </w:r>
    </w:p>
    <w:p w:rsidR="007814BC" w:rsidRPr="00E80C1B" w:rsidRDefault="007814BC" w:rsidP="006A4331">
      <w:pPr>
        <w:pStyle w:val="SingleTxtG"/>
      </w:pPr>
      <w:r w:rsidRPr="00E80C1B">
        <w:t>48.</w:t>
      </w:r>
      <w:r w:rsidRPr="00E80C1B">
        <w:tab/>
        <w:t>Of the 13 specialized committees that carry out the work of the National Assembly, 6 were chaired by women and 7 by men.</w:t>
      </w:r>
      <w:r w:rsidRPr="00EF3BB8">
        <w:rPr>
          <w:rStyle w:val="FootnoteReference"/>
        </w:rPr>
        <w:footnoteReference w:id="7"/>
      </w:r>
    </w:p>
    <w:p w:rsidR="007814BC" w:rsidRPr="00E80C1B" w:rsidRDefault="007814BC" w:rsidP="00226CB2">
      <w:pPr>
        <w:pStyle w:val="H1G"/>
      </w:pPr>
      <w:r w:rsidRPr="00E80C1B">
        <w:tab/>
      </w:r>
      <w:r w:rsidRPr="00E80C1B">
        <w:tab/>
        <w:t>Reply to questions raised in paragraph 12 of the list of issues</w:t>
      </w:r>
    </w:p>
    <w:p w:rsidR="007814BC" w:rsidRDefault="007814BC" w:rsidP="006A4331">
      <w:pPr>
        <w:pStyle w:val="SingleTxtG"/>
      </w:pPr>
      <w:r w:rsidRPr="00E80C1B">
        <w:t>49.</w:t>
      </w:r>
      <w:r w:rsidRPr="00E80C1B">
        <w:tab/>
        <w:t>Unemployment in Ecuador fell from 6 per cent in 2008 to 3.7 per cent in 2018. This significant reduction is also apparent when the unemployment rate is disaggregated by urban/rural area, sex, age and ethnicity, as shown in the following table.</w:t>
      </w:r>
    </w:p>
    <w:p w:rsidR="00226CB2" w:rsidRDefault="00226CB2" w:rsidP="00226CB2">
      <w:pPr>
        <w:pStyle w:val="SingleTxtG"/>
        <w:sectPr w:rsidR="00226CB2" w:rsidSect="00907037">
          <w:headerReference w:type="even" r:id="rId19"/>
          <w:headerReference w:type="default" r:id="rId20"/>
          <w:footerReference w:type="even" r:id="rId21"/>
          <w:footerReference w:type="default" r:id="rId22"/>
          <w:endnotePr>
            <w:numFmt w:val="decimal"/>
          </w:endnotePr>
          <w:pgSz w:w="11907" w:h="16840" w:code="9"/>
          <w:pgMar w:top="1417" w:right="1134" w:bottom="1134" w:left="1134" w:header="850" w:footer="567" w:gutter="0"/>
          <w:cols w:space="720"/>
          <w:docGrid w:linePitch="272"/>
        </w:sectPr>
      </w:pPr>
    </w:p>
    <w:p w:rsidR="007814BC" w:rsidRPr="007D4D2A" w:rsidRDefault="007814BC" w:rsidP="007D4D2A">
      <w:pPr>
        <w:pStyle w:val="Heading1"/>
        <w:spacing w:after="120"/>
        <w:rPr>
          <w:b/>
          <w:bCs/>
        </w:rPr>
      </w:pPr>
      <w:r w:rsidRPr="00E47AF3">
        <w:lastRenderedPageBreak/>
        <w:t>Table 3</w:t>
      </w:r>
      <w:r w:rsidR="007D4D2A">
        <w:br/>
      </w:r>
      <w:r w:rsidRPr="007D4D2A">
        <w:rPr>
          <w:b/>
          <w:bCs/>
        </w:rPr>
        <w:t>Unemployment rate, 2007–2018</w:t>
      </w:r>
    </w:p>
    <w:p w:rsidR="00277A1F" w:rsidRDefault="00E311B9" w:rsidP="00277A1F">
      <w:pPr>
        <w:pStyle w:val="SingleTxtG"/>
      </w:pPr>
      <w:r w:rsidRPr="00E80C1B">
        <w:rPr>
          <w:noProof/>
          <w:highlight w:val="yellow"/>
          <w:lang w:val="en-US"/>
        </w:rPr>
        <w:drawing>
          <wp:inline distT="0" distB="0" distL="0" distR="0" wp14:anchorId="3E18DB48" wp14:editId="5AA13372">
            <wp:extent cx="7905595" cy="2397968"/>
            <wp:effectExtent l="0" t="0" r="63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3">
                      <a:extLst>
                        <a:ext uri="{28A0092B-C50C-407E-A947-70E740481C1C}">
                          <a14:useLocalDpi xmlns:a14="http://schemas.microsoft.com/office/drawing/2010/main" val="0"/>
                        </a:ext>
                      </a:extLst>
                    </a:blip>
                    <a:srcRect r="2303"/>
                    <a:stretch>
                      <a:fillRect/>
                    </a:stretch>
                  </pic:blipFill>
                  <pic:spPr bwMode="auto">
                    <a:xfrm>
                      <a:off x="0" y="0"/>
                      <a:ext cx="7969891" cy="2417471"/>
                    </a:xfrm>
                    <a:prstGeom prst="rect">
                      <a:avLst/>
                    </a:prstGeom>
                    <a:noFill/>
                    <a:ln>
                      <a:noFill/>
                    </a:ln>
                  </pic:spPr>
                </pic:pic>
              </a:graphicData>
            </a:graphic>
          </wp:inline>
        </w:drawing>
      </w:r>
    </w:p>
    <w:p w:rsidR="00E311B9" w:rsidRPr="007D4D2A" w:rsidRDefault="007814BC" w:rsidP="007D4D2A">
      <w:pPr>
        <w:spacing w:before="120"/>
        <w:ind w:left="1134" w:right="1134" w:firstLine="170"/>
        <w:rPr>
          <w:sz w:val="18"/>
        </w:rPr>
      </w:pPr>
      <w:r w:rsidRPr="007D4D2A">
        <w:rPr>
          <w:i/>
          <w:iCs/>
          <w:sz w:val="18"/>
        </w:rPr>
        <w:t>Source</w:t>
      </w:r>
      <w:r w:rsidRPr="007D4D2A">
        <w:rPr>
          <w:sz w:val="18"/>
        </w:rPr>
        <w:t>: Ministry of Labour.</w:t>
      </w:r>
    </w:p>
    <w:p w:rsidR="00E47AF3" w:rsidRPr="007D4D2A" w:rsidRDefault="00E47AF3" w:rsidP="007D4D2A">
      <w:pPr>
        <w:spacing w:before="120"/>
        <w:ind w:left="1134" w:right="1134" w:firstLine="170"/>
        <w:rPr>
          <w:sz w:val="18"/>
        </w:rPr>
        <w:sectPr w:rsidR="00E47AF3" w:rsidRPr="007D4D2A" w:rsidSect="004917F7">
          <w:headerReference w:type="even" r:id="rId24"/>
          <w:headerReference w:type="default" r:id="rId25"/>
          <w:footerReference w:type="even" r:id="rId26"/>
          <w:footerReference w:type="default" r:id="rId27"/>
          <w:endnotePr>
            <w:numFmt w:val="decimal"/>
          </w:endnotePr>
          <w:pgSz w:w="16840" w:h="11907" w:orient="landscape" w:code="9"/>
          <w:pgMar w:top="1134" w:right="1417" w:bottom="1134" w:left="1134" w:header="567" w:footer="567" w:gutter="0"/>
          <w:cols w:space="720"/>
          <w:docGrid w:linePitch="272"/>
        </w:sectPr>
      </w:pPr>
    </w:p>
    <w:p w:rsidR="00E311B9" w:rsidRPr="00E80C1B" w:rsidRDefault="00E311B9" w:rsidP="006A4331">
      <w:pPr>
        <w:pStyle w:val="SingleTxtG"/>
      </w:pPr>
      <w:r w:rsidRPr="00E80C1B">
        <w:lastRenderedPageBreak/>
        <w:t>50.</w:t>
      </w:r>
      <w:r w:rsidRPr="00E80C1B">
        <w:tab/>
        <w:t xml:space="preserve">As of June 2019, 68,508 persons with disabilities were in the formal labour market, of whom 23,068 were female and 45,440 male. </w:t>
      </w:r>
    </w:p>
    <w:p w:rsidR="00E311B9" w:rsidRPr="00FA5097" w:rsidRDefault="00E311B9" w:rsidP="00FA5097">
      <w:pPr>
        <w:pStyle w:val="Heading1"/>
        <w:spacing w:after="120"/>
        <w:rPr>
          <w:b/>
          <w:bCs/>
        </w:rPr>
      </w:pPr>
      <w:r w:rsidRPr="00E80C1B">
        <w:t>Table 4</w:t>
      </w:r>
      <w:r w:rsidRPr="00E80C1B">
        <w:br/>
      </w:r>
      <w:r w:rsidRPr="00FA5097">
        <w:rPr>
          <w:b/>
          <w:bCs/>
        </w:rPr>
        <w:t>Unemployment rate (in percentages) among persons with disabilities aged 18</w:t>
      </w:r>
      <w:r w:rsidR="00FB02C3">
        <w:rPr>
          <w:b/>
          <w:bCs/>
        </w:rPr>
        <w:t>–</w:t>
      </w:r>
      <w:r w:rsidRPr="00FA5097">
        <w:rPr>
          <w:b/>
          <w:bCs/>
        </w:rPr>
        <w:t>64 years,</w:t>
      </w:r>
      <w:r w:rsidR="00FA5097" w:rsidRPr="00FA5097">
        <w:rPr>
          <w:b/>
          <w:bCs/>
        </w:rPr>
        <w:br/>
      </w:r>
      <w:r w:rsidRPr="00FA5097">
        <w:rPr>
          <w:b/>
          <w:bCs/>
        </w:rPr>
        <w:t xml:space="preserve">2017–2019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936"/>
        <w:gridCol w:w="1937"/>
        <w:gridCol w:w="1937"/>
      </w:tblGrid>
      <w:tr w:rsidR="00E311B9" w:rsidRPr="003E57AF" w:rsidTr="003E57AF">
        <w:trPr>
          <w:tblHeader/>
        </w:trPr>
        <w:tc>
          <w:tcPr>
            <w:tcW w:w="1560" w:type="dxa"/>
            <w:tcBorders>
              <w:top w:val="single" w:sz="4" w:space="0" w:color="auto"/>
              <w:bottom w:val="single" w:sz="12" w:space="0" w:color="auto"/>
            </w:tcBorders>
            <w:shd w:val="clear" w:color="auto" w:fill="auto"/>
            <w:vAlign w:val="bottom"/>
            <w:hideMark/>
          </w:tcPr>
          <w:p w:rsidR="00E311B9" w:rsidRPr="003E57AF" w:rsidRDefault="00E311B9" w:rsidP="003E57AF">
            <w:pPr>
              <w:suppressAutoHyphens w:val="0"/>
              <w:spacing w:before="80" w:after="80" w:line="200" w:lineRule="exact"/>
              <w:ind w:right="113"/>
              <w:rPr>
                <w:i/>
                <w:sz w:val="16"/>
              </w:rPr>
            </w:pPr>
            <w:r w:rsidRPr="003E57AF">
              <w:rPr>
                <w:i/>
                <w:sz w:val="16"/>
              </w:rPr>
              <w:t>Type of disability</w:t>
            </w:r>
          </w:p>
        </w:tc>
        <w:tc>
          <w:tcPr>
            <w:tcW w:w="1936" w:type="dxa"/>
            <w:tcBorders>
              <w:top w:val="single" w:sz="4" w:space="0" w:color="auto"/>
              <w:bottom w:val="single" w:sz="12" w:space="0" w:color="auto"/>
            </w:tcBorders>
            <w:shd w:val="clear" w:color="auto" w:fill="auto"/>
            <w:vAlign w:val="bottom"/>
            <w:hideMark/>
          </w:tcPr>
          <w:p w:rsidR="00E311B9" w:rsidRPr="003E57AF" w:rsidRDefault="00E311B9" w:rsidP="003E57AF">
            <w:pPr>
              <w:suppressAutoHyphens w:val="0"/>
              <w:spacing w:before="80" w:after="80" w:line="200" w:lineRule="exact"/>
              <w:ind w:right="113"/>
              <w:jc w:val="right"/>
              <w:rPr>
                <w:i/>
                <w:sz w:val="16"/>
              </w:rPr>
            </w:pPr>
            <w:r w:rsidRPr="003E57AF">
              <w:rPr>
                <w:i/>
                <w:sz w:val="16"/>
              </w:rPr>
              <w:t>2017</w:t>
            </w:r>
          </w:p>
        </w:tc>
        <w:tc>
          <w:tcPr>
            <w:tcW w:w="1937" w:type="dxa"/>
            <w:tcBorders>
              <w:top w:val="single" w:sz="4" w:space="0" w:color="auto"/>
              <w:bottom w:val="single" w:sz="12" w:space="0" w:color="auto"/>
            </w:tcBorders>
            <w:shd w:val="clear" w:color="auto" w:fill="auto"/>
            <w:vAlign w:val="bottom"/>
            <w:hideMark/>
          </w:tcPr>
          <w:p w:rsidR="00E311B9" w:rsidRPr="003E57AF" w:rsidRDefault="00E311B9" w:rsidP="003E57AF">
            <w:pPr>
              <w:suppressAutoHyphens w:val="0"/>
              <w:spacing w:before="80" w:after="80" w:line="200" w:lineRule="exact"/>
              <w:ind w:right="113"/>
              <w:jc w:val="right"/>
              <w:rPr>
                <w:i/>
                <w:sz w:val="16"/>
              </w:rPr>
            </w:pPr>
            <w:r w:rsidRPr="003E57AF">
              <w:rPr>
                <w:i/>
                <w:sz w:val="16"/>
              </w:rPr>
              <w:t>2018</w:t>
            </w:r>
          </w:p>
        </w:tc>
        <w:tc>
          <w:tcPr>
            <w:tcW w:w="1937" w:type="dxa"/>
            <w:tcBorders>
              <w:top w:val="single" w:sz="4" w:space="0" w:color="auto"/>
              <w:bottom w:val="single" w:sz="12" w:space="0" w:color="auto"/>
            </w:tcBorders>
            <w:shd w:val="clear" w:color="auto" w:fill="auto"/>
            <w:vAlign w:val="bottom"/>
            <w:hideMark/>
          </w:tcPr>
          <w:p w:rsidR="00E311B9" w:rsidRPr="003E57AF" w:rsidRDefault="00E311B9" w:rsidP="003E57AF">
            <w:pPr>
              <w:suppressAutoHyphens w:val="0"/>
              <w:spacing w:before="80" w:after="80" w:line="200" w:lineRule="exact"/>
              <w:ind w:right="113"/>
              <w:jc w:val="right"/>
              <w:rPr>
                <w:i/>
                <w:sz w:val="16"/>
              </w:rPr>
            </w:pPr>
            <w:r w:rsidRPr="003E57AF">
              <w:rPr>
                <w:i/>
                <w:sz w:val="16"/>
              </w:rPr>
              <w:t>2019</w:t>
            </w:r>
          </w:p>
        </w:tc>
      </w:tr>
      <w:tr w:rsidR="00E311B9" w:rsidRPr="003E57AF" w:rsidTr="003E57AF">
        <w:tc>
          <w:tcPr>
            <w:tcW w:w="1560" w:type="dxa"/>
            <w:tcBorders>
              <w:top w:val="single" w:sz="12" w:space="0" w:color="auto"/>
            </w:tcBorders>
            <w:shd w:val="clear" w:color="auto" w:fill="auto"/>
            <w:noWrap/>
            <w:hideMark/>
          </w:tcPr>
          <w:p w:rsidR="00E311B9" w:rsidRPr="003E57AF" w:rsidRDefault="00E311B9" w:rsidP="003E57AF">
            <w:pPr>
              <w:suppressAutoHyphens w:val="0"/>
              <w:spacing w:before="40" w:after="40" w:line="220" w:lineRule="exact"/>
              <w:ind w:right="113"/>
              <w:rPr>
                <w:sz w:val="18"/>
              </w:rPr>
            </w:pPr>
            <w:r w:rsidRPr="003E57AF">
              <w:rPr>
                <w:sz w:val="18"/>
              </w:rPr>
              <w:t>Auditory</w:t>
            </w:r>
          </w:p>
        </w:tc>
        <w:tc>
          <w:tcPr>
            <w:tcW w:w="1936" w:type="dxa"/>
            <w:tcBorders>
              <w:top w:val="single" w:sz="12" w:space="0" w:color="auto"/>
            </w:tcBorders>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68.65</w:t>
            </w:r>
          </w:p>
        </w:tc>
        <w:tc>
          <w:tcPr>
            <w:tcW w:w="1937" w:type="dxa"/>
            <w:tcBorders>
              <w:top w:val="single" w:sz="12" w:space="0" w:color="auto"/>
            </w:tcBorders>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68.95</w:t>
            </w:r>
          </w:p>
        </w:tc>
        <w:tc>
          <w:tcPr>
            <w:tcW w:w="1937" w:type="dxa"/>
            <w:tcBorders>
              <w:top w:val="single" w:sz="12" w:space="0" w:color="auto"/>
            </w:tcBorders>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69.27</w:t>
            </w:r>
          </w:p>
        </w:tc>
      </w:tr>
      <w:tr w:rsidR="00E311B9" w:rsidRPr="003E57AF" w:rsidTr="003E57AF">
        <w:tc>
          <w:tcPr>
            <w:tcW w:w="1560" w:type="dxa"/>
            <w:shd w:val="clear" w:color="auto" w:fill="auto"/>
            <w:noWrap/>
            <w:hideMark/>
          </w:tcPr>
          <w:p w:rsidR="00E311B9" w:rsidRPr="003E57AF" w:rsidRDefault="00E311B9" w:rsidP="003E57AF">
            <w:pPr>
              <w:suppressAutoHyphens w:val="0"/>
              <w:spacing w:before="40" w:after="40" w:line="220" w:lineRule="exact"/>
              <w:ind w:right="113"/>
              <w:rPr>
                <w:sz w:val="18"/>
              </w:rPr>
            </w:pPr>
            <w:r w:rsidRPr="003E57AF">
              <w:rPr>
                <w:sz w:val="18"/>
              </w:rPr>
              <w:t>Physical</w:t>
            </w:r>
          </w:p>
        </w:tc>
        <w:tc>
          <w:tcPr>
            <w:tcW w:w="1936" w:type="dxa"/>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74.63</w:t>
            </w:r>
          </w:p>
        </w:tc>
        <w:tc>
          <w:tcPr>
            <w:tcW w:w="1937" w:type="dxa"/>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71.01</w:t>
            </w:r>
          </w:p>
        </w:tc>
        <w:tc>
          <w:tcPr>
            <w:tcW w:w="1937" w:type="dxa"/>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71.26</w:t>
            </w:r>
          </w:p>
        </w:tc>
      </w:tr>
      <w:tr w:rsidR="00E311B9" w:rsidRPr="003E57AF" w:rsidTr="003E57AF">
        <w:tc>
          <w:tcPr>
            <w:tcW w:w="1560" w:type="dxa"/>
            <w:shd w:val="clear" w:color="auto" w:fill="auto"/>
            <w:noWrap/>
            <w:hideMark/>
          </w:tcPr>
          <w:p w:rsidR="00E311B9" w:rsidRPr="003E57AF" w:rsidRDefault="00E311B9" w:rsidP="003E57AF">
            <w:pPr>
              <w:suppressAutoHyphens w:val="0"/>
              <w:spacing w:before="40" w:after="40" w:line="220" w:lineRule="exact"/>
              <w:ind w:right="113"/>
              <w:rPr>
                <w:sz w:val="18"/>
              </w:rPr>
            </w:pPr>
            <w:r w:rsidRPr="003E57AF">
              <w:rPr>
                <w:sz w:val="18"/>
              </w:rPr>
              <w:t xml:space="preserve">Intellectual </w:t>
            </w:r>
          </w:p>
        </w:tc>
        <w:tc>
          <w:tcPr>
            <w:tcW w:w="1936" w:type="dxa"/>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91.25</w:t>
            </w:r>
          </w:p>
        </w:tc>
        <w:tc>
          <w:tcPr>
            <w:tcW w:w="1937" w:type="dxa"/>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90.87</w:t>
            </w:r>
          </w:p>
        </w:tc>
        <w:tc>
          <w:tcPr>
            <w:tcW w:w="1937" w:type="dxa"/>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90.96</w:t>
            </w:r>
          </w:p>
        </w:tc>
      </w:tr>
      <w:tr w:rsidR="00E311B9" w:rsidRPr="003E57AF" w:rsidTr="003E57AF">
        <w:tc>
          <w:tcPr>
            <w:tcW w:w="1560" w:type="dxa"/>
            <w:shd w:val="clear" w:color="auto" w:fill="auto"/>
            <w:noWrap/>
            <w:hideMark/>
          </w:tcPr>
          <w:p w:rsidR="00E311B9" w:rsidRPr="003E57AF" w:rsidRDefault="00E311B9" w:rsidP="003E57AF">
            <w:pPr>
              <w:suppressAutoHyphens w:val="0"/>
              <w:spacing w:before="40" w:after="40" w:line="220" w:lineRule="exact"/>
              <w:ind w:right="113"/>
              <w:rPr>
                <w:sz w:val="18"/>
              </w:rPr>
            </w:pPr>
            <w:r w:rsidRPr="003E57AF">
              <w:rPr>
                <w:sz w:val="18"/>
              </w:rPr>
              <w:t>Psychosocial</w:t>
            </w:r>
          </w:p>
        </w:tc>
        <w:tc>
          <w:tcPr>
            <w:tcW w:w="1936" w:type="dxa"/>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88.31</w:t>
            </w:r>
          </w:p>
        </w:tc>
        <w:tc>
          <w:tcPr>
            <w:tcW w:w="1937" w:type="dxa"/>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86.30</w:t>
            </w:r>
          </w:p>
        </w:tc>
        <w:tc>
          <w:tcPr>
            <w:tcW w:w="1937" w:type="dxa"/>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85.87</w:t>
            </w:r>
          </w:p>
        </w:tc>
      </w:tr>
      <w:tr w:rsidR="00E311B9" w:rsidRPr="003E57AF" w:rsidTr="00D346F0">
        <w:tc>
          <w:tcPr>
            <w:tcW w:w="1560" w:type="dxa"/>
            <w:tcBorders>
              <w:bottom w:val="single" w:sz="4" w:space="0" w:color="auto"/>
            </w:tcBorders>
            <w:shd w:val="clear" w:color="auto" w:fill="auto"/>
            <w:noWrap/>
            <w:hideMark/>
          </w:tcPr>
          <w:p w:rsidR="00E311B9" w:rsidRPr="003E57AF" w:rsidRDefault="00E311B9" w:rsidP="003E57AF">
            <w:pPr>
              <w:suppressAutoHyphens w:val="0"/>
              <w:spacing w:before="40" w:after="40" w:line="220" w:lineRule="exact"/>
              <w:ind w:right="113"/>
              <w:rPr>
                <w:sz w:val="18"/>
              </w:rPr>
            </w:pPr>
            <w:r w:rsidRPr="003E57AF">
              <w:rPr>
                <w:sz w:val="18"/>
              </w:rPr>
              <w:t>Visual</w:t>
            </w:r>
          </w:p>
        </w:tc>
        <w:tc>
          <w:tcPr>
            <w:tcW w:w="1936" w:type="dxa"/>
            <w:tcBorders>
              <w:bottom w:val="single" w:sz="4" w:space="0" w:color="auto"/>
            </w:tcBorders>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72.21</w:t>
            </w:r>
          </w:p>
        </w:tc>
        <w:tc>
          <w:tcPr>
            <w:tcW w:w="1937" w:type="dxa"/>
            <w:tcBorders>
              <w:bottom w:val="single" w:sz="4" w:space="0" w:color="auto"/>
            </w:tcBorders>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68.86</w:t>
            </w:r>
          </w:p>
        </w:tc>
        <w:tc>
          <w:tcPr>
            <w:tcW w:w="1937" w:type="dxa"/>
            <w:tcBorders>
              <w:bottom w:val="single" w:sz="4" w:space="0" w:color="auto"/>
            </w:tcBorders>
            <w:shd w:val="clear" w:color="auto" w:fill="auto"/>
            <w:noWrap/>
            <w:vAlign w:val="bottom"/>
            <w:hideMark/>
          </w:tcPr>
          <w:p w:rsidR="00E311B9" w:rsidRPr="003E57AF" w:rsidRDefault="00E311B9" w:rsidP="003E57AF">
            <w:pPr>
              <w:suppressAutoHyphens w:val="0"/>
              <w:spacing w:before="40" w:after="40" w:line="220" w:lineRule="exact"/>
              <w:ind w:right="113"/>
              <w:jc w:val="right"/>
              <w:rPr>
                <w:sz w:val="18"/>
              </w:rPr>
            </w:pPr>
            <w:r w:rsidRPr="003E57AF">
              <w:rPr>
                <w:sz w:val="18"/>
              </w:rPr>
              <w:t>69.10</w:t>
            </w:r>
          </w:p>
        </w:tc>
      </w:tr>
      <w:tr w:rsidR="00E311B9" w:rsidRPr="003E57AF" w:rsidTr="00D346F0">
        <w:tc>
          <w:tcPr>
            <w:tcW w:w="1560" w:type="dxa"/>
            <w:tcBorders>
              <w:top w:val="single" w:sz="4" w:space="0" w:color="auto"/>
              <w:bottom w:val="single" w:sz="12" w:space="0" w:color="auto"/>
            </w:tcBorders>
            <w:shd w:val="clear" w:color="auto" w:fill="auto"/>
            <w:noWrap/>
            <w:hideMark/>
          </w:tcPr>
          <w:p w:rsidR="00E311B9" w:rsidRPr="00D346F0" w:rsidRDefault="00E311B9" w:rsidP="00D346F0">
            <w:pPr>
              <w:suppressAutoHyphens w:val="0"/>
              <w:spacing w:before="80" w:after="80" w:line="220" w:lineRule="exact"/>
              <w:ind w:left="280" w:right="113"/>
              <w:rPr>
                <w:b/>
                <w:sz w:val="18"/>
              </w:rPr>
            </w:pPr>
            <w:r w:rsidRPr="00D346F0">
              <w:rPr>
                <w:b/>
                <w:sz w:val="18"/>
              </w:rPr>
              <w:t>Overall rate</w:t>
            </w:r>
          </w:p>
        </w:tc>
        <w:tc>
          <w:tcPr>
            <w:tcW w:w="1936" w:type="dxa"/>
            <w:tcBorders>
              <w:top w:val="single" w:sz="4" w:space="0" w:color="auto"/>
              <w:bottom w:val="single" w:sz="12" w:space="0" w:color="auto"/>
            </w:tcBorders>
            <w:shd w:val="clear" w:color="auto" w:fill="auto"/>
            <w:noWrap/>
            <w:vAlign w:val="bottom"/>
            <w:hideMark/>
          </w:tcPr>
          <w:p w:rsidR="00E311B9" w:rsidRPr="00D346F0" w:rsidRDefault="00E311B9" w:rsidP="00D346F0">
            <w:pPr>
              <w:suppressAutoHyphens w:val="0"/>
              <w:spacing w:before="80" w:after="80" w:line="220" w:lineRule="exact"/>
              <w:ind w:right="113"/>
              <w:jc w:val="right"/>
              <w:rPr>
                <w:b/>
                <w:sz w:val="18"/>
              </w:rPr>
            </w:pPr>
            <w:r w:rsidRPr="00D346F0">
              <w:rPr>
                <w:b/>
                <w:sz w:val="18"/>
              </w:rPr>
              <w:t>78.36</w:t>
            </w:r>
          </w:p>
        </w:tc>
        <w:tc>
          <w:tcPr>
            <w:tcW w:w="1937" w:type="dxa"/>
            <w:tcBorders>
              <w:top w:val="single" w:sz="4" w:space="0" w:color="auto"/>
              <w:bottom w:val="single" w:sz="12" w:space="0" w:color="auto"/>
            </w:tcBorders>
            <w:shd w:val="clear" w:color="auto" w:fill="auto"/>
            <w:noWrap/>
            <w:vAlign w:val="bottom"/>
            <w:hideMark/>
          </w:tcPr>
          <w:p w:rsidR="00E311B9" w:rsidRPr="00D346F0" w:rsidRDefault="00E311B9" w:rsidP="00D346F0">
            <w:pPr>
              <w:suppressAutoHyphens w:val="0"/>
              <w:spacing w:before="80" w:after="80" w:line="220" w:lineRule="exact"/>
              <w:ind w:right="113"/>
              <w:jc w:val="right"/>
              <w:rPr>
                <w:b/>
                <w:sz w:val="18"/>
              </w:rPr>
            </w:pPr>
            <w:r w:rsidRPr="00D346F0">
              <w:rPr>
                <w:b/>
                <w:sz w:val="18"/>
              </w:rPr>
              <w:t>76.08</w:t>
            </w:r>
          </w:p>
        </w:tc>
        <w:tc>
          <w:tcPr>
            <w:tcW w:w="1937" w:type="dxa"/>
            <w:tcBorders>
              <w:top w:val="single" w:sz="4" w:space="0" w:color="auto"/>
              <w:bottom w:val="single" w:sz="12" w:space="0" w:color="auto"/>
            </w:tcBorders>
            <w:shd w:val="clear" w:color="auto" w:fill="auto"/>
            <w:noWrap/>
            <w:vAlign w:val="bottom"/>
            <w:hideMark/>
          </w:tcPr>
          <w:p w:rsidR="00E311B9" w:rsidRPr="00D346F0" w:rsidRDefault="00E311B9" w:rsidP="00D346F0">
            <w:pPr>
              <w:suppressAutoHyphens w:val="0"/>
              <w:spacing w:before="80" w:after="80" w:line="220" w:lineRule="exact"/>
              <w:ind w:right="113"/>
              <w:jc w:val="right"/>
              <w:rPr>
                <w:b/>
                <w:sz w:val="18"/>
              </w:rPr>
            </w:pPr>
            <w:r w:rsidRPr="00D346F0">
              <w:rPr>
                <w:b/>
                <w:sz w:val="18"/>
              </w:rPr>
              <w:t>76.31</w:t>
            </w:r>
          </w:p>
        </w:tc>
      </w:tr>
    </w:tbl>
    <w:p w:rsidR="00E311B9" w:rsidRPr="00FA5097" w:rsidRDefault="00E311B9" w:rsidP="00FA5097">
      <w:pPr>
        <w:spacing w:before="120" w:after="240"/>
        <w:ind w:left="1134" w:right="1134" w:firstLine="170"/>
        <w:rPr>
          <w:sz w:val="18"/>
        </w:rPr>
      </w:pPr>
      <w:r w:rsidRPr="00FA5097">
        <w:rPr>
          <w:i/>
          <w:iCs/>
          <w:sz w:val="18"/>
        </w:rPr>
        <w:t>Source</w:t>
      </w:r>
      <w:r w:rsidRPr="00FA5097">
        <w:rPr>
          <w:sz w:val="18"/>
        </w:rPr>
        <w:t>: Ministry of Labour, National Disability Register of the Ministry of Public Health.</w:t>
      </w:r>
    </w:p>
    <w:p w:rsidR="00E311B9" w:rsidRPr="00E80C1B" w:rsidRDefault="00E311B9" w:rsidP="00FA5097">
      <w:pPr>
        <w:pStyle w:val="H4G"/>
      </w:pPr>
      <w:r w:rsidRPr="00E80C1B">
        <w:tab/>
      </w:r>
      <w:r w:rsidRPr="00E80C1B">
        <w:tab/>
        <w:t>My First Job Project</w:t>
      </w:r>
    </w:p>
    <w:p w:rsidR="00E311B9" w:rsidRPr="00E80C1B" w:rsidRDefault="00E311B9" w:rsidP="006A4331">
      <w:pPr>
        <w:pStyle w:val="SingleTxtG"/>
      </w:pPr>
      <w:r w:rsidRPr="00E80C1B">
        <w:t>51.</w:t>
      </w:r>
      <w:r w:rsidRPr="00E80C1B">
        <w:tab/>
        <w:t xml:space="preserve">A total of 55 persons with disabilities </w:t>
      </w:r>
      <w:r w:rsidR="00FA5097">
        <w:t>–</w:t>
      </w:r>
      <w:r w:rsidRPr="00E80C1B">
        <w:t xml:space="preserve"> 16 female and 39 male </w:t>
      </w:r>
      <w:r w:rsidR="00FA5097">
        <w:t>–</w:t>
      </w:r>
      <w:r w:rsidRPr="00E80C1B">
        <w:t xml:space="preserve"> were assisted in entering formal employment.</w:t>
      </w:r>
    </w:p>
    <w:p w:rsidR="00E311B9" w:rsidRPr="00E80C1B" w:rsidRDefault="00E311B9" w:rsidP="00FA5097">
      <w:pPr>
        <w:pStyle w:val="H4G"/>
      </w:pPr>
      <w:r w:rsidRPr="00E80C1B">
        <w:tab/>
      </w:r>
      <w:r w:rsidRPr="00E80C1B">
        <w:tab/>
        <w:t>Youth Employment (Empleo Joven) Project</w:t>
      </w:r>
    </w:p>
    <w:p w:rsidR="00E311B9" w:rsidRPr="00E80C1B" w:rsidRDefault="00E311B9" w:rsidP="006A4331">
      <w:pPr>
        <w:pStyle w:val="SingleTxtG"/>
      </w:pPr>
      <w:r w:rsidRPr="00E80C1B">
        <w:t>52.</w:t>
      </w:r>
      <w:r w:rsidRPr="00E80C1B">
        <w:tab/>
        <w:t xml:space="preserve">A total of 12 persons with disabilities </w:t>
      </w:r>
      <w:r w:rsidR="00FA5097">
        <w:t>–</w:t>
      </w:r>
      <w:r w:rsidRPr="00E80C1B">
        <w:t xml:space="preserve"> 2 female and 10 male </w:t>
      </w:r>
      <w:r w:rsidR="00FA5097">
        <w:t>–</w:t>
      </w:r>
      <w:r w:rsidRPr="00E80C1B">
        <w:t xml:space="preserve"> were assisted in entering formal employment.</w:t>
      </w:r>
      <w:bookmarkStart w:id="31" w:name="_rpox4f8se9lm" w:colFirst="0" w:colLast="0"/>
      <w:bookmarkEnd w:id="31"/>
    </w:p>
    <w:p w:rsidR="00E311B9" w:rsidRPr="00E80C1B" w:rsidRDefault="00E311B9" w:rsidP="00FA5097">
      <w:pPr>
        <w:pStyle w:val="H1G"/>
      </w:pPr>
      <w:bookmarkStart w:id="32" w:name="_Toc17473153"/>
      <w:bookmarkStart w:id="33" w:name="_Toc17473221"/>
      <w:bookmarkStart w:id="34" w:name="_Toc17473854"/>
      <w:r w:rsidRPr="00E80C1B">
        <w:tab/>
      </w:r>
      <w:r w:rsidRPr="00E80C1B">
        <w:tab/>
        <w:t>Reply to questions raised in paragraph 13 of the list of issues</w:t>
      </w:r>
    </w:p>
    <w:bookmarkEnd w:id="32"/>
    <w:bookmarkEnd w:id="33"/>
    <w:bookmarkEnd w:id="34"/>
    <w:p w:rsidR="00100BE9" w:rsidRDefault="00E311B9" w:rsidP="006A4331">
      <w:pPr>
        <w:pStyle w:val="SingleTxtG"/>
      </w:pPr>
      <w:r w:rsidRPr="00E80C1B">
        <w:t>53.</w:t>
      </w:r>
      <w:r w:rsidRPr="00E80C1B">
        <w:tab/>
        <w:t>Over the past decade, the unified basic wage has risen by 93 per cent, with a growth rate of 8 per cent per annum. Annual growth in the unified basic wage is shown below.</w:t>
      </w:r>
    </w:p>
    <w:p w:rsidR="00E311B9" w:rsidRPr="00100BE9" w:rsidRDefault="00E311B9" w:rsidP="00100BE9">
      <w:pPr>
        <w:pStyle w:val="Heading1"/>
        <w:spacing w:after="120"/>
        <w:rPr>
          <w:b/>
          <w:bCs/>
        </w:rPr>
      </w:pPr>
      <w:r w:rsidRPr="00E80C1B">
        <w:t>Table 5</w:t>
      </w:r>
      <w:r w:rsidR="00100BE9">
        <w:br/>
      </w:r>
      <w:r w:rsidRPr="00100BE9">
        <w:rPr>
          <w:b/>
          <w:bCs/>
        </w:rPr>
        <w:t xml:space="preserve">Nominal unified basic wage, 2008–2018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55"/>
        <w:gridCol w:w="3615"/>
      </w:tblGrid>
      <w:tr w:rsidR="00E311B9" w:rsidRPr="00FA5097" w:rsidTr="00FA5097">
        <w:trPr>
          <w:tblHeader/>
        </w:trPr>
        <w:tc>
          <w:tcPr>
            <w:tcW w:w="3755" w:type="dxa"/>
            <w:tcBorders>
              <w:top w:val="single" w:sz="4" w:space="0" w:color="auto"/>
              <w:bottom w:val="single" w:sz="12" w:space="0" w:color="auto"/>
            </w:tcBorders>
            <w:shd w:val="clear" w:color="auto" w:fill="auto"/>
            <w:vAlign w:val="bottom"/>
            <w:hideMark/>
          </w:tcPr>
          <w:p w:rsidR="00E311B9" w:rsidRPr="00FA5097" w:rsidRDefault="00E311B9" w:rsidP="00FA5097">
            <w:pPr>
              <w:suppressAutoHyphens w:val="0"/>
              <w:spacing w:before="80" w:after="80" w:line="200" w:lineRule="exact"/>
              <w:ind w:right="113"/>
              <w:rPr>
                <w:i/>
                <w:sz w:val="16"/>
              </w:rPr>
            </w:pPr>
            <w:r w:rsidRPr="00FA5097">
              <w:rPr>
                <w:i/>
                <w:sz w:val="16"/>
              </w:rPr>
              <w:t>Year</w:t>
            </w:r>
          </w:p>
        </w:tc>
        <w:tc>
          <w:tcPr>
            <w:tcW w:w="3615" w:type="dxa"/>
            <w:tcBorders>
              <w:top w:val="single" w:sz="4" w:space="0" w:color="auto"/>
              <w:bottom w:val="single" w:sz="12" w:space="0" w:color="auto"/>
            </w:tcBorders>
            <w:shd w:val="clear" w:color="auto" w:fill="auto"/>
            <w:vAlign w:val="bottom"/>
            <w:hideMark/>
          </w:tcPr>
          <w:p w:rsidR="00E311B9" w:rsidRPr="00FA5097" w:rsidRDefault="00E311B9" w:rsidP="00FA5097">
            <w:pPr>
              <w:suppressAutoHyphens w:val="0"/>
              <w:spacing w:before="80" w:after="80" w:line="200" w:lineRule="exact"/>
              <w:ind w:right="113"/>
              <w:jc w:val="right"/>
              <w:rPr>
                <w:i/>
                <w:sz w:val="16"/>
              </w:rPr>
            </w:pPr>
            <w:r w:rsidRPr="00FA5097">
              <w:rPr>
                <w:i/>
                <w:sz w:val="16"/>
              </w:rPr>
              <w:t>Unified basic wage ($)</w:t>
            </w:r>
          </w:p>
        </w:tc>
      </w:tr>
      <w:tr w:rsidR="00E311B9" w:rsidRPr="00FA5097" w:rsidTr="00FA5097">
        <w:tc>
          <w:tcPr>
            <w:tcW w:w="3755" w:type="dxa"/>
            <w:tcBorders>
              <w:top w:val="single" w:sz="12" w:space="0" w:color="auto"/>
            </w:tcBorders>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2008</w:t>
            </w:r>
          </w:p>
        </w:tc>
        <w:tc>
          <w:tcPr>
            <w:tcW w:w="3615" w:type="dxa"/>
            <w:tcBorders>
              <w:top w:val="single" w:sz="12" w:space="0" w:color="auto"/>
            </w:tcBorders>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200</w:t>
            </w:r>
          </w:p>
        </w:tc>
      </w:tr>
      <w:tr w:rsidR="00E311B9" w:rsidRPr="00FA5097" w:rsidTr="00FA5097">
        <w:tc>
          <w:tcPr>
            <w:tcW w:w="3755" w:type="dxa"/>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2009</w:t>
            </w:r>
          </w:p>
        </w:tc>
        <w:tc>
          <w:tcPr>
            <w:tcW w:w="3615" w:type="dxa"/>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218</w:t>
            </w:r>
          </w:p>
        </w:tc>
      </w:tr>
      <w:tr w:rsidR="00E311B9" w:rsidRPr="00FA5097" w:rsidTr="00FA5097">
        <w:tc>
          <w:tcPr>
            <w:tcW w:w="3755" w:type="dxa"/>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2010</w:t>
            </w:r>
          </w:p>
        </w:tc>
        <w:tc>
          <w:tcPr>
            <w:tcW w:w="3615" w:type="dxa"/>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240</w:t>
            </w:r>
          </w:p>
        </w:tc>
      </w:tr>
      <w:tr w:rsidR="00E311B9" w:rsidRPr="00FA5097" w:rsidTr="00FA5097">
        <w:tc>
          <w:tcPr>
            <w:tcW w:w="3755" w:type="dxa"/>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2011</w:t>
            </w:r>
          </w:p>
        </w:tc>
        <w:tc>
          <w:tcPr>
            <w:tcW w:w="3615" w:type="dxa"/>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264</w:t>
            </w:r>
          </w:p>
        </w:tc>
      </w:tr>
      <w:tr w:rsidR="00E311B9" w:rsidRPr="00FA5097" w:rsidTr="00FA5097">
        <w:tc>
          <w:tcPr>
            <w:tcW w:w="3755" w:type="dxa"/>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2012</w:t>
            </w:r>
          </w:p>
        </w:tc>
        <w:tc>
          <w:tcPr>
            <w:tcW w:w="3615" w:type="dxa"/>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292</w:t>
            </w:r>
          </w:p>
        </w:tc>
      </w:tr>
      <w:tr w:rsidR="00E311B9" w:rsidRPr="00FA5097" w:rsidTr="00FA5097">
        <w:tc>
          <w:tcPr>
            <w:tcW w:w="3755" w:type="dxa"/>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2013</w:t>
            </w:r>
          </w:p>
        </w:tc>
        <w:tc>
          <w:tcPr>
            <w:tcW w:w="3615" w:type="dxa"/>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318</w:t>
            </w:r>
          </w:p>
        </w:tc>
      </w:tr>
      <w:tr w:rsidR="00E311B9" w:rsidRPr="00FA5097" w:rsidTr="00FA5097">
        <w:tc>
          <w:tcPr>
            <w:tcW w:w="3755" w:type="dxa"/>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2014</w:t>
            </w:r>
          </w:p>
        </w:tc>
        <w:tc>
          <w:tcPr>
            <w:tcW w:w="3615" w:type="dxa"/>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340</w:t>
            </w:r>
          </w:p>
        </w:tc>
      </w:tr>
      <w:tr w:rsidR="00E311B9" w:rsidRPr="00FA5097" w:rsidTr="00FA5097">
        <w:tc>
          <w:tcPr>
            <w:tcW w:w="3755" w:type="dxa"/>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2015</w:t>
            </w:r>
          </w:p>
        </w:tc>
        <w:tc>
          <w:tcPr>
            <w:tcW w:w="3615" w:type="dxa"/>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354</w:t>
            </w:r>
          </w:p>
        </w:tc>
      </w:tr>
      <w:tr w:rsidR="00E311B9" w:rsidRPr="00FA5097" w:rsidTr="00FA5097">
        <w:tc>
          <w:tcPr>
            <w:tcW w:w="3755" w:type="dxa"/>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2016</w:t>
            </w:r>
          </w:p>
        </w:tc>
        <w:tc>
          <w:tcPr>
            <w:tcW w:w="3615" w:type="dxa"/>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366</w:t>
            </w:r>
          </w:p>
        </w:tc>
      </w:tr>
      <w:tr w:rsidR="00E311B9" w:rsidRPr="00FA5097" w:rsidTr="00FA5097">
        <w:tc>
          <w:tcPr>
            <w:tcW w:w="3755" w:type="dxa"/>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2017</w:t>
            </w:r>
          </w:p>
        </w:tc>
        <w:tc>
          <w:tcPr>
            <w:tcW w:w="3615" w:type="dxa"/>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375</w:t>
            </w:r>
          </w:p>
        </w:tc>
      </w:tr>
      <w:tr w:rsidR="00E311B9" w:rsidRPr="00FA5097" w:rsidTr="00FA5097">
        <w:tc>
          <w:tcPr>
            <w:tcW w:w="3755" w:type="dxa"/>
            <w:shd w:val="clear" w:color="auto" w:fill="auto"/>
            <w:noWrap/>
            <w:hideMark/>
          </w:tcPr>
          <w:p w:rsidR="00E311B9" w:rsidRPr="00FA5097" w:rsidRDefault="00E311B9" w:rsidP="00FA5097">
            <w:pPr>
              <w:suppressAutoHyphens w:val="0"/>
              <w:spacing w:before="40" w:after="40" w:line="220" w:lineRule="exact"/>
              <w:ind w:right="113"/>
              <w:rPr>
                <w:sz w:val="18"/>
              </w:rPr>
            </w:pPr>
            <w:r w:rsidRPr="00FA5097">
              <w:rPr>
                <w:sz w:val="18"/>
              </w:rPr>
              <w:t>2018</w:t>
            </w:r>
          </w:p>
        </w:tc>
        <w:tc>
          <w:tcPr>
            <w:tcW w:w="3615" w:type="dxa"/>
            <w:shd w:val="clear" w:color="auto" w:fill="auto"/>
            <w:noWrap/>
            <w:vAlign w:val="bottom"/>
            <w:hideMark/>
          </w:tcPr>
          <w:p w:rsidR="00E311B9" w:rsidRPr="00FA5097" w:rsidRDefault="00E311B9" w:rsidP="00FA5097">
            <w:pPr>
              <w:suppressAutoHyphens w:val="0"/>
              <w:spacing w:before="40" w:after="40" w:line="220" w:lineRule="exact"/>
              <w:ind w:right="113"/>
              <w:jc w:val="right"/>
              <w:rPr>
                <w:sz w:val="18"/>
              </w:rPr>
            </w:pPr>
            <w:r w:rsidRPr="00FA5097">
              <w:rPr>
                <w:sz w:val="18"/>
              </w:rPr>
              <w:t>386</w:t>
            </w:r>
          </w:p>
        </w:tc>
      </w:tr>
    </w:tbl>
    <w:p w:rsidR="00E311B9" w:rsidRPr="003530C3" w:rsidRDefault="00E311B9" w:rsidP="003530C3">
      <w:pPr>
        <w:spacing w:before="120" w:after="240"/>
        <w:ind w:left="1134" w:right="1134" w:firstLine="170"/>
        <w:rPr>
          <w:sz w:val="18"/>
        </w:rPr>
      </w:pPr>
      <w:r w:rsidRPr="003530C3">
        <w:rPr>
          <w:i/>
          <w:iCs/>
          <w:sz w:val="18"/>
        </w:rPr>
        <w:t>Source</w:t>
      </w:r>
      <w:r w:rsidRPr="003530C3">
        <w:rPr>
          <w:sz w:val="18"/>
        </w:rPr>
        <w:t>: Central Bank of Ecuador, Ministry of Labour.</w:t>
      </w:r>
    </w:p>
    <w:p w:rsidR="00E311B9" w:rsidRPr="00E80C1B" w:rsidRDefault="00E311B9" w:rsidP="003530C3">
      <w:pPr>
        <w:pStyle w:val="H1G"/>
      </w:pPr>
      <w:r w:rsidRPr="00E80C1B">
        <w:tab/>
      </w:r>
      <w:r w:rsidRPr="00E80C1B">
        <w:tab/>
        <w:t>Reply to questions raised in paragraph 14 of the list of issues</w:t>
      </w:r>
    </w:p>
    <w:p w:rsidR="003530C3" w:rsidRDefault="00E311B9" w:rsidP="006A4331">
      <w:pPr>
        <w:pStyle w:val="SingleTxtG"/>
      </w:pPr>
      <w:r w:rsidRPr="00E80C1B">
        <w:t>54.</w:t>
      </w:r>
      <w:r w:rsidRPr="00E80C1B">
        <w:tab/>
        <w:t>The results of the national survey on employment, unemployment and underemployment revealed that informal employment fell by 3.8 per cent between 2008 and 2014.</w:t>
      </w:r>
    </w:p>
    <w:p w:rsidR="003530C3" w:rsidRDefault="003530C3" w:rsidP="006A4331">
      <w:pPr>
        <w:pStyle w:val="SingleTxtG"/>
        <w:sectPr w:rsidR="003530C3" w:rsidSect="00907037">
          <w:headerReference w:type="even" r:id="rId28"/>
          <w:headerReference w:type="default" r:id="rId29"/>
          <w:footerReference w:type="even" r:id="rId30"/>
          <w:footerReference w:type="default" r:id="rId31"/>
          <w:endnotePr>
            <w:numFmt w:val="decimal"/>
          </w:endnotePr>
          <w:pgSz w:w="11907" w:h="16840" w:code="9"/>
          <w:pgMar w:top="1417" w:right="1134" w:bottom="1134" w:left="1134" w:header="850" w:footer="567" w:gutter="0"/>
          <w:cols w:space="720"/>
          <w:docGrid w:linePitch="272"/>
        </w:sectPr>
      </w:pPr>
    </w:p>
    <w:p w:rsidR="00CF1EDE" w:rsidRPr="003E2F31" w:rsidRDefault="00CF1EDE" w:rsidP="003E2F31">
      <w:pPr>
        <w:pStyle w:val="Heading1"/>
        <w:spacing w:after="120"/>
        <w:rPr>
          <w:b/>
          <w:bCs/>
        </w:rPr>
      </w:pPr>
      <w:r w:rsidRPr="003530C3">
        <w:lastRenderedPageBreak/>
        <w:t xml:space="preserve">Table 6 </w:t>
      </w:r>
      <w:r w:rsidR="003530C3">
        <w:br/>
      </w:r>
      <w:r w:rsidRPr="003E2F31">
        <w:rPr>
          <w:b/>
          <w:bCs/>
        </w:rPr>
        <w:t>Employment rate in the informal sector, 2007–2018</w:t>
      </w:r>
    </w:p>
    <w:p w:rsidR="00CF1EDE" w:rsidRPr="00E80C1B" w:rsidRDefault="00CF1EDE" w:rsidP="003E2F31">
      <w:pPr>
        <w:pStyle w:val="SingleTxtG"/>
      </w:pPr>
      <w:r w:rsidRPr="00E80C1B">
        <w:rPr>
          <w:noProof/>
          <w:lang w:val="en-US"/>
        </w:rPr>
        <w:drawing>
          <wp:inline distT="0" distB="0" distL="0" distR="0" wp14:anchorId="01A112E5" wp14:editId="1B5E7F4F">
            <wp:extent cx="8004810" cy="2420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4810" cy="2420620"/>
                    </a:xfrm>
                    <a:prstGeom prst="rect">
                      <a:avLst/>
                    </a:prstGeom>
                    <a:noFill/>
                  </pic:spPr>
                </pic:pic>
              </a:graphicData>
            </a:graphic>
          </wp:inline>
        </w:drawing>
      </w:r>
    </w:p>
    <w:p w:rsidR="00CF1EDE" w:rsidRPr="003E2F31" w:rsidRDefault="00CF1EDE" w:rsidP="003E2F31">
      <w:pPr>
        <w:spacing w:before="120"/>
        <w:ind w:left="1134" w:right="1134" w:firstLine="170"/>
        <w:rPr>
          <w:sz w:val="18"/>
        </w:rPr>
      </w:pPr>
      <w:r w:rsidRPr="003E2F31">
        <w:rPr>
          <w:i/>
          <w:iCs/>
          <w:sz w:val="18"/>
        </w:rPr>
        <w:t>Source</w:t>
      </w:r>
      <w:r w:rsidRPr="003E2F31">
        <w:rPr>
          <w:sz w:val="18"/>
        </w:rPr>
        <w:t>: National Statistics and Census Institute.</w:t>
      </w:r>
    </w:p>
    <w:p w:rsidR="003530C3" w:rsidRPr="003E2F31" w:rsidRDefault="003530C3" w:rsidP="003E2F31">
      <w:pPr>
        <w:spacing w:before="120"/>
        <w:ind w:left="1134" w:right="1134" w:firstLine="170"/>
        <w:rPr>
          <w:sz w:val="18"/>
        </w:rPr>
        <w:sectPr w:rsidR="003530C3" w:rsidRPr="003E2F31" w:rsidSect="008438F9">
          <w:headerReference w:type="default" r:id="rId33"/>
          <w:footerReference w:type="default" r:id="rId34"/>
          <w:endnotePr>
            <w:numFmt w:val="decimal"/>
          </w:endnotePr>
          <w:pgSz w:w="16840" w:h="11907" w:orient="landscape" w:code="9"/>
          <w:pgMar w:top="1134" w:right="1417" w:bottom="1134" w:left="1134" w:header="567" w:footer="567" w:gutter="0"/>
          <w:cols w:space="720"/>
          <w:docGrid w:linePitch="272"/>
        </w:sectPr>
      </w:pPr>
    </w:p>
    <w:p w:rsidR="00CF1EDE" w:rsidRPr="00E80C1B" w:rsidRDefault="00CF1EDE" w:rsidP="006A4331">
      <w:pPr>
        <w:pStyle w:val="SingleTxtG"/>
      </w:pPr>
      <w:r w:rsidRPr="00E80C1B">
        <w:lastRenderedPageBreak/>
        <w:t>55.</w:t>
      </w:r>
      <w:r w:rsidRPr="00E80C1B">
        <w:tab/>
        <w:t>The following initiatives have been undertaken in an effort to gradually regularize the economic and productive activities of people working in the informal economy. The main objective is to assist with skill development:</w:t>
      </w:r>
    </w:p>
    <w:p w:rsidR="00CF1EDE" w:rsidRPr="00E80C1B" w:rsidRDefault="00245093" w:rsidP="00245093">
      <w:pPr>
        <w:pStyle w:val="Bullet1G"/>
        <w:numPr>
          <w:ilvl w:val="0"/>
          <w:numId w:val="0"/>
        </w:numPr>
        <w:tabs>
          <w:tab w:val="left" w:pos="1701"/>
        </w:tabs>
        <w:ind w:left="1701" w:hanging="170"/>
      </w:pPr>
      <w:r w:rsidRPr="00E80C1B">
        <w:t>•</w:t>
      </w:r>
      <w:r w:rsidRPr="00E80C1B">
        <w:tab/>
      </w:r>
      <w:r w:rsidR="00CF1EDE" w:rsidRPr="00E80C1B">
        <w:t>A workshop for people close to retirement, with 108 beneficiaries</w:t>
      </w:r>
    </w:p>
    <w:p w:rsidR="00CF1EDE" w:rsidRPr="00E80C1B" w:rsidRDefault="00245093" w:rsidP="00245093">
      <w:pPr>
        <w:pStyle w:val="Bullet1G"/>
        <w:numPr>
          <w:ilvl w:val="0"/>
          <w:numId w:val="0"/>
        </w:numPr>
        <w:tabs>
          <w:tab w:val="left" w:pos="1701"/>
        </w:tabs>
        <w:ind w:left="1701" w:hanging="170"/>
      </w:pPr>
      <w:r w:rsidRPr="00E80C1B">
        <w:t>•</w:t>
      </w:r>
      <w:r w:rsidRPr="00E80C1B">
        <w:tab/>
      </w:r>
      <w:r w:rsidR="00CF1EDE" w:rsidRPr="00E80C1B">
        <w:t xml:space="preserve">A workshop on generating business ideas, with 150 beneficiaries </w:t>
      </w:r>
    </w:p>
    <w:p w:rsidR="00CF1EDE" w:rsidRPr="00E80C1B" w:rsidRDefault="00245093" w:rsidP="00245093">
      <w:pPr>
        <w:pStyle w:val="Bullet1G"/>
        <w:numPr>
          <w:ilvl w:val="0"/>
          <w:numId w:val="0"/>
        </w:numPr>
        <w:tabs>
          <w:tab w:val="left" w:pos="1701"/>
        </w:tabs>
        <w:ind w:left="1701" w:hanging="170"/>
      </w:pPr>
      <w:r w:rsidRPr="00E80C1B">
        <w:t>•</w:t>
      </w:r>
      <w:r w:rsidRPr="00E80C1B">
        <w:tab/>
      </w:r>
      <w:r w:rsidR="00CF1EDE" w:rsidRPr="00E80C1B">
        <w:t>A workshop on career guidance and assistance for jobseekers aimed at improving soft skills and technical and behavioural competencies, with 193 beneficiaries</w:t>
      </w:r>
    </w:p>
    <w:p w:rsidR="00CF1EDE" w:rsidRPr="00E80C1B" w:rsidRDefault="00245093" w:rsidP="00245093">
      <w:pPr>
        <w:pStyle w:val="Bullet1G"/>
        <w:numPr>
          <w:ilvl w:val="0"/>
          <w:numId w:val="0"/>
        </w:numPr>
        <w:tabs>
          <w:tab w:val="left" w:pos="1701"/>
        </w:tabs>
        <w:ind w:left="1701" w:hanging="170"/>
      </w:pPr>
      <w:r w:rsidRPr="00E80C1B">
        <w:t>•</w:t>
      </w:r>
      <w:r w:rsidRPr="00E80C1B">
        <w:tab/>
      </w:r>
      <w:r w:rsidR="00CF1EDE" w:rsidRPr="00E80C1B">
        <w:t>Issuance of 22,824 work permits to migrants for employment in the public and private sectors.</w:t>
      </w:r>
    </w:p>
    <w:p w:rsidR="00CF1EDE" w:rsidRPr="00E80C1B" w:rsidRDefault="00CF1EDE" w:rsidP="006A4331">
      <w:pPr>
        <w:pStyle w:val="SingleTxtG"/>
      </w:pPr>
      <w:r w:rsidRPr="00E80C1B">
        <w:t>56.</w:t>
      </w:r>
      <w:r w:rsidRPr="00E80C1B">
        <w:tab/>
        <w:t>Labour inspections have had an impact in terms of motivating employers to honour their obligations and promoting the recognition of the social rights and benefits that derive from employment.</w:t>
      </w:r>
    </w:p>
    <w:p w:rsidR="008438F9" w:rsidRDefault="00CF1EDE" w:rsidP="006A4331">
      <w:pPr>
        <w:pStyle w:val="SingleTxtG"/>
      </w:pPr>
      <w:r w:rsidRPr="00E80C1B">
        <w:t>57.</w:t>
      </w:r>
      <w:r w:rsidRPr="00E80C1B">
        <w:tab/>
        <w:t>There is also a national system for monitoring labour inspectors. This system</w:t>
      </w:r>
      <w:r w:rsidR="0086053F">
        <w:t xml:space="preserve"> </w:t>
      </w:r>
      <w:r w:rsidRPr="00E80C1B">
        <w:t xml:space="preserve">records the payment of social benefits to all workers, including the bonuses known as the </w:t>
      </w:r>
      <w:r w:rsidR="00BB6C88">
        <w:t>“</w:t>
      </w:r>
      <w:r w:rsidRPr="00E80C1B">
        <w:t>thirteenth and fourteenth salaries</w:t>
      </w:r>
      <w:r w:rsidR="00BB6C88">
        <w:t>”</w:t>
      </w:r>
      <w:r w:rsidRPr="00E80C1B">
        <w:t>, profit-sharing arrangements and a decent wage. Employers are required to record this information; if they do not, or are late in doing so, the system will automatically generate fines, which must then be paid and reported in the system.</w:t>
      </w:r>
      <w:bookmarkStart w:id="35" w:name="_Toc17473157"/>
      <w:bookmarkStart w:id="36" w:name="_Toc17473225"/>
      <w:bookmarkStart w:id="37" w:name="_Toc17473858"/>
    </w:p>
    <w:p w:rsidR="00CF1EDE" w:rsidRPr="00E80C1B" w:rsidRDefault="00CF1EDE" w:rsidP="008438F9">
      <w:pPr>
        <w:pStyle w:val="H1G"/>
      </w:pPr>
      <w:r w:rsidRPr="00E80C1B">
        <w:tab/>
      </w:r>
      <w:r w:rsidRPr="00E80C1B">
        <w:tab/>
        <w:t>Reply to questions raised in paragraph 15 of the list of issues</w:t>
      </w:r>
    </w:p>
    <w:bookmarkEnd w:id="35"/>
    <w:bookmarkEnd w:id="36"/>
    <w:bookmarkEnd w:id="37"/>
    <w:p w:rsidR="0028273D" w:rsidRDefault="00CF1EDE" w:rsidP="006A4331">
      <w:pPr>
        <w:pStyle w:val="SingleTxtG"/>
      </w:pPr>
      <w:r w:rsidRPr="00E80C1B">
        <w:t>58.</w:t>
      </w:r>
      <w:r w:rsidRPr="00E80C1B">
        <w:tab/>
        <w:t>The wage gap between men and women was 17.9 per cent in 2018, compared with 24.9 per cent in 2008, for a reduction of 7 percentage points.</w:t>
      </w:r>
    </w:p>
    <w:p w:rsidR="00CF1EDE" w:rsidRPr="0028273D" w:rsidRDefault="00CF1EDE" w:rsidP="0028273D">
      <w:pPr>
        <w:pStyle w:val="Heading1"/>
        <w:spacing w:after="120"/>
        <w:rPr>
          <w:b/>
          <w:bCs/>
        </w:rPr>
      </w:pPr>
      <w:r w:rsidRPr="00E80C1B">
        <w:t xml:space="preserve">Table 7 </w:t>
      </w:r>
      <w:r w:rsidR="0028273D">
        <w:br/>
      </w:r>
      <w:r w:rsidRPr="0028273D">
        <w:rPr>
          <w:b/>
          <w:bCs/>
        </w:rPr>
        <w:t>Labour income gap, 2007–2021</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837"/>
        <w:gridCol w:w="716"/>
        <w:gridCol w:w="717"/>
        <w:gridCol w:w="708"/>
        <w:gridCol w:w="709"/>
        <w:gridCol w:w="709"/>
        <w:gridCol w:w="709"/>
        <w:gridCol w:w="709"/>
        <w:gridCol w:w="651"/>
        <w:gridCol w:w="652"/>
        <w:gridCol w:w="651"/>
        <w:gridCol w:w="652"/>
        <w:gridCol w:w="652"/>
      </w:tblGrid>
      <w:tr w:rsidR="0028273D" w:rsidRPr="0028273D" w:rsidTr="00BB01C9">
        <w:trPr>
          <w:tblHeader/>
        </w:trPr>
        <w:tc>
          <w:tcPr>
            <w:tcW w:w="567" w:type="dxa"/>
            <w:tcBorders>
              <w:top w:val="single" w:sz="4" w:space="0" w:color="auto"/>
              <w:bottom w:val="nil"/>
            </w:tcBorders>
            <w:shd w:val="clear" w:color="auto" w:fill="auto"/>
            <w:vAlign w:val="bottom"/>
          </w:tcPr>
          <w:p w:rsidR="00CF1EDE" w:rsidRPr="0028273D" w:rsidRDefault="00CF1EDE" w:rsidP="0028273D">
            <w:pPr>
              <w:suppressAutoHyphens w:val="0"/>
              <w:spacing w:before="80" w:after="80" w:line="200" w:lineRule="exact"/>
              <w:ind w:right="113"/>
              <w:rPr>
                <w:i/>
                <w:sz w:val="16"/>
              </w:rPr>
            </w:pPr>
          </w:p>
        </w:tc>
        <w:tc>
          <w:tcPr>
            <w:tcW w:w="2270" w:type="dxa"/>
            <w:gridSpan w:val="3"/>
            <w:tcBorders>
              <w:top w:val="single" w:sz="4" w:space="0" w:color="auto"/>
              <w:bottom w:val="single" w:sz="4" w:space="0" w:color="auto"/>
              <w:right w:val="single" w:sz="24" w:space="0" w:color="FFFFFF" w:themeColor="background1"/>
            </w:tcBorders>
            <w:shd w:val="clear" w:color="auto" w:fill="auto"/>
            <w:vAlign w:val="bottom"/>
          </w:tcPr>
          <w:p w:rsidR="00CF1EDE" w:rsidRPr="0028273D" w:rsidRDefault="00CF1EDE" w:rsidP="00BB01C9">
            <w:pPr>
              <w:suppressAutoHyphens w:val="0"/>
              <w:spacing w:before="80" w:after="80" w:line="200" w:lineRule="exact"/>
              <w:ind w:right="113"/>
              <w:jc w:val="center"/>
              <w:rPr>
                <w:i/>
                <w:sz w:val="16"/>
              </w:rPr>
            </w:pPr>
            <w:r w:rsidRPr="0028273D">
              <w:rPr>
                <w:i/>
                <w:sz w:val="16"/>
              </w:rPr>
              <w:t>Geographical area</w:t>
            </w:r>
          </w:p>
        </w:tc>
        <w:tc>
          <w:tcPr>
            <w:tcW w:w="3544" w:type="dxa"/>
            <w:gridSpan w:val="5"/>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F1EDE" w:rsidRPr="0028273D" w:rsidRDefault="00CF1EDE" w:rsidP="00BB01C9">
            <w:pPr>
              <w:suppressAutoHyphens w:val="0"/>
              <w:spacing w:before="80" w:after="80" w:line="200" w:lineRule="exact"/>
              <w:ind w:right="113"/>
              <w:jc w:val="center"/>
              <w:rPr>
                <w:i/>
                <w:sz w:val="16"/>
              </w:rPr>
            </w:pPr>
            <w:r w:rsidRPr="0028273D">
              <w:rPr>
                <w:i/>
                <w:sz w:val="16"/>
              </w:rPr>
              <w:t>Age group</w:t>
            </w:r>
          </w:p>
        </w:tc>
        <w:tc>
          <w:tcPr>
            <w:tcW w:w="3258" w:type="dxa"/>
            <w:gridSpan w:val="5"/>
            <w:tcBorders>
              <w:top w:val="single" w:sz="4" w:space="0" w:color="auto"/>
              <w:left w:val="single" w:sz="24" w:space="0" w:color="FFFFFF" w:themeColor="background1"/>
              <w:bottom w:val="single" w:sz="4" w:space="0" w:color="auto"/>
            </w:tcBorders>
            <w:shd w:val="clear" w:color="auto" w:fill="auto"/>
            <w:vAlign w:val="bottom"/>
          </w:tcPr>
          <w:p w:rsidR="00CF1EDE" w:rsidRPr="0028273D" w:rsidRDefault="00CF1EDE" w:rsidP="00BB01C9">
            <w:pPr>
              <w:suppressAutoHyphens w:val="0"/>
              <w:spacing w:before="80" w:after="80" w:line="200" w:lineRule="exact"/>
              <w:ind w:right="113"/>
              <w:jc w:val="center"/>
              <w:rPr>
                <w:i/>
                <w:sz w:val="16"/>
              </w:rPr>
            </w:pPr>
            <w:r w:rsidRPr="0028273D">
              <w:rPr>
                <w:i/>
                <w:sz w:val="16"/>
              </w:rPr>
              <w:t>Income quintile</w:t>
            </w:r>
          </w:p>
        </w:tc>
      </w:tr>
      <w:tr w:rsidR="0028273D" w:rsidRPr="0028273D" w:rsidTr="00BB01C9">
        <w:tc>
          <w:tcPr>
            <w:tcW w:w="567" w:type="dxa"/>
            <w:tcBorders>
              <w:top w:val="nil"/>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Year</w:t>
            </w:r>
          </w:p>
        </w:tc>
        <w:tc>
          <w:tcPr>
            <w:tcW w:w="837" w:type="dxa"/>
            <w:tcBorders>
              <w:top w:val="single" w:sz="4" w:space="0" w:color="auto"/>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National</w:t>
            </w:r>
          </w:p>
        </w:tc>
        <w:tc>
          <w:tcPr>
            <w:tcW w:w="716" w:type="dxa"/>
            <w:tcBorders>
              <w:top w:val="single" w:sz="4" w:space="0" w:color="auto"/>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Urban</w:t>
            </w:r>
          </w:p>
        </w:tc>
        <w:tc>
          <w:tcPr>
            <w:tcW w:w="717" w:type="dxa"/>
            <w:tcBorders>
              <w:top w:val="single" w:sz="4" w:space="0" w:color="auto"/>
              <w:bottom w:val="single" w:sz="12" w:space="0" w:color="auto"/>
              <w:right w:val="single" w:sz="24" w:space="0" w:color="FFFFFF" w:themeColor="background1"/>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Rural</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15</w:t>
            </w:r>
            <w:r w:rsidR="00BB01C9">
              <w:rPr>
                <w:i/>
                <w:sz w:val="16"/>
              </w:rPr>
              <w:t>–</w:t>
            </w:r>
            <w:r w:rsidRPr="00BB01C9">
              <w:rPr>
                <w:i/>
                <w:sz w:val="16"/>
              </w:rPr>
              <w:t>24</w:t>
            </w:r>
          </w:p>
        </w:tc>
        <w:tc>
          <w:tcPr>
            <w:tcW w:w="709" w:type="dxa"/>
            <w:tcBorders>
              <w:top w:val="single" w:sz="4" w:space="0" w:color="auto"/>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25</w:t>
            </w:r>
            <w:r w:rsidR="00BB01C9">
              <w:rPr>
                <w:i/>
                <w:sz w:val="16"/>
              </w:rPr>
              <w:t>–</w:t>
            </w:r>
            <w:r w:rsidRPr="00BB01C9">
              <w:rPr>
                <w:i/>
                <w:sz w:val="16"/>
              </w:rPr>
              <w:t>34</w:t>
            </w:r>
          </w:p>
        </w:tc>
        <w:tc>
          <w:tcPr>
            <w:tcW w:w="709" w:type="dxa"/>
            <w:tcBorders>
              <w:top w:val="single" w:sz="4" w:space="0" w:color="auto"/>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35</w:t>
            </w:r>
            <w:r w:rsidR="00BB01C9">
              <w:rPr>
                <w:i/>
                <w:sz w:val="16"/>
              </w:rPr>
              <w:t>–</w:t>
            </w:r>
            <w:r w:rsidRPr="00BB01C9">
              <w:rPr>
                <w:i/>
                <w:sz w:val="16"/>
              </w:rPr>
              <w:t>44</w:t>
            </w:r>
          </w:p>
        </w:tc>
        <w:tc>
          <w:tcPr>
            <w:tcW w:w="709" w:type="dxa"/>
            <w:tcBorders>
              <w:top w:val="single" w:sz="4" w:space="0" w:color="auto"/>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45</w:t>
            </w:r>
            <w:r w:rsidR="00BB01C9">
              <w:rPr>
                <w:i/>
                <w:sz w:val="16"/>
              </w:rPr>
              <w:t>–</w:t>
            </w:r>
            <w:r w:rsidRPr="00BB01C9">
              <w:rPr>
                <w:i/>
                <w:sz w:val="16"/>
              </w:rPr>
              <w:t>64</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65 and over</w:t>
            </w:r>
          </w:p>
        </w:tc>
        <w:tc>
          <w:tcPr>
            <w:tcW w:w="651" w:type="dxa"/>
            <w:tcBorders>
              <w:top w:val="single" w:sz="4" w:space="0" w:color="auto"/>
              <w:left w:val="single" w:sz="24" w:space="0" w:color="FFFFFF" w:themeColor="background1"/>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Q1</w:t>
            </w:r>
          </w:p>
        </w:tc>
        <w:tc>
          <w:tcPr>
            <w:tcW w:w="652" w:type="dxa"/>
            <w:tcBorders>
              <w:top w:val="single" w:sz="4" w:space="0" w:color="auto"/>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Q2</w:t>
            </w:r>
          </w:p>
        </w:tc>
        <w:tc>
          <w:tcPr>
            <w:tcW w:w="651" w:type="dxa"/>
            <w:tcBorders>
              <w:top w:val="single" w:sz="4" w:space="0" w:color="auto"/>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Q3</w:t>
            </w:r>
          </w:p>
        </w:tc>
        <w:tc>
          <w:tcPr>
            <w:tcW w:w="652" w:type="dxa"/>
            <w:tcBorders>
              <w:top w:val="single" w:sz="4" w:space="0" w:color="auto"/>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Q4</w:t>
            </w:r>
          </w:p>
        </w:tc>
        <w:tc>
          <w:tcPr>
            <w:tcW w:w="652" w:type="dxa"/>
            <w:tcBorders>
              <w:top w:val="single" w:sz="4" w:space="0" w:color="auto"/>
              <w:bottom w:val="single" w:sz="12" w:space="0" w:color="auto"/>
            </w:tcBorders>
            <w:shd w:val="clear" w:color="auto" w:fill="auto"/>
            <w:vAlign w:val="bottom"/>
          </w:tcPr>
          <w:p w:rsidR="0028273D" w:rsidRPr="00BB01C9" w:rsidRDefault="0028273D" w:rsidP="0028273D">
            <w:pPr>
              <w:suppressAutoHyphens w:val="0"/>
              <w:spacing w:before="40" w:after="40" w:line="220" w:lineRule="exact"/>
              <w:ind w:right="113"/>
              <w:jc w:val="right"/>
              <w:rPr>
                <w:i/>
                <w:sz w:val="16"/>
              </w:rPr>
            </w:pPr>
            <w:r w:rsidRPr="00BB01C9">
              <w:rPr>
                <w:i/>
                <w:sz w:val="16"/>
              </w:rPr>
              <w:t>Q5</w:t>
            </w:r>
          </w:p>
        </w:tc>
      </w:tr>
      <w:tr w:rsidR="0028273D" w:rsidRPr="0028273D" w:rsidTr="00BB01C9">
        <w:tc>
          <w:tcPr>
            <w:tcW w:w="567" w:type="dxa"/>
            <w:tcBorders>
              <w:top w:val="single" w:sz="12" w:space="0" w:color="auto"/>
            </w:tcBorders>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2007</w:t>
            </w:r>
          </w:p>
        </w:tc>
        <w:tc>
          <w:tcPr>
            <w:tcW w:w="837"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23.8</w:t>
            </w:r>
          </w:p>
        </w:tc>
        <w:tc>
          <w:tcPr>
            <w:tcW w:w="716"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31.1</w:t>
            </w:r>
          </w:p>
        </w:tc>
        <w:tc>
          <w:tcPr>
            <w:tcW w:w="717"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42.1</w:t>
            </w:r>
          </w:p>
        </w:tc>
        <w:tc>
          <w:tcPr>
            <w:tcW w:w="708"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9.5</w:t>
            </w:r>
          </w:p>
        </w:tc>
        <w:tc>
          <w:tcPr>
            <w:tcW w:w="709"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22.3</w:t>
            </w:r>
          </w:p>
        </w:tc>
        <w:tc>
          <w:tcPr>
            <w:tcW w:w="709"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30.7</w:t>
            </w:r>
          </w:p>
        </w:tc>
        <w:tc>
          <w:tcPr>
            <w:tcW w:w="709"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35.0</w:t>
            </w:r>
          </w:p>
        </w:tc>
        <w:tc>
          <w:tcPr>
            <w:tcW w:w="709"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50.3</w:t>
            </w:r>
          </w:p>
        </w:tc>
        <w:tc>
          <w:tcPr>
            <w:tcW w:w="651"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39.4</w:t>
            </w:r>
          </w:p>
        </w:tc>
        <w:tc>
          <w:tcPr>
            <w:tcW w:w="652"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42.3</w:t>
            </w:r>
          </w:p>
        </w:tc>
        <w:tc>
          <w:tcPr>
            <w:tcW w:w="651"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36.3</w:t>
            </w:r>
          </w:p>
        </w:tc>
        <w:tc>
          <w:tcPr>
            <w:tcW w:w="652"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31.7</w:t>
            </w:r>
          </w:p>
        </w:tc>
        <w:tc>
          <w:tcPr>
            <w:tcW w:w="652" w:type="dxa"/>
            <w:tcBorders>
              <w:top w:val="single" w:sz="12" w:space="0" w:color="auto"/>
            </w:tcBorders>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38.5</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2008</w:t>
            </w:r>
          </w:p>
        </w:tc>
        <w:tc>
          <w:tcPr>
            <w:tcW w:w="83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24.9</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29.4</w:t>
            </w: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29.1</w:t>
            </w: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11.9</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19.2</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31.5</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27.0</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40.1</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43.0</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38.2</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38.1</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30.2</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33.9</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2009</w:t>
            </w:r>
          </w:p>
        </w:tc>
        <w:tc>
          <w:tcPr>
            <w:tcW w:w="83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22.4</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25.9</w:t>
            </w: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31.6</w:t>
            </w: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8.2</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23.1</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22.0</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28.4</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34.5</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38.9</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41.2</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33.0</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23.3</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31.0</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2010</w:t>
            </w:r>
          </w:p>
        </w:tc>
        <w:tc>
          <w:tcPr>
            <w:tcW w:w="83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18.6</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23.1</w:t>
            </w: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26.5</w:t>
            </w: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4.4</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16.0</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25.2</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22.4</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22.5</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37.0</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35.4</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29.4</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21.6</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28.5</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2011</w:t>
            </w:r>
          </w:p>
        </w:tc>
        <w:tc>
          <w:tcPr>
            <w:tcW w:w="83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20.8</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24.4</w:t>
            </w: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26.1</w:t>
            </w: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3.5</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16.1</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23.6</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27.1</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37.5</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46.8</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38.3</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33.7</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27.7</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24.0</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2012</w:t>
            </w:r>
          </w:p>
        </w:tc>
        <w:tc>
          <w:tcPr>
            <w:tcW w:w="83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17.2</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20.6</w:t>
            </w: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27.4</w:t>
            </w: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0.6</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11.4</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21.9</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24.1</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33.5</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39.2</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39.0</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25.5</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21.5</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24.8</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2013</w:t>
            </w:r>
          </w:p>
        </w:tc>
        <w:tc>
          <w:tcPr>
            <w:tcW w:w="83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21.1</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23.4</w:t>
            </w: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27.4</w:t>
            </w: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6.5</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15.5</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17.2</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32.8</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40.2</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39.9</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38.9</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31.6</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23.5</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28.6</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2014</w:t>
            </w:r>
          </w:p>
        </w:tc>
        <w:tc>
          <w:tcPr>
            <w:tcW w:w="83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23.0</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23.1</w:t>
            </w: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31.1</w:t>
            </w: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13.2</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16.3</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27.3</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30.9</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37.5</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41.4</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40.6</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33.2</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28.2</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26.3</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2015</w:t>
            </w:r>
          </w:p>
        </w:tc>
        <w:tc>
          <w:tcPr>
            <w:tcW w:w="83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22.5</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22.4</w:t>
            </w: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33.4</w:t>
            </w: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16.7</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14.1</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23.1</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32.5</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45.0</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43.2</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4.0</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34.5</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29.1</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25.7</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2016</w:t>
            </w:r>
          </w:p>
        </w:tc>
        <w:tc>
          <w:tcPr>
            <w:tcW w:w="83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21.9</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21.1</w:t>
            </w: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32.9</w:t>
            </w: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16.7</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14.0</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27.2</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28.7</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37.5</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41.3</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44.9</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35.6</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28.4</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22.6</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2017</w:t>
            </w:r>
          </w:p>
        </w:tc>
        <w:tc>
          <w:tcPr>
            <w:tcW w:w="83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20.0</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19.8</w:t>
            </w: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30.2</w:t>
            </w: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7.1</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17.3</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23.8</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25.8</w:t>
            </w: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29.9</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43.1</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42.3</w:t>
            </w: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36.6</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27.9</w:t>
            </w: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r w:rsidRPr="0028273D">
              <w:rPr>
                <w:sz w:val="18"/>
              </w:rPr>
              <w:t>20.2</w:t>
            </w: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2018</w:t>
            </w:r>
            <w:r w:rsidRPr="007239EC">
              <w:rPr>
                <w:rStyle w:val="FootnoteReference"/>
              </w:rPr>
              <w:t>*</w:t>
            </w:r>
          </w:p>
        </w:tc>
        <w:tc>
          <w:tcPr>
            <w:tcW w:w="837" w:type="dxa"/>
            <w:shd w:val="clear" w:color="auto" w:fill="auto"/>
            <w:vAlign w:val="bottom"/>
          </w:tcPr>
          <w:p w:rsidR="0028273D" w:rsidRPr="00185181" w:rsidRDefault="0028273D" w:rsidP="0028273D">
            <w:pPr>
              <w:suppressAutoHyphens w:val="0"/>
              <w:spacing w:before="40" w:after="40" w:line="220" w:lineRule="exact"/>
              <w:ind w:right="113"/>
              <w:jc w:val="right"/>
              <w:rPr>
                <w:i/>
                <w:iCs/>
                <w:sz w:val="18"/>
              </w:rPr>
            </w:pPr>
            <w:r w:rsidRPr="00185181">
              <w:rPr>
                <w:i/>
                <w:iCs/>
                <w:sz w:val="18"/>
              </w:rPr>
              <w:t>19.1</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2019</w:t>
            </w:r>
            <w:r w:rsidRPr="007239EC">
              <w:rPr>
                <w:rStyle w:val="FootnoteReference"/>
              </w:rPr>
              <w:t>*</w:t>
            </w:r>
          </w:p>
        </w:tc>
        <w:tc>
          <w:tcPr>
            <w:tcW w:w="837" w:type="dxa"/>
            <w:shd w:val="clear" w:color="auto" w:fill="auto"/>
            <w:vAlign w:val="bottom"/>
          </w:tcPr>
          <w:p w:rsidR="0028273D" w:rsidRPr="00185181" w:rsidRDefault="0028273D" w:rsidP="0028273D">
            <w:pPr>
              <w:suppressAutoHyphens w:val="0"/>
              <w:spacing w:before="40" w:after="40" w:line="220" w:lineRule="exact"/>
              <w:ind w:right="113"/>
              <w:jc w:val="right"/>
              <w:rPr>
                <w:i/>
                <w:iCs/>
                <w:sz w:val="18"/>
              </w:rPr>
            </w:pPr>
            <w:r w:rsidRPr="00185181">
              <w:rPr>
                <w:i/>
                <w:iCs/>
                <w:sz w:val="18"/>
              </w:rPr>
              <w:t>18.9</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2020</w:t>
            </w:r>
            <w:r w:rsidRPr="007239EC">
              <w:rPr>
                <w:rStyle w:val="FootnoteReference"/>
              </w:rPr>
              <w:t>*</w:t>
            </w:r>
          </w:p>
        </w:tc>
        <w:tc>
          <w:tcPr>
            <w:tcW w:w="837" w:type="dxa"/>
            <w:shd w:val="clear" w:color="auto" w:fill="auto"/>
            <w:vAlign w:val="bottom"/>
          </w:tcPr>
          <w:p w:rsidR="0028273D" w:rsidRPr="00185181" w:rsidRDefault="0028273D" w:rsidP="0028273D">
            <w:pPr>
              <w:suppressAutoHyphens w:val="0"/>
              <w:spacing w:before="40" w:after="40" w:line="220" w:lineRule="exact"/>
              <w:ind w:right="113"/>
              <w:jc w:val="right"/>
              <w:rPr>
                <w:i/>
                <w:iCs/>
                <w:sz w:val="18"/>
              </w:rPr>
            </w:pPr>
            <w:r w:rsidRPr="00185181">
              <w:rPr>
                <w:i/>
                <w:iCs/>
                <w:sz w:val="18"/>
              </w:rPr>
              <w:t>18.6</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r>
      <w:tr w:rsidR="0028273D" w:rsidRPr="0028273D" w:rsidTr="0028273D">
        <w:tc>
          <w:tcPr>
            <w:tcW w:w="567" w:type="dxa"/>
            <w:shd w:val="clear" w:color="auto" w:fill="auto"/>
          </w:tcPr>
          <w:p w:rsidR="0028273D" w:rsidRPr="0028273D" w:rsidRDefault="0028273D" w:rsidP="0028273D">
            <w:pPr>
              <w:suppressAutoHyphens w:val="0"/>
              <w:spacing w:before="40" w:after="40" w:line="220" w:lineRule="exact"/>
              <w:ind w:right="113"/>
              <w:rPr>
                <w:sz w:val="18"/>
              </w:rPr>
            </w:pPr>
            <w:r w:rsidRPr="0028273D">
              <w:rPr>
                <w:sz w:val="18"/>
              </w:rPr>
              <w:t>2021</w:t>
            </w:r>
            <w:r w:rsidRPr="007239EC">
              <w:rPr>
                <w:rStyle w:val="FootnoteReference"/>
              </w:rPr>
              <w:t>*</w:t>
            </w:r>
          </w:p>
        </w:tc>
        <w:tc>
          <w:tcPr>
            <w:tcW w:w="837" w:type="dxa"/>
            <w:shd w:val="clear" w:color="auto" w:fill="auto"/>
            <w:vAlign w:val="bottom"/>
          </w:tcPr>
          <w:p w:rsidR="0028273D" w:rsidRPr="00185181" w:rsidRDefault="0028273D" w:rsidP="0028273D">
            <w:pPr>
              <w:suppressAutoHyphens w:val="0"/>
              <w:spacing w:before="40" w:after="40" w:line="220" w:lineRule="exact"/>
              <w:ind w:right="113"/>
              <w:jc w:val="right"/>
              <w:rPr>
                <w:i/>
                <w:iCs/>
                <w:sz w:val="18"/>
              </w:rPr>
            </w:pPr>
            <w:r w:rsidRPr="00185181">
              <w:rPr>
                <w:i/>
                <w:iCs/>
                <w:sz w:val="18"/>
              </w:rPr>
              <w:t>18.4</w:t>
            </w:r>
          </w:p>
        </w:tc>
        <w:tc>
          <w:tcPr>
            <w:tcW w:w="716"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17"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8"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709"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1"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c>
          <w:tcPr>
            <w:tcW w:w="652" w:type="dxa"/>
            <w:shd w:val="clear" w:color="auto" w:fill="auto"/>
            <w:vAlign w:val="bottom"/>
          </w:tcPr>
          <w:p w:rsidR="0028273D" w:rsidRPr="0028273D" w:rsidRDefault="0028273D" w:rsidP="0028273D">
            <w:pPr>
              <w:suppressAutoHyphens w:val="0"/>
              <w:spacing w:before="40" w:after="40" w:line="220" w:lineRule="exact"/>
              <w:ind w:right="113"/>
              <w:jc w:val="right"/>
              <w:rPr>
                <w:sz w:val="18"/>
              </w:rPr>
            </w:pPr>
          </w:p>
        </w:tc>
      </w:tr>
    </w:tbl>
    <w:p w:rsidR="00CF1EDE" w:rsidRPr="007239EC" w:rsidRDefault="00CF1EDE" w:rsidP="007239EC">
      <w:pPr>
        <w:pStyle w:val="SingleTxtG"/>
        <w:spacing w:before="120" w:after="0"/>
        <w:ind w:firstLine="170"/>
        <w:jc w:val="left"/>
        <w:rPr>
          <w:sz w:val="18"/>
          <w:lang w:eastAsia="en-US"/>
        </w:rPr>
      </w:pPr>
      <w:r w:rsidRPr="007239EC">
        <w:rPr>
          <w:i/>
          <w:iCs/>
          <w:sz w:val="18"/>
          <w:lang w:eastAsia="en-US"/>
        </w:rPr>
        <w:t>Source</w:t>
      </w:r>
      <w:r w:rsidRPr="007239EC">
        <w:rPr>
          <w:sz w:val="18"/>
          <w:lang w:eastAsia="en-US"/>
        </w:rPr>
        <w:t>: National Information System and National Statistics and Census Institute, national survey on employment, unemployment and underemployment.</w:t>
      </w:r>
    </w:p>
    <w:p w:rsidR="00CF1EDE" w:rsidRPr="007239EC" w:rsidRDefault="00CF1EDE" w:rsidP="007239EC">
      <w:pPr>
        <w:pStyle w:val="SingleTxtG"/>
        <w:spacing w:before="120" w:after="240"/>
        <w:ind w:firstLine="170"/>
        <w:jc w:val="left"/>
        <w:rPr>
          <w:sz w:val="18"/>
          <w:lang w:eastAsia="en-US"/>
        </w:rPr>
      </w:pPr>
      <w:r w:rsidRPr="007239EC">
        <w:rPr>
          <w:sz w:val="18"/>
          <w:lang w:eastAsia="en-US"/>
        </w:rPr>
        <w:t>*</w:t>
      </w:r>
      <w:r w:rsidRPr="007239EC">
        <w:rPr>
          <w:sz w:val="18"/>
          <w:lang w:eastAsia="en-US"/>
        </w:rPr>
        <w:tab/>
        <w:t>The labour income gap measures the difference between the average labour income of women and men, expressed as a percentage of men</w:t>
      </w:r>
      <w:r w:rsidR="00BB6C88">
        <w:rPr>
          <w:sz w:val="18"/>
          <w:lang w:eastAsia="en-US"/>
        </w:rPr>
        <w:t>’</w:t>
      </w:r>
      <w:r w:rsidRPr="007239EC">
        <w:rPr>
          <w:sz w:val="18"/>
          <w:lang w:eastAsia="en-US"/>
        </w:rPr>
        <w:t>s average income. In 2017, the national wage gap between women and men was 20 per cent (National Information System).</w:t>
      </w:r>
    </w:p>
    <w:p w:rsidR="00A92E7D" w:rsidRPr="00E80C1B" w:rsidRDefault="00A92E7D" w:rsidP="006A4331">
      <w:pPr>
        <w:pStyle w:val="SingleTxtG"/>
      </w:pPr>
      <w:r w:rsidRPr="00E80C1B">
        <w:lastRenderedPageBreak/>
        <w:t>59.</w:t>
      </w:r>
      <w:r w:rsidRPr="00E80C1B">
        <w:tab/>
        <w:t>In this regard, the Government has supported the following flagship initiatives: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 xml:space="preserve">Issuance of human development loans under the </w:t>
      </w:r>
      <w:r w:rsidR="00BB6C88">
        <w:t>“</w:t>
      </w:r>
      <w:r w:rsidR="00A92E7D" w:rsidRPr="00E80C1B">
        <w:t>Menos Pobreza, Más Desarrollo</w:t>
      </w:r>
      <w:r w:rsidR="00BB6C88">
        <w:t>”</w:t>
      </w:r>
      <w:r w:rsidR="00A92E7D" w:rsidRPr="00E80C1B">
        <w:t xml:space="preserve"> Mission (Less poverty, more development), with 92 per cent of the recipients being women </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Establishment of a people</w:t>
      </w:r>
      <w:r w:rsidR="00BB6C88">
        <w:t>’</w:t>
      </w:r>
      <w:r w:rsidR="00A92E7D" w:rsidRPr="00E80C1B">
        <w:t>s bank to provide financial products on favourable conditions, including terms and interest rates geared towards women, young entrepreneurs, migrants and informal traders, either as individual borrowers and/or members of associations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 xml:space="preserve">The </w:t>
      </w:r>
      <w:r w:rsidR="00BB6C88">
        <w:t>“</w:t>
      </w:r>
      <w:r w:rsidR="00A92E7D" w:rsidRPr="00E80C1B">
        <w:t>Misión Mujer</w:t>
      </w:r>
      <w:r w:rsidR="00BB6C88">
        <w:t>”</w:t>
      </w:r>
      <w:r w:rsidR="00A92E7D" w:rsidRPr="00E80C1B">
        <w:t xml:space="preserve"> (women</w:t>
      </w:r>
      <w:r w:rsidR="00BB6C88">
        <w:t>’</w:t>
      </w:r>
      <w:r w:rsidR="00A92E7D" w:rsidRPr="00E80C1B">
        <w:t>s mission) includes an economic empowerment component that develops strategies for promoting and enforcing the economic rights of women so that they can achieve autonomy</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Adoption of an implementation plan for the Gender Equality Seal programme for public and private institutions in order to create a level playing field for men and women, eliminate gender wage gaps, include women in non-traditional sectors, promote a work-life balance with social responsibility and promote women</w:t>
      </w:r>
      <w:r w:rsidR="00BB6C88">
        <w:t>’</w:t>
      </w:r>
      <w:r w:rsidR="00A92E7D" w:rsidRPr="00E80C1B">
        <w:t>s access to leadership positions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The National Corporation for Grass-Roots and Solidarity-based Finance issues loan guarantees to facilitate women</w:t>
      </w:r>
      <w:r w:rsidR="00BB6C88">
        <w:t>’</w:t>
      </w:r>
      <w:r w:rsidR="00A92E7D" w:rsidRPr="00E80C1B">
        <w:t>s access to credit extended by other financial institutions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 xml:space="preserve">The National Finance Corporation increased the number of its transactions with women by 71 per cent. </w:t>
      </w:r>
    </w:p>
    <w:p w:rsidR="00A92E7D" w:rsidRPr="00E80C1B" w:rsidRDefault="00A92E7D" w:rsidP="006A4331">
      <w:pPr>
        <w:pStyle w:val="SingleTxtG"/>
      </w:pPr>
      <w:r w:rsidRPr="00E80C1B">
        <w:t>60.</w:t>
      </w:r>
      <w:r w:rsidRPr="00E80C1B">
        <w:tab/>
        <w:t>The Organic Act on Labour Justice and Recognition of Work in the Home recognizes unpaid work in the home and brings domestic workers into the social security system, among other benefits.</w:t>
      </w:r>
    </w:p>
    <w:p w:rsidR="00A92E7D" w:rsidRPr="00E80C1B" w:rsidRDefault="00A92E7D" w:rsidP="006A4331">
      <w:pPr>
        <w:pStyle w:val="SingleTxtG"/>
      </w:pPr>
      <w:r w:rsidRPr="00E80C1B">
        <w:t>61.</w:t>
      </w:r>
      <w:r w:rsidRPr="00E80C1B">
        <w:tab/>
        <w:t xml:space="preserve">In addition, the Labour Code has been amended to incorporate the concept of </w:t>
      </w:r>
      <w:r w:rsidR="00BB6C88">
        <w:t>“</w:t>
      </w:r>
      <w:r w:rsidRPr="00E80C1B">
        <w:t>untimely dismissal without just cause</w:t>
      </w:r>
      <w:r w:rsidR="00BB6C88">
        <w:t>”</w:t>
      </w:r>
      <w:r w:rsidRPr="00E80C1B">
        <w:t xml:space="preserve"> and to prohibit the dismissal of female employees on grounds connected with pregnancy or maternity.</w:t>
      </w:r>
    </w:p>
    <w:p w:rsidR="00A92E7D" w:rsidRPr="00E80C1B" w:rsidRDefault="00A77E8C" w:rsidP="00A77E8C">
      <w:pPr>
        <w:pStyle w:val="H1G"/>
      </w:pPr>
      <w:r>
        <w:tab/>
      </w:r>
      <w:r w:rsidR="00A92E7D" w:rsidRPr="00E80C1B">
        <w:tab/>
        <w:t>Reply to questions raised in paragraph 16 of the list of issues</w:t>
      </w:r>
    </w:p>
    <w:p w:rsidR="00A92E7D" w:rsidRPr="00E80C1B" w:rsidRDefault="00A92E7D" w:rsidP="006A4331">
      <w:pPr>
        <w:pStyle w:val="SingleTxtG"/>
      </w:pPr>
      <w:r w:rsidRPr="00E80C1B">
        <w:t>62.</w:t>
      </w:r>
      <w:r w:rsidRPr="00E80C1B">
        <w:tab/>
        <w:t>The Ombudsman</w:t>
      </w:r>
      <w:r w:rsidR="00BB6C88">
        <w:t>’</w:t>
      </w:r>
      <w:r w:rsidRPr="00E80C1B">
        <w:t xml:space="preserve">s Office has drawn attention to instances in which constitutional and legal provisions on freedom of association and trade union rights have not been observed. One example relates to banana plantation workers, especially in the provinces of Los Ríos, El Oro and Guayas. </w:t>
      </w:r>
    </w:p>
    <w:p w:rsidR="00A92E7D" w:rsidRPr="00E80C1B" w:rsidRDefault="00A92E7D" w:rsidP="006A4331">
      <w:pPr>
        <w:pStyle w:val="SingleTxtG"/>
      </w:pPr>
      <w:r w:rsidRPr="00E80C1B">
        <w:t>63.</w:t>
      </w:r>
      <w:r w:rsidRPr="00E80C1B">
        <w:tab/>
        <w:t>The Ombudsman</w:t>
      </w:r>
      <w:r w:rsidR="00BB6C88">
        <w:t>’</w:t>
      </w:r>
      <w:r w:rsidRPr="00E80C1B">
        <w:t>s Office has identified the following problems: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Legal impediments to the formation of trade unions in the sector</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Irregularities in ensuring conditions of decent work</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The danger posed to workers and their families by exposure to glyphosate and other toxic substances that are sprayed directly on the plants.</w:t>
      </w:r>
    </w:p>
    <w:p w:rsidR="00A92E7D" w:rsidRPr="00E80C1B" w:rsidRDefault="00A92E7D" w:rsidP="006A4331">
      <w:pPr>
        <w:pStyle w:val="SingleTxtG"/>
      </w:pPr>
      <w:r w:rsidRPr="00E80C1B">
        <w:t>64.</w:t>
      </w:r>
      <w:r w:rsidRPr="00E80C1B">
        <w:tab/>
        <w:t>The Ombudsman</w:t>
      </w:r>
      <w:r w:rsidR="00BB6C88">
        <w:t>’</w:t>
      </w:r>
      <w:r w:rsidRPr="00E80C1B">
        <w:t xml:space="preserve">s Office urged the relevant State institutions to provide the necessary facilities to guarantee the right of workers to form the professional associations and trade unions that they consider appropriate, without distinction and without the need for prior authorization. </w:t>
      </w:r>
    </w:p>
    <w:p w:rsidR="00A92E7D" w:rsidRPr="00E80C1B" w:rsidRDefault="00A92E7D" w:rsidP="006A4331">
      <w:pPr>
        <w:pStyle w:val="SingleTxtG"/>
      </w:pPr>
      <w:r w:rsidRPr="00E80C1B">
        <w:t>65.</w:t>
      </w:r>
      <w:r w:rsidRPr="00E80C1B">
        <w:tab/>
        <w:t>The Ministry of Labour conducts monitoring and inspections on a daily basis to prevent the violation of workers</w:t>
      </w:r>
      <w:r w:rsidR="00BB6C88">
        <w:t>’</w:t>
      </w:r>
      <w:r w:rsidRPr="00E80C1B">
        <w:t xml:space="preserve"> trade union rights. It also approves and registers the statutes of workers</w:t>
      </w:r>
      <w:r w:rsidR="00BB6C88">
        <w:t>’</w:t>
      </w:r>
      <w:r w:rsidRPr="00E80C1B">
        <w:t xml:space="preserve"> organizations. In so doing, it respects their right to freedom of association. </w:t>
      </w:r>
    </w:p>
    <w:p w:rsidR="00A92E7D" w:rsidRPr="00E80C1B" w:rsidRDefault="00B93E6D" w:rsidP="00B93E6D">
      <w:pPr>
        <w:pStyle w:val="H1G"/>
      </w:pPr>
      <w:bookmarkStart w:id="38" w:name="_nmdxjomth1jw" w:colFirst="0" w:colLast="0"/>
      <w:bookmarkStart w:id="39" w:name="_Toc17473159"/>
      <w:bookmarkStart w:id="40" w:name="_Toc17473227"/>
      <w:bookmarkStart w:id="41" w:name="_Toc17473860"/>
      <w:bookmarkEnd w:id="38"/>
      <w:r>
        <w:tab/>
      </w:r>
      <w:r>
        <w:tab/>
      </w:r>
      <w:r w:rsidR="00A92E7D" w:rsidRPr="00E80C1B">
        <w:t>Reply to questions raised in paragraph 17 of the list of issues</w:t>
      </w:r>
    </w:p>
    <w:bookmarkEnd w:id="39"/>
    <w:bookmarkEnd w:id="40"/>
    <w:bookmarkEnd w:id="41"/>
    <w:p w:rsidR="00A92E7D" w:rsidRPr="00E80C1B" w:rsidRDefault="00A92E7D" w:rsidP="006A4331">
      <w:pPr>
        <w:pStyle w:val="SingleTxtG"/>
      </w:pPr>
      <w:r w:rsidRPr="00E80C1B">
        <w:t>66.</w:t>
      </w:r>
      <w:r w:rsidRPr="00E80C1B">
        <w:tab/>
        <w:t xml:space="preserve">A growth rate of 36.5 per cent in the number of persons covered by the social security scheme for unpaid domestic workers was recorded, with coverage tending to </w:t>
      </w:r>
      <w:r w:rsidRPr="00E80C1B">
        <w:lastRenderedPageBreak/>
        <w:t>stabilize at about 200,000. This represents just over 6.6 per cent of the total number of persons in the compulsory general social security system as of May 2019.</w:t>
      </w:r>
    </w:p>
    <w:p w:rsidR="00A92E7D" w:rsidRPr="00E80C1B" w:rsidRDefault="00A92E7D" w:rsidP="006A4331">
      <w:pPr>
        <w:pStyle w:val="SingleTxtG"/>
      </w:pPr>
      <w:r w:rsidRPr="00E80C1B">
        <w:t>67.</w:t>
      </w:r>
      <w:r w:rsidRPr="00E80C1B">
        <w:tab/>
        <w:t>The number of foreign workers in the social security system, by nationality and type of permit, as of May 2019, is shown below.</w:t>
      </w:r>
    </w:p>
    <w:p w:rsidR="00A92E7D" w:rsidRPr="00E80C1B" w:rsidRDefault="00B451ED" w:rsidP="00B451ED">
      <w:pPr>
        <w:pStyle w:val="H23G"/>
      </w:pPr>
      <w:r w:rsidRPr="00B451ED">
        <w:rPr>
          <w:b w:val="0"/>
          <w:bCs/>
        </w:rPr>
        <w:tab/>
      </w:r>
      <w:r w:rsidRPr="00B451ED">
        <w:rPr>
          <w:b w:val="0"/>
          <w:bCs/>
        </w:rPr>
        <w:tab/>
      </w:r>
      <w:r w:rsidR="00A92E7D" w:rsidRPr="00B451ED">
        <w:rPr>
          <w:b w:val="0"/>
          <w:bCs/>
        </w:rPr>
        <w:t>Table 8</w:t>
      </w:r>
      <w:r w:rsidRPr="00B451ED">
        <w:rPr>
          <w:b w:val="0"/>
          <w:bCs/>
        </w:rPr>
        <w:br/>
      </w:r>
      <w:r w:rsidR="00A92E7D" w:rsidRPr="00E80C1B">
        <w:t>Foreign nationals with social security coverage, 2019</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8"/>
        <w:gridCol w:w="1324"/>
        <w:gridCol w:w="1276"/>
        <w:gridCol w:w="1084"/>
        <w:gridCol w:w="1325"/>
        <w:gridCol w:w="1133"/>
      </w:tblGrid>
      <w:tr w:rsidR="00A92E7D" w:rsidRPr="00B93E6D" w:rsidTr="00B93E6D">
        <w:trPr>
          <w:tblHeader/>
        </w:trPr>
        <w:tc>
          <w:tcPr>
            <w:tcW w:w="1228" w:type="dxa"/>
            <w:tcBorders>
              <w:top w:val="single" w:sz="4" w:space="0" w:color="auto"/>
              <w:bottom w:val="nil"/>
            </w:tcBorders>
            <w:shd w:val="clear" w:color="auto" w:fill="auto"/>
            <w:vAlign w:val="bottom"/>
          </w:tcPr>
          <w:p w:rsidR="00A92E7D" w:rsidRPr="00B93E6D" w:rsidRDefault="00A92E7D" w:rsidP="00B93E6D">
            <w:pPr>
              <w:suppressAutoHyphens w:val="0"/>
              <w:spacing w:before="80" w:after="80" w:line="200" w:lineRule="exact"/>
              <w:ind w:right="113"/>
              <w:rPr>
                <w:i/>
                <w:sz w:val="16"/>
              </w:rPr>
            </w:pPr>
            <w:bookmarkStart w:id="42" w:name="_Toc17473160"/>
            <w:bookmarkStart w:id="43" w:name="_Toc17473228"/>
            <w:bookmarkStart w:id="44" w:name="_Toc17473505"/>
            <w:bookmarkStart w:id="45" w:name="_Toc17473861"/>
          </w:p>
        </w:tc>
        <w:tc>
          <w:tcPr>
            <w:tcW w:w="6142" w:type="dxa"/>
            <w:gridSpan w:val="5"/>
            <w:tcBorders>
              <w:top w:val="single" w:sz="4" w:space="0" w:color="auto"/>
              <w:bottom w:val="single" w:sz="4" w:space="0" w:color="auto"/>
            </w:tcBorders>
            <w:shd w:val="clear" w:color="auto" w:fill="auto"/>
            <w:vAlign w:val="bottom"/>
          </w:tcPr>
          <w:p w:rsidR="00A92E7D" w:rsidRPr="00B93E6D" w:rsidRDefault="00A92E7D" w:rsidP="00B93E6D">
            <w:pPr>
              <w:suppressAutoHyphens w:val="0"/>
              <w:spacing w:before="80" w:after="80" w:line="200" w:lineRule="exact"/>
              <w:ind w:right="113"/>
              <w:jc w:val="center"/>
              <w:rPr>
                <w:i/>
                <w:sz w:val="16"/>
              </w:rPr>
            </w:pPr>
            <w:r w:rsidRPr="00B93E6D">
              <w:rPr>
                <w:i/>
                <w:sz w:val="16"/>
              </w:rPr>
              <w:t>Type of document</w:t>
            </w:r>
          </w:p>
        </w:tc>
      </w:tr>
      <w:tr w:rsidR="00A92E7D" w:rsidRPr="00B93E6D" w:rsidTr="00B93E6D">
        <w:tc>
          <w:tcPr>
            <w:tcW w:w="1228" w:type="dxa"/>
            <w:tcBorders>
              <w:top w:val="nil"/>
              <w:bottom w:val="single" w:sz="12" w:space="0" w:color="auto"/>
            </w:tcBorders>
            <w:shd w:val="clear" w:color="auto" w:fill="auto"/>
            <w:vAlign w:val="bottom"/>
          </w:tcPr>
          <w:p w:rsidR="00A92E7D" w:rsidRPr="00B93E6D" w:rsidRDefault="00B451ED" w:rsidP="00B93E6D">
            <w:pPr>
              <w:suppressAutoHyphens w:val="0"/>
              <w:spacing w:before="40" w:after="40" w:line="220" w:lineRule="exact"/>
              <w:ind w:right="113"/>
              <w:rPr>
                <w:i/>
                <w:sz w:val="16"/>
              </w:rPr>
            </w:pPr>
            <w:r>
              <w:rPr>
                <w:i/>
                <w:sz w:val="16"/>
              </w:rPr>
              <w:t>Nationality</w:t>
            </w:r>
          </w:p>
        </w:tc>
        <w:tc>
          <w:tcPr>
            <w:tcW w:w="1324" w:type="dxa"/>
            <w:tcBorders>
              <w:top w:val="single" w:sz="4" w:space="0" w:color="auto"/>
              <w:bottom w:val="single" w:sz="12"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i/>
                <w:sz w:val="16"/>
              </w:rPr>
            </w:pPr>
            <w:r w:rsidRPr="00B93E6D">
              <w:rPr>
                <w:i/>
                <w:sz w:val="16"/>
              </w:rPr>
              <w:t>International protection visa</w:t>
            </w:r>
          </w:p>
        </w:tc>
        <w:tc>
          <w:tcPr>
            <w:tcW w:w="1276" w:type="dxa"/>
            <w:tcBorders>
              <w:top w:val="single" w:sz="4" w:space="0" w:color="auto"/>
              <w:bottom w:val="single" w:sz="12"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i/>
                <w:sz w:val="16"/>
              </w:rPr>
            </w:pPr>
            <w:r w:rsidRPr="00B93E6D">
              <w:rPr>
                <w:i/>
                <w:sz w:val="16"/>
              </w:rPr>
              <w:t>Employment card</w:t>
            </w:r>
          </w:p>
        </w:tc>
        <w:tc>
          <w:tcPr>
            <w:tcW w:w="1084" w:type="dxa"/>
            <w:tcBorders>
              <w:top w:val="single" w:sz="4" w:space="0" w:color="auto"/>
              <w:bottom w:val="single" w:sz="12"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i/>
                <w:sz w:val="16"/>
              </w:rPr>
            </w:pPr>
            <w:r w:rsidRPr="00B93E6D">
              <w:rPr>
                <w:i/>
                <w:sz w:val="16"/>
              </w:rPr>
              <w:t>Passport</w:t>
            </w:r>
          </w:p>
        </w:tc>
        <w:tc>
          <w:tcPr>
            <w:tcW w:w="1325" w:type="dxa"/>
            <w:tcBorders>
              <w:top w:val="single" w:sz="4" w:space="0" w:color="auto"/>
              <w:bottom w:val="single" w:sz="12"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i/>
                <w:sz w:val="16"/>
              </w:rPr>
            </w:pPr>
            <w:r w:rsidRPr="00B93E6D">
              <w:rPr>
                <w:i/>
                <w:sz w:val="16"/>
              </w:rPr>
              <w:t>No document registered</w:t>
            </w:r>
          </w:p>
        </w:tc>
        <w:tc>
          <w:tcPr>
            <w:tcW w:w="1133" w:type="dxa"/>
            <w:tcBorders>
              <w:top w:val="single" w:sz="4" w:space="0" w:color="auto"/>
              <w:bottom w:val="single" w:sz="12"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i/>
                <w:sz w:val="16"/>
              </w:rPr>
            </w:pPr>
            <w:r w:rsidRPr="00B93E6D">
              <w:rPr>
                <w:i/>
                <w:sz w:val="16"/>
              </w:rPr>
              <w:t>Total</w:t>
            </w:r>
          </w:p>
        </w:tc>
      </w:tr>
      <w:tr w:rsidR="00A92E7D" w:rsidRPr="00B93E6D" w:rsidTr="00B93E6D">
        <w:tc>
          <w:tcPr>
            <w:tcW w:w="1228" w:type="dxa"/>
            <w:tcBorders>
              <w:top w:val="single" w:sz="12" w:space="0" w:color="auto"/>
            </w:tcBorders>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Venezuelan</w:t>
            </w:r>
          </w:p>
        </w:tc>
        <w:tc>
          <w:tcPr>
            <w:tcW w:w="1324" w:type="dxa"/>
            <w:tcBorders>
              <w:top w:val="single" w:sz="12"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34</w:t>
            </w:r>
          </w:p>
        </w:tc>
        <w:tc>
          <w:tcPr>
            <w:tcW w:w="1276" w:type="dxa"/>
            <w:tcBorders>
              <w:top w:val="single" w:sz="12"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18</w:t>
            </w:r>
          </w:p>
        </w:tc>
        <w:tc>
          <w:tcPr>
            <w:tcW w:w="1084" w:type="dxa"/>
            <w:tcBorders>
              <w:top w:val="single" w:sz="12"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10 954</w:t>
            </w:r>
          </w:p>
        </w:tc>
        <w:tc>
          <w:tcPr>
            <w:tcW w:w="1325" w:type="dxa"/>
            <w:tcBorders>
              <w:top w:val="single" w:sz="12"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15 067</w:t>
            </w:r>
          </w:p>
        </w:tc>
        <w:tc>
          <w:tcPr>
            <w:tcW w:w="1133" w:type="dxa"/>
            <w:tcBorders>
              <w:top w:val="single" w:sz="12"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26 073</w:t>
            </w:r>
          </w:p>
        </w:tc>
      </w:tr>
      <w:tr w:rsidR="00A92E7D" w:rsidRPr="00B93E6D" w:rsidTr="00B93E6D">
        <w:tc>
          <w:tcPr>
            <w:tcW w:w="1228" w:type="dxa"/>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Colombian</w:t>
            </w:r>
          </w:p>
        </w:tc>
        <w:tc>
          <w:tcPr>
            <w:tcW w:w="132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350</w:t>
            </w:r>
          </w:p>
        </w:tc>
        <w:tc>
          <w:tcPr>
            <w:tcW w:w="1276"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388</w:t>
            </w:r>
          </w:p>
        </w:tc>
        <w:tc>
          <w:tcPr>
            <w:tcW w:w="108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3 635</w:t>
            </w:r>
          </w:p>
        </w:tc>
        <w:tc>
          <w:tcPr>
            <w:tcW w:w="1325"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13 561</w:t>
            </w:r>
          </w:p>
        </w:tc>
        <w:tc>
          <w:tcPr>
            <w:tcW w:w="1133"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17 934</w:t>
            </w:r>
          </w:p>
        </w:tc>
      </w:tr>
      <w:tr w:rsidR="00A92E7D" w:rsidRPr="00B93E6D" w:rsidTr="00B93E6D">
        <w:tc>
          <w:tcPr>
            <w:tcW w:w="1228" w:type="dxa"/>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Cuban</w:t>
            </w:r>
          </w:p>
        </w:tc>
        <w:tc>
          <w:tcPr>
            <w:tcW w:w="132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w:t>
            </w:r>
          </w:p>
        </w:tc>
        <w:tc>
          <w:tcPr>
            <w:tcW w:w="1276"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w:t>
            </w:r>
          </w:p>
        </w:tc>
        <w:tc>
          <w:tcPr>
            <w:tcW w:w="108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530</w:t>
            </w:r>
          </w:p>
        </w:tc>
        <w:tc>
          <w:tcPr>
            <w:tcW w:w="1325"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6 542</w:t>
            </w:r>
          </w:p>
        </w:tc>
        <w:tc>
          <w:tcPr>
            <w:tcW w:w="1133"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7 073</w:t>
            </w:r>
          </w:p>
        </w:tc>
      </w:tr>
      <w:tr w:rsidR="00A92E7D" w:rsidRPr="00B93E6D" w:rsidTr="00B93E6D">
        <w:tc>
          <w:tcPr>
            <w:tcW w:w="1228" w:type="dxa"/>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Peruvian</w:t>
            </w:r>
          </w:p>
        </w:tc>
        <w:tc>
          <w:tcPr>
            <w:tcW w:w="132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2</w:t>
            </w:r>
          </w:p>
        </w:tc>
        <w:tc>
          <w:tcPr>
            <w:tcW w:w="1276"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8</w:t>
            </w:r>
          </w:p>
        </w:tc>
        <w:tc>
          <w:tcPr>
            <w:tcW w:w="108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1 309</w:t>
            </w:r>
          </w:p>
        </w:tc>
        <w:tc>
          <w:tcPr>
            <w:tcW w:w="1325"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2 652</w:t>
            </w:r>
          </w:p>
        </w:tc>
        <w:tc>
          <w:tcPr>
            <w:tcW w:w="1133"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3 971</w:t>
            </w:r>
          </w:p>
        </w:tc>
      </w:tr>
      <w:tr w:rsidR="00A92E7D" w:rsidRPr="00B93E6D" w:rsidTr="00B93E6D">
        <w:tc>
          <w:tcPr>
            <w:tcW w:w="1228" w:type="dxa"/>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Chinese</w:t>
            </w:r>
          </w:p>
        </w:tc>
        <w:tc>
          <w:tcPr>
            <w:tcW w:w="132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w:t>
            </w:r>
          </w:p>
        </w:tc>
        <w:tc>
          <w:tcPr>
            <w:tcW w:w="1276"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w:t>
            </w:r>
          </w:p>
        </w:tc>
        <w:tc>
          <w:tcPr>
            <w:tcW w:w="108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1 741</w:t>
            </w:r>
          </w:p>
        </w:tc>
        <w:tc>
          <w:tcPr>
            <w:tcW w:w="1325"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1 254</w:t>
            </w:r>
          </w:p>
        </w:tc>
        <w:tc>
          <w:tcPr>
            <w:tcW w:w="1133"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2 996</w:t>
            </w:r>
          </w:p>
        </w:tc>
      </w:tr>
      <w:tr w:rsidR="00A92E7D" w:rsidRPr="00B93E6D" w:rsidTr="00B93E6D">
        <w:tc>
          <w:tcPr>
            <w:tcW w:w="1228" w:type="dxa"/>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United States</w:t>
            </w:r>
          </w:p>
        </w:tc>
        <w:tc>
          <w:tcPr>
            <w:tcW w:w="132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w:t>
            </w:r>
          </w:p>
        </w:tc>
        <w:tc>
          <w:tcPr>
            <w:tcW w:w="1276"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w:t>
            </w:r>
          </w:p>
        </w:tc>
        <w:tc>
          <w:tcPr>
            <w:tcW w:w="108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226</w:t>
            </w:r>
          </w:p>
        </w:tc>
        <w:tc>
          <w:tcPr>
            <w:tcW w:w="1325"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2 364</w:t>
            </w:r>
          </w:p>
        </w:tc>
        <w:tc>
          <w:tcPr>
            <w:tcW w:w="1133"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2 591</w:t>
            </w:r>
          </w:p>
        </w:tc>
      </w:tr>
      <w:tr w:rsidR="00A92E7D" w:rsidRPr="00B93E6D" w:rsidTr="00B93E6D">
        <w:tc>
          <w:tcPr>
            <w:tcW w:w="1228" w:type="dxa"/>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Spanish</w:t>
            </w:r>
          </w:p>
        </w:tc>
        <w:tc>
          <w:tcPr>
            <w:tcW w:w="132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w:t>
            </w:r>
          </w:p>
        </w:tc>
        <w:tc>
          <w:tcPr>
            <w:tcW w:w="1276"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w:t>
            </w:r>
          </w:p>
        </w:tc>
        <w:tc>
          <w:tcPr>
            <w:tcW w:w="108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275</w:t>
            </w:r>
          </w:p>
        </w:tc>
        <w:tc>
          <w:tcPr>
            <w:tcW w:w="1325"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1 056</w:t>
            </w:r>
          </w:p>
        </w:tc>
        <w:tc>
          <w:tcPr>
            <w:tcW w:w="1133"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1 331</w:t>
            </w:r>
          </w:p>
        </w:tc>
      </w:tr>
      <w:tr w:rsidR="00A92E7D" w:rsidRPr="00B93E6D" w:rsidTr="00B93E6D">
        <w:tc>
          <w:tcPr>
            <w:tcW w:w="1228" w:type="dxa"/>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Chilean</w:t>
            </w:r>
          </w:p>
        </w:tc>
        <w:tc>
          <w:tcPr>
            <w:tcW w:w="132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w:t>
            </w:r>
          </w:p>
        </w:tc>
        <w:tc>
          <w:tcPr>
            <w:tcW w:w="1276"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w:t>
            </w:r>
          </w:p>
        </w:tc>
        <w:tc>
          <w:tcPr>
            <w:tcW w:w="108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163</w:t>
            </w:r>
          </w:p>
        </w:tc>
        <w:tc>
          <w:tcPr>
            <w:tcW w:w="1325"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1 089</w:t>
            </w:r>
          </w:p>
        </w:tc>
        <w:tc>
          <w:tcPr>
            <w:tcW w:w="1133"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1 252</w:t>
            </w:r>
          </w:p>
        </w:tc>
      </w:tr>
      <w:tr w:rsidR="00A92E7D" w:rsidRPr="00B93E6D" w:rsidTr="00B93E6D">
        <w:tc>
          <w:tcPr>
            <w:tcW w:w="1228" w:type="dxa"/>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Argentine</w:t>
            </w:r>
          </w:p>
        </w:tc>
        <w:tc>
          <w:tcPr>
            <w:tcW w:w="132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w:t>
            </w:r>
          </w:p>
        </w:tc>
        <w:tc>
          <w:tcPr>
            <w:tcW w:w="1276"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w:t>
            </w:r>
          </w:p>
        </w:tc>
        <w:tc>
          <w:tcPr>
            <w:tcW w:w="108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239</w:t>
            </w:r>
          </w:p>
        </w:tc>
        <w:tc>
          <w:tcPr>
            <w:tcW w:w="1325"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756</w:t>
            </w:r>
          </w:p>
        </w:tc>
        <w:tc>
          <w:tcPr>
            <w:tcW w:w="1133"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995</w:t>
            </w:r>
          </w:p>
        </w:tc>
      </w:tr>
      <w:tr w:rsidR="00A92E7D" w:rsidRPr="00B93E6D" w:rsidTr="00B93E6D">
        <w:tc>
          <w:tcPr>
            <w:tcW w:w="1228" w:type="dxa"/>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Mexican</w:t>
            </w:r>
          </w:p>
        </w:tc>
        <w:tc>
          <w:tcPr>
            <w:tcW w:w="132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w:t>
            </w:r>
          </w:p>
        </w:tc>
        <w:tc>
          <w:tcPr>
            <w:tcW w:w="1276"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w:t>
            </w:r>
          </w:p>
        </w:tc>
        <w:tc>
          <w:tcPr>
            <w:tcW w:w="1084"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186</w:t>
            </w:r>
          </w:p>
        </w:tc>
        <w:tc>
          <w:tcPr>
            <w:tcW w:w="1325"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325</w:t>
            </w:r>
          </w:p>
        </w:tc>
        <w:tc>
          <w:tcPr>
            <w:tcW w:w="1133" w:type="dxa"/>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512</w:t>
            </w:r>
          </w:p>
        </w:tc>
      </w:tr>
      <w:tr w:rsidR="00A92E7D" w:rsidRPr="00B93E6D" w:rsidTr="00975936">
        <w:tc>
          <w:tcPr>
            <w:tcW w:w="1228" w:type="dxa"/>
            <w:tcBorders>
              <w:bottom w:val="single" w:sz="4" w:space="0" w:color="auto"/>
            </w:tcBorders>
            <w:shd w:val="clear" w:color="auto" w:fill="auto"/>
          </w:tcPr>
          <w:p w:rsidR="00A92E7D" w:rsidRPr="00B93E6D" w:rsidRDefault="00A92E7D" w:rsidP="00B93E6D">
            <w:pPr>
              <w:suppressAutoHyphens w:val="0"/>
              <w:spacing w:before="40" w:after="40" w:line="220" w:lineRule="exact"/>
              <w:ind w:right="113"/>
              <w:rPr>
                <w:sz w:val="18"/>
              </w:rPr>
            </w:pPr>
            <w:r w:rsidRPr="00B93E6D">
              <w:rPr>
                <w:sz w:val="18"/>
              </w:rPr>
              <w:t xml:space="preserve">Other </w:t>
            </w:r>
          </w:p>
        </w:tc>
        <w:tc>
          <w:tcPr>
            <w:tcW w:w="1324" w:type="dxa"/>
            <w:tcBorders>
              <w:bottom w:val="single" w:sz="4"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6</w:t>
            </w:r>
          </w:p>
        </w:tc>
        <w:tc>
          <w:tcPr>
            <w:tcW w:w="1276" w:type="dxa"/>
            <w:tcBorders>
              <w:bottom w:val="single" w:sz="4"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4</w:t>
            </w:r>
          </w:p>
        </w:tc>
        <w:tc>
          <w:tcPr>
            <w:tcW w:w="1084" w:type="dxa"/>
            <w:tcBorders>
              <w:bottom w:val="single" w:sz="4"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1 508</w:t>
            </w:r>
          </w:p>
        </w:tc>
        <w:tc>
          <w:tcPr>
            <w:tcW w:w="1325" w:type="dxa"/>
            <w:tcBorders>
              <w:bottom w:val="single" w:sz="4"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4 700</w:t>
            </w:r>
          </w:p>
        </w:tc>
        <w:tc>
          <w:tcPr>
            <w:tcW w:w="1133" w:type="dxa"/>
            <w:tcBorders>
              <w:bottom w:val="single" w:sz="4" w:space="0" w:color="auto"/>
            </w:tcBorders>
            <w:shd w:val="clear" w:color="auto" w:fill="auto"/>
            <w:vAlign w:val="bottom"/>
          </w:tcPr>
          <w:p w:rsidR="00A92E7D" w:rsidRPr="00B93E6D" w:rsidRDefault="00A92E7D" w:rsidP="00B93E6D">
            <w:pPr>
              <w:suppressAutoHyphens w:val="0"/>
              <w:spacing w:before="40" w:after="40" w:line="220" w:lineRule="exact"/>
              <w:ind w:right="113"/>
              <w:jc w:val="right"/>
              <w:rPr>
                <w:sz w:val="18"/>
              </w:rPr>
            </w:pPr>
            <w:r w:rsidRPr="00B93E6D">
              <w:rPr>
                <w:sz w:val="18"/>
              </w:rPr>
              <w:t>6 218</w:t>
            </w:r>
          </w:p>
        </w:tc>
      </w:tr>
      <w:tr w:rsidR="00A92E7D" w:rsidRPr="00975936" w:rsidTr="00975936">
        <w:tc>
          <w:tcPr>
            <w:tcW w:w="1228" w:type="dxa"/>
            <w:tcBorders>
              <w:top w:val="single" w:sz="4" w:space="0" w:color="auto"/>
              <w:bottom w:val="single" w:sz="12" w:space="0" w:color="auto"/>
            </w:tcBorders>
            <w:shd w:val="clear" w:color="auto" w:fill="auto"/>
          </w:tcPr>
          <w:p w:rsidR="00A92E7D" w:rsidRPr="00975936" w:rsidRDefault="00A92E7D" w:rsidP="00975936">
            <w:pPr>
              <w:suppressAutoHyphens w:val="0"/>
              <w:spacing w:before="80" w:after="80" w:line="220" w:lineRule="exact"/>
              <w:ind w:left="283"/>
              <w:rPr>
                <w:b/>
                <w:sz w:val="18"/>
              </w:rPr>
            </w:pPr>
            <w:r w:rsidRPr="00975936">
              <w:rPr>
                <w:b/>
                <w:sz w:val="18"/>
              </w:rPr>
              <w:t>Total</w:t>
            </w:r>
          </w:p>
        </w:tc>
        <w:tc>
          <w:tcPr>
            <w:tcW w:w="1324" w:type="dxa"/>
            <w:tcBorders>
              <w:top w:val="single" w:sz="4" w:space="0" w:color="auto"/>
              <w:bottom w:val="single" w:sz="12" w:space="0" w:color="auto"/>
            </w:tcBorders>
            <w:shd w:val="clear" w:color="auto" w:fill="auto"/>
            <w:vAlign w:val="bottom"/>
          </w:tcPr>
          <w:p w:rsidR="00A92E7D" w:rsidRPr="00975936" w:rsidRDefault="00A92E7D" w:rsidP="00975936">
            <w:pPr>
              <w:suppressAutoHyphens w:val="0"/>
              <w:spacing w:before="80" w:after="80" w:line="220" w:lineRule="exact"/>
              <w:ind w:right="113"/>
              <w:jc w:val="right"/>
              <w:rPr>
                <w:b/>
                <w:sz w:val="18"/>
              </w:rPr>
            </w:pPr>
            <w:r w:rsidRPr="00975936">
              <w:rPr>
                <w:b/>
                <w:sz w:val="18"/>
              </w:rPr>
              <w:t>394</w:t>
            </w:r>
          </w:p>
        </w:tc>
        <w:tc>
          <w:tcPr>
            <w:tcW w:w="1276" w:type="dxa"/>
            <w:tcBorders>
              <w:top w:val="single" w:sz="4" w:space="0" w:color="auto"/>
              <w:bottom w:val="single" w:sz="12" w:space="0" w:color="auto"/>
            </w:tcBorders>
            <w:shd w:val="clear" w:color="auto" w:fill="auto"/>
            <w:vAlign w:val="bottom"/>
          </w:tcPr>
          <w:p w:rsidR="00A92E7D" w:rsidRPr="00975936" w:rsidRDefault="00A92E7D" w:rsidP="00975936">
            <w:pPr>
              <w:suppressAutoHyphens w:val="0"/>
              <w:spacing w:before="80" w:after="80" w:line="220" w:lineRule="exact"/>
              <w:ind w:right="113"/>
              <w:jc w:val="right"/>
              <w:rPr>
                <w:b/>
                <w:sz w:val="18"/>
              </w:rPr>
            </w:pPr>
            <w:r w:rsidRPr="00975936">
              <w:rPr>
                <w:b/>
                <w:sz w:val="18"/>
              </w:rPr>
              <w:t>420</w:t>
            </w:r>
          </w:p>
        </w:tc>
        <w:tc>
          <w:tcPr>
            <w:tcW w:w="1084" w:type="dxa"/>
            <w:tcBorders>
              <w:top w:val="single" w:sz="4" w:space="0" w:color="auto"/>
              <w:bottom w:val="single" w:sz="12" w:space="0" w:color="auto"/>
            </w:tcBorders>
            <w:shd w:val="clear" w:color="auto" w:fill="auto"/>
            <w:vAlign w:val="bottom"/>
          </w:tcPr>
          <w:p w:rsidR="00A92E7D" w:rsidRPr="00975936" w:rsidRDefault="00A92E7D" w:rsidP="00975936">
            <w:pPr>
              <w:suppressAutoHyphens w:val="0"/>
              <w:spacing w:before="80" w:after="80" w:line="220" w:lineRule="exact"/>
              <w:ind w:right="113"/>
              <w:jc w:val="right"/>
              <w:rPr>
                <w:b/>
                <w:sz w:val="18"/>
              </w:rPr>
            </w:pPr>
            <w:r w:rsidRPr="00975936">
              <w:rPr>
                <w:b/>
                <w:sz w:val="18"/>
              </w:rPr>
              <w:t>20 766</w:t>
            </w:r>
          </w:p>
        </w:tc>
        <w:tc>
          <w:tcPr>
            <w:tcW w:w="1325" w:type="dxa"/>
            <w:tcBorders>
              <w:top w:val="single" w:sz="4" w:space="0" w:color="auto"/>
              <w:bottom w:val="single" w:sz="12" w:space="0" w:color="auto"/>
            </w:tcBorders>
            <w:shd w:val="clear" w:color="auto" w:fill="auto"/>
            <w:vAlign w:val="bottom"/>
          </w:tcPr>
          <w:p w:rsidR="00A92E7D" w:rsidRPr="00975936" w:rsidRDefault="00A92E7D" w:rsidP="00975936">
            <w:pPr>
              <w:suppressAutoHyphens w:val="0"/>
              <w:spacing w:before="80" w:after="80" w:line="220" w:lineRule="exact"/>
              <w:ind w:right="113"/>
              <w:jc w:val="right"/>
              <w:rPr>
                <w:b/>
                <w:sz w:val="18"/>
              </w:rPr>
            </w:pPr>
            <w:r w:rsidRPr="00975936">
              <w:rPr>
                <w:b/>
                <w:sz w:val="18"/>
              </w:rPr>
              <w:t>49 366</w:t>
            </w:r>
          </w:p>
        </w:tc>
        <w:tc>
          <w:tcPr>
            <w:tcW w:w="1133" w:type="dxa"/>
            <w:tcBorders>
              <w:top w:val="single" w:sz="4" w:space="0" w:color="auto"/>
              <w:bottom w:val="single" w:sz="12" w:space="0" w:color="auto"/>
            </w:tcBorders>
            <w:shd w:val="clear" w:color="auto" w:fill="auto"/>
            <w:vAlign w:val="bottom"/>
          </w:tcPr>
          <w:p w:rsidR="00A92E7D" w:rsidRPr="00975936" w:rsidRDefault="00A92E7D" w:rsidP="00975936">
            <w:pPr>
              <w:suppressAutoHyphens w:val="0"/>
              <w:spacing w:before="80" w:after="80" w:line="220" w:lineRule="exact"/>
              <w:ind w:right="113"/>
              <w:jc w:val="right"/>
              <w:rPr>
                <w:b/>
                <w:sz w:val="18"/>
              </w:rPr>
            </w:pPr>
            <w:r w:rsidRPr="00975936">
              <w:rPr>
                <w:b/>
                <w:sz w:val="18"/>
              </w:rPr>
              <w:t>70 946</w:t>
            </w:r>
          </w:p>
        </w:tc>
      </w:tr>
    </w:tbl>
    <w:p w:rsidR="00A92E7D" w:rsidRPr="00795C81" w:rsidRDefault="00A92E7D" w:rsidP="00795C81">
      <w:pPr>
        <w:spacing w:before="120" w:after="240"/>
        <w:ind w:left="1134" w:right="1134" w:firstLine="170"/>
        <w:rPr>
          <w:sz w:val="18"/>
        </w:rPr>
      </w:pPr>
      <w:r w:rsidRPr="00795C81">
        <w:rPr>
          <w:i/>
          <w:iCs/>
          <w:sz w:val="18"/>
        </w:rPr>
        <w:t>Source</w:t>
      </w:r>
      <w:r w:rsidRPr="00795C81">
        <w:rPr>
          <w:sz w:val="18"/>
        </w:rPr>
        <w:t>: Ecuadorian Social Security Institute.</w:t>
      </w:r>
      <w:bookmarkEnd w:id="42"/>
      <w:bookmarkEnd w:id="43"/>
      <w:bookmarkEnd w:id="44"/>
      <w:bookmarkEnd w:id="45"/>
    </w:p>
    <w:p w:rsidR="00A92E7D" w:rsidRPr="00E80C1B" w:rsidRDefault="00A92E7D" w:rsidP="00795C81">
      <w:pPr>
        <w:pStyle w:val="H1G"/>
      </w:pPr>
      <w:r w:rsidRPr="00E80C1B">
        <w:tab/>
      </w:r>
      <w:r w:rsidRPr="00E80C1B">
        <w:tab/>
        <w:t>Reply to questions raised in paragraph 18 of the list of issues</w:t>
      </w:r>
    </w:p>
    <w:p w:rsidR="00A92E7D" w:rsidRPr="00E80C1B" w:rsidRDefault="00A92E7D" w:rsidP="006A4331">
      <w:pPr>
        <w:pStyle w:val="SingleTxtG"/>
      </w:pPr>
      <w:r w:rsidRPr="00E80C1B">
        <w:t>68.</w:t>
      </w:r>
      <w:r w:rsidRPr="00E80C1B">
        <w:tab/>
        <w:t>The Comprehensive Organic Act on the Prevention and Eradication of Violence against Women, which was passed in 2018, provides for the establishment of the National Observatory on Violence against Women and for the creation of a consolidated register on violence against women to be used as a tool for analysing this problem and for processing and updating the information generated by the member agencies of the System.</w:t>
      </w:r>
    </w:p>
    <w:p w:rsidR="00A92E7D" w:rsidRPr="00E80C1B" w:rsidRDefault="00A92E7D" w:rsidP="006A4331">
      <w:pPr>
        <w:pStyle w:val="SingleTxtG"/>
      </w:pPr>
      <w:r w:rsidRPr="00E80C1B">
        <w:t>69.</w:t>
      </w:r>
      <w:r w:rsidRPr="00E80C1B">
        <w:tab/>
        <w:t>The following actions have been taken since this law entered into force:</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Training of public officials in relation to urgent actions and immediate and administrative protection measures. Progress is being made in implementing the system for follow-up to situations in which administrative measures for immediate protection have been granted.</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Training of the ECU 911 hotline operators who refer the calls that they receive.</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The development of a massive open online course (MOOC) on the prevention and detection of violence in educational settings, with a target population of 160,000 teachers and 11,000 administrative staff.</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Dissemination of information on the Comprehensive Organic Act in civic forums and through educational and information materials.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Consolidation of the general protocol for responding to violence against children, teenagers, women, persons with disabilities and older adults.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Activation of social intervention services, individual, group and family psychological support and intervention services, and crisis intervention services; referrals and counter-referrals of cases within the framework of the Specialized Special Protection Services (SEPE), with 533,222 women being provided with services between June 2017 and February 2019.</w:t>
      </w:r>
    </w:p>
    <w:p w:rsidR="00A92E7D" w:rsidRPr="00E80C1B" w:rsidRDefault="00245093" w:rsidP="00245093">
      <w:pPr>
        <w:pStyle w:val="Bullet1G"/>
        <w:numPr>
          <w:ilvl w:val="0"/>
          <w:numId w:val="0"/>
        </w:numPr>
        <w:tabs>
          <w:tab w:val="left" w:pos="1701"/>
        </w:tabs>
        <w:ind w:left="1701" w:hanging="170"/>
      </w:pPr>
      <w:r w:rsidRPr="00E80C1B">
        <w:lastRenderedPageBreak/>
        <w:t>•</w:t>
      </w:r>
      <w:r w:rsidRPr="00E80C1B">
        <w:tab/>
      </w:r>
      <w:r w:rsidR="00A92E7D" w:rsidRPr="00E80C1B">
        <w:t xml:space="preserve">Implementation of the </w:t>
      </w:r>
      <w:r w:rsidR="00BB6C88">
        <w:t>“</w:t>
      </w:r>
      <w:r w:rsidR="00A92E7D" w:rsidRPr="00E80C1B">
        <w:t>Misión Mujer</w:t>
      </w:r>
      <w:r w:rsidR="00BB6C88">
        <w:t>”</w:t>
      </w:r>
      <w:r w:rsidR="00A92E7D" w:rsidRPr="00E80C1B">
        <w:t xml:space="preserve"> (women</w:t>
      </w:r>
      <w:r w:rsidR="00BB6C88">
        <w:t>’</w:t>
      </w:r>
      <w:r w:rsidR="00A92E7D" w:rsidRPr="00E80C1B">
        <w:t>s mission), whose primary focus is the eradication of gender-based violence. This serves as a platform for the Government</w:t>
      </w:r>
      <w:r w:rsidR="00BB6C88">
        <w:t>’</w:t>
      </w:r>
      <w:r w:rsidR="00A92E7D" w:rsidRPr="00E80C1B">
        <w:t>s work in coordinating policies, programmes and services for the prevention of violence and the provision of care, protection and reparation to victims of violence.</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The National Pact for Quality and Inclusion in Education, which approaches these issues from the perspective of children and adolescents.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Practical application by students of State-funded schools of a handbook prepared for the purpose of facilitating the application of a participatory approach to the prevention of sexual violence.</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 xml:space="preserve">Implementation of a project covering the period 2019–2021 that is designed to reinforce a comprehensive approach for dealing with cases of violence detected or committed in the national education system, with a target population of 2,926,098 students, 206,239 teachers, 5,347 principals and school authorities and 140 professionals in 3,501 educational institutions. </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Design of the Violence-Free Neighbourhoods and Schools Project. The aim of this project is to strengthen the social fabric in neighbourhoods and schools that have high rates of violence against women, children and adolescents.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Design of radio spots and outreach materials for community radio stations throughout the country focusing on raising awareness and modifying sociocultural patterns.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Assignment of top priority to the investigation and prosecution of crimes committed against children and adolescents that involve violations of their sexual and reproductive rights.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Development of a comprehensive response plan for implementation in the event of an escalation of violence against women and girls and formation of comprehensive response committees comprised of various redeployed and decentralized institutions. The plan includes an inter-institutional protocol for early interventions and an early warning system, along with a road map and guidelines for the rapid issuance of administrative protection measures.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Development of the following tools for working with decentralized autonomous governments: (a) a model ordinance for the establishment and/or strengthening of cantonal rights protection boards; (b) guidelines for the rapid issuance of administrative protection measures to prevent and halt violence against women; (c) draft rules of procedure for ordering the rapid issuance of administrative protection measures to prevent and halt violence against women.</w:t>
      </w:r>
    </w:p>
    <w:p w:rsidR="00A92E7D" w:rsidRPr="00E80C1B" w:rsidRDefault="00A92E7D" w:rsidP="006A4331">
      <w:pPr>
        <w:pStyle w:val="SingleTxtG"/>
      </w:pPr>
      <w:r w:rsidRPr="00E80C1B">
        <w:t>70.</w:t>
      </w:r>
      <w:r w:rsidRPr="00E80C1B">
        <w:tab/>
        <w:t>With respect to the problem of femicide, in 2017 a technical validation subcommittee was established under the Special Inter-Agency Commission on Citizen Security and Justice to construct an approved indicator and produce duly validated official data. Since March 2019, the Government has administered a voucher scheme for children and adolescents who have been orphaned as a result of femicide. In addition, mechanisms have been established jointly with the National Secretariat of Higher Education, Science, Technology and Innovation for the award of study grants to victims of violence and femicide.</w:t>
      </w:r>
    </w:p>
    <w:p w:rsidR="00A92E7D" w:rsidRPr="00E80C1B" w:rsidRDefault="00A92E7D" w:rsidP="006A4331">
      <w:pPr>
        <w:pStyle w:val="SingleTxtG"/>
      </w:pPr>
      <w:r w:rsidRPr="00E80C1B">
        <w:t>71.</w:t>
      </w:r>
      <w:r w:rsidRPr="00E80C1B">
        <w:tab/>
        <w:t>In order to strengthen the enforcement of the prohibition of child marriage, article 95 of the Civil Code was amended in 2015 to stipulate that any marriage contracted by a person under the age of 18 years shall be null and void.</w:t>
      </w:r>
    </w:p>
    <w:p w:rsidR="00A92E7D" w:rsidRPr="00E80C1B" w:rsidRDefault="00A92E7D" w:rsidP="006A4331">
      <w:pPr>
        <w:pStyle w:val="SingleTxtG"/>
      </w:pPr>
      <w:r w:rsidRPr="00E80C1B">
        <w:t>72.</w:t>
      </w:r>
      <w:r w:rsidRPr="00E80C1B">
        <w:tab/>
        <w:t xml:space="preserve">The measures aimed at eradicating child labour among children between the ages of 5 and 14 that are discussed in paragraphs 131 to 144 of the State party report are expected to reduce the proportion of children in that age group who work from 4.9 per cent to 2.7 per cent by 2021. </w:t>
      </w:r>
    </w:p>
    <w:p w:rsidR="00A92E7D" w:rsidRPr="00E80C1B" w:rsidRDefault="00A92E7D" w:rsidP="00795C81">
      <w:pPr>
        <w:pStyle w:val="H1G"/>
      </w:pPr>
      <w:bookmarkStart w:id="46" w:name="_q8x20bascjwj" w:colFirst="0" w:colLast="0"/>
      <w:bookmarkStart w:id="47" w:name="_Toc17473162"/>
      <w:bookmarkStart w:id="48" w:name="_Toc17473230"/>
      <w:bookmarkStart w:id="49" w:name="_Toc17473863"/>
      <w:bookmarkEnd w:id="46"/>
      <w:r w:rsidRPr="00E80C1B">
        <w:lastRenderedPageBreak/>
        <w:tab/>
      </w:r>
      <w:r w:rsidRPr="00E80C1B">
        <w:tab/>
        <w:t>Reply to questions raised in paragraph 19 of the list of issues</w:t>
      </w:r>
    </w:p>
    <w:bookmarkEnd w:id="47"/>
    <w:bookmarkEnd w:id="48"/>
    <w:bookmarkEnd w:id="49"/>
    <w:p w:rsidR="00A92E7D" w:rsidRPr="00E80C1B" w:rsidRDefault="00A92E7D" w:rsidP="006A4331">
      <w:pPr>
        <w:pStyle w:val="SingleTxtG"/>
      </w:pPr>
      <w:r w:rsidRPr="00E80C1B">
        <w:t>73.</w:t>
      </w:r>
      <w:r w:rsidRPr="00E80C1B">
        <w:tab/>
        <w:t>As of December 2018, the rate of income poverty in Ecuador (income of less than US$ 84.79 per month) stood at 23.2 per cent, compared with 21.49 per cent in December 2017. Extreme poverty (income of less than US$ 47.78 per month) stood at 8.4 per cent, compared with 7.9 per cent in December 2017.</w:t>
      </w:r>
    </w:p>
    <w:p w:rsidR="00A92E7D" w:rsidRPr="00795C81" w:rsidRDefault="00A92E7D" w:rsidP="00795C81">
      <w:pPr>
        <w:pStyle w:val="Heading1"/>
        <w:spacing w:after="120"/>
        <w:rPr>
          <w:b/>
          <w:bCs/>
        </w:rPr>
      </w:pPr>
      <w:r w:rsidRPr="00E80C1B">
        <w:t xml:space="preserve">Table 9 </w:t>
      </w:r>
      <w:r w:rsidR="00795C81">
        <w:br/>
      </w:r>
      <w:r w:rsidRPr="00795C81">
        <w:rPr>
          <w:b/>
          <w:bCs/>
        </w:rPr>
        <w:t>Income poverty, 2013–2018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992"/>
        <w:gridCol w:w="992"/>
        <w:gridCol w:w="992"/>
        <w:gridCol w:w="992"/>
        <w:gridCol w:w="992"/>
        <w:gridCol w:w="992"/>
      </w:tblGrid>
      <w:tr w:rsidR="00A92E7D" w:rsidRPr="00795C81" w:rsidTr="001A5503">
        <w:trPr>
          <w:tblHeader/>
        </w:trPr>
        <w:tc>
          <w:tcPr>
            <w:tcW w:w="1418" w:type="dxa"/>
            <w:vMerge w:val="restart"/>
            <w:tcBorders>
              <w:top w:val="single" w:sz="4" w:space="0" w:color="auto"/>
              <w:bottom w:val="single" w:sz="12" w:space="0" w:color="auto"/>
            </w:tcBorders>
            <w:shd w:val="clear" w:color="auto" w:fill="auto"/>
            <w:vAlign w:val="bottom"/>
            <w:hideMark/>
          </w:tcPr>
          <w:p w:rsidR="00A92E7D" w:rsidRPr="00795C81" w:rsidRDefault="00A92E7D" w:rsidP="00795C81">
            <w:pPr>
              <w:suppressAutoHyphens w:val="0"/>
              <w:spacing w:before="80" w:after="80" w:line="200" w:lineRule="exact"/>
              <w:ind w:right="113"/>
              <w:rPr>
                <w:i/>
                <w:sz w:val="16"/>
              </w:rPr>
            </w:pPr>
          </w:p>
        </w:tc>
        <w:tc>
          <w:tcPr>
            <w:tcW w:w="992" w:type="dxa"/>
            <w:tcBorders>
              <w:top w:val="single" w:sz="4" w:space="0" w:color="auto"/>
              <w:bottom w:val="single" w:sz="4"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2013</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2014</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2015</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2016</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2017</w:t>
            </w:r>
          </w:p>
        </w:tc>
        <w:tc>
          <w:tcPr>
            <w:tcW w:w="992" w:type="dxa"/>
            <w:tcBorders>
              <w:top w:val="single" w:sz="4" w:space="0" w:color="auto"/>
              <w:left w:val="single" w:sz="24" w:space="0" w:color="FFFFFF" w:themeColor="background1"/>
              <w:bottom w:val="single" w:sz="4" w:space="0" w:color="auto"/>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2018</w:t>
            </w:r>
          </w:p>
        </w:tc>
      </w:tr>
      <w:tr w:rsidR="00A92E7D" w:rsidRPr="00795C81" w:rsidTr="001A5503">
        <w:trPr>
          <w:tblHeader/>
        </w:trPr>
        <w:tc>
          <w:tcPr>
            <w:tcW w:w="1418" w:type="dxa"/>
            <w:vMerge/>
            <w:tcBorders>
              <w:top w:val="single" w:sz="12" w:space="0" w:color="auto"/>
              <w:bottom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rPr>
                <w:sz w:val="18"/>
              </w:rPr>
            </w:pPr>
          </w:p>
        </w:tc>
        <w:tc>
          <w:tcPr>
            <w:tcW w:w="992" w:type="dxa"/>
            <w:tcBorders>
              <w:top w:val="single" w:sz="4" w:space="0" w:color="auto"/>
              <w:bottom w:val="single" w:sz="12"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c>
          <w:tcPr>
            <w:tcW w:w="992" w:type="dxa"/>
            <w:tcBorders>
              <w:top w:val="single" w:sz="4" w:space="0" w:color="auto"/>
              <w:left w:val="single" w:sz="24" w:space="0" w:color="FFFFFF" w:themeColor="background1"/>
              <w:bottom w:val="single" w:sz="12" w:space="0" w:color="auto"/>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r>
      <w:tr w:rsidR="00A92E7D" w:rsidRPr="00795C81" w:rsidTr="001A5503">
        <w:tc>
          <w:tcPr>
            <w:tcW w:w="1418" w:type="dxa"/>
            <w:tcBorders>
              <w:top w:val="single" w:sz="12" w:space="0" w:color="auto"/>
            </w:tcBorders>
            <w:shd w:val="clear" w:color="auto" w:fill="auto"/>
            <w:hideMark/>
          </w:tcPr>
          <w:p w:rsidR="00A92E7D" w:rsidRPr="00795C81" w:rsidRDefault="00A92E7D" w:rsidP="00795C81">
            <w:pPr>
              <w:suppressAutoHyphens w:val="0"/>
              <w:spacing w:before="40" w:after="40" w:line="220" w:lineRule="exact"/>
              <w:ind w:right="113"/>
              <w:rPr>
                <w:sz w:val="18"/>
              </w:rPr>
            </w:pP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25.6</w:t>
            </w: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22.5</w:t>
            </w: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23.3</w:t>
            </w: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22.9</w:t>
            </w: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21.5</w:t>
            </w: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23.2</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Urban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17.6</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16.4</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15.7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15.7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13.2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15.3</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Men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16.8</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15.6</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15.1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15.3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12.7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14.7</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Women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18.5</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16.2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16.2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13.7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15.9</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Rural</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42.0</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35.3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39.3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38.2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39.3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40.0</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Men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41.0</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34.7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37.9</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37.3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38.4</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39.0</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Women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43.1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35.9</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40.7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39.1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40.1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41.1</w:t>
            </w:r>
          </w:p>
        </w:tc>
      </w:tr>
      <w:tr w:rsidR="00A92E7D" w:rsidRPr="00795C81" w:rsidTr="00795C81">
        <w:tc>
          <w:tcPr>
            <w:tcW w:w="7370" w:type="dxa"/>
            <w:gridSpan w:val="7"/>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Ethnicity</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Indigenous</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51.1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49.1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52.8</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53.4</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55.0</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N/A</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White</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14.3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12.7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18.1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22.7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N/A</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Mestizo</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22.2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19.5</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19.2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19.1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16.9</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N/A</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Afro-Ecuadorian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35.9</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30.8</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31.6</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32.2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27.6</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N/A</w:t>
            </w:r>
          </w:p>
        </w:tc>
      </w:tr>
      <w:tr w:rsidR="00A92E7D" w:rsidRPr="00795C81" w:rsidTr="001A5503">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Montubio</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44.2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37.7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34.7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30.0</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29.4</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N/A</w:t>
            </w:r>
          </w:p>
        </w:tc>
      </w:tr>
      <w:tr w:rsidR="00A92E7D" w:rsidRPr="00795C81" w:rsidTr="00795C81">
        <w:tc>
          <w:tcPr>
            <w:tcW w:w="7370" w:type="dxa"/>
            <w:gridSpan w:val="7"/>
            <w:shd w:val="clear" w:color="auto" w:fill="auto"/>
          </w:tcPr>
          <w:p w:rsidR="00A92E7D" w:rsidRPr="00795C81" w:rsidRDefault="00A92E7D" w:rsidP="00795C81">
            <w:pPr>
              <w:suppressAutoHyphens w:val="0"/>
              <w:spacing w:before="40" w:after="40" w:line="220" w:lineRule="exact"/>
              <w:ind w:right="113"/>
              <w:rPr>
                <w:sz w:val="18"/>
              </w:rPr>
            </w:pPr>
            <w:r w:rsidRPr="00795C81">
              <w:rPr>
                <w:sz w:val="18"/>
              </w:rPr>
              <w:t>Nationality</w:t>
            </w:r>
          </w:p>
        </w:tc>
      </w:tr>
      <w:tr w:rsidR="00A92E7D" w:rsidRPr="00795C81" w:rsidTr="001A5503">
        <w:tc>
          <w:tcPr>
            <w:tcW w:w="1418" w:type="dxa"/>
            <w:shd w:val="clear" w:color="auto" w:fill="auto"/>
          </w:tcPr>
          <w:p w:rsidR="00A92E7D" w:rsidRPr="00795C81" w:rsidRDefault="00A92E7D" w:rsidP="00795C81">
            <w:pPr>
              <w:suppressAutoHyphens w:val="0"/>
              <w:spacing w:before="40" w:after="40" w:line="220" w:lineRule="exact"/>
              <w:ind w:right="113"/>
              <w:rPr>
                <w:sz w:val="18"/>
              </w:rPr>
            </w:pPr>
            <w:r w:rsidRPr="00795C81">
              <w:rPr>
                <w:sz w:val="18"/>
              </w:rPr>
              <w:t>Ecuadorian</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N/A</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22.5</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23.4</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23.0</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21.5</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23.4</w:t>
            </w:r>
          </w:p>
        </w:tc>
      </w:tr>
      <w:tr w:rsidR="00A92E7D" w:rsidRPr="00795C81" w:rsidTr="001A5503">
        <w:tc>
          <w:tcPr>
            <w:tcW w:w="1418" w:type="dxa"/>
            <w:shd w:val="clear" w:color="auto" w:fill="auto"/>
          </w:tcPr>
          <w:p w:rsidR="00A92E7D" w:rsidRPr="00795C81" w:rsidRDefault="00A92E7D" w:rsidP="00795C81">
            <w:pPr>
              <w:suppressAutoHyphens w:val="0"/>
              <w:spacing w:before="40" w:after="40" w:line="220" w:lineRule="exact"/>
              <w:ind w:right="113"/>
              <w:rPr>
                <w:sz w:val="18"/>
              </w:rPr>
            </w:pPr>
            <w:r w:rsidRPr="00795C81">
              <w:rPr>
                <w:sz w:val="18"/>
              </w:rPr>
              <w:t>Foreign</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N/A</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16.6</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15.0</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15.5</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17.3</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12.3</w:t>
            </w:r>
          </w:p>
        </w:tc>
      </w:tr>
    </w:tbl>
    <w:p w:rsidR="00A92E7D" w:rsidRPr="00E80C1B" w:rsidRDefault="00A92E7D" w:rsidP="00795C81">
      <w:pPr>
        <w:pStyle w:val="SingleTxtG"/>
        <w:spacing w:before="120" w:after="240"/>
        <w:ind w:firstLine="170"/>
        <w:jc w:val="left"/>
      </w:pPr>
      <w:r w:rsidRPr="00795C81">
        <w:rPr>
          <w:i/>
          <w:iCs/>
          <w:sz w:val="18"/>
          <w:lang w:eastAsia="en-US"/>
        </w:rPr>
        <w:t>Source</w:t>
      </w:r>
      <w:r w:rsidRPr="00795C81">
        <w:rPr>
          <w:sz w:val="18"/>
          <w:lang w:eastAsia="en-US"/>
        </w:rPr>
        <w:t>: National Statistics and Census Institute, national survey on employment, unemployment and underemployment.</w:t>
      </w:r>
    </w:p>
    <w:p w:rsidR="00A92E7D" w:rsidRPr="00795C81" w:rsidRDefault="00A92E7D" w:rsidP="00795C81">
      <w:pPr>
        <w:pStyle w:val="Heading1"/>
        <w:spacing w:after="120"/>
        <w:rPr>
          <w:b/>
          <w:bCs/>
        </w:rPr>
      </w:pPr>
      <w:r w:rsidRPr="00E80C1B">
        <w:t>Table 10</w:t>
      </w:r>
      <w:r w:rsidR="00795C81">
        <w:br/>
      </w:r>
      <w:r w:rsidRPr="00795C81">
        <w:rPr>
          <w:b/>
          <w:bCs/>
        </w:rPr>
        <w:t>Extreme income poverty, 2013–2018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992"/>
        <w:gridCol w:w="992"/>
        <w:gridCol w:w="992"/>
        <w:gridCol w:w="992"/>
        <w:gridCol w:w="992"/>
        <w:gridCol w:w="992"/>
      </w:tblGrid>
      <w:tr w:rsidR="00795C81" w:rsidRPr="00795C81" w:rsidTr="005F609A">
        <w:trPr>
          <w:tblHeader/>
        </w:trPr>
        <w:tc>
          <w:tcPr>
            <w:tcW w:w="1418" w:type="dxa"/>
            <w:vMerge w:val="restart"/>
            <w:tcBorders>
              <w:top w:val="single" w:sz="4" w:space="0" w:color="auto"/>
              <w:bottom w:val="single" w:sz="12" w:space="0" w:color="auto"/>
            </w:tcBorders>
            <w:shd w:val="clear" w:color="auto" w:fill="auto"/>
            <w:vAlign w:val="bottom"/>
            <w:hideMark/>
          </w:tcPr>
          <w:p w:rsidR="00A92E7D" w:rsidRPr="00795C81" w:rsidRDefault="00A92E7D" w:rsidP="00795C81">
            <w:pPr>
              <w:suppressAutoHyphens w:val="0"/>
              <w:spacing w:before="80" w:after="80" w:line="200" w:lineRule="exact"/>
              <w:ind w:right="113"/>
              <w:rPr>
                <w:i/>
                <w:sz w:val="16"/>
              </w:rPr>
            </w:pPr>
          </w:p>
        </w:tc>
        <w:tc>
          <w:tcPr>
            <w:tcW w:w="992" w:type="dxa"/>
            <w:tcBorders>
              <w:top w:val="single" w:sz="4" w:space="0" w:color="auto"/>
              <w:bottom w:val="single" w:sz="4"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2013</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2014</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2015</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2016</w:t>
            </w:r>
          </w:p>
        </w:tc>
        <w:tc>
          <w:tcPr>
            <w:tcW w:w="99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2017</w:t>
            </w:r>
          </w:p>
        </w:tc>
        <w:tc>
          <w:tcPr>
            <w:tcW w:w="992" w:type="dxa"/>
            <w:tcBorders>
              <w:top w:val="single" w:sz="4" w:space="0" w:color="auto"/>
              <w:left w:val="single" w:sz="24" w:space="0" w:color="FFFFFF" w:themeColor="background1"/>
              <w:bottom w:val="single" w:sz="4" w:space="0" w:color="auto"/>
            </w:tcBorders>
            <w:shd w:val="clear" w:color="auto" w:fill="auto"/>
            <w:noWrap/>
            <w:vAlign w:val="bottom"/>
            <w:hideMark/>
          </w:tcPr>
          <w:p w:rsidR="00A92E7D" w:rsidRPr="00795C81" w:rsidRDefault="00A92E7D" w:rsidP="00795C81">
            <w:pPr>
              <w:suppressAutoHyphens w:val="0"/>
              <w:spacing w:before="80" w:after="80" w:line="200" w:lineRule="exact"/>
              <w:ind w:right="113"/>
              <w:jc w:val="center"/>
              <w:rPr>
                <w:i/>
                <w:sz w:val="16"/>
              </w:rPr>
            </w:pPr>
            <w:r w:rsidRPr="00795C81">
              <w:rPr>
                <w:i/>
                <w:sz w:val="16"/>
              </w:rPr>
              <w:t>2018</w:t>
            </w:r>
          </w:p>
        </w:tc>
      </w:tr>
      <w:tr w:rsidR="00A92E7D" w:rsidRPr="00795C81" w:rsidTr="005F609A">
        <w:trPr>
          <w:tblHeader/>
        </w:trPr>
        <w:tc>
          <w:tcPr>
            <w:tcW w:w="1418" w:type="dxa"/>
            <w:vMerge/>
            <w:tcBorders>
              <w:top w:val="single" w:sz="12" w:space="0" w:color="auto"/>
              <w:bottom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rPr>
                <w:sz w:val="18"/>
              </w:rPr>
            </w:pPr>
          </w:p>
        </w:tc>
        <w:tc>
          <w:tcPr>
            <w:tcW w:w="992" w:type="dxa"/>
            <w:tcBorders>
              <w:top w:val="single" w:sz="4" w:space="0" w:color="auto"/>
              <w:bottom w:val="single" w:sz="12"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c>
          <w:tcPr>
            <w:tcW w:w="99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c>
          <w:tcPr>
            <w:tcW w:w="992" w:type="dxa"/>
            <w:tcBorders>
              <w:top w:val="single" w:sz="4" w:space="0" w:color="auto"/>
              <w:left w:val="single" w:sz="24" w:space="0" w:color="FFFFFF" w:themeColor="background1"/>
              <w:bottom w:val="single" w:sz="12" w:space="0" w:color="auto"/>
            </w:tcBorders>
            <w:shd w:val="clear" w:color="auto" w:fill="auto"/>
            <w:noWrap/>
            <w:vAlign w:val="bottom"/>
            <w:hideMark/>
          </w:tcPr>
          <w:p w:rsidR="00A92E7D" w:rsidRPr="00795C81" w:rsidRDefault="00A92E7D" w:rsidP="00795C81">
            <w:pPr>
              <w:suppressAutoHyphens w:val="0"/>
              <w:spacing w:before="40" w:after="40" w:line="220" w:lineRule="exact"/>
              <w:ind w:right="113"/>
              <w:jc w:val="right"/>
              <w:rPr>
                <w:i/>
                <w:sz w:val="16"/>
              </w:rPr>
            </w:pPr>
            <w:r w:rsidRPr="00795C81">
              <w:rPr>
                <w:i/>
                <w:sz w:val="16"/>
              </w:rPr>
              <w:t>Percentage</w:t>
            </w:r>
          </w:p>
        </w:tc>
      </w:tr>
      <w:tr w:rsidR="00A92E7D" w:rsidRPr="00795C81" w:rsidTr="005F609A">
        <w:tc>
          <w:tcPr>
            <w:tcW w:w="1418" w:type="dxa"/>
            <w:tcBorders>
              <w:top w:val="single" w:sz="12" w:space="0" w:color="auto"/>
            </w:tcBorders>
            <w:shd w:val="clear" w:color="auto" w:fill="auto"/>
            <w:hideMark/>
          </w:tcPr>
          <w:p w:rsidR="00A92E7D" w:rsidRPr="00795C81" w:rsidRDefault="00A92E7D" w:rsidP="00795C81">
            <w:pPr>
              <w:suppressAutoHyphens w:val="0"/>
              <w:spacing w:before="40" w:after="40" w:line="220" w:lineRule="exact"/>
              <w:ind w:right="113"/>
              <w:rPr>
                <w:sz w:val="18"/>
              </w:rPr>
            </w:pP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8.6</w:t>
            </w: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7.7</w:t>
            </w: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8.5</w:t>
            </w: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8.7</w:t>
            </w: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7.9</w:t>
            </w:r>
          </w:p>
        </w:tc>
        <w:tc>
          <w:tcPr>
            <w:tcW w:w="992" w:type="dxa"/>
            <w:tcBorders>
              <w:top w:val="single" w:sz="12" w:space="0" w:color="auto"/>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8.4</w:t>
            </w:r>
          </w:p>
        </w:tc>
      </w:tr>
      <w:tr w:rsidR="00A92E7D" w:rsidRPr="00795C81" w:rsidTr="005F609A">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Urban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4.4</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4.5</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4.4</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4.5</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4.1</w:t>
            </w:r>
          </w:p>
        </w:tc>
      </w:tr>
      <w:tr w:rsidR="00A92E7D" w:rsidRPr="00795C81" w:rsidTr="005F609A">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Men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4.0</w:t>
            </w:r>
          </w:p>
        </w:tc>
      </w:tr>
      <w:tr w:rsidR="00A92E7D" w:rsidRPr="00795C81" w:rsidTr="005F609A">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Women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4.9</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4.6</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4.9</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3.5</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4.1</w:t>
            </w:r>
          </w:p>
        </w:tc>
      </w:tr>
      <w:tr w:rsidR="00A92E7D" w:rsidRPr="00795C81" w:rsidTr="005F609A">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Rural</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17.4</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14.3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17.0</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17.6</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17.9</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17.7</w:t>
            </w:r>
          </w:p>
        </w:tc>
      </w:tr>
      <w:tr w:rsidR="00A92E7D" w:rsidRPr="00795C81" w:rsidTr="005F609A">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Men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14.2</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16.3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17.5</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17.2</w:t>
            </w:r>
          </w:p>
        </w:tc>
      </w:tr>
      <w:tr w:rsidR="00A92E7D" w:rsidRPr="00795C81" w:rsidTr="005F609A">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Women</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14.5</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17.7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18.0</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18.3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18.2</w:t>
            </w:r>
          </w:p>
        </w:tc>
      </w:tr>
      <w:tr w:rsidR="00A92E7D" w:rsidRPr="00795C81" w:rsidTr="00795C81">
        <w:tc>
          <w:tcPr>
            <w:tcW w:w="7370" w:type="dxa"/>
            <w:gridSpan w:val="7"/>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Ethnicity</w:t>
            </w:r>
          </w:p>
        </w:tc>
      </w:tr>
      <w:tr w:rsidR="00A92E7D" w:rsidRPr="00795C81" w:rsidTr="005F609A">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Indigenous</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24.3</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26.5</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30.7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31.9</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35.0</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N/A</w:t>
            </w:r>
          </w:p>
        </w:tc>
      </w:tr>
      <w:tr w:rsidR="00A92E7D" w:rsidRPr="00795C81" w:rsidTr="005F609A">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White</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2.4</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4.0</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3.8</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7.4</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5.7</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N/A</w:t>
            </w:r>
          </w:p>
        </w:tc>
      </w:tr>
      <w:tr w:rsidR="00A92E7D" w:rsidRPr="00795C81" w:rsidTr="005F609A">
        <w:tc>
          <w:tcPr>
            <w:tcW w:w="1418" w:type="dxa"/>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Mestizo</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7.0</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5.6</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5.8</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6.1</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4.9</w:t>
            </w:r>
          </w:p>
        </w:tc>
        <w:tc>
          <w:tcPr>
            <w:tcW w:w="992" w:type="dxa"/>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N/A</w:t>
            </w:r>
          </w:p>
        </w:tc>
      </w:tr>
      <w:tr w:rsidR="00A92E7D" w:rsidRPr="00795C81" w:rsidTr="00E82907">
        <w:tc>
          <w:tcPr>
            <w:tcW w:w="1418" w:type="dxa"/>
            <w:tcBorders>
              <w:bottom w:val="nil"/>
            </w:tcBorders>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Afro-Ecuadorian</w:t>
            </w:r>
          </w:p>
        </w:tc>
        <w:tc>
          <w:tcPr>
            <w:tcW w:w="992" w:type="dxa"/>
            <w:tcBorders>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13.2</w:t>
            </w:r>
          </w:p>
        </w:tc>
        <w:tc>
          <w:tcPr>
            <w:tcW w:w="992" w:type="dxa"/>
            <w:tcBorders>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12.8</w:t>
            </w:r>
          </w:p>
        </w:tc>
        <w:tc>
          <w:tcPr>
            <w:tcW w:w="992" w:type="dxa"/>
            <w:tcBorders>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14.3</w:t>
            </w:r>
          </w:p>
        </w:tc>
        <w:tc>
          <w:tcPr>
            <w:tcW w:w="992" w:type="dxa"/>
            <w:tcBorders>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12.4</w:t>
            </w:r>
          </w:p>
        </w:tc>
        <w:tc>
          <w:tcPr>
            <w:tcW w:w="992" w:type="dxa"/>
            <w:tcBorders>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10.5</w:t>
            </w:r>
          </w:p>
        </w:tc>
        <w:tc>
          <w:tcPr>
            <w:tcW w:w="992" w:type="dxa"/>
            <w:tcBorders>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N/A</w:t>
            </w:r>
          </w:p>
        </w:tc>
      </w:tr>
      <w:tr w:rsidR="00A92E7D" w:rsidRPr="00795C81" w:rsidTr="00E82907">
        <w:tc>
          <w:tcPr>
            <w:tcW w:w="1418" w:type="dxa"/>
            <w:tcBorders>
              <w:top w:val="nil"/>
              <w:bottom w:val="nil"/>
            </w:tcBorders>
            <w:shd w:val="clear" w:color="auto" w:fill="auto"/>
            <w:hideMark/>
          </w:tcPr>
          <w:p w:rsidR="00A92E7D" w:rsidRPr="00795C81" w:rsidRDefault="00A92E7D" w:rsidP="00795C81">
            <w:pPr>
              <w:suppressAutoHyphens w:val="0"/>
              <w:spacing w:before="40" w:after="40" w:line="220" w:lineRule="exact"/>
              <w:ind w:right="113"/>
              <w:rPr>
                <w:sz w:val="18"/>
              </w:rPr>
            </w:pPr>
            <w:r w:rsidRPr="00795C81">
              <w:rPr>
                <w:sz w:val="18"/>
              </w:rPr>
              <w:t>Montubio</w:t>
            </w:r>
          </w:p>
        </w:tc>
        <w:tc>
          <w:tcPr>
            <w:tcW w:w="992" w:type="dxa"/>
            <w:tcBorders>
              <w:top w:val="nil"/>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14.6</w:t>
            </w:r>
          </w:p>
        </w:tc>
        <w:tc>
          <w:tcPr>
            <w:tcW w:w="992" w:type="dxa"/>
            <w:tcBorders>
              <w:top w:val="nil"/>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16.7</w:t>
            </w:r>
          </w:p>
        </w:tc>
        <w:tc>
          <w:tcPr>
            <w:tcW w:w="992" w:type="dxa"/>
            <w:tcBorders>
              <w:top w:val="nil"/>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11.4</w:t>
            </w:r>
          </w:p>
        </w:tc>
        <w:tc>
          <w:tcPr>
            <w:tcW w:w="992" w:type="dxa"/>
            <w:tcBorders>
              <w:top w:val="nil"/>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10.5</w:t>
            </w:r>
          </w:p>
        </w:tc>
        <w:tc>
          <w:tcPr>
            <w:tcW w:w="992" w:type="dxa"/>
            <w:tcBorders>
              <w:top w:val="nil"/>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6.5</w:t>
            </w:r>
          </w:p>
        </w:tc>
        <w:tc>
          <w:tcPr>
            <w:tcW w:w="992" w:type="dxa"/>
            <w:tcBorders>
              <w:top w:val="nil"/>
              <w:bottom w:val="nil"/>
            </w:tcBorders>
            <w:shd w:val="clear" w:color="auto" w:fill="auto"/>
            <w:vAlign w:val="bottom"/>
            <w:hideMark/>
          </w:tcPr>
          <w:p w:rsidR="00A92E7D" w:rsidRPr="00795C81" w:rsidRDefault="00A92E7D" w:rsidP="00795C81">
            <w:pPr>
              <w:suppressAutoHyphens w:val="0"/>
              <w:spacing w:before="40" w:after="40" w:line="220" w:lineRule="exact"/>
              <w:ind w:right="113"/>
              <w:jc w:val="right"/>
              <w:rPr>
                <w:sz w:val="18"/>
              </w:rPr>
            </w:pPr>
            <w:r w:rsidRPr="00795C81">
              <w:rPr>
                <w:sz w:val="18"/>
              </w:rPr>
              <w:t>N/A</w:t>
            </w:r>
          </w:p>
        </w:tc>
      </w:tr>
      <w:tr w:rsidR="00A92E7D" w:rsidRPr="00795C81" w:rsidTr="00E82907">
        <w:tc>
          <w:tcPr>
            <w:tcW w:w="7370" w:type="dxa"/>
            <w:gridSpan w:val="7"/>
            <w:tcBorders>
              <w:top w:val="nil"/>
            </w:tcBorders>
            <w:shd w:val="clear" w:color="auto" w:fill="auto"/>
          </w:tcPr>
          <w:p w:rsidR="00A92E7D" w:rsidRPr="00795C81" w:rsidRDefault="00A92E7D" w:rsidP="00E82907">
            <w:pPr>
              <w:keepNext/>
              <w:suppressAutoHyphens w:val="0"/>
              <w:spacing w:before="40" w:after="40" w:line="220" w:lineRule="exact"/>
              <w:ind w:right="113"/>
              <w:rPr>
                <w:sz w:val="18"/>
              </w:rPr>
            </w:pPr>
            <w:r w:rsidRPr="00795C81">
              <w:rPr>
                <w:sz w:val="18"/>
              </w:rPr>
              <w:lastRenderedPageBreak/>
              <w:t>Nationality</w:t>
            </w:r>
          </w:p>
        </w:tc>
      </w:tr>
      <w:tr w:rsidR="00A92E7D" w:rsidRPr="00795C81" w:rsidTr="005F609A">
        <w:tc>
          <w:tcPr>
            <w:tcW w:w="1418" w:type="dxa"/>
            <w:shd w:val="clear" w:color="auto" w:fill="auto"/>
          </w:tcPr>
          <w:p w:rsidR="00A92E7D" w:rsidRPr="00795C81" w:rsidRDefault="00A92E7D" w:rsidP="00795C81">
            <w:pPr>
              <w:suppressAutoHyphens w:val="0"/>
              <w:spacing w:before="40" w:after="40" w:line="220" w:lineRule="exact"/>
              <w:ind w:right="113"/>
              <w:rPr>
                <w:sz w:val="18"/>
              </w:rPr>
            </w:pPr>
            <w:r w:rsidRPr="00795C81">
              <w:rPr>
                <w:sz w:val="18"/>
              </w:rPr>
              <w:t>Ecuadorian</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N/A</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7.7</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8.5</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8.7</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8.0</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8.5</w:t>
            </w:r>
          </w:p>
        </w:tc>
      </w:tr>
      <w:tr w:rsidR="00A92E7D" w:rsidRPr="00795C81" w:rsidTr="005F609A">
        <w:tc>
          <w:tcPr>
            <w:tcW w:w="1418" w:type="dxa"/>
            <w:shd w:val="clear" w:color="auto" w:fill="auto"/>
          </w:tcPr>
          <w:p w:rsidR="00A92E7D" w:rsidRPr="00795C81" w:rsidRDefault="00A92E7D" w:rsidP="00795C81">
            <w:pPr>
              <w:suppressAutoHyphens w:val="0"/>
              <w:spacing w:before="40" w:after="40" w:line="220" w:lineRule="exact"/>
              <w:ind w:right="113"/>
              <w:rPr>
                <w:sz w:val="18"/>
              </w:rPr>
            </w:pPr>
            <w:r w:rsidRPr="00795C81">
              <w:rPr>
                <w:sz w:val="18"/>
              </w:rPr>
              <w:t>Foreign</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N/A</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5.4</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5.4</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6.3</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4.4</w:t>
            </w:r>
          </w:p>
        </w:tc>
        <w:tc>
          <w:tcPr>
            <w:tcW w:w="99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4.1</w:t>
            </w:r>
          </w:p>
        </w:tc>
      </w:tr>
    </w:tbl>
    <w:p w:rsidR="00A92E7D" w:rsidRPr="00E80C1B" w:rsidRDefault="00A92E7D" w:rsidP="00795C81">
      <w:pPr>
        <w:pStyle w:val="SingleTxtG"/>
        <w:spacing w:before="120" w:after="240"/>
        <w:ind w:firstLine="170"/>
        <w:jc w:val="left"/>
      </w:pPr>
      <w:r w:rsidRPr="00795C81">
        <w:rPr>
          <w:i/>
          <w:iCs/>
          <w:sz w:val="18"/>
          <w:lang w:eastAsia="en-US"/>
        </w:rPr>
        <w:t>Source</w:t>
      </w:r>
      <w:r w:rsidRPr="00795C81">
        <w:rPr>
          <w:sz w:val="18"/>
          <w:lang w:eastAsia="en-US"/>
        </w:rPr>
        <w:t>: National Statistics and Census Institute, national survey on employment, unemployment and underemployment.</w:t>
      </w:r>
    </w:p>
    <w:p w:rsidR="00A92E7D" w:rsidRPr="00795C81" w:rsidRDefault="00A92E7D" w:rsidP="00795C81">
      <w:pPr>
        <w:pStyle w:val="Heading1"/>
        <w:spacing w:after="120"/>
        <w:rPr>
          <w:b/>
          <w:bCs/>
        </w:rPr>
      </w:pPr>
      <w:r w:rsidRPr="00795C81">
        <w:t>Figure 1</w:t>
      </w:r>
      <w:r w:rsidR="00795C81" w:rsidRPr="00795C81">
        <w:br/>
      </w:r>
      <w:r w:rsidRPr="00795C81">
        <w:rPr>
          <w:b/>
          <w:bCs/>
        </w:rPr>
        <w:t>Income poverty by age group, 2013–2018</w:t>
      </w:r>
    </w:p>
    <w:p w:rsidR="00A92E7D" w:rsidRPr="00E80C1B" w:rsidRDefault="00A92E7D" w:rsidP="00795C81">
      <w:pPr>
        <w:pStyle w:val="SingleTxtG"/>
      </w:pPr>
      <w:r w:rsidRPr="00E80C1B">
        <w:rPr>
          <w:noProof/>
          <w:lang w:val="en-US"/>
        </w:rPr>
        <w:drawing>
          <wp:inline distT="0" distB="0" distL="0" distR="0" wp14:anchorId="26D67A57" wp14:editId="0D2013CE">
            <wp:extent cx="4648200" cy="2092988"/>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57181" cy="2097032"/>
                    </a:xfrm>
                    <a:prstGeom prst="rect">
                      <a:avLst/>
                    </a:prstGeom>
                    <a:noFill/>
                    <a:ln>
                      <a:noFill/>
                    </a:ln>
                  </pic:spPr>
                </pic:pic>
              </a:graphicData>
            </a:graphic>
          </wp:inline>
        </w:drawing>
      </w:r>
    </w:p>
    <w:p w:rsidR="00A92E7D" w:rsidRPr="00E80C1B" w:rsidRDefault="00A92E7D" w:rsidP="00795C81">
      <w:pPr>
        <w:pStyle w:val="SingleTxtG"/>
        <w:spacing w:before="120" w:after="240"/>
        <w:ind w:firstLine="170"/>
        <w:jc w:val="left"/>
      </w:pPr>
      <w:r w:rsidRPr="00795C81">
        <w:rPr>
          <w:i/>
          <w:iCs/>
          <w:sz w:val="18"/>
          <w:lang w:eastAsia="en-US"/>
        </w:rPr>
        <w:t>Source</w:t>
      </w:r>
      <w:r w:rsidRPr="00795C81">
        <w:rPr>
          <w:sz w:val="18"/>
          <w:lang w:eastAsia="en-US"/>
        </w:rPr>
        <w:t>: National Statistics and Census Institute, national survey on employment, unemployment and underemployment.</w:t>
      </w:r>
    </w:p>
    <w:p w:rsidR="00A92E7D" w:rsidRPr="00795C81" w:rsidRDefault="00A92E7D" w:rsidP="00795C81">
      <w:pPr>
        <w:pStyle w:val="Heading1"/>
        <w:spacing w:after="120"/>
        <w:rPr>
          <w:b/>
          <w:bCs/>
        </w:rPr>
      </w:pPr>
      <w:r w:rsidRPr="00795C81">
        <w:t>Figure 2</w:t>
      </w:r>
      <w:r w:rsidR="00795C81">
        <w:br/>
      </w:r>
      <w:r w:rsidRPr="00795C81">
        <w:rPr>
          <w:b/>
          <w:bCs/>
        </w:rPr>
        <w:t>Extreme income poverty by age group, 2013–2018</w:t>
      </w:r>
    </w:p>
    <w:p w:rsidR="00A92E7D" w:rsidRPr="00E80C1B" w:rsidRDefault="00A92E7D" w:rsidP="00795C81">
      <w:pPr>
        <w:pStyle w:val="SingleTxtG"/>
      </w:pPr>
      <w:r w:rsidRPr="00E80C1B">
        <w:rPr>
          <w:noProof/>
          <w:lang w:val="en-US"/>
        </w:rPr>
        <w:drawing>
          <wp:inline distT="0" distB="0" distL="0" distR="0" wp14:anchorId="22A48228" wp14:editId="1C21F47A">
            <wp:extent cx="4648200" cy="196496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67110" cy="1972962"/>
                    </a:xfrm>
                    <a:prstGeom prst="rect">
                      <a:avLst/>
                    </a:prstGeom>
                    <a:noFill/>
                    <a:ln>
                      <a:noFill/>
                    </a:ln>
                  </pic:spPr>
                </pic:pic>
              </a:graphicData>
            </a:graphic>
          </wp:inline>
        </w:drawing>
      </w:r>
    </w:p>
    <w:p w:rsidR="00A92E7D" w:rsidRPr="00E80C1B" w:rsidRDefault="00A92E7D" w:rsidP="00795C81">
      <w:pPr>
        <w:pStyle w:val="SingleTxtG"/>
        <w:spacing w:before="120" w:after="240"/>
        <w:ind w:firstLine="170"/>
        <w:jc w:val="left"/>
      </w:pPr>
      <w:r w:rsidRPr="00795C81">
        <w:rPr>
          <w:i/>
          <w:iCs/>
          <w:sz w:val="18"/>
          <w:lang w:eastAsia="en-US"/>
        </w:rPr>
        <w:t>Source</w:t>
      </w:r>
      <w:r w:rsidRPr="00795C81">
        <w:rPr>
          <w:sz w:val="18"/>
          <w:lang w:eastAsia="en-US"/>
        </w:rPr>
        <w:t>: National Statistics and Census Institute, national survey on employment, unemployment and underemployment.</w:t>
      </w:r>
    </w:p>
    <w:p w:rsidR="00A92E7D" w:rsidRPr="00795C81" w:rsidRDefault="00A92E7D" w:rsidP="00795C81">
      <w:pPr>
        <w:pStyle w:val="Heading1"/>
        <w:spacing w:after="120"/>
        <w:rPr>
          <w:b/>
          <w:bCs/>
        </w:rPr>
      </w:pPr>
      <w:r w:rsidRPr="00795C81">
        <w:t xml:space="preserve">Table 11 </w:t>
      </w:r>
      <w:r w:rsidR="00795C81">
        <w:br/>
      </w:r>
      <w:r w:rsidRPr="00795C81">
        <w:rPr>
          <w:b/>
          <w:bCs/>
        </w:rPr>
        <w:t>Poverty among persons with disabilities, by type of disability, May 2019</w:t>
      </w:r>
    </w:p>
    <w:p w:rsidR="00A92E7D" w:rsidRPr="00E80C1B" w:rsidRDefault="00A92E7D" w:rsidP="00795C81">
      <w:pPr>
        <w:pStyle w:val="SingleTxtG"/>
      </w:pPr>
      <w:r w:rsidRPr="00E80C1B">
        <w:rPr>
          <w:noProof/>
          <w:lang w:val="en-US"/>
        </w:rPr>
        <w:drawing>
          <wp:inline distT="0" distB="0" distL="0" distR="0" wp14:anchorId="5DACABC8" wp14:editId="44471217">
            <wp:extent cx="4665636" cy="97155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5636" cy="971550"/>
                    </a:xfrm>
                    <a:prstGeom prst="rect">
                      <a:avLst/>
                    </a:prstGeom>
                    <a:noFill/>
                    <a:ln>
                      <a:noFill/>
                    </a:ln>
                  </pic:spPr>
                </pic:pic>
              </a:graphicData>
            </a:graphic>
          </wp:inline>
        </w:drawing>
      </w:r>
    </w:p>
    <w:p w:rsidR="00A92E7D" w:rsidRPr="00795C81" w:rsidRDefault="00A92E7D" w:rsidP="00795C81">
      <w:pPr>
        <w:spacing w:before="120" w:after="240"/>
        <w:ind w:left="1134" w:right="1134" w:firstLine="170"/>
        <w:rPr>
          <w:sz w:val="18"/>
        </w:rPr>
      </w:pPr>
      <w:bookmarkStart w:id="50" w:name="_Toc17473163"/>
      <w:bookmarkStart w:id="51" w:name="_Toc17473231"/>
      <w:bookmarkStart w:id="52" w:name="_Toc17473508"/>
      <w:bookmarkStart w:id="53" w:name="_Toc17473864"/>
      <w:r w:rsidRPr="00795C81">
        <w:rPr>
          <w:i/>
          <w:iCs/>
          <w:sz w:val="18"/>
        </w:rPr>
        <w:t>Source</w:t>
      </w:r>
      <w:r w:rsidRPr="00795C81">
        <w:rPr>
          <w:sz w:val="18"/>
        </w:rPr>
        <w:t>: National Council for Persons with Disabilities.</w:t>
      </w:r>
      <w:bookmarkEnd w:id="50"/>
      <w:bookmarkEnd w:id="51"/>
      <w:bookmarkEnd w:id="52"/>
      <w:bookmarkEnd w:id="53"/>
    </w:p>
    <w:p w:rsidR="00A92E7D" w:rsidRPr="00E80C1B" w:rsidRDefault="00A92E7D" w:rsidP="00795C81">
      <w:pPr>
        <w:pStyle w:val="H1G"/>
      </w:pPr>
      <w:bookmarkStart w:id="54" w:name="_Toc17473164"/>
      <w:bookmarkStart w:id="55" w:name="_Toc17473232"/>
      <w:bookmarkStart w:id="56" w:name="_Toc17473865"/>
      <w:r w:rsidRPr="00E80C1B">
        <w:lastRenderedPageBreak/>
        <w:tab/>
      </w:r>
      <w:r w:rsidRPr="00E80C1B">
        <w:tab/>
        <w:t>Reply to questions raised in paragraph 20 of the list of issues</w:t>
      </w:r>
    </w:p>
    <w:bookmarkEnd w:id="54"/>
    <w:bookmarkEnd w:id="55"/>
    <w:bookmarkEnd w:id="56"/>
    <w:p w:rsidR="00A92E7D" w:rsidRPr="00E80C1B" w:rsidRDefault="00A92E7D" w:rsidP="006A4331">
      <w:pPr>
        <w:pStyle w:val="SingleTxtG"/>
      </w:pPr>
      <w:r w:rsidRPr="00E80C1B">
        <w:t>74.</w:t>
      </w:r>
      <w:r w:rsidRPr="00E80C1B">
        <w:tab/>
        <w:t>Nationally, chronic undernutrition (stunting) affects 23.9 per cent of children under the age of 5 years; the rate of general undernutrition (underweight) stands at 4.8 per cent and the rate of acute undernutrition (wasting) is 1.6 per cent.</w:t>
      </w:r>
    </w:p>
    <w:p w:rsidR="00A92E7D" w:rsidRPr="00795C81" w:rsidRDefault="00A92E7D" w:rsidP="00795C81">
      <w:pPr>
        <w:pStyle w:val="Heading1"/>
        <w:spacing w:after="120"/>
        <w:rPr>
          <w:b/>
          <w:bCs/>
        </w:rPr>
      </w:pPr>
      <w:r w:rsidRPr="00E80C1B">
        <w:t xml:space="preserve">Table 12 </w:t>
      </w:r>
      <w:r w:rsidR="00795C81">
        <w:br/>
      </w:r>
      <w:r w:rsidRPr="00795C81">
        <w:rPr>
          <w:b/>
          <w:bCs/>
        </w:rPr>
        <w:t xml:space="preserve">Undernutrition in children under the age of 5 years, by area, 2014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A92E7D" w:rsidRPr="00795C81" w:rsidTr="00795C81">
        <w:trPr>
          <w:tblHeader/>
        </w:trPr>
        <w:tc>
          <w:tcPr>
            <w:tcW w:w="1843" w:type="dxa"/>
            <w:tcBorders>
              <w:top w:val="single" w:sz="4" w:space="0" w:color="auto"/>
              <w:bottom w:val="single" w:sz="12" w:space="0" w:color="auto"/>
            </w:tcBorders>
            <w:shd w:val="clear" w:color="auto" w:fill="auto"/>
            <w:vAlign w:val="bottom"/>
          </w:tcPr>
          <w:p w:rsidR="00A92E7D" w:rsidRPr="00795C81" w:rsidRDefault="00A92E7D" w:rsidP="00795C81">
            <w:pPr>
              <w:suppressAutoHyphens w:val="0"/>
              <w:spacing w:before="80" w:after="80" w:line="200" w:lineRule="exact"/>
              <w:ind w:right="113"/>
              <w:rPr>
                <w:i/>
                <w:sz w:val="16"/>
              </w:rPr>
            </w:pPr>
          </w:p>
        </w:tc>
        <w:tc>
          <w:tcPr>
            <w:tcW w:w="1843" w:type="dxa"/>
            <w:tcBorders>
              <w:top w:val="single" w:sz="4" w:space="0" w:color="auto"/>
              <w:bottom w:val="single" w:sz="12" w:space="0" w:color="auto"/>
            </w:tcBorders>
            <w:shd w:val="clear" w:color="auto" w:fill="auto"/>
            <w:vAlign w:val="bottom"/>
          </w:tcPr>
          <w:p w:rsidR="00A92E7D" w:rsidRPr="00795C81" w:rsidRDefault="00A92E7D" w:rsidP="00795C81">
            <w:pPr>
              <w:suppressAutoHyphens w:val="0"/>
              <w:spacing w:before="80" w:after="80" w:line="200" w:lineRule="exact"/>
              <w:ind w:right="113"/>
              <w:jc w:val="right"/>
              <w:rPr>
                <w:i/>
                <w:sz w:val="16"/>
              </w:rPr>
            </w:pPr>
            <w:r w:rsidRPr="00795C81">
              <w:rPr>
                <w:i/>
                <w:sz w:val="16"/>
              </w:rPr>
              <w:t>Chronic undernutrition</w:t>
            </w:r>
          </w:p>
        </w:tc>
        <w:tc>
          <w:tcPr>
            <w:tcW w:w="1842" w:type="dxa"/>
            <w:tcBorders>
              <w:top w:val="single" w:sz="4" w:space="0" w:color="auto"/>
              <w:bottom w:val="single" w:sz="12" w:space="0" w:color="auto"/>
            </w:tcBorders>
            <w:shd w:val="clear" w:color="auto" w:fill="auto"/>
            <w:vAlign w:val="bottom"/>
          </w:tcPr>
          <w:p w:rsidR="00A92E7D" w:rsidRPr="00795C81" w:rsidRDefault="00A92E7D" w:rsidP="00795C81">
            <w:pPr>
              <w:suppressAutoHyphens w:val="0"/>
              <w:spacing w:before="80" w:after="80" w:line="200" w:lineRule="exact"/>
              <w:ind w:right="113"/>
              <w:jc w:val="right"/>
              <w:rPr>
                <w:i/>
                <w:sz w:val="16"/>
              </w:rPr>
            </w:pPr>
            <w:r w:rsidRPr="00795C81">
              <w:rPr>
                <w:i/>
                <w:sz w:val="16"/>
              </w:rPr>
              <w:t>General undernutrition</w:t>
            </w:r>
          </w:p>
        </w:tc>
        <w:tc>
          <w:tcPr>
            <w:tcW w:w="1842" w:type="dxa"/>
            <w:tcBorders>
              <w:top w:val="single" w:sz="4" w:space="0" w:color="auto"/>
              <w:bottom w:val="single" w:sz="12" w:space="0" w:color="auto"/>
            </w:tcBorders>
            <w:shd w:val="clear" w:color="auto" w:fill="auto"/>
            <w:vAlign w:val="bottom"/>
          </w:tcPr>
          <w:p w:rsidR="00A92E7D" w:rsidRPr="00795C81" w:rsidRDefault="00A92E7D" w:rsidP="00795C81">
            <w:pPr>
              <w:suppressAutoHyphens w:val="0"/>
              <w:spacing w:before="80" w:after="80" w:line="200" w:lineRule="exact"/>
              <w:ind w:right="113"/>
              <w:jc w:val="right"/>
              <w:rPr>
                <w:i/>
                <w:sz w:val="16"/>
              </w:rPr>
            </w:pPr>
            <w:r w:rsidRPr="00795C81">
              <w:rPr>
                <w:i/>
                <w:sz w:val="16"/>
              </w:rPr>
              <w:t>Acute undernutrition</w:t>
            </w:r>
          </w:p>
        </w:tc>
      </w:tr>
      <w:tr w:rsidR="00A92E7D" w:rsidRPr="00795C81" w:rsidTr="00795C81">
        <w:tc>
          <w:tcPr>
            <w:tcW w:w="1843" w:type="dxa"/>
            <w:tcBorders>
              <w:top w:val="single" w:sz="12" w:space="0" w:color="auto"/>
            </w:tcBorders>
            <w:shd w:val="clear" w:color="auto" w:fill="auto"/>
          </w:tcPr>
          <w:p w:rsidR="00A92E7D" w:rsidRPr="00795C81" w:rsidRDefault="00A92E7D" w:rsidP="00795C81">
            <w:pPr>
              <w:suppressAutoHyphens w:val="0"/>
              <w:spacing w:before="40" w:after="40" w:line="220" w:lineRule="exact"/>
              <w:ind w:right="113"/>
              <w:rPr>
                <w:sz w:val="18"/>
              </w:rPr>
            </w:pPr>
            <w:r w:rsidRPr="00795C81">
              <w:rPr>
                <w:sz w:val="18"/>
              </w:rPr>
              <w:t>National</w:t>
            </w:r>
          </w:p>
        </w:tc>
        <w:tc>
          <w:tcPr>
            <w:tcW w:w="1843" w:type="dxa"/>
            <w:tcBorders>
              <w:top w:val="single" w:sz="12" w:space="0" w:color="auto"/>
            </w:tcBorders>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23.9</w:t>
            </w:r>
          </w:p>
        </w:tc>
        <w:tc>
          <w:tcPr>
            <w:tcW w:w="1842" w:type="dxa"/>
            <w:tcBorders>
              <w:top w:val="single" w:sz="12" w:space="0" w:color="auto"/>
            </w:tcBorders>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4.8</w:t>
            </w:r>
          </w:p>
        </w:tc>
        <w:tc>
          <w:tcPr>
            <w:tcW w:w="1842" w:type="dxa"/>
            <w:tcBorders>
              <w:top w:val="single" w:sz="12" w:space="0" w:color="auto"/>
            </w:tcBorders>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1.6</w:t>
            </w:r>
          </w:p>
        </w:tc>
      </w:tr>
      <w:tr w:rsidR="00A92E7D" w:rsidRPr="00795C81" w:rsidTr="00795C81">
        <w:tc>
          <w:tcPr>
            <w:tcW w:w="1843" w:type="dxa"/>
            <w:shd w:val="clear" w:color="auto" w:fill="auto"/>
          </w:tcPr>
          <w:p w:rsidR="00A92E7D" w:rsidRPr="00795C81" w:rsidRDefault="00A92E7D" w:rsidP="00795C81">
            <w:pPr>
              <w:suppressAutoHyphens w:val="0"/>
              <w:spacing w:before="40" w:after="40" w:line="220" w:lineRule="exact"/>
              <w:ind w:right="113"/>
              <w:rPr>
                <w:sz w:val="18"/>
              </w:rPr>
            </w:pPr>
            <w:r w:rsidRPr="00795C81">
              <w:rPr>
                <w:sz w:val="18"/>
              </w:rPr>
              <w:t>Urban</w:t>
            </w:r>
          </w:p>
        </w:tc>
        <w:tc>
          <w:tcPr>
            <w:tcW w:w="1843"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19.7</w:t>
            </w:r>
          </w:p>
        </w:tc>
        <w:tc>
          <w:tcPr>
            <w:tcW w:w="184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4.1</w:t>
            </w:r>
          </w:p>
        </w:tc>
        <w:tc>
          <w:tcPr>
            <w:tcW w:w="184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1.5</w:t>
            </w:r>
          </w:p>
        </w:tc>
      </w:tr>
      <w:tr w:rsidR="00A92E7D" w:rsidRPr="00795C81" w:rsidTr="00795C81">
        <w:tc>
          <w:tcPr>
            <w:tcW w:w="1843" w:type="dxa"/>
            <w:shd w:val="clear" w:color="auto" w:fill="auto"/>
          </w:tcPr>
          <w:p w:rsidR="00A92E7D" w:rsidRPr="00795C81" w:rsidRDefault="00A92E7D" w:rsidP="00795C81">
            <w:pPr>
              <w:suppressAutoHyphens w:val="0"/>
              <w:spacing w:before="40" w:after="40" w:line="220" w:lineRule="exact"/>
              <w:ind w:right="113"/>
              <w:rPr>
                <w:sz w:val="18"/>
              </w:rPr>
            </w:pPr>
            <w:r w:rsidRPr="00795C81">
              <w:rPr>
                <w:sz w:val="18"/>
              </w:rPr>
              <w:t>Rural</w:t>
            </w:r>
          </w:p>
        </w:tc>
        <w:tc>
          <w:tcPr>
            <w:tcW w:w="1843"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31.9</w:t>
            </w:r>
          </w:p>
        </w:tc>
        <w:tc>
          <w:tcPr>
            <w:tcW w:w="184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6.2</w:t>
            </w:r>
          </w:p>
        </w:tc>
        <w:tc>
          <w:tcPr>
            <w:tcW w:w="1842" w:type="dxa"/>
            <w:shd w:val="clear" w:color="auto" w:fill="auto"/>
            <w:vAlign w:val="bottom"/>
          </w:tcPr>
          <w:p w:rsidR="00A92E7D" w:rsidRPr="00795C81" w:rsidRDefault="00A92E7D" w:rsidP="00795C81">
            <w:pPr>
              <w:suppressAutoHyphens w:val="0"/>
              <w:spacing w:before="40" w:after="40" w:line="220" w:lineRule="exact"/>
              <w:ind w:right="113"/>
              <w:jc w:val="right"/>
              <w:rPr>
                <w:sz w:val="18"/>
              </w:rPr>
            </w:pPr>
            <w:r w:rsidRPr="00795C81">
              <w:rPr>
                <w:sz w:val="18"/>
              </w:rPr>
              <w:t>1.9</w:t>
            </w:r>
          </w:p>
        </w:tc>
      </w:tr>
    </w:tbl>
    <w:p w:rsidR="00A92E7D" w:rsidRPr="008C3A09" w:rsidRDefault="00A92E7D" w:rsidP="008C3A09">
      <w:pPr>
        <w:spacing w:before="120" w:after="240"/>
        <w:ind w:left="1134" w:right="1134" w:firstLine="170"/>
        <w:rPr>
          <w:sz w:val="18"/>
        </w:rPr>
      </w:pPr>
      <w:r w:rsidRPr="008C3A09">
        <w:rPr>
          <w:i/>
          <w:iCs/>
          <w:sz w:val="18"/>
        </w:rPr>
        <w:t>Source</w:t>
      </w:r>
      <w:r w:rsidRPr="008C3A09">
        <w:rPr>
          <w:sz w:val="18"/>
        </w:rPr>
        <w:t>: Ministry of Public Health.</w:t>
      </w:r>
    </w:p>
    <w:p w:rsidR="00A92E7D" w:rsidRPr="00E80C1B" w:rsidRDefault="00A92E7D" w:rsidP="006A4331">
      <w:pPr>
        <w:pStyle w:val="SingleTxtG"/>
      </w:pPr>
      <w:r w:rsidRPr="00E80C1B">
        <w:t>75.</w:t>
      </w:r>
      <w:r w:rsidRPr="00E80C1B">
        <w:tab/>
        <w:t>The Ministry of Public Health has led the design and implementation of the Intersectoral Food and Nutrition Plan 2018–2025, whose aim is to promote optimal nutrition and development throughout people</w:t>
      </w:r>
      <w:r w:rsidR="00BB6C88">
        <w:t>’</w:t>
      </w:r>
      <w:r w:rsidRPr="00E80C1B">
        <w:t xml:space="preserve">s lives and to ensure the delivery of comprehensive health care. </w:t>
      </w:r>
    </w:p>
    <w:p w:rsidR="00A92E7D" w:rsidRPr="00E80C1B" w:rsidRDefault="00A92E7D" w:rsidP="006A4331">
      <w:pPr>
        <w:pStyle w:val="SingleTxtG"/>
      </w:pPr>
      <w:r w:rsidRPr="00E80C1B">
        <w:t>76.</w:t>
      </w:r>
      <w:r w:rsidRPr="00E80C1B">
        <w:tab/>
        <w:t xml:space="preserve">The Plan has eight strategic action lines: (1) intersectoral coordination; (2) monitoring and evaluation; (3) comprehensive care; (4) breastfeeding; (5) healthy environments and practices; (6) safe water and sanitation; (7) food security and diversity; and (8) social protection and inclusion. </w:t>
      </w:r>
    </w:p>
    <w:p w:rsidR="00A92E7D" w:rsidRPr="00E80C1B" w:rsidRDefault="00A92E7D" w:rsidP="006A4331">
      <w:pPr>
        <w:pStyle w:val="SingleTxtG"/>
      </w:pPr>
      <w:r w:rsidRPr="00E80C1B">
        <w:t>77.</w:t>
      </w:r>
      <w:r w:rsidRPr="00E80C1B">
        <w:tab/>
        <w:t>The Plan is also linked to various policies and regulations designed to improve the nutritional status of the population, such as: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Regulations on mother-and-child-friendly health facilities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Regulations for school canteens in the national education system</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Regulations on the labelling of processed foods for human consumption</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Fiscal measures such as the tax on sugary beverages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Recognition of the nutrition-related responsibilities of restaurants and cafés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The agreement between the Ministry of Public Health and the Ministry of Labour on technical standards for the outfitting and use of breastfeeding rooms in the private sector</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The establishment of human milk banks.</w:t>
      </w:r>
    </w:p>
    <w:p w:rsidR="00A92E7D" w:rsidRPr="00E80C1B" w:rsidRDefault="00A92E7D" w:rsidP="008C3A09">
      <w:pPr>
        <w:pStyle w:val="H1G"/>
      </w:pPr>
      <w:bookmarkStart w:id="57" w:name="_Toc17473165"/>
      <w:bookmarkStart w:id="58" w:name="_Toc17473233"/>
      <w:bookmarkStart w:id="59" w:name="_Toc17473866"/>
      <w:r w:rsidRPr="00E80C1B">
        <w:tab/>
      </w:r>
      <w:r w:rsidRPr="00E80C1B">
        <w:tab/>
        <w:t>Reply to questions raised in paragraph 21 of the list of issues</w:t>
      </w:r>
    </w:p>
    <w:bookmarkEnd w:id="57"/>
    <w:bookmarkEnd w:id="58"/>
    <w:bookmarkEnd w:id="59"/>
    <w:p w:rsidR="00A92E7D" w:rsidRPr="00E80C1B" w:rsidRDefault="00A92E7D" w:rsidP="006A4331">
      <w:pPr>
        <w:pStyle w:val="SingleTxtG"/>
      </w:pPr>
      <w:r w:rsidRPr="00E80C1B">
        <w:t>78.</w:t>
      </w:r>
      <w:r w:rsidRPr="00E80C1B">
        <w:tab/>
        <w:t xml:space="preserve">The Inter-Agency Committee on Water Quality has been established to coordinate policymaking on water quality and pollution control for the protection, conservation and integrated management of water resources. The National Strategy for Water Quality was developed within that framework. The main achievements in this connection are: </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A baseline study on water quality</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The protection, monitoring and improvement of water quality</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The introduction of a requirement for an environmental impact study prior to the approval of all projects or works.</w:t>
      </w:r>
      <w:r w:rsidR="00A92E7D" w:rsidRPr="00EF3BB8">
        <w:rPr>
          <w:rStyle w:val="FootnoteReference"/>
        </w:rPr>
        <w:footnoteReference w:id="8"/>
      </w:r>
    </w:p>
    <w:p w:rsidR="00A92E7D" w:rsidRPr="00E80C1B" w:rsidRDefault="00A92E7D" w:rsidP="006A4331">
      <w:pPr>
        <w:pStyle w:val="SingleTxtG"/>
      </w:pPr>
      <w:r w:rsidRPr="00E80C1B">
        <w:t>79.</w:t>
      </w:r>
      <w:r w:rsidRPr="00E80C1B">
        <w:tab/>
        <w:t xml:space="preserve">With regard to large-scale agricultural activities and fumigation, training courses have been organized at the national level on the correct handling of chemical pesticides for agricultural use. In addition, regulations on the approval process for chemical substances have been issued under the Organic Code on the Environment of 2017. Procedures have </w:t>
      </w:r>
      <w:r w:rsidRPr="00E80C1B">
        <w:lastRenderedPageBreak/>
        <w:t xml:space="preserve">been established for the registration of hazardous waste generators, for hazardous waste management prior to the issuance of environmental permits and for the transport of hazardous materials. </w:t>
      </w:r>
    </w:p>
    <w:p w:rsidR="00A92E7D" w:rsidRPr="00E80C1B" w:rsidRDefault="00A92E7D" w:rsidP="006A4331">
      <w:pPr>
        <w:pStyle w:val="SingleTxtG"/>
      </w:pPr>
      <w:r w:rsidRPr="00E80C1B">
        <w:t>80.</w:t>
      </w:r>
      <w:r w:rsidRPr="00E80C1B">
        <w:tab/>
        <w:t>The National Safe Water Plan for 2019–2025 is aimed at reducing national rates of morbidity and mortality caused by waterborne diseases. The plan has three components: monitoring drinking water quality and safety; promoting healthy habits in water use and consumption, basic sanitation and hygiene; and intersectoral coordination.</w:t>
      </w:r>
    </w:p>
    <w:p w:rsidR="00A92E7D" w:rsidRPr="00E80C1B" w:rsidRDefault="00A92E7D" w:rsidP="006A4331">
      <w:pPr>
        <w:pStyle w:val="SingleTxtG"/>
      </w:pPr>
      <w:r w:rsidRPr="00E80C1B">
        <w:t>81.</w:t>
      </w:r>
      <w:r w:rsidRPr="00E80C1B">
        <w:tab/>
        <w:t>In the areas reputedly affected by extractive projects and fumigation in the vicinity of the northern border, community work is being done to collect family records, to identify health risks and needs and to implement and follow up on intervention plans.</w:t>
      </w:r>
    </w:p>
    <w:p w:rsidR="00A92E7D" w:rsidRPr="00E80C1B" w:rsidRDefault="00A92E7D" w:rsidP="008C3A09">
      <w:pPr>
        <w:pStyle w:val="H1G"/>
      </w:pPr>
      <w:bookmarkStart w:id="60" w:name="_Toc17473166"/>
      <w:bookmarkStart w:id="61" w:name="_Toc17473234"/>
      <w:bookmarkStart w:id="62" w:name="_Toc17473867"/>
      <w:r w:rsidRPr="00E80C1B">
        <w:tab/>
      </w:r>
      <w:r w:rsidRPr="00E80C1B">
        <w:tab/>
        <w:t>Reply to questions raised in paragraph 22 of the list of issues</w:t>
      </w:r>
    </w:p>
    <w:bookmarkEnd w:id="60"/>
    <w:bookmarkEnd w:id="61"/>
    <w:bookmarkEnd w:id="62"/>
    <w:p w:rsidR="00A92E7D" w:rsidRPr="00E80C1B" w:rsidRDefault="00A92E7D" w:rsidP="006A4331">
      <w:pPr>
        <w:pStyle w:val="SingleTxtG"/>
      </w:pPr>
      <w:r w:rsidRPr="00E80C1B">
        <w:t>82.</w:t>
      </w:r>
      <w:r w:rsidRPr="00E80C1B">
        <w:tab/>
        <w:t>Implementation of a project to provide family farmers with access to land and to undertake a large-scale titling initiative in Ecuador resulted in the issuance of 332,897 title deeds in 2010–2018. Access to land was opened up for 85 organizations belonging to the grass-roots economy, with more than 5,000 direct beneficiaries during the period. The titling of the lands of ancestral communities resulted</w:t>
      </w:r>
      <w:r w:rsidR="0086053F">
        <w:t xml:space="preserve"> </w:t>
      </w:r>
      <w:r w:rsidRPr="00E80C1B">
        <w:t>in the award of titles to 420,566.84 hectares in 2011–2018 to 5,801 direct beneficiaries.</w:t>
      </w:r>
    </w:p>
    <w:p w:rsidR="00A92E7D" w:rsidRPr="00E80C1B" w:rsidRDefault="00A92E7D" w:rsidP="006A4331">
      <w:pPr>
        <w:pStyle w:val="SingleTxtG"/>
      </w:pPr>
      <w:r w:rsidRPr="00E80C1B">
        <w:t>83.</w:t>
      </w:r>
      <w:r w:rsidRPr="00E80C1B">
        <w:tab/>
        <w:t xml:space="preserve">Information on land titling procedures and rules has been shared with the members of rural communities in the parish of Santiago de Pananza, which is located in the canton of San Juan Bosco. Technical assistance and training are also provided to agricultural producers in the area, and comprehensive farm management plans have been drawn up in order to help farm owners develop their own production plans. </w:t>
      </w:r>
    </w:p>
    <w:p w:rsidR="00A92E7D" w:rsidRPr="00E80C1B" w:rsidRDefault="00A92E7D" w:rsidP="008C3A09">
      <w:pPr>
        <w:pStyle w:val="H1G"/>
      </w:pPr>
      <w:bookmarkStart w:id="63" w:name="_lm44ha7qilxa" w:colFirst="0" w:colLast="0"/>
      <w:bookmarkStart w:id="64" w:name="_Toc17473167"/>
      <w:bookmarkStart w:id="65" w:name="_Toc17473235"/>
      <w:bookmarkStart w:id="66" w:name="_Toc17473868"/>
      <w:bookmarkEnd w:id="63"/>
      <w:r w:rsidRPr="00E80C1B">
        <w:tab/>
      </w:r>
      <w:r w:rsidRPr="00E80C1B">
        <w:tab/>
        <w:t>Reply to questions raised in paragraph 23 of the list of issues</w:t>
      </w:r>
    </w:p>
    <w:bookmarkEnd w:id="64"/>
    <w:bookmarkEnd w:id="65"/>
    <w:bookmarkEnd w:id="66"/>
    <w:p w:rsidR="00A92E7D" w:rsidRPr="00E80C1B" w:rsidRDefault="00A92E7D" w:rsidP="00112209">
      <w:pPr>
        <w:pStyle w:val="H4G"/>
      </w:pPr>
      <w:r w:rsidRPr="00E80C1B">
        <w:tab/>
      </w:r>
      <w:r w:rsidRPr="00E80C1B">
        <w:tab/>
        <w:t>National Sexual and Reproductive Health Plan</w:t>
      </w:r>
    </w:p>
    <w:p w:rsidR="00A92E7D" w:rsidRPr="00E80C1B" w:rsidRDefault="00A92E7D" w:rsidP="006A4331">
      <w:pPr>
        <w:pStyle w:val="SingleTxtG"/>
      </w:pPr>
      <w:r w:rsidRPr="00E80C1B">
        <w:t>84.</w:t>
      </w:r>
      <w:r w:rsidRPr="00E80C1B">
        <w:tab/>
        <w:t xml:space="preserve">Advances include: </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Training of 559 teachers involved in the ABCs for All project (86 per cent) in the presentation of a module on sexual and reproductive health</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Increased promotion of sexual and reproductive health with the help of educational and communications strategies and tools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 xml:space="preserve">Training for 21,313 members of local health committees, clubs and the general public on sexual and reproductive rights </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Operation of the health promotion helpline 171 option 2 (nutrition, sexual and reproductive health, mental health and maternal health)</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Development of a module on sexual and reproductive health for the civic participation schools initiative organized by the Ministry of Public Health</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 xml:space="preserve">Monitoring and follow-up of the implementation of the regulations governing access to contraceptives in the national health system and the 2013 directive issued in that connection </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 xml:space="preserve">Nationwide implementation of family planning flows. </w:t>
      </w:r>
    </w:p>
    <w:p w:rsidR="00A92E7D" w:rsidRPr="00E80C1B" w:rsidRDefault="00A92E7D" w:rsidP="006A4331">
      <w:pPr>
        <w:pStyle w:val="SingleTxtG"/>
      </w:pPr>
      <w:r w:rsidRPr="00E80C1B">
        <w:t>85.</w:t>
      </w:r>
      <w:r w:rsidRPr="00E80C1B">
        <w:tab/>
        <w:t xml:space="preserve">Access to emergency oral contraception: </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All persons, regardless of their ethnicity, age, sex, cultural identity, marital status, language, religion, ideology, political affiliation, socioeconomic status, economic migration status, gender identity, health status, HIV/AIDS status, disability, physical difference or other condition, have the right to comprehensive sexual and reproductive health care, including free access to emergency oral contraceptives.</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Emergency oral contraceptives may be provided to anyone, regardless of age or sex, without a prescription and without any need to show proof of identity, to make a medical appointment or to be accompanied by anyone else.</w:t>
      </w:r>
    </w:p>
    <w:p w:rsidR="00A92E7D" w:rsidRPr="00E80C1B" w:rsidRDefault="00245093" w:rsidP="00245093">
      <w:pPr>
        <w:pStyle w:val="Bullet1G"/>
        <w:numPr>
          <w:ilvl w:val="0"/>
          <w:numId w:val="0"/>
        </w:numPr>
        <w:tabs>
          <w:tab w:val="left" w:pos="1701"/>
        </w:tabs>
        <w:ind w:left="1701" w:hanging="170"/>
      </w:pPr>
      <w:r w:rsidRPr="00E80C1B">
        <w:lastRenderedPageBreak/>
        <w:t>•</w:t>
      </w:r>
      <w:r w:rsidRPr="00E80C1B">
        <w:tab/>
      </w:r>
      <w:r w:rsidR="00A92E7D" w:rsidRPr="00E80C1B">
        <w:t>The presence or authorization of the partner, a family member or any other person is not required in order to obtain any type of contraceptive.</w:t>
      </w:r>
    </w:p>
    <w:p w:rsidR="00A92E7D" w:rsidRPr="00E80C1B" w:rsidRDefault="00245093" w:rsidP="00245093">
      <w:pPr>
        <w:pStyle w:val="Bullet1G"/>
        <w:numPr>
          <w:ilvl w:val="0"/>
          <w:numId w:val="0"/>
        </w:numPr>
        <w:tabs>
          <w:tab w:val="left" w:pos="1701"/>
        </w:tabs>
        <w:ind w:left="1701" w:hanging="170"/>
      </w:pPr>
      <w:r w:rsidRPr="00E80C1B">
        <w:t>•</w:t>
      </w:r>
      <w:r w:rsidRPr="00E80C1B">
        <w:tab/>
      </w:r>
      <w:r w:rsidR="00A92E7D" w:rsidRPr="00E80C1B">
        <w:t>Contraceptives can be provided without having to attend a gynaecological consultation or provide any kind of document.</w:t>
      </w:r>
    </w:p>
    <w:p w:rsidR="00A92E7D" w:rsidRPr="00E80C1B" w:rsidRDefault="00A92E7D" w:rsidP="006A4331">
      <w:pPr>
        <w:pStyle w:val="SingleTxtG"/>
      </w:pPr>
      <w:r w:rsidRPr="00E80C1B">
        <w:t>86.</w:t>
      </w:r>
      <w:r w:rsidRPr="00E80C1B">
        <w:tab/>
        <w:t xml:space="preserve">Between 2016 and 2018, the Ministry of Public Health spent US$ 230,216.91 on emergency oral contraceptives. </w:t>
      </w:r>
    </w:p>
    <w:p w:rsidR="00A92E7D" w:rsidRPr="00112209" w:rsidRDefault="00A92E7D" w:rsidP="00112209">
      <w:pPr>
        <w:pStyle w:val="Heading1"/>
        <w:spacing w:after="120"/>
        <w:rPr>
          <w:b/>
          <w:bCs/>
        </w:rPr>
      </w:pPr>
      <w:r w:rsidRPr="00E80C1B">
        <w:t>Table 13</w:t>
      </w:r>
      <w:r w:rsidR="00112209">
        <w:br/>
      </w:r>
      <w:r w:rsidRPr="00112209">
        <w:rPr>
          <w:b/>
          <w:bCs/>
        </w:rPr>
        <w:t>Number of initial family planning consultations, by province, 2013–2018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804"/>
        <w:gridCol w:w="803"/>
        <w:gridCol w:w="803"/>
        <w:gridCol w:w="803"/>
        <w:gridCol w:w="803"/>
        <w:gridCol w:w="802"/>
      </w:tblGrid>
      <w:tr w:rsidR="00112209" w:rsidRPr="00112209" w:rsidTr="00DE2632">
        <w:trPr>
          <w:tblHeader/>
        </w:trPr>
        <w:tc>
          <w:tcPr>
            <w:tcW w:w="1731" w:type="pct"/>
            <w:tcBorders>
              <w:top w:val="single" w:sz="4" w:space="0" w:color="auto"/>
              <w:bottom w:val="single" w:sz="12" w:space="0" w:color="auto"/>
            </w:tcBorders>
            <w:shd w:val="clear" w:color="auto" w:fill="auto"/>
            <w:noWrap/>
            <w:vAlign w:val="bottom"/>
            <w:hideMark/>
          </w:tcPr>
          <w:p w:rsidR="00A92E7D" w:rsidRPr="00112209" w:rsidRDefault="00A92E7D" w:rsidP="00112209">
            <w:pPr>
              <w:suppressAutoHyphens w:val="0"/>
              <w:spacing w:before="80" w:after="80" w:line="200" w:lineRule="exact"/>
              <w:ind w:right="113"/>
              <w:rPr>
                <w:i/>
                <w:sz w:val="16"/>
              </w:rPr>
            </w:pPr>
            <w:r w:rsidRPr="00112209">
              <w:rPr>
                <w:i/>
                <w:sz w:val="16"/>
              </w:rPr>
              <w:t>Province</w:t>
            </w:r>
          </w:p>
        </w:tc>
        <w:tc>
          <w:tcPr>
            <w:tcW w:w="545" w:type="pct"/>
            <w:tcBorders>
              <w:top w:val="single" w:sz="4" w:space="0" w:color="auto"/>
              <w:bottom w:val="single" w:sz="12" w:space="0" w:color="auto"/>
            </w:tcBorders>
            <w:shd w:val="clear" w:color="auto" w:fill="auto"/>
            <w:noWrap/>
            <w:vAlign w:val="bottom"/>
            <w:hideMark/>
          </w:tcPr>
          <w:p w:rsidR="00A92E7D" w:rsidRPr="00112209" w:rsidRDefault="00A92E7D" w:rsidP="00112209">
            <w:pPr>
              <w:suppressAutoHyphens w:val="0"/>
              <w:spacing w:before="80" w:after="80" w:line="200" w:lineRule="exact"/>
              <w:ind w:right="113"/>
              <w:jc w:val="right"/>
              <w:rPr>
                <w:i/>
                <w:sz w:val="16"/>
              </w:rPr>
            </w:pPr>
            <w:r w:rsidRPr="00112209">
              <w:rPr>
                <w:i/>
                <w:sz w:val="16"/>
              </w:rPr>
              <w:t>2013</w:t>
            </w:r>
          </w:p>
        </w:tc>
        <w:tc>
          <w:tcPr>
            <w:tcW w:w="545" w:type="pct"/>
            <w:tcBorders>
              <w:top w:val="single" w:sz="4" w:space="0" w:color="auto"/>
              <w:bottom w:val="single" w:sz="12" w:space="0" w:color="auto"/>
            </w:tcBorders>
            <w:shd w:val="clear" w:color="auto" w:fill="auto"/>
            <w:noWrap/>
            <w:vAlign w:val="bottom"/>
            <w:hideMark/>
          </w:tcPr>
          <w:p w:rsidR="00A92E7D" w:rsidRPr="00112209" w:rsidRDefault="00A92E7D" w:rsidP="00112209">
            <w:pPr>
              <w:suppressAutoHyphens w:val="0"/>
              <w:spacing w:before="80" w:after="80" w:line="200" w:lineRule="exact"/>
              <w:ind w:right="113"/>
              <w:jc w:val="right"/>
              <w:rPr>
                <w:i/>
                <w:sz w:val="16"/>
              </w:rPr>
            </w:pPr>
            <w:r w:rsidRPr="00112209">
              <w:rPr>
                <w:i/>
                <w:sz w:val="16"/>
              </w:rPr>
              <w:t>2014</w:t>
            </w:r>
          </w:p>
        </w:tc>
        <w:tc>
          <w:tcPr>
            <w:tcW w:w="545" w:type="pct"/>
            <w:tcBorders>
              <w:top w:val="single" w:sz="4" w:space="0" w:color="auto"/>
              <w:bottom w:val="single" w:sz="12" w:space="0" w:color="auto"/>
            </w:tcBorders>
            <w:shd w:val="clear" w:color="auto" w:fill="auto"/>
            <w:noWrap/>
            <w:vAlign w:val="bottom"/>
            <w:hideMark/>
          </w:tcPr>
          <w:p w:rsidR="00A92E7D" w:rsidRPr="00112209" w:rsidRDefault="00A92E7D" w:rsidP="00112209">
            <w:pPr>
              <w:suppressAutoHyphens w:val="0"/>
              <w:spacing w:before="80" w:after="80" w:line="200" w:lineRule="exact"/>
              <w:ind w:right="113"/>
              <w:jc w:val="right"/>
              <w:rPr>
                <w:i/>
                <w:sz w:val="16"/>
              </w:rPr>
            </w:pPr>
            <w:r w:rsidRPr="00112209">
              <w:rPr>
                <w:i/>
                <w:sz w:val="16"/>
              </w:rPr>
              <w:t>2015</w:t>
            </w:r>
          </w:p>
        </w:tc>
        <w:tc>
          <w:tcPr>
            <w:tcW w:w="545" w:type="pct"/>
            <w:tcBorders>
              <w:top w:val="single" w:sz="4" w:space="0" w:color="auto"/>
              <w:bottom w:val="single" w:sz="12" w:space="0" w:color="auto"/>
            </w:tcBorders>
            <w:shd w:val="clear" w:color="auto" w:fill="auto"/>
            <w:noWrap/>
            <w:vAlign w:val="bottom"/>
            <w:hideMark/>
          </w:tcPr>
          <w:p w:rsidR="00A92E7D" w:rsidRPr="00112209" w:rsidRDefault="00A92E7D" w:rsidP="00112209">
            <w:pPr>
              <w:suppressAutoHyphens w:val="0"/>
              <w:spacing w:before="80" w:after="80" w:line="200" w:lineRule="exact"/>
              <w:ind w:right="113"/>
              <w:jc w:val="right"/>
              <w:rPr>
                <w:i/>
                <w:sz w:val="16"/>
              </w:rPr>
            </w:pPr>
            <w:r w:rsidRPr="00112209">
              <w:rPr>
                <w:i/>
                <w:sz w:val="16"/>
              </w:rPr>
              <w:t>2016</w:t>
            </w:r>
          </w:p>
        </w:tc>
        <w:tc>
          <w:tcPr>
            <w:tcW w:w="545" w:type="pct"/>
            <w:tcBorders>
              <w:top w:val="single" w:sz="4" w:space="0" w:color="auto"/>
              <w:bottom w:val="single" w:sz="12" w:space="0" w:color="auto"/>
            </w:tcBorders>
            <w:shd w:val="clear" w:color="auto" w:fill="auto"/>
            <w:noWrap/>
            <w:vAlign w:val="bottom"/>
            <w:hideMark/>
          </w:tcPr>
          <w:p w:rsidR="00A92E7D" w:rsidRPr="00112209" w:rsidRDefault="00A92E7D" w:rsidP="00112209">
            <w:pPr>
              <w:suppressAutoHyphens w:val="0"/>
              <w:spacing w:before="80" w:after="80" w:line="200" w:lineRule="exact"/>
              <w:ind w:right="113"/>
              <w:jc w:val="right"/>
              <w:rPr>
                <w:i/>
                <w:sz w:val="16"/>
              </w:rPr>
            </w:pPr>
            <w:r w:rsidRPr="00112209">
              <w:rPr>
                <w:i/>
                <w:sz w:val="16"/>
              </w:rPr>
              <w:t>2017</w:t>
            </w:r>
          </w:p>
        </w:tc>
        <w:tc>
          <w:tcPr>
            <w:tcW w:w="545" w:type="pct"/>
            <w:tcBorders>
              <w:top w:val="single" w:sz="4" w:space="0" w:color="auto"/>
              <w:bottom w:val="single" w:sz="12" w:space="0" w:color="auto"/>
            </w:tcBorders>
            <w:shd w:val="clear" w:color="auto" w:fill="auto"/>
            <w:noWrap/>
            <w:vAlign w:val="bottom"/>
            <w:hideMark/>
          </w:tcPr>
          <w:p w:rsidR="00A92E7D" w:rsidRPr="00112209" w:rsidRDefault="00A92E7D" w:rsidP="00112209">
            <w:pPr>
              <w:suppressAutoHyphens w:val="0"/>
              <w:spacing w:before="80" w:after="80" w:line="200" w:lineRule="exact"/>
              <w:ind w:right="113"/>
              <w:jc w:val="right"/>
              <w:rPr>
                <w:i/>
                <w:sz w:val="16"/>
              </w:rPr>
            </w:pPr>
            <w:r w:rsidRPr="00112209">
              <w:rPr>
                <w:i/>
                <w:sz w:val="16"/>
              </w:rPr>
              <w:t>2018 (*)</w:t>
            </w:r>
          </w:p>
        </w:tc>
      </w:tr>
      <w:tr w:rsidR="00DE2632" w:rsidRPr="00112209" w:rsidTr="00DE2632">
        <w:tc>
          <w:tcPr>
            <w:tcW w:w="1731" w:type="pct"/>
            <w:tcBorders>
              <w:top w:val="single" w:sz="12" w:space="0" w:color="auto"/>
            </w:tcBorders>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Azuay</w:t>
            </w:r>
          </w:p>
        </w:tc>
        <w:tc>
          <w:tcPr>
            <w:tcW w:w="545" w:type="pct"/>
            <w:tcBorders>
              <w:top w:val="single" w:sz="12"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20 172</w:t>
            </w:r>
          </w:p>
        </w:tc>
        <w:tc>
          <w:tcPr>
            <w:tcW w:w="545" w:type="pct"/>
            <w:tcBorders>
              <w:top w:val="single" w:sz="12"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17 977</w:t>
            </w:r>
          </w:p>
        </w:tc>
        <w:tc>
          <w:tcPr>
            <w:tcW w:w="545" w:type="pct"/>
            <w:tcBorders>
              <w:top w:val="single" w:sz="12"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17 917</w:t>
            </w:r>
          </w:p>
        </w:tc>
        <w:tc>
          <w:tcPr>
            <w:tcW w:w="545" w:type="pct"/>
            <w:tcBorders>
              <w:top w:val="single" w:sz="12"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19 443</w:t>
            </w:r>
          </w:p>
        </w:tc>
        <w:tc>
          <w:tcPr>
            <w:tcW w:w="545" w:type="pct"/>
            <w:tcBorders>
              <w:top w:val="single" w:sz="12"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24 821</w:t>
            </w:r>
          </w:p>
        </w:tc>
        <w:tc>
          <w:tcPr>
            <w:tcW w:w="545" w:type="pct"/>
            <w:tcBorders>
              <w:top w:val="single" w:sz="12"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30 791</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Bolívar</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5 048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5 152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4 872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4 638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5 433</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8 219</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Cañar</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6 216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6 977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6 478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6 141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6 533</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9 194</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Carchi</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4 225</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5 000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4 817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5 388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8 049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11 579</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Chimborazo</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12 660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11 865</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9 780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12 371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14 554</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29 112</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Cotopaxi</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9 362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9 389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9 627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11 989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9 925</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13 318</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El Oro</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24 607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21 097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17 060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15 293</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16 397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14 217</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Esmeraldas</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19 526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19 774</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26 258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27 462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29 748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34 426</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Galápagos</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300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672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1 125</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950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856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821</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Guayas</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89 892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79 682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81 983</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75 666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109 964</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141 328</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Imbabura</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10 877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8 263</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8 007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11 126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12 608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11 582</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Loja</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16 048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15 336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10 564</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10 740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9 606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8 763</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Los Ríos</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39 817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27 879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22 850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24 720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33 540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47 555</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Manabí</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44 808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41 092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39 721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51 812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45 629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40 141</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Morona-Santiago</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5 231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5 861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9 475</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12 727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16 564</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15 599</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Napo</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6 983</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6 998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7 684</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8 049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9 323</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10 029</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Orellana</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6 819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5 903</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6 524</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7 291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7 689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7 736</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Pastaza</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4 124</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3 098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3 896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4 146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3 168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3 234</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Pichincha</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74 588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72 471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65 157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73 275</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72 877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83 514</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Santa Elena</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13 683</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13 704</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13 880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14 960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15 412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22 837</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lang w:val="es-ES"/>
              </w:rPr>
            </w:pPr>
            <w:r w:rsidRPr="00112209">
              <w:rPr>
                <w:sz w:val="18"/>
                <w:lang w:val="es-ES"/>
              </w:rPr>
              <w:t>Santo Domingo de los Tsáchilas</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16 652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14 429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19 601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23 418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16 338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13 224</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Sucumbíos</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8 937</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9 869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8 301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7 170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8 611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10 292</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Tungurahua</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16 069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13 708</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12 582</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12 381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16 436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21 749</w:t>
            </w:r>
          </w:p>
        </w:tc>
      </w:tr>
      <w:tr w:rsidR="00DE2632" w:rsidRPr="00112209" w:rsidTr="00DE2632">
        <w:tc>
          <w:tcPr>
            <w:tcW w:w="1731" w:type="pct"/>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Zamora-Chinchipe</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5 109</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3 090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2 911</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3 846</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4 430</w:t>
            </w:r>
          </w:p>
        </w:tc>
        <w:tc>
          <w:tcPr>
            <w:tcW w:w="545" w:type="pct"/>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3 669</w:t>
            </w:r>
          </w:p>
        </w:tc>
      </w:tr>
      <w:tr w:rsidR="00DE2632" w:rsidRPr="00112209" w:rsidTr="00DE2632">
        <w:tc>
          <w:tcPr>
            <w:tcW w:w="1731" w:type="pct"/>
            <w:tcBorders>
              <w:bottom w:val="single" w:sz="4" w:space="0" w:color="auto"/>
            </w:tcBorders>
            <w:shd w:val="clear" w:color="auto" w:fill="auto"/>
            <w:noWrap/>
            <w:hideMark/>
          </w:tcPr>
          <w:p w:rsidR="00A92E7D" w:rsidRPr="00112209" w:rsidRDefault="00A92E7D" w:rsidP="00112209">
            <w:pPr>
              <w:suppressAutoHyphens w:val="0"/>
              <w:spacing w:before="40" w:after="40" w:line="220" w:lineRule="exact"/>
              <w:ind w:right="113"/>
              <w:rPr>
                <w:sz w:val="18"/>
              </w:rPr>
            </w:pPr>
            <w:r w:rsidRPr="00112209">
              <w:rPr>
                <w:sz w:val="18"/>
              </w:rPr>
              <w:t>Non-delimited zones</w:t>
            </w:r>
          </w:p>
        </w:tc>
        <w:tc>
          <w:tcPr>
            <w:tcW w:w="545" w:type="pct"/>
            <w:tcBorders>
              <w:bottom w:val="single" w:sz="4"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1 160</w:t>
            </w:r>
          </w:p>
        </w:tc>
        <w:tc>
          <w:tcPr>
            <w:tcW w:w="545" w:type="pct"/>
            <w:tcBorders>
              <w:bottom w:val="single" w:sz="4"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1 996</w:t>
            </w:r>
          </w:p>
        </w:tc>
        <w:tc>
          <w:tcPr>
            <w:tcW w:w="545" w:type="pct"/>
            <w:tcBorders>
              <w:bottom w:val="single" w:sz="4"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2 467</w:t>
            </w:r>
          </w:p>
        </w:tc>
        <w:tc>
          <w:tcPr>
            <w:tcW w:w="545" w:type="pct"/>
            <w:tcBorders>
              <w:bottom w:val="single" w:sz="4"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352</w:t>
            </w:r>
          </w:p>
        </w:tc>
        <w:tc>
          <w:tcPr>
            <w:tcW w:w="545" w:type="pct"/>
            <w:tcBorders>
              <w:bottom w:val="single" w:sz="4"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w:t>
            </w:r>
          </w:p>
        </w:tc>
        <w:tc>
          <w:tcPr>
            <w:tcW w:w="545" w:type="pct"/>
            <w:tcBorders>
              <w:bottom w:val="single" w:sz="4" w:space="0" w:color="auto"/>
            </w:tcBorders>
            <w:shd w:val="clear" w:color="auto" w:fill="auto"/>
            <w:noWrap/>
            <w:vAlign w:val="bottom"/>
            <w:hideMark/>
          </w:tcPr>
          <w:p w:rsidR="00A92E7D" w:rsidRPr="00112209" w:rsidRDefault="00A92E7D" w:rsidP="00112209">
            <w:pPr>
              <w:suppressAutoHyphens w:val="0"/>
              <w:spacing w:before="40" w:after="40" w:line="220" w:lineRule="exact"/>
              <w:ind w:right="113"/>
              <w:jc w:val="right"/>
              <w:rPr>
                <w:sz w:val="18"/>
              </w:rPr>
            </w:pPr>
            <w:r w:rsidRPr="00112209">
              <w:rPr>
                <w:sz w:val="18"/>
              </w:rPr>
              <w:t>-</w:t>
            </w:r>
          </w:p>
        </w:tc>
      </w:tr>
      <w:tr w:rsidR="00DE2632" w:rsidRPr="00DE2632" w:rsidTr="00DE2632">
        <w:tc>
          <w:tcPr>
            <w:tcW w:w="1731" w:type="pct"/>
            <w:tcBorders>
              <w:top w:val="single" w:sz="4" w:space="0" w:color="auto"/>
              <w:bottom w:val="single" w:sz="12" w:space="0" w:color="auto"/>
            </w:tcBorders>
            <w:shd w:val="clear" w:color="auto" w:fill="auto"/>
            <w:noWrap/>
            <w:hideMark/>
          </w:tcPr>
          <w:p w:rsidR="00A92E7D" w:rsidRPr="00DE2632" w:rsidRDefault="00A92E7D" w:rsidP="00DE2632">
            <w:pPr>
              <w:suppressAutoHyphens w:val="0"/>
              <w:spacing w:before="80" w:after="80" w:line="220" w:lineRule="exact"/>
              <w:ind w:left="283"/>
              <w:rPr>
                <w:b/>
                <w:sz w:val="18"/>
              </w:rPr>
            </w:pPr>
            <w:r w:rsidRPr="00DE2632">
              <w:rPr>
                <w:b/>
                <w:sz w:val="18"/>
              </w:rPr>
              <w:t>Total</w:t>
            </w:r>
          </w:p>
        </w:tc>
        <w:tc>
          <w:tcPr>
            <w:tcW w:w="545"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20" w:lineRule="exact"/>
              <w:ind w:right="113"/>
              <w:jc w:val="right"/>
              <w:rPr>
                <w:b/>
                <w:sz w:val="18"/>
              </w:rPr>
            </w:pPr>
            <w:r w:rsidRPr="00DE2632">
              <w:rPr>
                <w:b/>
                <w:sz w:val="18"/>
              </w:rPr>
              <w:t>462 913</w:t>
            </w:r>
          </w:p>
        </w:tc>
        <w:tc>
          <w:tcPr>
            <w:tcW w:w="545"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20" w:lineRule="exact"/>
              <w:ind w:right="113"/>
              <w:jc w:val="right"/>
              <w:rPr>
                <w:b/>
                <w:sz w:val="18"/>
              </w:rPr>
            </w:pPr>
            <w:r w:rsidRPr="00DE2632">
              <w:rPr>
                <w:b/>
                <w:sz w:val="18"/>
              </w:rPr>
              <w:t>421 282</w:t>
            </w:r>
          </w:p>
        </w:tc>
        <w:tc>
          <w:tcPr>
            <w:tcW w:w="545"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20" w:lineRule="exact"/>
              <w:ind w:right="113"/>
              <w:jc w:val="right"/>
              <w:rPr>
                <w:b/>
                <w:sz w:val="18"/>
              </w:rPr>
            </w:pPr>
            <w:r w:rsidRPr="00DE2632">
              <w:rPr>
                <w:b/>
                <w:sz w:val="18"/>
              </w:rPr>
              <w:t>413 537</w:t>
            </w:r>
          </w:p>
        </w:tc>
        <w:tc>
          <w:tcPr>
            <w:tcW w:w="545"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20" w:lineRule="exact"/>
              <w:ind w:right="113"/>
              <w:jc w:val="right"/>
              <w:rPr>
                <w:b/>
                <w:sz w:val="18"/>
              </w:rPr>
            </w:pPr>
            <w:r w:rsidRPr="00DE2632">
              <w:rPr>
                <w:b/>
                <w:sz w:val="18"/>
              </w:rPr>
              <w:t>445 354</w:t>
            </w:r>
          </w:p>
        </w:tc>
        <w:tc>
          <w:tcPr>
            <w:tcW w:w="545"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20" w:lineRule="exact"/>
              <w:ind w:right="113"/>
              <w:jc w:val="right"/>
              <w:rPr>
                <w:b/>
                <w:sz w:val="18"/>
              </w:rPr>
            </w:pPr>
            <w:r w:rsidRPr="00DE2632">
              <w:rPr>
                <w:b/>
                <w:sz w:val="18"/>
              </w:rPr>
              <w:t>498 511</w:t>
            </w:r>
          </w:p>
        </w:tc>
        <w:tc>
          <w:tcPr>
            <w:tcW w:w="545"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20" w:lineRule="exact"/>
              <w:ind w:right="113"/>
              <w:jc w:val="right"/>
              <w:rPr>
                <w:b/>
                <w:sz w:val="18"/>
              </w:rPr>
            </w:pPr>
            <w:r w:rsidRPr="00DE2632">
              <w:rPr>
                <w:b/>
                <w:sz w:val="18"/>
              </w:rPr>
              <w:t>592 929</w:t>
            </w:r>
          </w:p>
        </w:tc>
      </w:tr>
    </w:tbl>
    <w:p w:rsidR="00A92E7D" w:rsidRPr="00E80C1B" w:rsidRDefault="00A92E7D" w:rsidP="00DE2632">
      <w:pPr>
        <w:pStyle w:val="SingleTxtG"/>
        <w:spacing w:before="120" w:after="240"/>
        <w:ind w:firstLine="170"/>
        <w:jc w:val="left"/>
      </w:pPr>
      <w:r w:rsidRPr="00AE14C8">
        <w:rPr>
          <w:i/>
          <w:iCs/>
          <w:sz w:val="18"/>
          <w:lang w:eastAsia="en-US"/>
        </w:rPr>
        <w:t>Source</w:t>
      </w:r>
      <w:r w:rsidRPr="00DE2632">
        <w:rPr>
          <w:sz w:val="18"/>
          <w:lang w:eastAsia="en-US"/>
        </w:rPr>
        <w:t>: Daily Automated Record of Outpatient Consultations and Care and Health Care Registration Platform.</w:t>
      </w:r>
    </w:p>
    <w:p w:rsidR="00A92E7D" w:rsidRPr="00DE2632" w:rsidRDefault="00A92E7D" w:rsidP="00DE2632">
      <w:pPr>
        <w:pStyle w:val="Heading1"/>
        <w:spacing w:after="120"/>
        <w:rPr>
          <w:b/>
          <w:bCs/>
        </w:rPr>
      </w:pPr>
      <w:r w:rsidRPr="00E80C1B">
        <w:t>Table 14</w:t>
      </w:r>
      <w:r w:rsidR="00DE2632">
        <w:br/>
      </w:r>
      <w:r w:rsidRPr="00DE2632">
        <w:rPr>
          <w:b/>
          <w:bCs/>
        </w:rPr>
        <w:t>Number of initial family planning consultations, by self-identified ethnicity, 2013–2018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3"/>
        <w:gridCol w:w="944"/>
        <w:gridCol w:w="945"/>
        <w:gridCol w:w="945"/>
        <w:gridCol w:w="943"/>
        <w:gridCol w:w="945"/>
        <w:gridCol w:w="945"/>
      </w:tblGrid>
      <w:tr w:rsidR="00A92E7D" w:rsidRPr="00DE2632" w:rsidTr="00DE2632">
        <w:trPr>
          <w:tblHeader/>
        </w:trPr>
        <w:tc>
          <w:tcPr>
            <w:tcW w:w="1155"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00" w:lineRule="exact"/>
              <w:ind w:right="113"/>
              <w:rPr>
                <w:i/>
                <w:sz w:val="16"/>
              </w:rPr>
            </w:pPr>
            <w:r w:rsidRPr="00DE2632">
              <w:rPr>
                <w:i/>
                <w:sz w:val="16"/>
              </w:rPr>
              <w:t>Self-identification</w:t>
            </w:r>
          </w:p>
        </w:tc>
        <w:tc>
          <w:tcPr>
            <w:tcW w:w="640"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00" w:lineRule="exact"/>
              <w:ind w:right="113"/>
              <w:jc w:val="right"/>
              <w:rPr>
                <w:i/>
                <w:sz w:val="16"/>
              </w:rPr>
            </w:pPr>
            <w:r w:rsidRPr="00DE2632">
              <w:rPr>
                <w:i/>
                <w:sz w:val="16"/>
              </w:rPr>
              <w:t>2013</w:t>
            </w:r>
          </w:p>
        </w:tc>
        <w:tc>
          <w:tcPr>
            <w:tcW w:w="641"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00" w:lineRule="exact"/>
              <w:ind w:right="113"/>
              <w:jc w:val="right"/>
              <w:rPr>
                <w:i/>
                <w:sz w:val="16"/>
              </w:rPr>
            </w:pPr>
            <w:r w:rsidRPr="00DE2632">
              <w:rPr>
                <w:i/>
                <w:sz w:val="16"/>
              </w:rPr>
              <w:t>2014</w:t>
            </w:r>
          </w:p>
        </w:tc>
        <w:tc>
          <w:tcPr>
            <w:tcW w:w="641"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00" w:lineRule="exact"/>
              <w:ind w:right="113"/>
              <w:jc w:val="right"/>
              <w:rPr>
                <w:i/>
                <w:sz w:val="16"/>
              </w:rPr>
            </w:pPr>
            <w:r w:rsidRPr="00DE2632">
              <w:rPr>
                <w:i/>
                <w:sz w:val="16"/>
              </w:rPr>
              <w:t>2015</w:t>
            </w:r>
          </w:p>
        </w:tc>
        <w:tc>
          <w:tcPr>
            <w:tcW w:w="640"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00" w:lineRule="exact"/>
              <w:ind w:right="113"/>
              <w:jc w:val="right"/>
              <w:rPr>
                <w:i/>
                <w:sz w:val="16"/>
              </w:rPr>
            </w:pPr>
            <w:r w:rsidRPr="00DE2632">
              <w:rPr>
                <w:i/>
                <w:sz w:val="16"/>
              </w:rPr>
              <w:t>2016</w:t>
            </w:r>
          </w:p>
        </w:tc>
        <w:tc>
          <w:tcPr>
            <w:tcW w:w="641"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00" w:lineRule="exact"/>
              <w:ind w:right="113"/>
              <w:jc w:val="right"/>
              <w:rPr>
                <w:i/>
                <w:sz w:val="16"/>
              </w:rPr>
            </w:pPr>
            <w:r w:rsidRPr="00DE2632">
              <w:rPr>
                <w:i/>
                <w:sz w:val="16"/>
              </w:rPr>
              <w:t>2017</w:t>
            </w:r>
          </w:p>
        </w:tc>
        <w:tc>
          <w:tcPr>
            <w:tcW w:w="641" w:type="pct"/>
            <w:tcBorders>
              <w:top w:val="single" w:sz="4" w:space="0" w:color="auto"/>
              <w:bottom w:val="single" w:sz="12" w:space="0" w:color="auto"/>
            </w:tcBorders>
            <w:shd w:val="clear" w:color="auto" w:fill="auto"/>
            <w:noWrap/>
            <w:vAlign w:val="bottom"/>
            <w:hideMark/>
          </w:tcPr>
          <w:p w:rsidR="00A92E7D" w:rsidRPr="00DE2632" w:rsidRDefault="00A92E7D" w:rsidP="00DE2632">
            <w:pPr>
              <w:suppressAutoHyphens w:val="0"/>
              <w:spacing w:before="80" w:after="80" w:line="200" w:lineRule="exact"/>
              <w:ind w:right="113"/>
              <w:jc w:val="right"/>
              <w:rPr>
                <w:i/>
                <w:sz w:val="16"/>
              </w:rPr>
            </w:pPr>
            <w:r w:rsidRPr="00DE2632">
              <w:rPr>
                <w:i/>
                <w:sz w:val="16"/>
              </w:rPr>
              <w:t>2018 (*)</w:t>
            </w:r>
          </w:p>
        </w:tc>
      </w:tr>
      <w:tr w:rsidR="00A92E7D" w:rsidRPr="00DE2632" w:rsidTr="00DE2632">
        <w:tc>
          <w:tcPr>
            <w:tcW w:w="1155" w:type="pct"/>
            <w:tcBorders>
              <w:top w:val="single" w:sz="12" w:space="0" w:color="auto"/>
            </w:tcBorders>
            <w:shd w:val="clear" w:color="auto" w:fill="auto"/>
            <w:noWrap/>
            <w:hideMark/>
          </w:tcPr>
          <w:p w:rsidR="00A92E7D" w:rsidRPr="00DE2632" w:rsidRDefault="00A92E7D" w:rsidP="00DE2632">
            <w:pPr>
              <w:suppressAutoHyphens w:val="0"/>
              <w:spacing w:before="40" w:after="40" w:line="220" w:lineRule="exact"/>
              <w:ind w:right="113"/>
              <w:rPr>
                <w:sz w:val="18"/>
              </w:rPr>
            </w:pPr>
            <w:r w:rsidRPr="00DE2632">
              <w:rPr>
                <w:sz w:val="18"/>
              </w:rPr>
              <w:t>Afro-Ecuadorian/ African descent</w:t>
            </w:r>
          </w:p>
        </w:tc>
        <w:tc>
          <w:tcPr>
            <w:tcW w:w="640" w:type="pct"/>
            <w:tcBorders>
              <w:top w:val="single" w:sz="12"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6 879</w:t>
            </w:r>
          </w:p>
        </w:tc>
        <w:tc>
          <w:tcPr>
            <w:tcW w:w="641" w:type="pct"/>
            <w:tcBorders>
              <w:top w:val="single" w:sz="12"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6 126</w:t>
            </w:r>
          </w:p>
        </w:tc>
        <w:tc>
          <w:tcPr>
            <w:tcW w:w="641" w:type="pct"/>
            <w:tcBorders>
              <w:top w:val="single" w:sz="12"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5 728</w:t>
            </w:r>
          </w:p>
        </w:tc>
        <w:tc>
          <w:tcPr>
            <w:tcW w:w="640" w:type="pct"/>
            <w:tcBorders>
              <w:top w:val="single" w:sz="12"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5 220</w:t>
            </w:r>
          </w:p>
        </w:tc>
        <w:tc>
          <w:tcPr>
            <w:tcW w:w="641" w:type="pct"/>
            <w:tcBorders>
              <w:top w:val="single" w:sz="12"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6 711</w:t>
            </w:r>
          </w:p>
        </w:tc>
        <w:tc>
          <w:tcPr>
            <w:tcW w:w="641" w:type="pct"/>
            <w:tcBorders>
              <w:top w:val="single" w:sz="12"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7 216</w:t>
            </w:r>
          </w:p>
        </w:tc>
      </w:tr>
      <w:tr w:rsidR="00A92E7D" w:rsidRPr="00DE2632" w:rsidTr="00DE2632">
        <w:tc>
          <w:tcPr>
            <w:tcW w:w="1155" w:type="pct"/>
            <w:shd w:val="clear" w:color="auto" w:fill="auto"/>
            <w:noWrap/>
            <w:hideMark/>
          </w:tcPr>
          <w:p w:rsidR="00A92E7D" w:rsidRPr="00DE2632" w:rsidRDefault="00A92E7D" w:rsidP="00DE2632">
            <w:pPr>
              <w:suppressAutoHyphens w:val="0"/>
              <w:spacing w:before="40" w:after="40" w:line="220" w:lineRule="exact"/>
              <w:ind w:right="113"/>
              <w:rPr>
                <w:sz w:val="18"/>
              </w:rPr>
            </w:pPr>
            <w:r w:rsidRPr="00DE2632">
              <w:rPr>
                <w:sz w:val="18"/>
              </w:rPr>
              <w:t>White</w:t>
            </w:r>
          </w:p>
        </w:tc>
        <w:tc>
          <w:tcPr>
            <w:tcW w:w="640"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2 671</w:t>
            </w:r>
          </w:p>
        </w:tc>
        <w:tc>
          <w:tcPr>
            <w:tcW w:w="641"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2 037</w:t>
            </w:r>
          </w:p>
        </w:tc>
        <w:tc>
          <w:tcPr>
            <w:tcW w:w="641"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1 915</w:t>
            </w:r>
          </w:p>
        </w:tc>
        <w:tc>
          <w:tcPr>
            <w:tcW w:w="640"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1 874</w:t>
            </w:r>
          </w:p>
        </w:tc>
        <w:tc>
          <w:tcPr>
            <w:tcW w:w="641"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1 986</w:t>
            </w:r>
          </w:p>
        </w:tc>
        <w:tc>
          <w:tcPr>
            <w:tcW w:w="641"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1 998</w:t>
            </w:r>
          </w:p>
        </w:tc>
      </w:tr>
      <w:tr w:rsidR="00A92E7D" w:rsidRPr="00DE2632" w:rsidTr="00DE2632">
        <w:tc>
          <w:tcPr>
            <w:tcW w:w="1155" w:type="pct"/>
            <w:shd w:val="clear" w:color="auto" w:fill="auto"/>
            <w:noWrap/>
            <w:hideMark/>
          </w:tcPr>
          <w:p w:rsidR="00A92E7D" w:rsidRPr="00DE2632" w:rsidRDefault="00A92E7D" w:rsidP="00DE2632">
            <w:pPr>
              <w:suppressAutoHyphens w:val="0"/>
              <w:spacing w:before="40" w:after="40" w:line="220" w:lineRule="exact"/>
              <w:ind w:right="113"/>
              <w:rPr>
                <w:sz w:val="18"/>
              </w:rPr>
            </w:pPr>
            <w:r w:rsidRPr="00DE2632">
              <w:rPr>
                <w:sz w:val="18"/>
              </w:rPr>
              <w:t>Indigenous</w:t>
            </w:r>
          </w:p>
        </w:tc>
        <w:tc>
          <w:tcPr>
            <w:tcW w:w="640"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26 854</w:t>
            </w:r>
          </w:p>
        </w:tc>
        <w:tc>
          <w:tcPr>
            <w:tcW w:w="641"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24 423</w:t>
            </w:r>
          </w:p>
        </w:tc>
        <w:tc>
          <w:tcPr>
            <w:tcW w:w="641"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26 548</w:t>
            </w:r>
          </w:p>
        </w:tc>
        <w:tc>
          <w:tcPr>
            <w:tcW w:w="640"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32 144</w:t>
            </w:r>
          </w:p>
        </w:tc>
        <w:tc>
          <w:tcPr>
            <w:tcW w:w="641"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39 855</w:t>
            </w:r>
          </w:p>
        </w:tc>
        <w:tc>
          <w:tcPr>
            <w:tcW w:w="641" w:type="pct"/>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51 314</w:t>
            </w:r>
          </w:p>
        </w:tc>
      </w:tr>
      <w:tr w:rsidR="00A92E7D" w:rsidRPr="00DE2632" w:rsidTr="00B81FAF">
        <w:tc>
          <w:tcPr>
            <w:tcW w:w="1155" w:type="pct"/>
            <w:tcBorders>
              <w:bottom w:val="nil"/>
            </w:tcBorders>
            <w:shd w:val="clear" w:color="auto" w:fill="auto"/>
            <w:noWrap/>
            <w:hideMark/>
          </w:tcPr>
          <w:p w:rsidR="00A92E7D" w:rsidRPr="00DE2632" w:rsidRDefault="00A92E7D" w:rsidP="00DE2632">
            <w:pPr>
              <w:suppressAutoHyphens w:val="0"/>
              <w:spacing w:before="40" w:after="40" w:line="220" w:lineRule="exact"/>
              <w:ind w:right="113"/>
              <w:rPr>
                <w:sz w:val="18"/>
              </w:rPr>
            </w:pPr>
            <w:r w:rsidRPr="00DE2632">
              <w:rPr>
                <w:sz w:val="18"/>
              </w:rPr>
              <w:t>Mestizo</w:t>
            </w:r>
          </w:p>
        </w:tc>
        <w:tc>
          <w:tcPr>
            <w:tcW w:w="640"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404 049</w:t>
            </w:r>
          </w:p>
        </w:tc>
        <w:tc>
          <w:tcPr>
            <w:tcW w:w="641"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367 813</w:t>
            </w:r>
          </w:p>
        </w:tc>
        <w:tc>
          <w:tcPr>
            <w:tcW w:w="641"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357 242</w:t>
            </w:r>
          </w:p>
        </w:tc>
        <w:tc>
          <w:tcPr>
            <w:tcW w:w="640"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382 399</w:t>
            </w:r>
          </w:p>
        </w:tc>
        <w:tc>
          <w:tcPr>
            <w:tcW w:w="641"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417 277</w:t>
            </w:r>
          </w:p>
        </w:tc>
        <w:tc>
          <w:tcPr>
            <w:tcW w:w="641"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493 681</w:t>
            </w:r>
          </w:p>
        </w:tc>
      </w:tr>
      <w:tr w:rsidR="00A92E7D" w:rsidRPr="00DE2632" w:rsidTr="00B81FAF">
        <w:tc>
          <w:tcPr>
            <w:tcW w:w="1155" w:type="pct"/>
            <w:tcBorders>
              <w:top w:val="nil"/>
              <w:bottom w:val="nil"/>
            </w:tcBorders>
            <w:shd w:val="clear" w:color="auto" w:fill="auto"/>
            <w:noWrap/>
            <w:hideMark/>
          </w:tcPr>
          <w:p w:rsidR="00A92E7D" w:rsidRPr="00DE2632" w:rsidRDefault="00A92E7D" w:rsidP="00DE2632">
            <w:pPr>
              <w:suppressAutoHyphens w:val="0"/>
              <w:spacing w:before="40" w:after="40" w:line="220" w:lineRule="exact"/>
              <w:ind w:right="113"/>
              <w:rPr>
                <w:sz w:val="18"/>
              </w:rPr>
            </w:pPr>
            <w:r w:rsidRPr="00DE2632">
              <w:rPr>
                <w:sz w:val="18"/>
              </w:rPr>
              <w:t>Montubio</w:t>
            </w:r>
          </w:p>
        </w:tc>
        <w:tc>
          <w:tcPr>
            <w:tcW w:w="640"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10 385</w:t>
            </w:r>
          </w:p>
        </w:tc>
        <w:tc>
          <w:tcPr>
            <w:tcW w:w="641"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9 250</w:t>
            </w:r>
          </w:p>
        </w:tc>
        <w:tc>
          <w:tcPr>
            <w:tcW w:w="641"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9 534</w:t>
            </w:r>
          </w:p>
        </w:tc>
        <w:tc>
          <w:tcPr>
            <w:tcW w:w="640"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12 117</w:t>
            </w:r>
          </w:p>
        </w:tc>
        <w:tc>
          <w:tcPr>
            <w:tcW w:w="641"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18 102</w:t>
            </w:r>
          </w:p>
        </w:tc>
        <w:tc>
          <w:tcPr>
            <w:tcW w:w="641"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20 008</w:t>
            </w:r>
          </w:p>
        </w:tc>
      </w:tr>
      <w:tr w:rsidR="00A92E7D" w:rsidRPr="00DE2632" w:rsidTr="00B81FAF">
        <w:tc>
          <w:tcPr>
            <w:tcW w:w="1155" w:type="pct"/>
            <w:tcBorders>
              <w:top w:val="nil"/>
            </w:tcBorders>
            <w:shd w:val="clear" w:color="auto" w:fill="auto"/>
            <w:noWrap/>
            <w:hideMark/>
          </w:tcPr>
          <w:p w:rsidR="00A92E7D" w:rsidRPr="00DE2632" w:rsidRDefault="00A92E7D" w:rsidP="00DE2632">
            <w:pPr>
              <w:suppressAutoHyphens w:val="0"/>
              <w:spacing w:before="40" w:after="40" w:line="220" w:lineRule="exact"/>
              <w:ind w:right="113"/>
              <w:rPr>
                <w:sz w:val="18"/>
              </w:rPr>
            </w:pPr>
            <w:r w:rsidRPr="00DE2632">
              <w:rPr>
                <w:sz w:val="18"/>
              </w:rPr>
              <w:lastRenderedPageBreak/>
              <w:t>Mulatto</w:t>
            </w:r>
          </w:p>
        </w:tc>
        <w:tc>
          <w:tcPr>
            <w:tcW w:w="640"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2 118</w:t>
            </w:r>
          </w:p>
        </w:tc>
        <w:tc>
          <w:tcPr>
            <w:tcW w:w="641"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1 863</w:t>
            </w:r>
          </w:p>
        </w:tc>
        <w:tc>
          <w:tcPr>
            <w:tcW w:w="641"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2 290</w:t>
            </w:r>
          </w:p>
        </w:tc>
        <w:tc>
          <w:tcPr>
            <w:tcW w:w="640"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2 124</w:t>
            </w:r>
          </w:p>
        </w:tc>
        <w:tc>
          <w:tcPr>
            <w:tcW w:w="641"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2 283</w:t>
            </w:r>
          </w:p>
        </w:tc>
        <w:tc>
          <w:tcPr>
            <w:tcW w:w="641"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2 342</w:t>
            </w:r>
          </w:p>
        </w:tc>
      </w:tr>
      <w:tr w:rsidR="00A92E7D" w:rsidRPr="00DE2632" w:rsidTr="006A0CE9">
        <w:tc>
          <w:tcPr>
            <w:tcW w:w="1155" w:type="pct"/>
            <w:tcBorders>
              <w:bottom w:val="nil"/>
            </w:tcBorders>
            <w:shd w:val="clear" w:color="auto" w:fill="auto"/>
            <w:noWrap/>
            <w:hideMark/>
          </w:tcPr>
          <w:p w:rsidR="00A92E7D" w:rsidRPr="00DE2632" w:rsidRDefault="00A92E7D" w:rsidP="00DE2632">
            <w:pPr>
              <w:suppressAutoHyphens w:val="0"/>
              <w:spacing w:before="40" w:after="40" w:line="220" w:lineRule="exact"/>
              <w:ind w:right="113"/>
              <w:rPr>
                <w:sz w:val="18"/>
              </w:rPr>
            </w:pPr>
            <w:r w:rsidRPr="00DE2632">
              <w:rPr>
                <w:sz w:val="18"/>
              </w:rPr>
              <w:t>Black</w:t>
            </w:r>
          </w:p>
        </w:tc>
        <w:tc>
          <w:tcPr>
            <w:tcW w:w="640"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5 319</w:t>
            </w:r>
          </w:p>
        </w:tc>
        <w:tc>
          <w:tcPr>
            <w:tcW w:w="641"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4 907</w:t>
            </w:r>
          </w:p>
        </w:tc>
        <w:tc>
          <w:tcPr>
            <w:tcW w:w="641"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5 998</w:t>
            </w:r>
          </w:p>
        </w:tc>
        <w:tc>
          <w:tcPr>
            <w:tcW w:w="640"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5 523</w:t>
            </w:r>
          </w:p>
        </w:tc>
        <w:tc>
          <w:tcPr>
            <w:tcW w:w="641"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6 109</w:t>
            </w:r>
          </w:p>
        </w:tc>
        <w:tc>
          <w:tcPr>
            <w:tcW w:w="641" w:type="pct"/>
            <w:tcBorders>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5 843</w:t>
            </w:r>
          </w:p>
        </w:tc>
      </w:tr>
      <w:tr w:rsidR="00A92E7D" w:rsidRPr="00DE2632" w:rsidTr="006A0CE9">
        <w:tc>
          <w:tcPr>
            <w:tcW w:w="1155" w:type="pct"/>
            <w:tcBorders>
              <w:top w:val="nil"/>
              <w:bottom w:val="nil"/>
            </w:tcBorders>
            <w:shd w:val="clear" w:color="auto" w:fill="auto"/>
            <w:noWrap/>
            <w:hideMark/>
          </w:tcPr>
          <w:p w:rsidR="00A92E7D" w:rsidRPr="00DE2632" w:rsidRDefault="00A92E7D" w:rsidP="00DE2632">
            <w:pPr>
              <w:suppressAutoHyphens w:val="0"/>
              <w:spacing w:before="40" w:after="40" w:line="220" w:lineRule="exact"/>
              <w:ind w:right="113"/>
              <w:rPr>
                <w:sz w:val="18"/>
              </w:rPr>
            </w:pPr>
            <w:r w:rsidRPr="00DE2632">
              <w:rPr>
                <w:sz w:val="18"/>
              </w:rPr>
              <w:t>Not applicable</w:t>
            </w:r>
          </w:p>
        </w:tc>
        <w:tc>
          <w:tcPr>
            <w:tcW w:w="640"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3 780</w:t>
            </w:r>
          </w:p>
        </w:tc>
        <w:tc>
          <w:tcPr>
            <w:tcW w:w="641"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3 781</w:t>
            </w:r>
          </w:p>
        </w:tc>
        <w:tc>
          <w:tcPr>
            <w:tcW w:w="641"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3 369</w:t>
            </w:r>
          </w:p>
        </w:tc>
        <w:tc>
          <w:tcPr>
            <w:tcW w:w="640"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3 002</w:t>
            </w:r>
          </w:p>
        </w:tc>
        <w:tc>
          <w:tcPr>
            <w:tcW w:w="641"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4 727</w:t>
            </w:r>
          </w:p>
        </w:tc>
        <w:tc>
          <w:tcPr>
            <w:tcW w:w="641" w:type="pct"/>
            <w:tcBorders>
              <w:top w:val="nil"/>
              <w:bottom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8 996</w:t>
            </w:r>
          </w:p>
        </w:tc>
      </w:tr>
      <w:tr w:rsidR="00A92E7D" w:rsidRPr="00DE2632" w:rsidTr="006A0CE9">
        <w:tc>
          <w:tcPr>
            <w:tcW w:w="1155" w:type="pct"/>
            <w:tcBorders>
              <w:top w:val="nil"/>
            </w:tcBorders>
            <w:shd w:val="clear" w:color="auto" w:fill="auto"/>
            <w:noWrap/>
            <w:hideMark/>
          </w:tcPr>
          <w:p w:rsidR="00A92E7D" w:rsidRPr="00DE2632" w:rsidRDefault="00A92E7D" w:rsidP="00DE2632">
            <w:pPr>
              <w:suppressAutoHyphens w:val="0"/>
              <w:spacing w:before="40" w:after="40" w:line="220" w:lineRule="exact"/>
              <w:ind w:right="113"/>
              <w:rPr>
                <w:sz w:val="18"/>
              </w:rPr>
            </w:pPr>
            <w:r w:rsidRPr="00DE2632">
              <w:rPr>
                <w:sz w:val="18"/>
              </w:rPr>
              <w:t>Don</w:t>
            </w:r>
            <w:r w:rsidR="00BB6C88">
              <w:rPr>
                <w:sz w:val="18"/>
              </w:rPr>
              <w:t>’</w:t>
            </w:r>
            <w:r w:rsidRPr="00DE2632">
              <w:rPr>
                <w:sz w:val="18"/>
              </w:rPr>
              <w:t>t know/no reply</w:t>
            </w:r>
          </w:p>
        </w:tc>
        <w:tc>
          <w:tcPr>
            <w:tcW w:w="640"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499 </w:t>
            </w:r>
          </w:p>
        </w:tc>
        <w:tc>
          <w:tcPr>
            <w:tcW w:w="641"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500 </w:t>
            </w:r>
          </w:p>
        </w:tc>
        <w:tc>
          <w:tcPr>
            <w:tcW w:w="641"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554 </w:t>
            </w:r>
          </w:p>
        </w:tc>
        <w:tc>
          <w:tcPr>
            <w:tcW w:w="640"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711 </w:t>
            </w:r>
          </w:p>
        </w:tc>
        <w:tc>
          <w:tcPr>
            <w:tcW w:w="641"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1 007</w:t>
            </w:r>
          </w:p>
        </w:tc>
        <w:tc>
          <w:tcPr>
            <w:tcW w:w="641" w:type="pct"/>
            <w:tcBorders>
              <w:top w:val="nil"/>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987 </w:t>
            </w:r>
          </w:p>
        </w:tc>
      </w:tr>
      <w:tr w:rsidR="00A92E7D" w:rsidRPr="00DE2632" w:rsidTr="0090193E">
        <w:tc>
          <w:tcPr>
            <w:tcW w:w="1155" w:type="pct"/>
            <w:tcBorders>
              <w:bottom w:val="single" w:sz="4" w:space="0" w:color="auto"/>
            </w:tcBorders>
            <w:shd w:val="clear" w:color="auto" w:fill="auto"/>
            <w:noWrap/>
            <w:hideMark/>
          </w:tcPr>
          <w:p w:rsidR="00A92E7D" w:rsidRPr="00DE2632" w:rsidRDefault="00A92E7D" w:rsidP="00DE2632">
            <w:pPr>
              <w:suppressAutoHyphens w:val="0"/>
              <w:spacing w:before="40" w:after="40" w:line="220" w:lineRule="exact"/>
              <w:ind w:right="113"/>
              <w:rPr>
                <w:sz w:val="18"/>
              </w:rPr>
            </w:pPr>
            <w:r w:rsidRPr="00DE2632">
              <w:rPr>
                <w:sz w:val="18"/>
              </w:rPr>
              <w:t>Other</w:t>
            </w:r>
          </w:p>
        </w:tc>
        <w:tc>
          <w:tcPr>
            <w:tcW w:w="640" w:type="pct"/>
            <w:tcBorders>
              <w:bottom w:val="single" w:sz="4"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359 </w:t>
            </w:r>
          </w:p>
        </w:tc>
        <w:tc>
          <w:tcPr>
            <w:tcW w:w="641" w:type="pct"/>
            <w:tcBorders>
              <w:bottom w:val="single" w:sz="4"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582 </w:t>
            </w:r>
          </w:p>
        </w:tc>
        <w:tc>
          <w:tcPr>
            <w:tcW w:w="641" w:type="pct"/>
            <w:tcBorders>
              <w:bottom w:val="single" w:sz="4"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359 </w:t>
            </w:r>
          </w:p>
        </w:tc>
        <w:tc>
          <w:tcPr>
            <w:tcW w:w="640" w:type="pct"/>
            <w:tcBorders>
              <w:bottom w:val="single" w:sz="4"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240 </w:t>
            </w:r>
          </w:p>
        </w:tc>
        <w:tc>
          <w:tcPr>
            <w:tcW w:w="641" w:type="pct"/>
            <w:tcBorders>
              <w:bottom w:val="single" w:sz="4"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454 </w:t>
            </w:r>
          </w:p>
        </w:tc>
        <w:tc>
          <w:tcPr>
            <w:tcW w:w="641" w:type="pct"/>
            <w:tcBorders>
              <w:bottom w:val="single" w:sz="4" w:space="0" w:color="auto"/>
            </w:tcBorders>
            <w:shd w:val="clear" w:color="auto" w:fill="auto"/>
            <w:noWrap/>
            <w:vAlign w:val="bottom"/>
            <w:hideMark/>
          </w:tcPr>
          <w:p w:rsidR="00A92E7D" w:rsidRPr="00DE2632" w:rsidRDefault="00A92E7D" w:rsidP="00DE2632">
            <w:pPr>
              <w:suppressAutoHyphens w:val="0"/>
              <w:spacing w:before="40" w:after="40" w:line="220" w:lineRule="exact"/>
              <w:ind w:right="113"/>
              <w:jc w:val="right"/>
              <w:rPr>
                <w:sz w:val="18"/>
              </w:rPr>
            </w:pPr>
            <w:r w:rsidRPr="00DE2632">
              <w:rPr>
                <w:sz w:val="18"/>
              </w:rPr>
              <w:t xml:space="preserve">544 </w:t>
            </w:r>
          </w:p>
        </w:tc>
      </w:tr>
      <w:tr w:rsidR="00A92E7D" w:rsidRPr="0090193E" w:rsidTr="0090193E">
        <w:tc>
          <w:tcPr>
            <w:tcW w:w="1155" w:type="pct"/>
            <w:tcBorders>
              <w:top w:val="single" w:sz="4" w:space="0" w:color="auto"/>
              <w:bottom w:val="single" w:sz="12" w:space="0" w:color="auto"/>
            </w:tcBorders>
            <w:shd w:val="clear" w:color="auto" w:fill="auto"/>
            <w:noWrap/>
            <w:hideMark/>
          </w:tcPr>
          <w:p w:rsidR="00A92E7D" w:rsidRPr="0090193E" w:rsidRDefault="00A92E7D" w:rsidP="0090193E">
            <w:pPr>
              <w:suppressAutoHyphens w:val="0"/>
              <w:spacing w:before="80" w:after="80" w:line="220" w:lineRule="exact"/>
              <w:ind w:left="283"/>
              <w:rPr>
                <w:b/>
                <w:sz w:val="18"/>
              </w:rPr>
            </w:pPr>
            <w:r w:rsidRPr="0090193E">
              <w:rPr>
                <w:b/>
                <w:sz w:val="18"/>
              </w:rPr>
              <w:t>Total</w:t>
            </w:r>
          </w:p>
        </w:tc>
        <w:tc>
          <w:tcPr>
            <w:tcW w:w="640" w:type="pct"/>
            <w:tcBorders>
              <w:top w:val="single" w:sz="4" w:space="0" w:color="auto"/>
              <w:bottom w:val="single" w:sz="12" w:space="0" w:color="auto"/>
            </w:tcBorders>
            <w:shd w:val="clear" w:color="auto" w:fill="auto"/>
            <w:noWrap/>
            <w:vAlign w:val="bottom"/>
            <w:hideMark/>
          </w:tcPr>
          <w:p w:rsidR="00A92E7D" w:rsidRPr="0090193E" w:rsidRDefault="00A92E7D" w:rsidP="0090193E">
            <w:pPr>
              <w:suppressAutoHyphens w:val="0"/>
              <w:spacing w:before="80" w:after="80" w:line="220" w:lineRule="exact"/>
              <w:ind w:right="113"/>
              <w:jc w:val="right"/>
              <w:rPr>
                <w:b/>
                <w:sz w:val="18"/>
              </w:rPr>
            </w:pPr>
            <w:r w:rsidRPr="0090193E">
              <w:rPr>
                <w:b/>
                <w:sz w:val="18"/>
              </w:rPr>
              <w:t>462 913</w:t>
            </w:r>
          </w:p>
        </w:tc>
        <w:tc>
          <w:tcPr>
            <w:tcW w:w="641" w:type="pct"/>
            <w:tcBorders>
              <w:top w:val="single" w:sz="4" w:space="0" w:color="auto"/>
              <w:bottom w:val="single" w:sz="12" w:space="0" w:color="auto"/>
            </w:tcBorders>
            <w:shd w:val="clear" w:color="auto" w:fill="auto"/>
            <w:noWrap/>
            <w:vAlign w:val="bottom"/>
            <w:hideMark/>
          </w:tcPr>
          <w:p w:rsidR="00A92E7D" w:rsidRPr="0090193E" w:rsidRDefault="00A92E7D" w:rsidP="0090193E">
            <w:pPr>
              <w:suppressAutoHyphens w:val="0"/>
              <w:spacing w:before="80" w:after="80" w:line="220" w:lineRule="exact"/>
              <w:ind w:right="113"/>
              <w:jc w:val="right"/>
              <w:rPr>
                <w:b/>
                <w:sz w:val="18"/>
              </w:rPr>
            </w:pPr>
            <w:r w:rsidRPr="0090193E">
              <w:rPr>
                <w:b/>
                <w:sz w:val="18"/>
              </w:rPr>
              <w:t>421 282</w:t>
            </w:r>
          </w:p>
        </w:tc>
        <w:tc>
          <w:tcPr>
            <w:tcW w:w="641" w:type="pct"/>
            <w:tcBorders>
              <w:top w:val="single" w:sz="4" w:space="0" w:color="auto"/>
              <w:bottom w:val="single" w:sz="12" w:space="0" w:color="auto"/>
            </w:tcBorders>
            <w:shd w:val="clear" w:color="auto" w:fill="auto"/>
            <w:noWrap/>
            <w:vAlign w:val="bottom"/>
            <w:hideMark/>
          </w:tcPr>
          <w:p w:rsidR="00A92E7D" w:rsidRPr="0090193E" w:rsidRDefault="00A92E7D" w:rsidP="0090193E">
            <w:pPr>
              <w:suppressAutoHyphens w:val="0"/>
              <w:spacing w:before="80" w:after="80" w:line="220" w:lineRule="exact"/>
              <w:ind w:right="113"/>
              <w:jc w:val="right"/>
              <w:rPr>
                <w:b/>
                <w:sz w:val="18"/>
              </w:rPr>
            </w:pPr>
            <w:r w:rsidRPr="0090193E">
              <w:rPr>
                <w:b/>
                <w:sz w:val="18"/>
              </w:rPr>
              <w:t>413 537</w:t>
            </w:r>
          </w:p>
        </w:tc>
        <w:tc>
          <w:tcPr>
            <w:tcW w:w="640" w:type="pct"/>
            <w:tcBorders>
              <w:top w:val="single" w:sz="4" w:space="0" w:color="auto"/>
              <w:bottom w:val="single" w:sz="12" w:space="0" w:color="auto"/>
            </w:tcBorders>
            <w:shd w:val="clear" w:color="auto" w:fill="auto"/>
            <w:noWrap/>
            <w:vAlign w:val="bottom"/>
            <w:hideMark/>
          </w:tcPr>
          <w:p w:rsidR="00A92E7D" w:rsidRPr="0090193E" w:rsidRDefault="00A92E7D" w:rsidP="0090193E">
            <w:pPr>
              <w:suppressAutoHyphens w:val="0"/>
              <w:spacing w:before="80" w:after="80" w:line="220" w:lineRule="exact"/>
              <w:ind w:right="113"/>
              <w:jc w:val="right"/>
              <w:rPr>
                <w:b/>
                <w:sz w:val="18"/>
              </w:rPr>
            </w:pPr>
            <w:r w:rsidRPr="0090193E">
              <w:rPr>
                <w:b/>
                <w:sz w:val="18"/>
              </w:rPr>
              <w:t>445 354</w:t>
            </w:r>
          </w:p>
        </w:tc>
        <w:tc>
          <w:tcPr>
            <w:tcW w:w="641" w:type="pct"/>
            <w:tcBorders>
              <w:top w:val="single" w:sz="4" w:space="0" w:color="auto"/>
              <w:bottom w:val="single" w:sz="12" w:space="0" w:color="auto"/>
            </w:tcBorders>
            <w:shd w:val="clear" w:color="auto" w:fill="auto"/>
            <w:noWrap/>
            <w:vAlign w:val="bottom"/>
            <w:hideMark/>
          </w:tcPr>
          <w:p w:rsidR="00A92E7D" w:rsidRPr="0090193E" w:rsidRDefault="00A92E7D" w:rsidP="0090193E">
            <w:pPr>
              <w:suppressAutoHyphens w:val="0"/>
              <w:spacing w:before="80" w:after="80" w:line="220" w:lineRule="exact"/>
              <w:ind w:right="113"/>
              <w:jc w:val="right"/>
              <w:rPr>
                <w:b/>
                <w:sz w:val="18"/>
              </w:rPr>
            </w:pPr>
            <w:r w:rsidRPr="0090193E">
              <w:rPr>
                <w:b/>
                <w:sz w:val="18"/>
              </w:rPr>
              <w:t>498 511</w:t>
            </w:r>
          </w:p>
        </w:tc>
        <w:tc>
          <w:tcPr>
            <w:tcW w:w="641" w:type="pct"/>
            <w:tcBorders>
              <w:top w:val="single" w:sz="4" w:space="0" w:color="auto"/>
              <w:bottom w:val="single" w:sz="12" w:space="0" w:color="auto"/>
            </w:tcBorders>
            <w:shd w:val="clear" w:color="auto" w:fill="auto"/>
            <w:noWrap/>
            <w:vAlign w:val="bottom"/>
            <w:hideMark/>
          </w:tcPr>
          <w:p w:rsidR="00A92E7D" w:rsidRPr="0090193E" w:rsidRDefault="00A92E7D" w:rsidP="0090193E">
            <w:pPr>
              <w:suppressAutoHyphens w:val="0"/>
              <w:spacing w:before="80" w:after="80" w:line="220" w:lineRule="exact"/>
              <w:ind w:right="113"/>
              <w:jc w:val="right"/>
              <w:rPr>
                <w:b/>
                <w:sz w:val="18"/>
              </w:rPr>
            </w:pPr>
            <w:r w:rsidRPr="0090193E">
              <w:rPr>
                <w:b/>
                <w:sz w:val="18"/>
              </w:rPr>
              <w:t>592 929</w:t>
            </w:r>
          </w:p>
        </w:tc>
      </w:tr>
    </w:tbl>
    <w:p w:rsidR="00A92E7D" w:rsidRPr="00E80C1B" w:rsidRDefault="00A92E7D" w:rsidP="0090193E">
      <w:pPr>
        <w:pStyle w:val="SingleTxtG"/>
        <w:spacing w:before="120" w:after="240"/>
        <w:ind w:firstLine="170"/>
        <w:jc w:val="left"/>
      </w:pPr>
      <w:r w:rsidRPr="0090193E">
        <w:rPr>
          <w:i/>
          <w:iCs/>
          <w:sz w:val="18"/>
          <w:lang w:eastAsia="en-US"/>
        </w:rPr>
        <w:t>Source</w:t>
      </w:r>
      <w:r w:rsidRPr="0090193E">
        <w:rPr>
          <w:sz w:val="18"/>
          <w:lang w:eastAsia="en-US"/>
        </w:rPr>
        <w:t>: Daily Automated Record of Outpatient Consultations and Care and Health Care Registration Platform.</w:t>
      </w:r>
    </w:p>
    <w:p w:rsidR="00A92E7D" w:rsidRPr="0090193E" w:rsidRDefault="00A92E7D" w:rsidP="0090193E">
      <w:pPr>
        <w:pStyle w:val="Heading1"/>
        <w:spacing w:after="120"/>
        <w:rPr>
          <w:b/>
          <w:bCs/>
        </w:rPr>
      </w:pPr>
      <w:r w:rsidRPr="00E80C1B">
        <w:t>Table 15</w:t>
      </w:r>
      <w:r w:rsidR="0090193E">
        <w:br/>
      </w:r>
      <w:r w:rsidRPr="0090193E">
        <w:rPr>
          <w:b/>
          <w:bCs/>
        </w:rPr>
        <w:t xml:space="preserve">Pregnant and postpartum women identified in connection with the Neighbourhood </w:t>
      </w:r>
      <w:r w:rsidR="0090193E" w:rsidRPr="0090193E">
        <w:rPr>
          <w:b/>
          <w:bCs/>
        </w:rPr>
        <w:br/>
      </w:r>
      <w:r w:rsidR="00B81FAF">
        <w:rPr>
          <w:b/>
          <w:bCs/>
        </w:rPr>
        <w:t>Doctors Strategy, 2018–20</w:t>
      </w:r>
      <w:r w:rsidRPr="0090193E">
        <w:rPr>
          <w:b/>
          <w:bCs/>
        </w:rPr>
        <w:t>19</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629"/>
        <w:gridCol w:w="1630"/>
      </w:tblGrid>
      <w:tr w:rsidR="00A92E7D" w:rsidRPr="0090193E" w:rsidTr="0090193E">
        <w:trPr>
          <w:tblHeader/>
        </w:trPr>
        <w:tc>
          <w:tcPr>
            <w:tcW w:w="4111" w:type="dxa"/>
            <w:tcBorders>
              <w:top w:val="single" w:sz="4" w:space="0" w:color="auto"/>
              <w:bottom w:val="single" w:sz="12" w:space="0" w:color="auto"/>
            </w:tcBorders>
            <w:shd w:val="clear" w:color="auto" w:fill="auto"/>
            <w:vAlign w:val="bottom"/>
          </w:tcPr>
          <w:p w:rsidR="00A92E7D" w:rsidRPr="0090193E" w:rsidRDefault="00A92E7D" w:rsidP="0090193E">
            <w:pPr>
              <w:suppressAutoHyphens w:val="0"/>
              <w:spacing w:before="80" w:after="80" w:line="200" w:lineRule="exact"/>
              <w:ind w:right="113"/>
              <w:rPr>
                <w:i/>
                <w:sz w:val="16"/>
              </w:rPr>
            </w:pPr>
          </w:p>
        </w:tc>
        <w:tc>
          <w:tcPr>
            <w:tcW w:w="1629" w:type="dxa"/>
            <w:tcBorders>
              <w:top w:val="single" w:sz="4" w:space="0" w:color="auto"/>
              <w:bottom w:val="single" w:sz="12" w:space="0" w:color="auto"/>
            </w:tcBorders>
            <w:shd w:val="clear" w:color="auto" w:fill="auto"/>
            <w:vAlign w:val="bottom"/>
          </w:tcPr>
          <w:p w:rsidR="00A92E7D" w:rsidRPr="0090193E" w:rsidRDefault="00A92E7D" w:rsidP="0090193E">
            <w:pPr>
              <w:suppressAutoHyphens w:val="0"/>
              <w:spacing w:before="80" w:after="80" w:line="200" w:lineRule="exact"/>
              <w:ind w:right="113"/>
              <w:jc w:val="right"/>
              <w:rPr>
                <w:i/>
                <w:sz w:val="16"/>
              </w:rPr>
            </w:pPr>
            <w:r w:rsidRPr="0090193E">
              <w:rPr>
                <w:i/>
                <w:sz w:val="16"/>
              </w:rPr>
              <w:t>2018</w:t>
            </w:r>
          </w:p>
        </w:tc>
        <w:tc>
          <w:tcPr>
            <w:tcW w:w="1630" w:type="dxa"/>
            <w:tcBorders>
              <w:top w:val="single" w:sz="4" w:space="0" w:color="auto"/>
              <w:bottom w:val="single" w:sz="12" w:space="0" w:color="auto"/>
            </w:tcBorders>
            <w:shd w:val="clear" w:color="auto" w:fill="auto"/>
            <w:vAlign w:val="bottom"/>
          </w:tcPr>
          <w:p w:rsidR="00A92E7D" w:rsidRPr="0090193E" w:rsidRDefault="00A92E7D" w:rsidP="0090193E">
            <w:pPr>
              <w:suppressAutoHyphens w:val="0"/>
              <w:spacing w:before="80" w:after="80" w:line="200" w:lineRule="exact"/>
              <w:ind w:right="113"/>
              <w:jc w:val="right"/>
              <w:rPr>
                <w:i/>
                <w:sz w:val="16"/>
              </w:rPr>
            </w:pPr>
            <w:r w:rsidRPr="0090193E">
              <w:rPr>
                <w:i/>
                <w:sz w:val="16"/>
              </w:rPr>
              <w:t>2019</w:t>
            </w:r>
          </w:p>
        </w:tc>
      </w:tr>
      <w:tr w:rsidR="00A92E7D" w:rsidRPr="0090193E" w:rsidTr="0090193E">
        <w:tc>
          <w:tcPr>
            <w:tcW w:w="4111" w:type="dxa"/>
            <w:tcBorders>
              <w:top w:val="single" w:sz="12" w:space="0" w:color="auto"/>
            </w:tcBorders>
            <w:shd w:val="clear" w:color="auto" w:fill="auto"/>
          </w:tcPr>
          <w:p w:rsidR="00A92E7D" w:rsidRPr="0090193E" w:rsidRDefault="00A92E7D" w:rsidP="0090193E">
            <w:pPr>
              <w:suppressAutoHyphens w:val="0"/>
              <w:spacing w:before="40" w:after="40" w:line="220" w:lineRule="exact"/>
              <w:ind w:right="113"/>
              <w:rPr>
                <w:sz w:val="18"/>
              </w:rPr>
            </w:pPr>
            <w:r w:rsidRPr="0090193E">
              <w:rPr>
                <w:sz w:val="18"/>
              </w:rPr>
              <w:t>Pregnant women</w:t>
            </w:r>
          </w:p>
        </w:tc>
        <w:tc>
          <w:tcPr>
            <w:tcW w:w="1629" w:type="dxa"/>
            <w:tcBorders>
              <w:top w:val="single" w:sz="12" w:space="0" w:color="auto"/>
            </w:tcBorders>
            <w:shd w:val="clear" w:color="auto" w:fill="auto"/>
            <w:vAlign w:val="bottom"/>
          </w:tcPr>
          <w:p w:rsidR="00A92E7D" w:rsidRPr="0090193E" w:rsidRDefault="00A92E7D" w:rsidP="0090193E">
            <w:pPr>
              <w:suppressAutoHyphens w:val="0"/>
              <w:spacing w:before="40" w:after="40" w:line="220" w:lineRule="exact"/>
              <w:ind w:right="113"/>
              <w:jc w:val="right"/>
              <w:rPr>
                <w:sz w:val="18"/>
              </w:rPr>
            </w:pPr>
            <w:r w:rsidRPr="0090193E">
              <w:rPr>
                <w:sz w:val="18"/>
              </w:rPr>
              <w:t>4 225</w:t>
            </w:r>
          </w:p>
        </w:tc>
        <w:tc>
          <w:tcPr>
            <w:tcW w:w="1630" w:type="dxa"/>
            <w:tcBorders>
              <w:top w:val="single" w:sz="12" w:space="0" w:color="auto"/>
            </w:tcBorders>
            <w:shd w:val="clear" w:color="auto" w:fill="auto"/>
            <w:vAlign w:val="bottom"/>
          </w:tcPr>
          <w:p w:rsidR="00A92E7D" w:rsidRPr="0090193E" w:rsidRDefault="00A92E7D" w:rsidP="0090193E">
            <w:pPr>
              <w:suppressAutoHyphens w:val="0"/>
              <w:spacing w:before="40" w:after="40" w:line="220" w:lineRule="exact"/>
              <w:ind w:right="113"/>
              <w:jc w:val="right"/>
              <w:rPr>
                <w:sz w:val="18"/>
              </w:rPr>
            </w:pPr>
            <w:r w:rsidRPr="0090193E">
              <w:rPr>
                <w:sz w:val="18"/>
              </w:rPr>
              <w:t>37 245</w:t>
            </w:r>
          </w:p>
        </w:tc>
      </w:tr>
    </w:tbl>
    <w:p w:rsidR="0090193E" w:rsidRPr="0090193E" w:rsidRDefault="00A92E7D" w:rsidP="0090193E">
      <w:pPr>
        <w:pStyle w:val="SingleTxtG"/>
        <w:spacing w:before="120" w:after="240"/>
        <w:ind w:firstLine="170"/>
        <w:jc w:val="left"/>
        <w:rPr>
          <w:sz w:val="18"/>
          <w:lang w:eastAsia="en-US"/>
        </w:rPr>
      </w:pPr>
      <w:r w:rsidRPr="0090193E">
        <w:rPr>
          <w:i/>
          <w:iCs/>
          <w:sz w:val="18"/>
          <w:lang w:eastAsia="en-US"/>
        </w:rPr>
        <w:t>Source</w:t>
      </w:r>
      <w:r w:rsidRPr="0090193E">
        <w:rPr>
          <w:sz w:val="18"/>
          <w:lang w:eastAsia="en-US"/>
        </w:rPr>
        <w:t>: Institutional Bureau for Strategies and Coordination on Maternal and Neonatal Health, July 2019.</w:t>
      </w:r>
    </w:p>
    <w:p w:rsidR="00A92E7D" w:rsidRPr="00E80C1B" w:rsidRDefault="00A92E7D" w:rsidP="006A4331">
      <w:pPr>
        <w:pStyle w:val="SingleTxtG"/>
      </w:pPr>
      <w:r w:rsidRPr="00E80C1B">
        <w:t>87.</w:t>
      </w:r>
      <w:r w:rsidRPr="00E80C1B">
        <w:tab/>
        <w:t xml:space="preserve">A protocol has been developed on obstetric emergency management, along with the </w:t>
      </w:r>
      <w:r w:rsidR="00BB6C88">
        <w:t>“</w:t>
      </w:r>
      <w:r w:rsidRPr="00E80C1B">
        <w:t>Score MAMA</w:t>
      </w:r>
      <w:r w:rsidR="00BB6C88">
        <w:t>”</w:t>
      </w:r>
      <w:r w:rsidRPr="00E80C1B">
        <w:t xml:space="preserve"> early warning system for projecting the risk of maternal morbidity (2017). Training has been provided to health-care personnel that includes information on this protocol and the early warning system. In 2017, an ongoing training plan that included an online component and training for trainers on the </w:t>
      </w:r>
      <w:r w:rsidR="00BB6C88">
        <w:t>“</w:t>
      </w:r>
      <w:r w:rsidRPr="00E80C1B">
        <w:t>Score MAMA</w:t>
      </w:r>
      <w:r w:rsidR="00BB6C88">
        <w:t>”</w:t>
      </w:r>
      <w:r w:rsidRPr="00E80C1B">
        <w:t xml:space="preserve"> system was prepared for 21,540 professionals.</w:t>
      </w:r>
    </w:p>
    <w:p w:rsidR="00A92E7D" w:rsidRPr="00E80C1B" w:rsidRDefault="00A92E7D" w:rsidP="006A4331">
      <w:pPr>
        <w:pStyle w:val="SingleTxtG"/>
      </w:pPr>
      <w:r w:rsidRPr="00E80C1B">
        <w:t>88.</w:t>
      </w:r>
      <w:r w:rsidRPr="00E80C1B">
        <w:tab/>
        <w:t>A total of 14 amendments to the Comprehensive Organic Criminal Code have been proposed with a view to the passage of new legislation on abortion, and the Justice Committee of the National Assembly, which is studying the topic, has released a proposal for general discussion in the plenary on the decriminalization of abortion in cases of rape, incest and fetal deformity. The first reading in the National Assembly concluded on 5 February 2019 with a presentation by Assembly members and invited guests (including members of the National Council for Gender Equality). The report to be presented for the second reading is now ready for submission when the legislature reconvenes.</w:t>
      </w:r>
    </w:p>
    <w:p w:rsidR="00A92E7D" w:rsidRPr="00E80C1B" w:rsidRDefault="00A92E7D" w:rsidP="0090193E">
      <w:pPr>
        <w:pStyle w:val="H1G"/>
      </w:pPr>
      <w:r w:rsidRPr="00E80C1B">
        <w:tab/>
      </w:r>
      <w:r w:rsidRPr="00E80C1B">
        <w:tab/>
        <w:t>Reply to questions raised in paragraph 24 of the list of issues</w:t>
      </w:r>
    </w:p>
    <w:p w:rsidR="00425701" w:rsidRDefault="00A92E7D" w:rsidP="006A4331">
      <w:pPr>
        <w:pStyle w:val="SingleTxtG"/>
      </w:pPr>
      <w:r w:rsidRPr="00E80C1B">
        <w:t>89.</w:t>
      </w:r>
      <w:r w:rsidRPr="00E80C1B">
        <w:tab/>
        <w:t>With the launch of the mental health care model and the National Mental Health Plan, a network of essential mental health services has been established. These services include mental health care outpatient services, intensive outpatient services, inpatient mental health units, crisis intervention units and specialized centres for the treatment of alcohol and drug addictions.</w:t>
      </w:r>
    </w:p>
    <w:p w:rsidR="00425701" w:rsidRDefault="00425701" w:rsidP="006A4331">
      <w:pPr>
        <w:pStyle w:val="SingleTxtG"/>
        <w:sectPr w:rsidR="00425701" w:rsidSect="00907037">
          <w:headerReference w:type="even" r:id="rId38"/>
          <w:headerReference w:type="default" r:id="rId39"/>
          <w:footerReference w:type="even" r:id="rId40"/>
          <w:footerReference w:type="default" r:id="rId41"/>
          <w:endnotePr>
            <w:numFmt w:val="decimal"/>
          </w:endnotePr>
          <w:pgSz w:w="11907" w:h="16840" w:code="9"/>
          <w:pgMar w:top="1417" w:right="1134" w:bottom="1134" w:left="1134" w:header="850" w:footer="567" w:gutter="0"/>
          <w:cols w:space="720"/>
          <w:docGrid w:linePitch="272"/>
        </w:sectPr>
      </w:pPr>
    </w:p>
    <w:p w:rsidR="00A92E7D" w:rsidRPr="00D830DB" w:rsidRDefault="00A92E7D" w:rsidP="00D830DB">
      <w:pPr>
        <w:pStyle w:val="Heading1"/>
        <w:spacing w:after="120"/>
        <w:rPr>
          <w:b/>
          <w:bCs/>
        </w:rPr>
      </w:pPr>
      <w:r w:rsidRPr="00425701">
        <w:lastRenderedPageBreak/>
        <w:t>Table 16</w:t>
      </w:r>
      <w:r w:rsidR="00425701">
        <w:br/>
      </w:r>
      <w:r w:rsidRPr="00D830DB">
        <w:rPr>
          <w:b/>
          <w:bCs/>
        </w:rPr>
        <w:t>Mental health consultations, 2013–2018</w:t>
      </w:r>
    </w:p>
    <w:p w:rsidR="00A92E7D" w:rsidRDefault="00A92E7D" w:rsidP="00D830DB">
      <w:pPr>
        <w:pStyle w:val="SingleTxtG"/>
      </w:pPr>
      <w:r w:rsidRPr="00E80C1B">
        <w:rPr>
          <w:noProof/>
          <w:lang w:val="en-US"/>
        </w:rPr>
        <w:drawing>
          <wp:inline distT="0" distB="0" distL="0" distR="0" wp14:anchorId="68DCB7EB" wp14:editId="76889D24">
            <wp:extent cx="7333615" cy="3504565"/>
            <wp:effectExtent l="0" t="0" r="63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333615" cy="3504565"/>
                    </a:xfrm>
                    <a:prstGeom prst="rect">
                      <a:avLst/>
                    </a:prstGeom>
                    <a:noFill/>
                  </pic:spPr>
                </pic:pic>
              </a:graphicData>
            </a:graphic>
          </wp:inline>
        </w:drawing>
      </w:r>
    </w:p>
    <w:p w:rsidR="00425701" w:rsidRDefault="00425701">
      <w:pPr>
        <w:suppressAutoHyphens w:val="0"/>
        <w:spacing w:after="200" w:line="276" w:lineRule="auto"/>
        <w:sectPr w:rsidR="00425701" w:rsidSect="00AC3441">
          <w:headerReference w:type="even" r:id="rId43"/>
          <w:headerReference w:type="default" r:id="rId44"/>
          <w:footerReference w:type="even" r:id="rId45"/>
          <w:footerReference w:type="default" r:id="rId46"/>
          <w:endnotePr>
            <w:numFmt w:val="decimal"/>
          </w:endnotePr>
          <w:pgSz w:w="16840" w:h="11907" w:orient="landscape" w:code="9"/>
          <w:pgMar w:top="1134" w:right="1417" w:bottom="1134" w:left="1134" w:header="567" w:footer="567" w:gutter="0"/>
          <w:cols w:space="720"/>
          <w:docGrid w:linePitch="272"/>
        </w:sectPr>
      </w:pPr>
    </w:p>
    <w:p w:rsidR="00DF4367" w:rsidRPr="00E80C1B" w:rsidRDefault="00DF4367" w:rsidP="006A4331">
      <w:pPr>
        <w:pStyle w:val="SingleTxtG"/>
      </w:pPr>
      <w:r w:rsidRPr="00E80C1B">
        <w:lastRenderedPageBreak/>
        <w:t>90.</w:t>
      </w:r>
      <w:r w:rsidRPr="00E80C1B">
        <w:tab/>
        <w:t>As part of the country</w:t>
      </w:r>
      <w:r w:rsidR="00BB6C88">
        <w:t>’</w:t>
      </w:r>
      <w:r w:rsidRPr="00E80C1B">
        <w:t>s network of regular, independent monitoring mechanisms, the mental health services regularly report the number of (individual and group) consultations provided, the number of initial and subsequent consultations, the number of discharges, personal data (sex, sexual orientation, marital status, education level, nationality, self-identified ethnicity, membership in a priority group), health facility data and the type of diagnosis.</w:t>
      </w:r>
    </w:p>
    <w:p w:rsidR="00DF4367" w:rsidRPr="00E80C1B" w:rsidRDefault="00DF4367" w:rsidP="00D830DB">
      <w:pPr>
        <w:pStyle w:val="H1G"/>
      </w:pPr>
      <w:bookmarkStart w:id="67" w:name="_yqf0ybl17czs" w:colFirst="0" w:colLast="0"/>
      <w:bookmarkStart w:id="68" w:name="_Toc17473169"/>
      <w:bookmarkStart w:id="69" w:name="_Toc17473237"/>
      <w:bookmarkStart w:id="70" w:name="_Toc17473870"/>
      <w:bookmarkEnd w:id="67"/>
      <w:r w:rsidRPr="00E80C1B">
        <w:tab/>
      </w:r>
      <w:r w:rsidRPr="00E80C1B">
        <w:tab/>
        <w:t>Reply to questions raised in paragraph 25 of the list of issues</w:t>
      </w:r>
    </w:p>
    <w:bookmarkEnd w:id="68"/>
    <w:bookmarkEnd w:id="69"/>
    <w:bookmarkEnd w:id="70"/>
    <w:p w:rsidR="00DF4367" w:rsidRPr="00D830DB" w:rsidRDefault="00DF4367" w:rsidP="00D830DB">
      <w:pPr>
        <w:pStyle w:val="Heading1"/>
        <w:spacing w:after="120"/>
        <w:rPr>
          <w:b/>
          <w:bCs/>
        </w:rPr>
      </w:pPr>
      <w:r w:rsidRPr="00E80C1B">
        <w:t>Table 17</w:t>
      </w:r>
      <w:r w:rsidR="00D830DB">
        <w:br/>
      </w:r>
      <w:r w:rsidRPr="00D830DB">
        <w:rPr>
          <w:b/>
          <w:bCs/>
        </w:rPr>
        <w:t>Beneficiaries of the Basic Education for Young People and Adults Project, 2011–2018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01"/>
        <w:gridCol w:w="746"/>
        <w:gridCol w:w="746"/>
        <w:gridCol w:w="746"/>
        <w:gridCol w:w="746"/>
        <w:gridCol w:w="746"/>
        <w:gridCol w:w="746"/>
        <w:gridCol w:w="746"/>
        <w:gridCol w:w="747"/>
      </w:tblGrid>
      <w:tr w:rsidR="00DF4367" w:rsidRPr="00D830DB" w:rsidTr="00006C56">
        <w:trPr>
          <w:tblHeader/>
        </w:trPr>
        <w:tc>
          <w:tcPr>
            <w:tcW w:w="1401" w:type="dxa"/>
            <w:tcBorders>
              <w:top w:val="single" w:sz="4" w:space="0" w:color="auto"/>
              <w:bottom w:val="single" w:sz="12" w:space="0" w:color="auto"/>
            </w:tcBorders>
            <w:shd w:val="clear" w:color="auto" w:fill="auto"/>
            <w:vAlign w:val="bottom"/>
          </w:tcPr>
          <w:p w:rsidR="00DF4367" w:rsidRPr="00D830DB" w:rsidRDefault="00DF4367" w:rsidP="00D830DB">
            <w:pPr>
              <w:suppressAutoHyphens w:val="0"/>
              <w:spacing w:before="80" w:after="80" w:line="200" w:lineRule="exact"/>
              <w:ind w:right="113"/>
              <w:rPr>
                <w:i/>
                <w:sz w:val="16"/>
              </w:rPr>
            </w:pPr>
            <w:r w:rsidRPr="00D830DB">
              <w:rPr>
                <w:i/>
                <w:sz w:val="16"/>
              </w:rPr>
              <w:t>People/nationality</w:t>
            </w:r>
          </w:p>
        </w:tc>
        <w:tc>
          <w:tcPr>
            <w:tcW w:w="746" w:type="dxa"/>
            <w:tcBorders>
              <w:top w:val="single" w:sz="4" w:space="0" w:color="auto"/>
              <w:bottom w:val="single" w:sz="12" w:space="0" w:color="auto"/>
            </w:tcBorders>
            <w:shd w:val="clear" w:color="auto" w:fill="auto"/>
            <w:vAlign w:val="bottom"/>
          </w:tcPr>
          <w:p w:rsidR="00DF4367" w:rsidRPr="00D830DB" w:rsidRDefault="00DF4367" w:rsidP="00D830DB">
            <w:pPr>
              <w:suppressAutoHyphens w:val="0"/>
              <w:spacing w:before="80" w:after="80" w:line="200" w:lineRule="exact"/>
              <w:ind w:right="113"/>
              <w:jc w:val="right"/>
              <w:rPr>
                <w:i/>
                <w:sz w:val="16"/>
              </w:rPr>
            </w:pPr>
            <w:r w:rsidRPr="00D830DB">
              <w:rPr>
                <w:i/>
                <w:sz w:val="16"/>
              </w:rPr>
              <w:t>2011</w:t>
            </w:r>
          </w:p>
        </w:tc>
        <w:tc>
          <w:tcPr>
            <w:tcW w:w="746" w:type="dxa"/>
            <w:tcBorders>
              <w:top w:val="single" w:sz="4" w:space="0" w:color="auto"/>
              <w:bottom w:val="single" w:sz="12" w:space="0" w:color="auto"/>
            </w:tcBorders>
            <w:shd w:val="clear" w:color="auto" w:fill="auto"/>
            <w:vAlign w:val="bottom"/>
          </w:tcPr>
          <w:p w:rsidR="00DF4367" w:rsidRPr="00D830DB" w:rsidRDefault="00DF4367" w:rsidP="00D830DB">
            <w:pPr>
              <w:suppressAutoHyphens w:val="0"/>
              <w:spacing w:before="80" w:after="80" w:line="200" w:lineRule="exact"/>
              <w:ind w:right="113"/>
              <w:jc w:val="right"/>
              <w:rPr>
                <w:i/>
                <w:sz w:val="16"/>
              </w:rPr>
            </w:pPr>
            <w:r w:rsidRPr="00D830DB">
              <w:rPr>
                <w:i/>
                <w:sz w:val="16"/>
              </w:rPr>
              <w:t>2012</w:t>
            </w:r>
          </w:p>
        </w:tc>
        <w:tc>
          <w:tcPr>
            <w:tcW w:w="746" w:type="dxa"/>
            <w:tcBorders>
              <w:top w:val="single" w:sz="4" w:space="0" w:color="auto"/>
              <w:bottom w:val="single" w:sz="12" w:space="0" w:color="auto"/>
            </w:tcBorders>
            <w:shd w:val="clear" w:color="auto" w:fill="auto"/>
            <w:vAlign w:val="bottom"/>
          </w:tcPr>
          <w:p w:rsidR="00DF4367" w:rsidRPr="00D830DB" w:rsidRDefault="00DF4367" w:rsidP="00D830DB">
            <w:pPr>
              <w:suppressAutoHyphens w:val="0"/>
              <w:spacing w:before="80" w:after="80" w:line="200" w:lineRule="exact"/>
              <w:ind w:right="113"/>
              <w:jc w:val="right"/>
              <w:rPr>
                <w:i/>
                <w:sz w:val="16"/>
              </w:rPr>
            </w:pPr>
            <w:r w:rsidRPr="00D830DB">
              <w:rPr>
                <w:i/>
                <w:sz w:val="16"/>
              </w:rPr>
              <w:t>2013</w:t>
            </w:r>
          </w:p>
        </w:tc>
        <w:tc>
          <w:tcPr>
            <w:tcW w:w="746" w:type="dxa"/>
            <w:tcBorders>
              <w:top w:val="single" w:sz="4" w:space="0" w:color="auto"/>
              <w:bottom w:val="single" w:sz="12" w:space="0" w:color="auto"/>
            </w:tcBorders>
            <w:shd w:val="clear" w:color="auto" w:fill="auto"/>
            <w:vAlign w:val="bottom"/>
          </w:tcPr>
          <w:p w:rsidR="00DF4367" w:rsidRPr="00D830DB" w:rsidRDefault="00DF4367" w:rsidP="00D830DB">
            <w:pPr>
              <w:suppressAutoHyphens w:val="0"/>
              <w:spacing w:before="80" w:after="80" w:line="200" w:lineRule="exact"/>
              <w:ind w:right="113"/>
              <w:jc w:val="right"/>
              <w:rPr>
                <w:i/>
                <w:sz w:val="16"/>
              </w:rPr>
            </w:pPr>
            <w:r w:rsidRPr="00D830DB">
              <w:rPr>
                <w:i/>
                <w:sz w:val="16"/>
              </w:rPr>
              <w:t>2014</w:t>
            </w:r>
          </w:p>
        </w:tc>
        <w:tc>
          <w:tcPr>
            <w:tcW w:w="746" w:type="dxa"/>
            <w:tcBorders>
              <w:top w:val="single" w:sz="4" w:space="0" w:color="auto"/>
              <w:bottom w:val="single" w:sz="12" w:space="0" w:color="auto"/>
            </w:tcBorders>
            <w:shd w:val="clear" w:color="auto" w:fill="auto"/>
            <w:vAlign w:val="bottom"/>
          </w:tcPr>
          <w:p w:rsidR="00DF4367" w:rsidRPr="00D830DB" w:rsidRDefault="00DF4367" w:rsidP="00D830DB">
            <w:pPr>
              <w:suppressAutoHyphens w:val="0"/>
              <w:spacing w:before="80" w:after="80" w:line="200" w:lineRule="exact"/>
              <w:ind w:right="113"/>
              <w:jc w:val="right"/>
              <w:rPr>
                <w:i/>
                <w:sz w:val="16"/>
              </w:rPr>
            </w:pPr>
            <w:r w:rsidRPr="00D830DB">
              <w:rPr>
                <w:i/>
                <w:sz w:val="16"/>
              </w:rPr>
              <w:t>2015</w:t>
            </w:r>
          </w:p>
        </w:tc>
        <w:tc>
          <w:tcPr>
            <w:tcW w:w="746" w:type="dxa"/>
            <w:tcBorders>
              <w:top w:val="single" w:sz="4" w:space="0" w:color="auto"/>
              <w:bottom w:val="single" w:sz="12" w:space="0" w:color="auto"/>
            </w:tcBorders>
            <w:shd w:val="clear" w:color="auto" w:fill="auto"/>
            <w:vAlign w:val="bottom"/>
          </w:tcPr>
          <w:p w:rsidR="00DF4367" w:rsidRPr="00D830DB" w:rsidRDefault="00DF4367" w:rsidP="00D830DB">
            <w:pPr>
              <w:suppressAutoHyphens w:val="0"/>
              <w:spacing w:before="80" w:after="80" w:line="200" w:lineRule="exact"/>
              <w:ind w:right="113"/>
              <w:jc w:val="right"/>
              <w:rPr>
                <w:i/>
                <w:sz w:val="16"/>
              </w:rPr>
            </w:pPr>
            <w:r w:rsidRPr="00D830DB">
              <w:rPr>
                <w:i/>
                <w:sz w:val="16"/>
              </w:rPr>
              <w:t>2016</w:t>
            </w:r>
          </w:p>
        </w:tc>
        <w:tc>
          <w:tcPr>
            <w:tcW w:w="746" w:type="dxa"/>
            <w:tcBorders>
              <w:top w:val="single" w:sz="4" w:space="0" w:color="auto"/>
              <w:bottom w:val="single" w:sz="12" w:space="0" w:color="auto"/>
            </w:tcBorders>
            <w:shd w:val="clear" w:color="auto" w:fill="auto"/>
            <w:vAlign w:val="bottom"/>
          </w:tcPr>
          <w:p w:rsidR="00DF4367" w:rsidRPr="00D830DB" w:rsidRDefault="00DF4367" w:rsidP="00D830DB">
            <w:pPr>
              <w:suppressAutoHyphens w:val="0"/>
              <w:spacing w:before="80" w:after="80" w:line="200" w:lineRule="exact"/>
              <w:ind w:right="113"/>
              <w:jc w:val="right"/>
              <w:rPr>
                <w:i/>
                <w:sz w:val="16"/>
              </w:rPr>
            </w:pPr>
            <w:r w:rsidRPr="00D830DB">
              <w:rPr>
                <w:i/>
                <w:sz w:val="16"/>
              </w:rPr>
              <w:t>2017</w:t>
            </w:r>
          </w:p>
        </w:tc>
        <w:tc>
          <w:tcPr>
            <w:tcW w:w="747" w:type="dxa"/>
            <w:tcBorders>
              <w:top w:val="single" w:sz="4" w:space="0" w:color="auto"/>
              <w:bottom w:val="single" w:sz="12" w:space="0" w:color="auto"/>
            </w:tcBorders>
            <w:shd w:val="clear" w:color="auto" w:fill="auto"/>
            <w:vAlign w:val="bottom"/>
          </w:tcPr>
          <w:p w:rsidR="00DF4367" w:rsidRPr="00D830DB" w:rsidRDefault="00DF4367" w:rsidP="00D830DB">
            <w:pPr>
              <w:suppressAutoHyphens w:val="0"/>
              <w:spacing w:before="80" w:after="80" w:line="200" w:lineRule="exact"/>
              <w:ind w:right="113"/>
              <w:jc w:val="right"/>
              <w:rPr>
                <w:i/>
                <w:sz w:val="16"/>
              </w:rPr>
            </w:pPr>
            <w:r w:rsidRPr="00D830DB">
              <w:rPr>
                <w:i/>
                <w:sz w:val="16"/>
              </w:rPr>
              <w:t>2018</w:t>
            </w:r>
          </w:p>
        </w:tc>
      </w:tr>
      <w:tr w:rsidR="00DF4367" w:rsidRPr="00D830DB" w:rsidTr="00006C56">
        <w:tc>
          <w:tcPr>
            <w:tcW w:w="1401" w:type="dxa"/>
            <w:tcBorders>
              <w:top w:val="single" w:sz="12" w:space="0" w:color="auto"/>
            </w:tcBorders>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Achuar</w:t>
            </w:r>
          </w:p>
        </w:tc>
        <w:tc>
          <w:tcPr>
            <w:tcW w:w="746" w:type="dxa"/>
            <w:tcBorders>
              <w:top w:val="single" w:sz="12"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tcBorders>
              <w:top w:val="single" w:sz="12"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tcBorders>
              <w:top w:val="single" w:sz="12"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tcBorders>
              <w:top w:val="single" w:sz="12"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tcBorders>
              <w:top w:val="single" w:sz="12"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tcBorders>
              <w:top w:val="single" w:sz="12"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tcBorders>
              <w:top w:val="single" w:sz="12"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39</w:t>
            </w:r>
          </w:p>
        </w:tc>
        <w:tc>
          <w:tcPr>
            <w:tcW w:w="747" w:type="dxa"/>
            <w:tcBorders>
              <w:top w:val="single" w:sz="12"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41</w:t>
            </w:r>
          </w:p>
        </w:tc>
      </w:tr>
      <w:tr w:rsidR="00DF4367" w:rsidRPr="00D830DB" w:rsidTr="00006C56">
        <w:tc>
          <w:tcPr>
            <w:tcW w:w="1401" w:type="dxa"/>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Cofán</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w:t>
            </w:r>
          </w:p>
        </w:tc>
        <w:tc>
          <w:tcPr>
            <w:tcW w:w="747"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14</w:t>
            </w:r>
          </w:p>
        </w:tc>
      </w:tr>
      <w:tr w:rsidR="00DF4367" w:rsidRPr="00D830DB" w:rsidTr="00006C56">
        <w:tc>
          <w:tcPr>
            <w:tcW w:w="1401" w:type="dxa"/>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Awá</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2</w:t>
            </w:r>
          </w:p>
        </w:tc>
        <w:tc>
          <w:tcPr>
            <w:tcW w:w="747"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5</w:t>
            </w:r>
          </w:p>
        </w:tc>
      </w:tr>
      <w:tr w:rsidR="00DF4367" w:rsidRPr="00D830DB" w:rsidTr="00006C56">
        <w:tc>
          <w:tcPr>
            <w:tcW w:w="1401" w:type="dxa"/>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Chachi</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13</w:t>
            </w:r>
          </w:p>
        </w:tc>
        <w:tc>
          <w:tcPr>
            <w:tcW w:w="747"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82</w:t>
            </w:r>
          </w:p>
        </w:tc>
      </w:tr>
      <w:tr w:rsidR="00DF4367" w:rsidRPr="00D830DB" w:rsidTr="00006C56">
        <w:tc>
          <w:tcPr>
            <w:tcW w:w="1401" w:type="dxa"/>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Epera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16</w:t>
            </w:r>
          </w:p>
        </w:tc>
        <w:tc>
          <w:tcPr>
            <w:tcW w:w="747"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16</w:t>
            </w:r>
          </w:p>
        </w:tc>
      </w:tr>
      <w:tr w:rsidR="00DF4367" w:rsidRPr="00D830DB" w:rsidTr="00006C56">
        <w:tc>
          <w:tcPr>
            <w:tcW w:w="1401" w:type="dxa"/>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Waorani</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9</w:t>
            </w:r>
          </w:p>
        </w:tc>
        <w:tc>
          <w:tcPr>
            <w:tcW w:w="747"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28</w:t>
            </w:r>
          </w:p>
        </w:tc>
      </w:tr>
      <w:tr w:rsidR="00DF4367" w:rsidRPr="00D830DB" w:rsidTr="00006C56">
        <w:tc>
          <w:tcPr>
            <w:tcW w:w="1401" w:type="dxa"/>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Kichwa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523</w:t>
            </w:r>
          </w:p>
        </w:tc>
        <w:tc>
          <w:tcPr>
            <w:tcW w:w="747"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937</w:t>
            </w:r>
          </w:p>
        </w:tc>
      </w:tr>
      <w:tr w:rsidR="00DF4367" w:rsidRPr="00D830DB" w:rsidTr="00006C56">
        <w:tc>
          <w:tcPr>
            <w:tcW w:w="1401" w:type="dxa"/>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Secoya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w:t>
            </w:r>
          </w:p>
        </w:tc>
        <w:tc>
          <w:tcPr>
            <w:tcW w:w="747"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w:t>
            </w:r>
          </w:p>
        </w:tc>
      </w:tr>
      <w:tr w:rsidR="00DF4367" w:rsidRPr="00D830DB" w:rsidTr="00006C56">
        <w:tc>
          <w:tcPr>
            <w:tcW w:w="1401" w:type="dxa"/>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Shiwiar</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6</w:t>
            </w:r>
          </w:p>
        </w:tc>
        <w:tc>
          <w:tcPr>
            <w:tcW w:w="747"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9</w:t>
            </w:r>
          </w:p>
        </w:tc>
      </w:tr>
      <w:tr w:rsidR="00DF4367" w:rsidRPr="00D830DB" w:rsidTr="00006C56">
        <w:tc>
          <w:tcPr>
            <w:tcW w:w="1401" w:type="dxa"/>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Shuar</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218</w:t>
            </w:r>
          </w:p>
        </w:tc>
        <w:tc>
          <w:tcPr>
            <w:tcW w:w="747"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687</w:t>
            </w:r>
          </w:p>
        </w:tc>
      </w:tr>
      <w:tr w:rsidR="00DF4367" w:rsidRPr="00D830DB" w:rsidTr="00006C56">
        <w:tc>
          <w:tcPr>
            <w:tcW w:w="1401" w:type="dxa"/>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Zápara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N/A</w:t>
            </w:r>
          </w:p>
        </w:tc>
        <w:tc>
          <w:tcPr>
            <w:tcW w:w="746"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5</w:t>
            </w:r>
          </w:p>
        </w:tc>
        <w:tc>
          <w:tcPr>
            <w:tcW w:w="747" w:type="dxa"/>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5</w:t>
            </w:r>
          </w:p>
        </w:tc>
      </w:tr>
      <w:tr w:rsidR="00DF4367" w:rsidRPr="00D830DB" w:rsidTr="00B81FAF">
        <w:tc>
          <w:tcPr>
            <w:tcW w:w="1401" w:type="dxa"/>
            <w:tcBorders>
              <w:bottom w:val="single" w:sz="4" w:space="0" w:color="auto"/>
            </w:tcBorders>
            <w:shd w:val="clear" w:color="auto" w:fill="auto"/>
          </w:tcPr>
          <w:p w:rsidR="00DF4367" w:rsidRPr="00D830DB" w:rsidRDefault="00DF4367" w:rsidP="00D830DB">
            <w:pPr>
              <w:suppressAutoHyphens w:val="0"/>
              <w:spacing w:before="40" w:after="40" w:line="220" w:lineRule="exact"/>
              <w:ind w:right="113"/>
              <w:rPr>
                <w:sz w:val="18"/>
              </w:rPr>
            </w:pPr>
            <w:r w:rsidRPr="00D830DB">
              <w:rPr>
                <w:sz w:val="18"/>
              </w:rPr>
              <w:t xml:space="preserve">Does not belong to a nationality </w:t>
            </w:r>
          </w:p>
        </w:tc>
        <w:tc>
          <w:tcPr>
            <w:tcW w:w="746" w:type="dxa"/>
            <w:tcBorders>
              <w:bottom w:val="single" w:sz="4"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87 712</w:t>
            </w:r>
          </w:p>
        </w:tc>
        <w:tc>
          <w:tcPr>
            <w:tcW w:w="746" w:type="dxa"/>
            <w:tcBorders>
              <w:bottom w:val="single" w:sz="4"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112 992</w:t>
            </w:r>
          </w:p>
        </w:tc>
        <w:tc>
          <w:tcPr>
            <w:tcW w:w="746" w:type="dxa"/>
            <w:tcBorders>
              <w:bottom w:val="single" w:sz="4"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124 190</w:t>
            </w:r>
          </w:p>
        </w:tc>
        <w:tc>
          <w:tcPr>
            <w:tcW w:w="746" w:type="dxa"/>
            <w:tcBorders>
              <w:bottom w:val="single" w:sz="4"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63 979</w:t>
            </w:r>
          </w:p>
        </w:tc>
        <w:tc>
          <w:tcPr>
            <w:tcW w:w="746" w:type="dxa"/>
            <w:tcBorders>
              <w:bottom w:val="single" w:sz="4"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91 479</w:t>
            </w:r>
          </w:p>
        </w:tc>
        <w:tc>
          <w:tcPr>
            <w:tcW w:w="746" w:type="dxa"/>
            <w:tcBorders>
              <w:bottom w:val="single" w:sz="4"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44 855</w:t>
            </w:r>
          </w:p>
        </w:tc>
        <w:tc>
          <w:tcPr>
            <w:tcW w:w="746" w:type="dxa"/>
            <w:tcBorders>
              <w:bottom w:val="single" w:sz="4"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156 906</w:t>
            </w:r>
          </w:p>
        </w:tc>
        <w:tc>
          <w:tcPr>
            <w:tcW w:w="747" w:type="dxa"/>
            <w:tcBorders>
              <w:bottom w:val="single" w:sz="4" w:space="0" w:color="auto"/>
            </w:tcBorders>
            <w:shd w:val="clear" w:color="auto" w:fill="auto"/>
            <w:vAlign w:val="bottom"/>
          </w:tcPr>
          <w:p w:rsidR="00DF4367" w:rsidRPr="00D830DB" w:rsidRDefault="00DF4367" w:rsidP="00D830DB">
            <w:pPr>
              <w:suppressAutoHyphens w:val="0"/>
              <w:spacing w:before="40" w:after="40" w:line="220" w:lineRule="exact"/>
              <w:ind w:right="113"/>
              <w:jc w:val="right"/>
              <w:rPr>
                <w:sz w:val="18"/>
              </w:rPr>
            </w:pPr>
            <w:r w:rsidRPr="00D830DB">
              <w:rPr>
                <w:sz w:val="18"/>
              </w:rPr>
              <w:t>159 734</w:t>
            </w:r>
          </w:p>
        </w:tc>
      </w:tr>
      <w:tr w:rsidR="00DF4367" w:rsidRPr="00D830DB" w:rsidTr="00B81FAF">
        <w:tc>
          <w:tcPr>
            <w:tcW w:w="1401" w:type="dxa"/>
            <w:tcBorders>
              <w:top w:val="single" w:sz="4" w:space="0" w:color="auto"/>
              <w:bottom w:val="single" w:sz="12" w:space="0" w:color="auto"/>
            </w:tcBorders>
            <w:shd w:val="clear" w:color="auto" w:fill="auto"/>
          </w:tcPr>
          <w:p w:rsidR="00DF4367" w:rsidRPr="00B81FAF" w:rsidRDefault="00DF4367" w:rsidP="00B81FAF">
            <w:pPr>
              <w:suppressAutoHyphens w:val="0"/>
              <w:spacing w:before="80" w:after="80" w:line="220" w:lineRule="exact"/>
              <w:ind w:left="280" w:right="113"/>
              <w:rPr>
                <w:b/>
                <w:sz w:val="18"/>
              </w:rPr>
            </w:pPr>
            <w:r w:rsidRPr="00B81FAF">
              <w:rPr>
                <w:b/>
                <w:sz w:val="18"/>
              </w:rPr>
              <w:t>Annual total</w:t>
            </w:r>
          </w:p>
        </w:tc>
        <w:tc>
          <w:tcPr>
            <w:tcW w:w="746" w:type="dxa"/>
            <w:tcBorders>
              <w:top w:val="single" w:sz="4" w:space="0" w:color="auto"/>
              <w:bottom w:val="single" w:sz="12" w:space="0" w:color="auto"/>
            </w:tcBorders>
            <w:shd w:val="clear" w:color="auto" w:fill="auto"/>
            <w:vAlign w:val="bottom"/>
          </w:tcPr>
          <w:p w:rsidR="00DF4367" w:rsidRPr="00B81FAF" w:rsidRDefault="00DF4367" w:rsidP="00B81FAF">
            <w:pPr>
              <w:suppressAutoHyphens w:val="0"/>
              <w:spacing w:before="80" w:after="80" w:line="220" w:lineRule="exact"/>
              <w:ind w:right="113"/>
              <w:jc w:val="right"/>
              <w:rPr>
                <w:b/>
                <w:sz w:val="18"/>
              </w:rPr>
            </w:pPr>
            <w:r w:rsidRPr="00B81FAF">
              <w:rPr>
                <w:b/>
                <w:sz w:val="18"/>
              </w:rPr>
              <w:t>87 712</w:t>
            </w:r>
          </w:p>
        </w:tc>
        <w:tc>
          <w:tcPr>
            <w:tcW w:w="746" w:type="dxa"/>
            <w:tcBorders>
              <w:top w:val="single" w:sz="4" w:space="0" w:color="auto"/>
              <w:bottom w:val="single" w:sz="12" w:space="0" w:color="auto"/>
            </w:tcBorders>
            <w:shd w:val="clear" w:color="auto" w:fill="auto"/>
            <w:vAlign w:val="bottom"/>
          </w:tcPr>
          <w:p w:rsidR="00DF4367" w:rsidRPr="00B81FAF" w:rsidRDefault="00DF4367" w:rsidP="00B81FAF">
            <w:pPr>
              <w:suppressAutoHyphens w:val="0"/>
              <w:spacing w:before="80" w:after="80" w:line="220" w:lineRule="exact"/>
              <w:ind w:right="113"/>
              <w:jc w:val="right"/>
              <w:rPr>
                <w:b/>
                <w:sz w:val="18"/>
              </w:rPr>
            </w:pPr>
            <w:r w:rsidRPr="00B81FAF">
              <w:rPr>
                <w:b/>
                <w:sz w:val="18"/>
              </w:rPr>
              <w:t>112 992</w:t>
            </w:r>
          </w:p>
        </w:tc>
        <w:tc>
          <w:tcPr>
            <w:tcW w:w="746" w:type="dxa"/>
            <w:tcBorders>
              <w:top w:val="single" w:sz="4" w:space="0" w:color="auto"/>
              <w:bottom w:val="single" w:sz="12" w:space="0" w:color="auto"/>
            </w:tcBorders>
            <w:shd w:val="clear" w:color="auto" w:fill="auto"/>
            <w:vAlign w:val="bottom"/>
          </w:tcPr>
          <w:p w:rsidR="00DF4367" w:rsidRPr="00B81FAF" w:rsidRDefault="00DF4367" w:rsidP="00B81FAF">
            <w:pPr>
              <w:suppressAutoHyphens w:val="0"/>
              <w:spacing w:before="80" w:after="80" w:line="220" w:lineRule="exact"/>
              <w:ind w:right="113"/>
              <w:jc w:val="right"/>
              <w:rPr>
                <w:b/>
                <w:sz w:val="18"/>
              </w:rPr>
            </w:pPr>
            <w:r w:rsidRPr="00B81FAF">
              <w:rPr>
                <w:b/>
                <w:sz w:val="18"/>
              </w:rPr>
              <w:t>124 190</w:t>
            </w:r>
          </w:p>
        </w:tc>
        <w:tc>
          <w:tcPr>
            <w:tcW w:w="746" w:type="dxa"/>
            <w:tcBorders>
              <w:top w:val="single" w:sz="4" w:space="0" w:color="auto"/>
              <w:bottom w:val="single" w:sz="12" w:space="0" w:color="auto"/>
            </w:tcBorders>
            <w:shd w:val="clear" w:color="auto" w:fill="auto"/>
            <w:vAlign w:val="bottom"/>
          </w:tcPr>
          <w:p w:rsidR="00DF4367" w:rsidRPr="00B81FAF" w:rsidRDefault="00DF4367" w:rsidP="00B81FAF">
            <w:pPr>
              <w:suppressAutoHyphens w:val="0"/>
              <w:spacing w:before="80" w:after="80" w:line="220" w:lineRule="exact"/>
              <w:ind w:right="113"/>
              <w:jc w:val="right"/>
              <w:rPr>
                <w:b/>
                <w:sz w:val="18"/>
              </w:rPr>
            </w:pPr>
            <w:r w:rsidRPr="00B81FAF">
              <w:rPr>
                <w:b/>
                <w:sz w:val="18"/>
              </w:rPr>
              <w:t>63 979</w:t>
            </w:r>
          </w:p>
        </w:tc>
        <w:tc>
          <w:tcPr>
            <w:tcW w:w="746" w:type="dxa"/>
            <w:tcBorders>
              <w:top w:val="single" w:sz="4" w:space="0" w:color="auto"/>
              <w:bottom w:val="single" w:sz="12" w:space="0" w:color="auto"/>
            </w:tcBorders>
            <w:shd w:val="clear" w:color="auto" w:fill="auto"/>
            <w:vAlign w:val="bottom"/>
          </w:tcPr>
          <w:p w:rsidR="00DF4367" w:rsidRPr="00B81FAF" w:rsidRDefault="00DF4367" w:rsidP="00B81FAF">
            <w:pPr>
              <w:suppressAutoHyphens w:val="0"/>
              <w:spacing w:before="80" w:after="80" w:line="220" w:lineRule="exact"/>
              <w:ind w:right="113"/>
              <w:jc w:val="right"/>
              <w:rPr>
                <w:b/>
                <w:sz w:val="18"/>
              </w:rPr>
            </w:pPr>
            <w:r w:rsidRPr="00B81FAF">
              <w:rPr>
                <w:b/>
                <w:sz w:val="18"/>
              </w:rPr>
              <w:t>91 479</w:t>
            </w:r>
          </w:p>
        </w:tc>
        <w:tc>
          <w:tcPr>
            <w:tcW w:w="746" w:type="dxa"/>
            <w:tcBorders>
              <w:top w:val="single" w:sz="4" w:space="0" w:color="auto"/>
              <w:bottom w:val="single" w:sz="12" w:space="0" w:color="auto"/>
            </w:tcBorders>
            <w:shd w:val="clear" w:color="auto" w:fill="auto"/>
            <w:vAlign w:val="bottom"/>
          </w:tcPr>
          <w:p w:rsidR="00DF4367" w:rsidRPr="00B81FAF" w:rsidRDefault="00DF4367" w:rsidP="00B81FAF">
            <w:pPr>
              <w:suppressAutoHyphens w:val="0"/>
              <w:spacing w:before="80" w:after="80" w:line="220" w:lineRule="exact"/>
              <w:ind w:right="113"/>
              <w:jc w:val="right"/>
              <w:rPr>
                <w:b/>
                <w:sz w:val="18"/>
              </w:rPr>
            </w:pPr>
            <w:r w:rsidRPr="00B81FAF">
              <w:rPr>
                <w:b/>
                <w:sz w:val="18"/>
              </w:rPr>
              <w:t>44 855</w:t>
            </w:r>
          </w:p>
        </w:tc>
        <w:tc>
          <w:tcPr>
            <w:tcW w:w="746" w:type="dxa"/>
            <w:tcBorders>
              <w:top w:val="single" w:sz="4" w:space="0" w:color="auto"/>
              <w:bottom w:val="single" w:sz="12" w:space="0" w:color="auto"/>
            </w:tcBorders>
            <w:shd w:val="clear" w:color="auto" w:fill="auto"/>
            <w:vAlign w:val="bottom"/>
          </w:tcPr>
          <w:p w:rsidR="00DF4367" w:rsidRPr="00B81FAF" w:rsidRDefault="00DF4367" w:rsidP="00B81FAF">
            <w:pPr>
              <w:suppressAutoHyphens w:val="0"/>
              <w:spacing w:before="80" w:after="80" w:line="220" w:lineRule="exact"/>
              <w:ind w:right="113"/>
              <w:jc w:val="right"/>
              <w:rPr>
                <w:b/>
                <w:sz w:val="18"/>
              </w:rPr>
            </w:pPr>
            <w:r w:rsidRPr="00B81FAF">
              <w:rPr>
                <w:b/>
                <w:sz w:val="18"/>
              </w:rPr>
              <w:t>157 739</w:t>
            </w:r>
          </w:p>
        </w:tc>
        <w:tc>
          <w:tcPr>
            <w:tcW w:w="747" w:type="dxa"/>
            <w:tcBorders>
              <w:top w:val="single" w:sz="4" w:space="0" w:color="auto"/>
              <w:bottom w:val="single" w:sz="12" w:space="0" w:color="auto"/>
            </w:tcBorders>
            <w:shd w:val="clear" w:color="auto" w:fill="auto"/>
            <w:vAlign w:val="bottom"/>
          </w:tcPr>
          <w:p w:rsidR="00DF4367" w:rsidRPr="00B81FAF" w:rsidRDefault="00DF4367" w:rsidP="00B81FAF">
            <w:pPr>
              <w:suppressAutoHyphens w:val="0"/>
              <w:spacing w:before="80" w:after="80" w:line="220" w:lineRule="exact"/>
              <w:ind w:right="113"/>
              <w:jc w:val="right"/>
              <w:rPr>
                <w:b/>
                <w:sz w:val="18"/>
              </w:rPr>
            </w:pPr>
            <w:r w:rsidRPr="00B81FAF">
              <w:rPr>
                <w:b/>
                <w:sz w:val="18"/>
              </w:rPr>
              <w:t>161 559</w:t>
            </w:r>
          </w:p>
        </w:tc>
      </w:tr>
    </w:tbl>
    <w:p w:rsidR="00DF4367" w:rsidRPr="00006C56" w:rsidRDefault="00DF4367" w:rsidP="00006C56">
      <w:pPr>
        <w:spacing w:before="120" w:after="240"/>
        <w:ind w:left="1134" w:right="1134" w:firstLine="170"/>
        <w:rPr>
          <w:sz w:val="18"/>
        </w:rPr>
      </w:pPr>
      <w:r w:rsidRPr="00006C56">
        <w:rPr>
          <w:i/>
          <w:iCs/>
          <w:sz w:val="18"/>
        </w:rPr>
        <w:t>Source</w:t>
      </w:r>
      <w:r w:rsidRPr="00006C56">
        <w:rPr>
          <w:sz w:val="18"/>
        </w:rPr>
        <w:t>: Ministry of Education.</w:t>
      </w:r>
    </w:p>
    <w:p w:rsidR="00DF4367" w:rsidRPr="00E80C1B" w:rsidRDefault="00DF4367" w:rsidP="006A4331">
      <w:pPr>
        <w:pStyle w:val="SingleTxtG"/>
      </w:pPr>
      <w:r w:rsidRPr="00E80C1B">
        <w:t>91.</w:t>
      </w:r>
      <w:r w:rsidRPr="00E80C1B">
        <w:tab/>
        <w:t xml:space="preserve">Under the ABCs for All Project, over 129,838 young students and adults were able to continue their studies during the 2019/20 academic year. </w:t>
      </w:r>
    </w:p>
    <w:p w:rsidR="00DF4367" w:rsidRPr="00E80C1B" w:rsidRDefault="00DF4367" w:rsidP="006A4331">
      <w:pPr>
        <w:pStyle w:val="SingleTxtG"/>
      </w:pPr>
      <w:r w:rsidRPr="00E80C1B">
        <w:t>92.</w:t>
      </w:r>
      <w:r w:rsidRPr="00E80C1B">
        <w:tab/>
        <w:t xml:space="preserve">Education and information campaigns that have been carried out include the </w:t>
      </w:r>
      <w:r w:rsidR="00BB6C88">
        <w:t>“</w:t>
      </w:r>
      <w:r w:rsidRPr="00E80C1B">
        <w:t>More United, Better Protected</w:t>
      </w:r>
      <w:r w:rsidR="00BB6C88">
        <w:t>”</w:t>
      </w:r>
      <w:r w:rsidRPr="00E80C1B">
        <w:t xml:space="preserve"> campaign, which was developed to raise awareness among the entire school community (students, parents, teachers and principals and school authorities) about sexual violence and to empower people to play a role in the prevention of such situations, thereby strengthening the role of the education system in preventing and identifying cases of sexual abuse and providing timely responses and protection to victims.</w:t>
      </w:r>
    </w:p>
    <w:p w:rsidR="00DF4367" w:rsidRPr="00E80C1B" w:rsidRDefault="00DF4367" w:rsidP="006A4331">
      <w:pPr>
        <w:pStyle w:val="SingleTxtG"/>
      </w:pPr>
      <w:r w:rsidRPr="00E80C1B">
        <w:t>93.</w:t>
      </w:r>
      <w:r w:rsidRPr="00E80C1B">
        <w:tab/>
        <w:t xml:space="preserve">The following training initiatives have been undertaken: </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Online training for teachers on preventing and dealing with violence in the education system</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Training of 500 sports coaches in methods of preventing and addressing sexual violence in the context of extracurricular activities</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Training workshops for teachers and administrative staff on restorative practices in order to build their capacity to resolve conflicts and provide support to victims of violence</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The issuance of protocols for dealing with violent situations identified or arising within the education system</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The publication and distribution of 610,000 copies of a handbook on methods of</w:t>
      </w:r>
      <w:r w:rsidR="0086053F">
        <w:t xml:space="preserve"> </w:t>
      </w:r>
      <w:r w:rsidR="00DF4367" w:rsidRPr="00E80C1B">
        <w:t>dealing with cases of sexual violence</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Installation of the REDEVI computer system for registering cases of sexual violence reported by educational institutions.</w:t>
      </w:r>
    </w:p>
    <w:p w:rsidR="00DF4367" w:rsidRPr="00E80C1B" w:rsidRDefault="00DF4367" w:rsidP="006A4331">
      <w:pPr>
        <w:pStyle w:val="SingleTxtG"/>
      </w:pPr>
      <w:r w:rsidRPr="00E80C1B">
        <w:lastRenderedPageBreak/>
        <w:t>94.</w:t>
      </w:r>
      <w:r w:rsidRPr="00E80C1B">
        <w:tab/>
        <w:t>In the area of inclusive and specialized education:</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Nationwide there are 8,529 inclusive educational institutions attended by students with varying levels of disability who, on the basis of a psychopedagogical assessment, have been found to be able to attend mainstream schools</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There are 108 specialized educational institutions (with a focus on moderate intellectual disability)</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 xml:space="preserve">Training in educational inclusion was provided to 5,927 teachers in 2018 and 2019. </w:t>
      </w:r>
    </w:p>
    <w:p w:rsidR="00DF4367" w:rsidRPr="00006C56" w:rsidRDefault="00DF4367" w:rsidP="00006C56">
      <w:pPr>
        <w:pStyle w:val="Heading1"/>
        <w:spacing w:after="120"/>
        <w:rPr>
          <w:b/>
          <w:bCs/>
        </w:rPr>
      </w:pPr>
      <w:r w:rsidRPr="00E80C1B">
        <w:t>Table 18</w:t>
      </w:r>
      <w:r w:rsidR="00006C56">
        <w:br/>
      </w:r>
      <w:r w:rsidRPr="00006C56">
        <w:rPr>
          <w:b/>
          <w:bCs/>
        </w:rPr>
        <w:t>Number of students with disabilities, by type of disability and regime, 2016–2019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50"/>
        <w:gridCol w:w="1268"/>
        <w:gridCol w:w="1409"/>
        <w:gridCol w:w="1427"/>
        <w:gridCol w:w="1816"/>
      </w:tblGrid>
      <w:tr w:rsidR="00DF4367" w:rsidRPr="00006C56" w:rsidTr="00006C56">
        <w:trPr>
          <w:tblHeader/>
        </w:trPr>
        <w:tc>
          <w:tcPr>
            <w:tcW w:w="984" w:type="pct"/>
            <w:tcBorders>
              <w:top w:val="single" w:sz="4" w:space="0" w:color="auto"/>
              <w:bottom w:val="single" w:sz="12" w:space="0" w:color="auto"/>
            </w:tcBorders>
            <w:shd w:val="clear" w:color="auto" w:fill="auto"/>
            <w:vAlign w:val="bottom"/>
            <w:hideMark/>
          </w:tcPr>
          <w:p w:rsidR="00DF4367" w:rsidRPr="00006C56" w:rsidRDefault="00DF4367" w:rsidP="00006C56">
            <w:pPr>
              <w:suppressAutoHyphens w:val="0"/>
              <w:spacing w:before="80" w:after="80" w:line="200" w:lineRule="exact"/>
              <w:ind w:right="113"/>
              <w:rPr>
                <w:i/>
                <w:sz w:val="16"/>
              </w:rPr>
            </w:pPr>
            <w:r w:rsidRPr="00006C56">
              <w:rPr>
                <w:i/>
                <w:sz w:val="16"/>
              </w:rPr>
              <w:t>Type of disability</w:t>
            </w:r>
          </w:p>
        </w:tc>
        <w:tc>
          <w:tcPr>
            <w:tcW w:w="860" w:type="pct"/>
            <w:tcBorders>
              <w:top w:val="single" w:sz="4" w:space="0" w:color="auto"/>
              <w:bottom w:val="single" w:sz="12" w:space="0" w:color="auto"/>
            </w:tcBorders>
            <w:shd w:val="clear" w:color="auto" w:fill="auto"/>
            <w:vAlign w:val="bottom"/>
            <w:hideMark/>
          </w:tcPr>
          <w:p w:rsidR="00DF4367" w:rsidRPr="00006C56" w:rsidRDefault="00DF4367" w:rsidP="00006C56">
            <w:pPr>
              <w:suppressAutoHyphens w:val="0"/>
              <w:spacing w:before="80" w:after="80" w:line="200" w:lineRule="exact"/>
              <w:ind w:right="113"/>
              <w:jc w:val="right"/>
              <w:rPr>
                <w:i/>
                <w:sz w:val="16"/>
              </w:rPr>
            </w:pPr>
            <w:r w:rsidRPr="00006C56">
              <w:rPr>
                <w:i/>
                <w:sz w:val="16"/>
              </w:rPr>
              <w:t>Period</w:t>
            </w:r>
          </w:p>
        </w:tc>
        <w:tc>
          <w:tcPr>
            <w:tcW w:w="956" w:type="pct"/>
            <w:tcBorders>
              <w:top w:val="single" w:sz="4" w:space="0" w:color="auto"/>
              <w:bottom w:val="single" w:sz="12" w:space="0" w:color="auto"/>
            </w:tcBorders>
            <w:shd w:val="clear" w:color="auto" w:fill="auto"/>
            <w:noWrap/>
            <w:vAlign w:val="bottom"/>
            <w:hideMark/>
          </w:tcPr>
          <w:p w:rsidR="00DF4367" w:rsidRPr="00006C56" w:rsidRDefault="00DF4367" w:rsidP="00006C56">
            <w:pPr>
              <w:suppressAutoHyphens w:val="0"/>
              <w:spacing w:before="80" w:after="80" w:line="200" w:lineRule="exact"/>
              <w:ind w:right="113"/>
              <w:jc w:val="right"/>
              <w:rPr>
                <w:i/>
                <w:sz w:val="16"/>
              </w:rPr>
            </w:pPr>
            <w:r w:rsidRPr="00006C56">
              <w:rPr>
                <w:i/>
                <w:sz w:val="16"/>
              </w:rPr>
              <w:t xml:space="preserve"> Coast </w:t>
            </w:r>
          </w:p>
        </w:tc>
        <w:tc>
          <w:tcPr>
            <w:tcW w:w="968" w:type="pct"/>
            <w:tcBorders>
              <w:top w:val="single" w:sz="4" w:space="0" w:color="auto"/>
              <w:bottom w:val="single" w:sz="12" w:space="0" w:color="auto"/>
            </w:tcBorders>
            <w:shd w:val="clear" w:color="auto" w:fill="auto"/>
            <w:noWrap/>
            <w:vAlign w:val="bottom"/>
            <w:hideMark/>
          </w:tcPr>
          <w:p w:rsidR="00DF4367" w:rsidRPr="00006C56" w:rsidRDefault="00DF4367" w:rsidP="00006C56">
            <w:pPr>
              <w:suppressAutoHyphens w:val="0"/>
              <w:spacing w:before="80" w:after="80" w:line="200" w:lineRule="exact"/>
              <w:ind w:right="113"/>
              <w:jc w:val="right"/>
              <w:rPr>
                <w:i/>
                <w:sz w:val="16"/>
              </w:rPr>
            </w:pPr>
            <w:r w:rsidRPr="00006C56">
              <w:rPr>
                <w:i/>
                <w:sz w:val="16"/>
              </w:rPr>
              <w:t>Sierra</w:t>
            </w:r>
          </w:p>
        </w:tc>
        <w:tc>
          <w:tcPr>
            <w:tcW w:w="1232" w:type="pct"/>
            <w:tcBorders>
              <w:top w:val="single" w:sz="4" w:space="0" w:color="auto"/>
              <w:bottom w:val="single" w:sz="12" w:space="0" w:color="auto"/>
            </w:tcBorders>
            <w:shd w:val="clear" w:color="auto" w:fill="auto"/>
            <w:vAlign w:val="bottom"/>
            <w:hideMark/>
          </w:tcPr>
          <w:p w:rsidR="00DF4367" w:rsidRPr="00006C56" w:rsidRDefault="00DF4367" w:rsidP="00006C56">
            <w:pPr>
              <w:suppressAutoHyphens w:val="0"/>
              <w:spacing w:before="80" w:after="80" w:line="200" w:lineRule="exact"/>
              <w:ind w:right="113"/>
              <w:jc w:val="right"/>
              <w:rPr>
                <w:i/>
                <w:sz w:val="16"/>
              </w:rPr>
            </w:pPr>
            <w:r w:rsidRPr="00006C56">
              <w:rPr>
                <w:i/>
                <w:sz w:val="16"/>
              </w:rPr>
              <w:t>Total</w:t>
            </w:r>
          </w:p>
        </w:tc>
      </w:tr>
      <w:tr w:rsidR="00DF4367" w:rsidRPr="00006C56" w:rsidTr="00006C56">
        <w:tc>
          <w:tcPr>
            <w:tcW w:w="984" w:type="pct"/>
            <w:tcBorders>
              <w:top w:val="single" w:sz="12" w:space="0" w:color="auto"/>
            </w:tcBorders>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Auditory</w:t>
            </w:r>
          </w:p>
        </w:tc>
        <w:tc>
          <w:tcPr>
            <w:tcW w:w="860" w:type="pct"/>
            <w:vMerge w:val="restart"/>
            <w:tcBorders>
              <w:top w:val="single" w:sz="12"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2016/2017</w:t>
            </w:r>
          </w:p>
        </w:tc>
        <w:tc>
          <w:tcPr>
            <w:tcW w:w="956" w:type="pct"/>
            <w:tcBorders>
              <w:top w:val="single" w:sz="12"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1 308</w:t>
            </w:r>
          </w:p>
        </w:tc>
        <w:tc>
          <w:tcPr>
            <w:tcW w:w="968" w:type="pct"/>
            <w:tcBorders>
              <w:top w:val="single" w:sz="12"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1 292</w:t>
            </w:r>
          </w:p>
        </w:tc>
        <w:tc>
          <w:tcPr>
            <w:tcW w:w="1232" w:type="pct"/>
            <w:tcBorders>
              <w:top w:val="single" w:sz="12"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2 600</w:t>
            </w:r>
          </w:p>
        </w:tc>
      </w:tr>
      <w:tr w:rsidR="00DF4367" w:rsidRPr="00006C56" w:rsidTr="00006C56">
        <w:tc>
          <w:tcPr>
            <w:tcW w:w="984" w:type="pct"/>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Physical</w:t>
            </w:r>
          </w:p>
        </w:tc>
        <w:tc>
          <w:tcPr>
            <w:tcW w:w="860" w:type="pct"/>
            <w:vMerge/>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2 395</w:t>
            </w:r>
          </w:p>
        </w:tc>
        <w:tc>
          <w:tcPr>
            <w:tcW w:w="968"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2 070</w:t>
            </w:r>
          </w:p>
        </w:tc>
        <w:tc>
          <w:tcPr>
            <w:tcW w:w="1232"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4 465</w:t>
            </w:r>
          </w:p>
        </w:tc>
      </w:tr>
      <w:tr w:rsidR="00DF4367" w:rsidRPr="00006C56" w:rsidTr="00006C56">
        <w:tc>
          <w:tcPr>
            <w:tcW w:w="984" w:type="pct"/>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Intellectual</w:t>
            </w:r>
          </w:p>
        </w:tc>
        <w:tc>
          <w:tcPr>
            <w:tcW w:w="860" w:type="pct"/>
            <w:vMerge/>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5 297</w:t>
            </w:r>
          </w:p>
        </w:tc>
        <w:tc>
          <w:tcPr>
            <w:tcW w:w="968"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5 749</w:t>
            </w:r>
          </w:p>
        </w:tc>
        <w:tc>
          <w:tcPr>
            <w:tcW w:w="1232"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11 046</w:t>
            </w:r>
          </w:p>
        </w:tc>
      </w:tr>
      <w:tr w:rsidR="00DF4367" w:rsidRPr="00006C56" w:rsidTr="00006C56">
        <w:tc>
          <w:tcPr>
            <w:tcW w:w="984" w:type="pct"/>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Psychosocial</w:t>
            </w:r>
          </w:p>
        </w:tc>
        <w:tc>
          <w:tcPr>
            <w:tcW w:w="860" w:type="pct"/>
            <w:vMerge/>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432 </w:t>
            </w:r>
          </w:p>
        </w:tc>
        <w:tc>
          <w:tcPr>
            <w:tcW w:w="968"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373 </w:t>
            </w:r>
          </w:p>
        </w:tc>
        <w:tc>
          <w:tcPr>
            <w:tcW w:w="1232"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805 </w:t>
            </w:r>
          </w:p>
        </w:tc>
      </w:tr>
      <w:tr w:rsidR="00DF4367" w:rsidRPr="00006C56" w:rsidTr="00006C56">
        <w:tc>
          <w:tcPr>
            <w:tcW w:w="984" w:type="pct"/>
            <w:tcBorders>
              <w:bottom w:val="single" w:sz="4" w:space="0" w:color="auto"/>
            </w:tcBorders>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Visual</w:t>
            </w:r>
          </w:p>
        </w:tc>
        <w:tc>
          <w:tcPr>
            <w:tcW w:w="860" w:type="pct"/>
            <w:vMerge/>
            <w:tcBorders>
              <w:bottom w:val="single" w:sz="4" w:space="0" w:color="auto"/>
            </w:tcBorders>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tcBorders>
              <w:bottom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573 </w:t>
            </w:r>
          </w:p>
        </w:tc>
        <w:tc>
          <w:tcPr>
            <w:tcW w:w="968" w:type="pct"/>
            <w:tcBorders>
              <w:bottom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631 </w:t>
            </w:r>
          </w:p>
        </w:tc>
        <w:tc>
          <w:tcPr>
            <w:tcW w:w="1232" w:type="pct"/>
            <w:tcBorders>
              <w:bottom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1 204</w:t>
            </w:r>
          </w:p>
        </w:tc>
      </w:tr>
      <w:tr w:rsidR="00DF4367" w:rsidRPr="00006C56" w:rsidTr="00006C56">
        <w:tc>
          <w:tcPr>
            <w:tcW w:w="984" w:type="pct"/>
            <w:tcBorders>
              <w:top w:val="single" w:sz="4" w:space="0" w:color="auto"/>
              <w:bottom w:val="single" w:sz="4" w:space="0" w:color="auto"/>
            </w:tcBorders>
            <w:shd w:val="clear" w:color="auto" w:fill="auto"/>
            <w:noWrap/>
            <w:hideMark/>
          </w:tcPr>
          <w:p w:rsidR="00DF4367" w:rsidRPr="00006C56" w:rsidRDefault="00DF4367" w:rsidP="00006C56">
            <w:pPr>
              <w:suppressAutoHyphens w:val="0"/>
              <w:spacing w:before="80" w:after="80" w:line="220" w:lineRule="exact"/>
              <w:ind w:left="283"/>
              <w:rPr>
                <w:b/>
                <w:sz w:val="18"/>
              </w:rPr>
            </w:pPr>
            <w:r w:rsidRPr="00006C56">
              <w:rPr>
                <w:b/>
                <w:sz w:val="18"/>
              </w:rPr>
              <w:t>Overall total</w:t>
            </w:r>
          </w:p>
        </w:tc>
        <w:tc>
          <w:tcPr>
            <w:tcW w:w="860" w:type="pct"/>
            <w:tcBorders>
              <w:top w:val="single" w:sz="4" w:space="0" w:color="auto"/>
              <w:bottom w:val="single" w:sz="4"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p>
        </w:tc>
        <w:tc>
          <w:tcPr>
            <w:tcW w:w="956" w:type="pct"/>
            <w:tcBorders>
              <w:top w:val="single" w:sz="4" w:space="0" w:color="auto"/>
              <w:bottom w:val="single" w:sz="4"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r w:rsidRPr="00006C56">
              <w:rPr>
                <w:b/>
                <w:sz w:val="18"/>
              </w:rPr>
              <w:t>10 005</w:t>
            </w:r>
          </w:p>
        </w:tc>
        <w:tc>
          <w:tcPr>
            <w:tcW w:w="968" w:type="pct"/>
            <w:tcBorders>
              <w:top w:val="single" w:sz="4" w:space="0" w:color="auto"/>
              <w:bottom w:val="single" w:sz="4"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r w:rsidRPr="00006C56">
              <w:rPr>
                <w:b/>
                <w:sz w:val="18"/>
              </w:rPr>
              <w:t>10 115</w:t>
            </w:r>
          </w:p>
        </w:tc>
        <w:tc>
          <w:tcPr>
            <w:tcW w:w="1232" w:type="pct"/>
            <w:tcBorders>
              <w:top w:val="single" w:sz="4" w:space="0" w:color="auto"/>
              <w:bottom w:val="single" w:sz="4"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r w:rsidRPr="00006C56">
              <w:rPr>
                <w:b/>
                <w:sz w:val="18"/>
              </w:rPr>
              <w:t>20 120</w:t>
            </w:r>
          </w:p>
        </w:tc>
      </w:tr>
      <w:tr w:rsidR="00DF4367" w:rsidRPr="00006C56" w:rsidTr="00006C56">
        <w:tc>
          <w:tcPr>
            <w:tcW w:w="984" w:type="pct"/>
            <w:tcBorders>
              <w:top w:val="single" w:sz="4" w:space="0" w:color="auto"/>
            </w:tcBorders>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Auditory</w:t>
            </w:r>
          </w:p>
        </w:tc>
        <w:tc>
          <w:tcPr>
            <w:tcW w:w="860" w:type="pct"/>
            <w:vMerge w:val="restart"/>
            <w:tcBorders>
              <w:top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2017/2018</w:t>
            </w:r>
          </w:p>
        </w:tc>
        <w:tc>
          <w:tcPr>
            <w:tcW w:w="956" w:type="pct"/>
            <w:tcBorders>
              <w:top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1 254</w:t>
            </w:r>
          </w:p>
        </w:tc>
        <w:tc>
          <w:tcPr>
            <w:tcW w:w="968" w:type="pct"/>
            <w:tcBorders>
              <w:top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1 225</w:t>
            </w:r>
          </w:p>
        </w:tc>
        <w:tc>
          <w:tcPr>
            <w:tcW w:w="1232" w:type="pct"/>
            <w:tcBorders>
              <w:top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2 479</w:t>
            </w:r>
          </w:p>
        </w:tc>
      </w:tr>
      <w:tr w:rsidR="00DF4367" w:rsidRPr="00006C56" w:rsidTr="00006C56">
        <w:tc>
          <w:tcPr>
            <w:tcW w:w="984" w:type="pct"/>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Physical</w:t>
            </w:r>
          </w:p>
        </w:tc>
        <w:tc>
          <w:tcPr>
            <w:tcW w:w="860" w:type="pct"/>
            <w:vMerge/>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2 590</w:t>
            </w:r>
          </w:p>
        </w:tc>
        <w:tc>
          <w:tcPr>
            <w:tcW w:w="968"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1 968</w:t>
            </w:r>
          </w:p>
        </w:tc>
        <w:tc>
          <w:tcPr>
            <w:tcW w:w="1232"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4 558</w:t>
            </w:r>
          </w:p>
        </w:tc>
      </w:tr>
      <w:tr w:rsidR="00DF4367" w:rsidRPr="00006C56" w:rsidTr="00006C56">
        <w:tc>
          <w:tcPr>
            <w:tcW w:w="984" w:type="pct"/>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Intellectual</w:t>
            </w:r>
          </w:p>
        </w:tc>
        <w:tc>
          <w:tcPr>
            <w:tcW w:w="860" w:type="pct"/>
            <w:vMerge/>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5 896</w:t>
            </w:r>
          </w:p>
        </w:tc>
        <w:tc>
          <w:tcPr>
            <w:tcW w:w="968"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5 718</w:t>
            </w:r>
          </w:p>
        </w:tc>
        <w:tc>
          <w:tcPr>
            <w:tcW w:w="1232"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11 614</w:t>
            </w:r>
          </w:p>
        </w:tc>
      </w:tr>
      <w:tr w:rsidR="00DF4367" w:rsidRPr="00006C56" w:rsidTr="00006C56">
        <w:tc>
          <w:tcPr>
            <w:tcW w:w="984" w:type="pct"/>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Psychosocial</w:t>
            </w:r>
          </w:p>
        </w:tc>
        <w:tc>
          <w:tcPr>
            <w:tcW w:w="860" w:type="pct"/>
            <w:vMerge/>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518 </w:t>
            </w:r>
          </w:p>
        </w:tc>
        <w:tc>
          <w:tcPr>
            <w:tcW w:w="968"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420 </w:t>
            </w:r>
          </w:p>
        </w:tc>
        <w:tc>
          <w:tcPr>
            <w:tcW w:w="1232"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938 </w:t>
            </w:r>
          </w:p>
        </w:tc>
      </w:tr>
      <w:tr w:rsidR="00DF4367" w:rsidRPr="00006C56" w:rsidTr="00006C56">
        <w:tc>
          <w:tcPr>
            <w:tcW w:w="984" w:type="pct"/>
            <w:tcBorders>
              <w:bottom w:val="single" w:sz="4" w:space="0" w:color="auto"/>
            </w:tcBorders>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Visual</w:t>
            </w:r>
          </w:p>
        </w:tc>
        <w:tc>
          <w:tcPr>
            <w:tcW w:w="860" w:type="pct"/>
            <w:vMerge/>
            <w:tcBorders>
              <w:bottom w:val="single" w:sz="4" w:space="0" w:color="auto"/>
            </w:tcBorders>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tcBorders>
              <w:bottom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472 </w:t>
            </w:r>
          </w:p>
        </w:tc>
        <w:tc>
          <w:tcPr>
            <w:tcW w:w="968" w:type="pct"/>
            <w:tcBorders>
              <w:bottom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554 </w:t>
            </w:r>
          </w:p>
        </w:tc>
        <w:tc>
          <w:tcPr>
            <w:tcW w:w="1232" w:type="pct"/>
            <w:tcBorders>
              <w:bottom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1 026</w:t>
            </w:r>
          </w:p>
        </w:tc>
      </w:tr>
      <w:tr w:rsidR="00DF4367" w:rsidRPr="00006C56" w:rsidTr="00006C56">
        <w:tc>
          <w:tcPr>
            <w:tcW w:w="984" w:type="pct"/>
            <w:tcBorders>
              <w:top w:val="single" w:sz="4" w:space="0" w:color="auto"/>
              <w:bottom w:val="single" w:sz="4" w:space="0" w:color="auto"/>
            </w:tcBorders>
            <w:shd w:val="clear" w:color="auto" w:fill="auto"/>
            <w:noWrap/>
            <w:hideMark/>
          </w:tcPr>
          <w:p w:rsidR="00DF4367" w:rsidRPr="00006C56" w:rsidRDefault="00DF4367" w:rsidP="00006C56">
            <w:pPr>
              <w:suppressAutoHyphens w:val="0"/>
              <w:spacing w:before="80" w:after="80" w:line="220" w:lineRule="exact"/>
              <w:ind w:left="283"/>
              <w:rPr>
                <w:b/>
                <w:sz w:val="18"/>
              </w:rPr>
            </w:pPr>
            <w:r w:rsidRPr="00006C56">
              <w:rPr>
                <w:b/>
                <w:sz w:val="18"/>
              </w:rPr>
              <w:t>Overall total</w:t>
            </w:r>
          </w:p>
        </w:tc>
        <w:tc>
          <w:tcPr>
            <w:tcW w:w="860" w:type="pct"/>
            <w:tcBorders>
              <w:top w:val="single" w:sz="4" w:space="0" w:color="auto"/>
              <w:bottom w:val="single" w:sz="4"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p>
        </w:tc>
        <w:tc>
          <w:tcPr>
            <w:tcW w:w="956" w:type="pct"/>
            <w:tcBorders>
              <w:top w:val="single" w:sz="4" w:space="0" w:color="auto"/>
              <w:bottom w:val="single" w:sz="4"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r w:rsidRPr="00006C56">
              <w:rPr>
                <w:b/>
                <w:sz w:val="18"/>
              </w:rPr>
              <w:t>10 730</w:t>
            </w:r>
          </w:p>
        </w:tc>
        <w:tc>
          <w:tcPr>
            <w:tcW w:w="968" w:type="pct"/>
            <w:tcBorders>
              <w:top w:val="single" w:sz="4" w:space="0" w:color="auto"/>
              <w:bottom w:val="single" w:sz="4"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r w:rsidRPr="00006C56">
              <w:rPr>
                <w:b/>
                <w:sz w:val="18"/>
              </w:rPr>
              <w:t>9 885</w:t>
            </w:r>
          </w:p>
        </w:tc>
        <w:tc>
          <w:tcPr>
            <w:tcW w:w="1232" w:type="pct"/>
            <w:tcBorders>
              <w:top w:val="single" w:sz="4" w:space="0" w:color="auto"/>
              <w:bottom w:val="single" w:sz="4"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r w:rsidRPr="00006C56">
              <w:rPr>
                <w:b/>
                <w:sz w:val="18"/>
              </w:rPr>
              <w:t>20 615</w:t>
            </w:r>
          </w:p>
        </w:tc>
      </w:tr>
      <w:tr w:rsidR="00DF4367" w:rsidRPr="00006C56" w:rsidTr="00006C56">
        <w:tc>
          <w:tcPr>
            <w:tcW w:w="984" w:type="pct"/>
            <w:tcBorders>
              <w:top w:val="single" w:sz="4" w:space="0" w:color="auto"/>
            </w:tcBorders>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Auditory</w:t>
            </w:r>
          </w:p>
        </w:tc>
        <w:tc>
          <w:tcPr>
            <w:tcW w:w="860" w:type="pct"/>
            <w:vMerge w:val="restart"/>
            <w:tcBorders>
              <w:top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2018/2019</w:t>
            </w:r>
          </w:p>
        </w:tc>
        <w:tc>
          <w:tcPr>
            <w:tcW w:w="956" w:type="pct"/>
            <w:tcBorders>
              <w:top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2 748</w:t>
            </w:r>
          </w:p>
        </w:tc>
        <w:tc>
          <w:tcPr>
            <w:tcW w:w="968" w:type="pct"/>
            <w:tcBorders>
              <w:top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2 403</w:t>
            </w:r>
          </w:p>
        </w:tc>
        <w:tc>
          <w:tcPr>
            <w:tcW w:w="1232" w:type="pct"/>
            <w:tcBorders>
              <w:top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5 151</w:t>
            </w:r>
          </w:p>
        </w:tc>
      </w:tr>
      <w:tr w:rsidR="00DF4367" w:rsidRPr="00006C56" w:rsidTr="00006C56">
        <w:tc>
          <w:tcPr>
            <w:tcW w:w="984" w:type="pct"/>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Physical</w:t>
            </w:r>
          </w:p>
        </w:tc>
        <w:tc>
          <w:tcPr>
            <w:tcW w:w="860" w:type="pct"/>
            <w:vMerge/>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7 244</w:t>
            </w:r>
          </w:p>
        </w:tc>
        <w:tc>
          <w:tcPr>
            <w:tcW w:w="968"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5 223</w:t>
            </w:r>
          </w:p>
        </w:tc>
        <w:tc>
          <w:tcPr>
            <w:tcW w:w="1232"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12 467</w:t>
            </w:r>
          </w:p>
        </w:tc>
      </w:tr>
      <w:tr w:rsidR="00DF4367" w:rsidRPr="00006C56" w:rsidTr="00006C56">
        <w:tc>
          <w:tcPr>
            <w:tcW w:w="984" w:type="pct"/>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Intellectual</w:t>
            </w:r>
          </w:p>
        </w:tc>
        <w:tc>
          <w:tcPr>
            <w:tcW w:w="860" w:type="pct"/>
            <w:vMerge/>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12 513</w:t>
            </w:r>
          </w:p>
        </w:tc>
        <w:tc>
          <w:tcPr>
            <w:tcW w:w="968"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10 742</w:t>
            </w:r>
          </w:p>
        </w:tc>
        <w:tc>
          <w:tcPr>
            <w:tcW w:w="1232"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23 255</w:t>
            </w:r>
          </w:p>
        </w:tc>
      </w:tr>
      <w:tr w:rsidR="00DF4367" w:rsidRPr="00006C56" w:rsidTr="00006C56">
        <w:tc>
          <w:tcPr>
            <w:tcW w:w="984" w:type="pct"/>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Psychosocial</w:t>
            </w:r>
          </w:p>
        </w:tc>
        <w:tc>
          <w:tcPr>
            <w:tcW w:w="860" w:type="pct"/>
            <w:vMerge/>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1 362</w:t>
            </w:r>
          </w:p>
        </w:tc>
        <w:tc>
          <w:tcPr>
            <w:tcW w:w="968"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 xml:space="preserve"> 975 </w:t>
            </w:r>
          </w:p>
        </w:tc>
        <w:tc>
          <w:tcPr>
            <w:tcW w:w="1232" w:type="pct"/>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2 337</w:t>
            </w:r>
          </w:p>
        </w:tc>
      </w:tr>
      <w:tr w:rsidR="00DF4367" w:rsidRPr="00006C56" w:rsidTr="00006C56">
        <w:tc>
          <w:tcPr>
            <w:tcW w:w="984" w:type="pct"/>
            <w:tcBorders>
              <w:bottom w:val="single" w:sz="4" w:space="0" w:color="auto"/>
            </w:tcBorders>
            <w:shd w:val="clear" w:color="auto" w:fill="auto"/>
            <w:noWrap/>
            <w:hideMark/>
          </w:tcPr>
          <w:p w:rsidR="00DF4367" w:rsidRPr="00006C56" w:rsidRDefault="00DF4367" w:rsidP="00006C56">
            <w:pPr>
              <w:suppressAutoHyphens w:val="0"/>
              <w:spacing w:before="40" w:after="40" w:line="220" w:lineRule="exact"/>
              <w:ind w:right="113"/>
              <w:rPr>
                <w:sz w:val="18"/>
              </w:rPr>
            </w:pPr>
            <w:r w:rsidRPr="00006C56">
              <w:rPr>
                <w:sz w:val="18"/>
              </w:rPr>
              <w:t>Visual</w:t>
            </w:r>
          </w:p>
        </w:tc>
        <w:tc>
          <w:tcPr>
            <w:tcW w:w="860" w:type="pct"/>
            <w:vMerge/>
            <w:tcBorders>
              <w:bottom w:val="single" w:sz="4" w:space="0" w:color="auto"/>
            </w:tcBorders>
            <w:shd w:val="clear" w:color="auto" w:fill="auto"/>
            <w:vAlign w:val="bottom"/>
            <w:hideMark/>
          </w:tcPr>
          <w:p w:rsidR="00DF4367" w:rsidRPr="00006C56" w:rsidRDefault="00DF4367" w:rsidP="00006C56">
            <w:pPr>
              <w:suppressAutoHyphens w:val="0"/>
              <w:spacing w:before="40" w:after="40" w:line="220" w:lineRule="exact"/>
              <w:ind w:right="113"/>
              <w:jc w:val="right"/>
              <w:rPr>
                <w:sz w:val="18"/>
              </w:rPr>
            </w:pPr>
          </w:p>
        </w:tc>
        <w:tc>
          <w:tcPr>
            <w:tcW w:w="956" w:type="pct"/>
            <w:tcBorders>
              <w:bottom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1 540</w:t>
            </w:r>
          </w:p>
        </w:tc>
        <w:tc>
          <w:tcPr>
            <w:tcW w:w="968" w:type="pct"/>
            <w:tcBorders>
              <w:bottom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1 359</w:t>
            </w:r>
          </w:p>
        </w:tc>
        <w:tc>
          <w:tcPr>
            <w:tcW w:w="1232" w:type="pct"/>
            <w:tcBorders>
              <w:bottom w:val="single" w:sz="4" w:space="0" w:color="auto"/>
            </w:tcBorders>
            <w:shd w:val="clear" w:color="auto" w:fill="auto"/>
            <w:noWrap/>
            <w:vAlign w:val="bottom"/>
            <w:hideMark/>
          </w:tcPr>
          <w:p w:rsidR="00DF4367" w:rsidRPr="00006C56" w:rsidRDefault="00DF4367" w:rsidP="00006C56">
            <w:pPr>
              <w:suppressAutoHyphens w:val="0"/>
              <w:spacing w:before="40" w:after="40" w:line="220" w:lineRule="exact"/>
              <w:ind w:right="113"/>
              <w:jc w:val="right"/>
              <w:rPr>
                <w:sz w:val="18"/>
              </w:rPr>
            </w:pPr>
            <w:r w:rsidRPr="00006C56">
              <w:rPr>
                <w:sz w:val="18"/>
              </w:rPr>
              <w:t>2 899</w:t>
            </w:r>
          </w:p>
        </w:tc>
      </w:tr>
      <w:tr w:rsidR="00DF4367" w:rsidRPr="00006C56" w:rsidTr="00006C56">
        <w:tc>
          <w:tcPr>
            <w:tcW w:w="984" w:type="pct"/>
            <w:tcBorders>
              <w:top w:val="single" w:sz="4" w:space="0" w:color="auto"/>
              <w:bottom w:val="single" w:sz="12" w:space="0" w:color="auto"/>
            </w:tcBorders>
            <w:shd w:val="clear" w:color="auto" w:fill="auto"/>
            <w:noWrap/>
            <w:hideMark/>
          </w:tcPr>
          <w:p w:rsidR="00DF4367" w:rsidRPr="00006C56" w:rsidRDefault="00DF4367" w:rsidP="00006C56">
            <w:pPr>
              <w:suppressAutoHyphens w:val="0"/>
              <w:spacing w:before="80" w:after="80" w:line="220" w:lineRule="exact"/>
              <w:ind w:left="283"/>
              <w:rPr>
                <w:b/>
                <w:sz w:val="18"/>
              </w:rPr>
            </w:pPr>
            <w:r w:rsidRPr="00006C56">
              <w:rPr>
                <w:b/>
                <w:sz w:val="18"/>
              </w:rPr>
              <w:t>Overall total</w:t>
            </w:r>
          </w:p>
        </w:tc>
        <w:tc>
          <w:tcPr>
            <w:tcW w:w="860" w:type="pct"/>
            <w:tcBorders>
              <w:top w:val="single" w:sz="4" w:space="0" w:color="auto"/>
              <w:bottom w:val="single" w:sz="12"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p>
        </w:tc>
        <w:tc>
          <w:tcPr>
            <w:tcW w:w="956" w:type="pct"/>
            <w:tcBorders>
              <w:top w:val="single" w:sz="4" w:space="0" w:color="auto"/>
              <w:bottom w:val="single" w:sz="12"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r w:rsidRPr="00006C56">
              <w:rPr>
                <w:b/>
                <w:sz w:val="18"/>
              </w:rPr>
              <w:t>25 407</w:t>
            </w:r>
          </w:p>
        </w:tc>
        <w:tc>
          <w:tcPr>
            <w:tcW w:w="968" w:type="pct"/>
            <w:tcBorders>
              <w:top w:val="single" w:sz="4" w:space="0" w:color="auto"/>
              <w:bottom w:val="single" w:sz="12"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r w:rsidRPr="00006C56">
              <w:rPr>
                <w:b/>
                <w:sz w:val="18"/>
              </w:rPr>
              <w:t>20 702</w:t>
            </w:r>
          </w:p>
        </w:tc>
        <w:tc>
          <w:tcPr>
            <w:tcW w:w="1232" w:type="pct"/>
            <w:tcBorders>
              <w:top w:val="single" w:sz="4" w:space="0" w:color="auto"/>
              <w:bottom w:val="single" w:sz="12" w:space="0" w:color="auto"/>
            </w:tcBorders>
            <w:shd w:val="clear" w:color="auto" w:fill="auto"/>
            <w:noWrap/>
            <w:vAlign w:val="bottom"/>
            <w:hideMark/>
          </w:tcPr>
          <w:p w:rsidR="00DF4367" w:rsidRPr="00006C56" w:rsidRDefault="00DF4367" w:rsidP="00006C56">
            <w:pPr>
              <w:suppressAutoHyphens w:val="0"/>
              <w:spacing w:before="80" w:after="80" w:line="220" w:lineRule="exact"/>
              <w:ind w:right="113"/>
              <w:jc w:val="right"/>
              <w:rPr>
                <w:b/>
                <w:sz w:val="18"/>
              </w:rPr>
            </w:pPr>
            <w:r w:rsidRPr="00006C56">
              <w:rPr>
                <w:b/>
                <w:sz w:val="18"/>
              </w:rPr>
              <w:t>46 109</w:t>
            </w:r>
          </w:p>
        </w:tc>
      </w:tr>
    </w:tbl>
    <w:p w:rsidR="00DF4367" w:rsidRPr="0021159C" w:rsidRDefault="00DF4367" w:rsidP="0021159C">
      <w:pPr>
        <w:spacing w:before="120"/>
        <w:ind w:left="1134" w:right="1134" w:firstLine="170"/>
        <w:rPr>
          <w:sz w:val="18"/>
        </w:rPr>
      </w:pPr>
      <w:bookmarkStart w:id="71" w:name="_op0m56pbnxkc" w:colFirst="0" w:colLast="0"/>
      <w:bookmarkStart w:id="72" w:name="_Toc17473170"/>
      <w:bookmarkStart w:id="73" w:name="_Toc17473238"/>
      <w:bookmarkStart w:id="74" w:name="_Toc17473871"/>
      <w:bookmarkEnd w:id="71"/>
      <w:r w:rsidRPr="0021159C">
        <w:rPr>
          <w:i/>
          <w:iCs/>
          <w:sz w:val="18"/>
        </w:rPr>
        <w:t>Source</w:t>
      </w:r>
      <w:r w:rsidRPr="0021159C">
        <w:rPr>
          <w:sz w:val="18"/>
        </w:rPr>
        <w:t>: National Council for Persons with Disabilities.</w:t>
      </w:r>
    </w:p>
    <w:p w:rsidR="00DF4367" w:rsidRPr="00E80C1B" w:rsidRDefault="00DF4367" w:rsidP="00006C56">
      <w:pPr>
        <w:pStyle w:val="H1G"/>
      </w:pPr>
      <w:r w:rsidRPr="00E80C1B">
        <w:tab/>
      </w:r>
      <w:r w:rsidRPr="00E80C1B">
        <w:tab/>
        <w:t>Reply to questions raised in paragraph 26 of the list of issues</w:t>
      </w:r>
    </w:p>
    <w:bookmarkEnd w:id="72"/>
    <w:bookmarkEnd w:id="73"/>
    <w:bookmarkEnd w:id="74"/>
    <w:p w:rsidR="00DF4367" w:rsidRPr="00E80C1B" w:rsidRDefault="00DF4367" w:rsidP="006A4331">
      <w:pPr>
        <w:pStyle w:val="SingleTxtG"/>
      </w:pPr>
      <w:r w:rsidRPr="00E80C1B">
        <w:t>95.</w:t>
      </w:r>
      <w:r w:rsidRPr="00E80C1B">
        <w:tab/>
        <w:t xml:space="preserve">An inter-institutional panel has begun work on a plan to safeguard the indigenous languages of Ecuador. These languages are: </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 xml:space="preserve">Teteté and Andoa (extinct) </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Siapedie and Zápara (critically endangered)</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Awapit, Siona-Secoya, Shiwiar and the Kichwa varieties spoken in Cañar, Azuay and Loja (severely endangered)</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Cha</w:t>
      </w:r>
      <w:r w:rsidR="00BB6C88">
        <w:t>’</w:t>
      </w:r>
      <w:r w:rsidR="00DF4367" w:rsidRPr="00E80C1B">
        <w:t>palaa, Tsa</w:t>
      </w:r>
      <w:r w:rsidR="00BB6C88">
        <w:t>’</w:t>
      </w:r>
      <w:r w:rsidR="00DF4367" w:rsidRPr="00E80C1B">
        <w:t>fiqui, A</w:t>
      </w:r>
      <w:r w:rsidR="00BB6C88">
        <w:t>’</w:t>
      </w:r>
      <w:r w:rsidR="00DF4367" w:rsidRPr="00E80C1B">
        <w:t>ingae, Shuar, Achuar and the Kichwa varieties spoken in the Amazon and the central and northern highlands (endangered)</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Wao Tededo (vulnerable).</w:t>
      </w:r>
    </w:p>
    <w:p w:rsidR="00DF4367" w:rsidRPr="00E80C1B" w:rsidRDefault="00DF4367" w:rsidP="006A4331">
      <w:pPr>
        <w:pStyle w:val="SingleTxtG"/>
      </w:pPr>
      <w:r w:rsidRPr="00E80C1B">
        <w:t>96.</w:t>
      </w:r>
      <w:r w:rsidRPr="00E80C1B">
        <w:tab/>
        <w:t xml:space="preserve">A proposal has been made to signpost roads in the territories where the 14 languages of Ecuador are spoken based on maps produced following the 2010 census. Actions proposed for this purpose include: </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Design of signage</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Management of resources for the installation of signage</w:t>
      </w:r>
    </w:p>
    <w:p w:rsidR="00DF4367" w:rsidRPr="00E80C1B" w:rsidRDefault="00245093" w:rsidP="00245093">
      <w:pPr>
        <w:pStyle w:val="Bullet1G"/>
        <w:numPr>
          <w:ilvl w:val="0"/>
          <w:numId w:val="0"/>
        </w:numPr>
        <w:tabs>
          <w:tab w:val="left" w:pos="1701"/>
        </w:tabs>
        <w:ind w:left="1701" w:hanging="170"/>
      </w:pPr>
      <w:r w:rsidRPr="00E80C1B">
        <w:lastRenderedPageBreak/>
        <w:t>•</w:t>
      </w:r>
      <w:r w:rsidRPr="00E80C1B">
        <w:tab/>
      </w:r>
      <w:r w:rsidR="00DF4367" w:rsidRPr="00E80C1B">
        <w:t>A programme of events for the unveiling of signage in the territories</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An event to mark the conclusion of the International Year of Indigenous Languages.</w:t>
      </w:r>
    </w:p>
    <w:p w:rsidR="00DF4367" w:rsidRPr="00E80C1B" w:rsidRDefault="00DF4367" w:rsidP="006A4331">
      <w:pPr>
        <w:pStyle w:val="SingleTxtG"/>
      </w:pPr>
      <w:r w:rsidRPr="00E80C1B">
        <w:t>97.</w:t>
      </w:r>
      <w:r w:rsidRPr="00E80C1B">
        <w:tab/>
        <w:t xml:space="preserve">It has also been proposed that tourist attractions and tourism websites provide information about the 14 languages spoken in Ecuador and that an e-book be published on the creation myths of the peoples and nations of Ecuador, both in Spanish and in the corresponding indigenous language. </w:t>
      </w:r>
    </w:p>
    <w:p w:rsidR="00DF4367" w:rsidRPr="00E80C1B" w:rsidRDefault="00DF4367" w:rsidP="0021159C">
      <w:pPr>
        <w:pStyle w:val="H1G"/>
      </w:pPr>
      <w:bookmarkStart w:id="75" w:name="_Toc17473171"/>
      <w:bookmarkStart w:id="76" w:name="_Toc17473239"/>
      <w:bookmarkStart w:id="77" w:name="_Toc17473872"/>
      <w:r w:rsidRPr="00E80C1B">
        <w:tab/>
      </w:r>
      <w:r w:rsidRPr="00E80C1B">
        <w:tab/>
        <w:t>Reply to questions raised in paragraph 27 of the list of issues</w:t>
      </w:r>
    </w:p>
    <w:bookmarkEnd w:id="75"/>
    <w:bookmarkEnd w:id="76"/>
    <w:bookmarkEnd w:id="77"/>
    <w:p w:rsidR="00DF4367" w:rsidRPr="00E80C1B" w:rsidRDefault="00DF4367" w:rsidP="006A4331">
      <w:pPr>
        <w:pStyle w:val="SingleTxtG"/>
      </w:pPr>
      <w:r w:rsidRPr="00E80C1B">
        <w:t>98.</w:t>
      </w:r>
      <w:r w:rsidRPr="00E80C1B">
        <w:tab/>
        <w:t>The impact of the Telecommunications Act is reflected in the following advances:</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Fixed-line Internet: the number of accounts increased by 503,292 between 2015 and 2019</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Mobile Internet: the number of accounts increased by 3,460,257 between 2015 and 2019</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Advanced mobile service: the number of active lines increased by 2,098,041 between 2015 and 2019</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 xml:space="preserve">In 2018, mobile coverage with 2G or 3G technology stood at 94.65 per cent, for an increase of 6.95 per cent since 2016 </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Mobile coverage with 4G technology or higher increased by 18.7 per cent between 2015 and 2019.</w:t>
      </w:r>
      <w:r w:rsidR="00DF4367" w:rsidRPr="00EF3BB8">
        <w:rPr>
          <w:rStyle w:val="FootnoteReference"/>
        </w:rPr>
        <w:footnoteReference w:id="9"/>
      </w:r>
      <w:r w:rsidR="00DF4367" w:rsidRPr="00E80C1B">
        <w:t xml:space="preserve"> </w:t>
      </w:r>
    </w:p>
    <w:p w:rsidR="00DF4367" w:rsidRPr="00E80C1B" w:rsidRDefault="00DF4367" w:rsidP="006A4331">
      <w:pPr>
        <w:pStyle w:val="SingleTxtG"/>
      </w:pPr>
      <w:r w:rsidRPr="00E80C1B">
        <w:t>99.</w:t>
      </w:r>
      <w:r w:rsidRPr="00E80C1B">
        <w:tab/>
        <w:t xml:space="preserve">As part of the Community Infocentres Project, which is helping to bridge the digital illiteracy gap: </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A total of 877 infocentres have been established in the country</w:t>
      </w:r>
      <w:r w:rsidR="00BB6C88">
        <w:t>’</w:t>
      </w:r>
      <w:r w:rsidR="00DF4367" w:rsidRPr="00E80C1B">
        <w:t>s 24 provinces (most of them in rural and marginal urban areas)</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A total of 6,000 training events dealing with topics related to information and communications technologies have been carried out.</w:t>
      </w:r>
    </w:p>
    <w:p w:rsidR="00DF4367" w:rsidRPr="00E80C1B" w:rsidRDefault="00DF4367" w:rsidP="00600385">
      <w:pPr>
        <w:pStyle w:val="SingleTxtG"/>
      </w:pPr>
      <w:r w:rsidRPr="00E80C1B">
        <w:t>100.</w:t>
      </w:r>
      <w:r w:rsidRPr="00E80C1B">
        <w:tab/>
        <w:t xml:space="preserve">The following progress has been made in narrowing the digital divide: </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A 23 per cent overall reduction in digital illiteracy. The digital illiteracy rate fell from 56.7 per cent to 26 per cent among persons in the poorest income quintile, from 52.3 per cent to 21.2 per cent in rural areas, from 40.4 per cent to 13.58 per cent among Afro-Ecuadorians and from 55.2 per cent to 29.8 per cent among the indigenous population.</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The proportion of households with Internet access increased from 7.65 per cent in 2009 to 37.20 per cent in 2017.</w:t>
      </w:r>
    </w:p>
    <w:p w:rsidR="00DF4367" w:rsidRPr="00E80C1B" w:rsidRDefault="00245093" w:rsidP="00245093">
      <w:pPr>
        <w:pStyle w:val="Bullet1G"/>
        <w:numPr>
          <w:ilvl w:val="0"/>
          <w:numId w:val="0"/>
        </w:numPr>
        <w:tabs>
          <w:tab w:val="left" w:pos="1701"/>
        </w:tabs>
        <w:ind w:left="1701" w:hanging="170"/>
      </w:pPr>
      <w:r w:rsidRPr="00E80C1B">
        <w:t>•</w:t>
      </w:r>
      <w:r w:rsidRPr="00E80C1B">
        <w:tab/>
      </w:r>
      <w:r w:rsidR="00DF4367" w:rsidRPr="00E80C1B">
        <w:t>The proportion of households with a computer increased from 26.97 per cent in 2010 to 40.73 per cent in 2017.</w:t>
      </w:r>
    </w:p>
    <w:p w:rsidR="00DF4367" w:rsidRDefault="00245093" w:rsidP="00245093">
      <w:pPr>
        <w:pStyle w:val="Bullet1G"/>
        <w:numPr>
          <w:ilvl w:val="0"/>
          <w:numId w:val="0"/>
        </w:numPr>
        <w:tabs>
          <w:tab w:val="left" w:pos="1701"/>
        </w:tabs>
        <w:ind w:left="1701" w:hanging="170"/>
      </w:pPr>
      <w:r>
        <w:t>•</w:t>
      </w:r>
      <w:r>
        <w:tab/>
      </w:r>
      <w:r w:rsidR="00DF4367" w:rsidRPr="00E80C1B">
        <w:t>The proportion of the population with mobile telephones increased from 40.2 per cent in 2009 to 59.6 per cent in 2017.</w:t>
      </w:r>
      <w:r w:rsidR="00DF4367" w:rsidRPr="00EF3BB8">
        <w:rPr>
          <w:rStyle w:val="FootnoteReference"/>
        </w:rPr>
        <w:footnoteReference w:id="10"/>
      </w:r>
    </w:p>
    <w:p w:rsidR="00DF4367" w:rsidRPr="00E80C1B" w:rsidRDefault="00DF4367" w:rsidP="00DF4367">
      <w:pPr>
        <w:spacing w:before="240"/>
        <w:jc w:val="center"/>
      </w:pPr>
      <w:r>
        <w:rPr>
          <w:u w:val="single"/>
        </w:rPr>
        <w:tab/>
      </w:r>
      <w:r>
        <w:rPr>
          <w:u w:val="single"/>
        </w:rPr>
        <w:tab/>
      </w:r>
      <w:r>
        <w:rPr>
          <w:u w:val="single"/>
        </w:rPr>
        <w:tab/>
      </w:r>
    </w:p>
    <w:sectPr w:rsidR="00DF4367" w:rsidRPr="00E80C1B" w:rsidSect="00907037">
      <w:headerReference w:type="even" r:id="rId47"/>
      <w:headerReference w:type="default" r:id="rId48"/>
      <w:footerReference w:type="even" r:id="rId49"/>
      <w:footerReference w:type="default" r:id="rId50"/>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C6" w:rsidRPr="00FB1744" w:rsidRDefault="004558C6" w:rsidP="00FB1744">
      <w:pPr>
        <w:pStyle w:val="Footer"/>
      </w:pPr>
    </w:p>
  </w:endnote>
  <w:endnote w:type="continuationSeparator" w:id="0">
    <w:p w:rsidR="004558C6" w:rsidRPr="00FB1744" w:rsidRDefault="004558C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245093">
      <w:rPr>
        <w:b/>
        <w:bCs/>
        <w:noProof/>
        <w:sz w:val="18"/>
      </w:rPr>
      <w:t>2</w:t>
    </w:r>
    <w:r w:rsidRPr="00586D12">
      <w:rPr>
        <w:b/>
        <w:bCs/>
        <w:sz w:val="18"/>
      </w:rPr>
      <w:fldChar w:fldCharType="end"/>
    </w:r>
    <w:r>
      <w:tab/>
      <w:t>GE.19-14871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8438F9" w:rsidRDefault="004558C6" w:rsidP="008438F9">
    <w:pPr>
      <w:pStyle w:val="Footer"/>
    </w:pPr>
    <w:r>
      <w:rPr>
        <w:noProof/>
        <w:lang w:val="en-US"/>
      </w:rPr>
      <mc:AlternateContent>
        <mc:Choice Requires="wps">
          <w:drawing>
            <wp:anchor distT="0" distB="0" distL="114300" distR="114300" simplePos="0" relativeHeight="251662336"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8438F9">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16</w:t>
                          </w:r>
                          <w:r w:rsidRPr="00586D12">
                            <w:rPr>
                              <w:b/>
                              <w:bCs/>
                              <w:sz w:val="18"/>
                            </w:rPr>
                            <w:fldChar w:fldCharType="end"/>
                          </w:r>
                          <w:r>
                            <w:tab/>
                            <w:t>GE.19-14871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21.8pt;margin-top:56.65pt;width:17.55pt;height: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zYBAMAAM8GAAAOAAAAZHJzL2Uyb0RvYy54bWzEVclu2zAQvRfoPxC8O1pqu5YQOXDiuihg&#10;JAGSIucxRVlCKJIl6SUt+u8dUpaz9ZAWBXqhh6PHWd4sPj3bt4JsubGNkgVNTmJKuGSqbOS6oF9v&#10;F4MJJdaBLEEoyQv6wC09m75/d7rTOU9VrUTJDUEj0uY7XdDaOZ1HkWU1b8GeKM0lfqyUacHh1ayj&#10;0sAOrbciSuN4HO2UKbVRjFuL2nn3kU6D/arizF1VleWOiIJibC6cJpwrf0bTU8jXBnTdsEMY8BdR&#10;tNBIdHo0NQcHZGOaV6bahhllVeVOmGojVVUN4yEHzCaJX2RzU4PmIRckx+ojTfbfmWWX22tDmhJr&#10;94ESCS3W6JbvHTlXe4Iq5GenbY6wG41At0c9YkOuVi8Vu7cIiZ5gugcW0Z6PfWVa/4uZEnyIJXg4&#10;0u7dMFSmaTqZjChh+GmcjLJRHOoSPb7WxrrPXLXECwU1WNYQAWyX1nn/kPcQ78wq0ZSLRohw8a3E&#10;L4QhW8AmAMa4dF0CIHQNnbr3GBrPo4PRZ4aEJLuCZqPUhwrYq5UAh2KrkT0r15SAWOMQMGdCcFL5&#10;EEKD+eDmYOvOV7DadZ5RG1kGSM2h/CRL4h40lkDisFDvruUlJYKjWS8FpINGvAWJpAjpGUCekaaD&#10;1HXljyxJh/F5mg0W48nHwXAxHA2yj/FkECfZeTaOh9lwvvjp00iGed2UJZfLRvJ+QpLh2zrwMKtd&#10;b4cZ+TMKn/HvSTyWcSWA3Xs+MMtXqP9A9TOaQlTIev8b2A8z0o2Fnxa3X+27uQut51UrVT7gjBmF&#10;LY6DYjVbNJjzEqy7BoNrCZW4at0VHpVQ2B3qIFFSK/P9d3qPL6g/sZ1wzWGnftuAweYSXyTuEb8T&#10;e8H0wqoX5Ka9UDg0SYgmiPjAONGLlVHtHW7gmfeCn0AyjKSg6K0TL1y3bHGDMz6bBRBuPg1uKW80&#10;61eJr+3t/g6MPoy4Q/ouVb8AIX8x6R3Wt7RUs41TVRPWwCOLSL2/4NYMRThseL+Wn94D6vF/aPoL&#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wUQc2AQDAADP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rsidR="004558C6" w:rsidRDefault="004558C6" w:rsidP="008438F9">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16</w:t>
                    </w:r>
                    <w:r w:rsidRPr="00586D12">
                      <w:rPr>
                        <w:b/>
                        <w:bCs/>
                        <w:sz w:val="18"/>
                      </w:rPr>
                      <w:fldChar w:fldCharType="end"/>
                    </w:r>
                    <w:r>
                      <w:tab/>
                      <w:t>GE.19-14871</w:t>
                    </w:r>
                  </w:p>
                  <w:p w:rsidR="004558C6" w:rsidRDefault="004558C6"/>
                </w:txbxContent>
              </v:textbox>
              <w10:wrap anchorx="page" anchory="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15</w:t>
    </w:r>
    <w:r w:rsidRPr="00586D12">
      <w:rPr>
        <w:b/>
        <w:bCs/>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8438F9" w:rsidRDefault="004558C6" w:rsidP="008438F9">
    <w:pPr>
      <w:pStyle w:val="Footer"/>
    </w:pPr>
    <w:r>
      <w:rPr>
        <w:noProof/>
        <w:lang w:val="en-US"/>
      </w:rPr>
      <mc:AlternateContent>
        <mc:Choice Requires="wps">
          <w:drawing>
            <wp:anchor distT="0" distB="0" distL="114300" distR="114300" simplePos="0" relativeHeight="251660288"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8438F9">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Pr>
                              <w:b/>
                              <w:bCs/>
                              <w:sz w:val="18"/>
                            </w:rPr>
                            <w:t>17</w:t>
                          </w:r>
                          <w:r w:rsidRPr="00586D12">
                            <w:rPr>
                              <w:b/>
                              <w:bCs/>
                              <w:sz w:val="18"/>
                            </w:rPr>
                            <w:fldChar w:fldCharType="end"/>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21.8pt;margin-top:56.65pt;width:17.55pt;height: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ebBwMAAM8GAAAOAAAAZHJzL2Uyb0RvYy54bWzEVV1v0zAUfUfiP1h+75JG7dZWy9A+KEKq&#10;tkkb4vnWcZoIxza2u3Yg/jvHTjMY8AAIiRf3xjm5H+fee3r6at8p9iCdb40u+fgo50xqYapWb0r+&#10;7n45mnHmA+mKlNGy5I/S81dnL1+c7uxCFqYxqpKOwYn2i50teROCXWSZF43syB8ZKzVe1sZ1FPDo&#10;NlnlaAfvncqKPD/OdsZV1hkhvcftVf+SnyX/dS1FuKlrLwNTJUduIZ0unet4ZmentNg4sk0rDmnQ&#10;X2TRUasR9MnVFQViW9f+5KprhTPe1OFImC4zdd0KmWpANeP8h2ruGrIy1QJyvH2iyf87t+L64dax&#10;tkLvxpxp6tCje7kP7MLsGa7Az876BWB3FsCwxz2wqVZvV0Z88IBk32H6DzzQkY997br4i0oZPkQL&#10;Hp9oj2EELouimM2mnAm8Oh5P59M89SX79rV1PryRpmPRKLlDW1MG9LDyIcanxQCJwbxRbbVslUoP&#10;cZTkpXLsgTAEJITUoS+AlG2ovx4ipsGL6OT0mSOl2a7k82kRUyXMaq0owOws2PN6wxmpDZZABJeS&#10;0yamkAYsJndFvuljJa/95Dmz1VWCNJKq17pi4dGiBRrLwmO4TlacKQm30UrIQK36HSRIUToyAJ5B&#10;08Hqp/LzfFxM8otiPloez05Gk+VkOpqf5LNRPp5fzI/zyXxytfwSyxhPFk1bVVKvWi2HDRlPfm8C&#10;D7vaz3bakT+j8Bn/kcSnNq4ViQ+RD1T5E+o/UP2MppQVWB9+E/tpR/q1iNsS9ut9v3fFsGRrUz1i&#10;x5zBiGNRvBXLFjWvyIdbcpAlXEJqww2OWhlMhzlYnDXGffrVfcSXPJ4YJ8gcJvXjlhyGS73V0JGo&#10;iYPhBmM9GHrbXRosDaQB2SQTH7igBrN2pnsPBT6PUfCKtEAmJUe03rwMvdhCwYU8P08gKJ+lsNJ3&#10;VgxSEnt7v39Pzh5WPIC+azMIIC1+2PQeG0dam/NtMHWbZCAS27MI6uMDVDM14aDwUZa/f06ob/9D&#10;Z18BAAD//wMAUEsDBBQABgAIAAAAIQCECNlO4QAAAAoBAAAPAAAAZHJzL2Rvd25yZXYueG1sTI9N&#10;T8MwDIbvSPyHyEhcJpaOoq2UphNCQhwm8bFNGse08dqOxKmabCv/HnOCox+/ev24WI7OihMOofOk&#10;YDZNQCDV3nTUKNhunm8yECFqMtp6QgXfGGBZXl4UOjf+TB94WsdGcAmFXCtoY+xzKUPdotNh6nsk&#10;3u394HTkcWikGfSZy52Vt0kyl053xBda3eNTi/XX+ugUfK6sWSW7/fvr28smq9zkMHH3B6Wur8bH&#10;BxARx/gXhl99VoeSnSp/JBOEVXCXzjnJfJamIDiwyBYgKgZJxkSWhfz/QvkDAAD//wMAUEsBAi0A&#10;FAAGAAgAAAAhALaDOJL+AAAA4QEAABMAAAAAAAAAAAAAAAAAAAAAAFtDb250ZW50X1R5cGVzXS54&#10;bWxQSwECLQAUAAYACAAAACEAOP0h/9YAAACUAQAACwAAAAAAAAAAAAAAAAAvAQAAX3JlbHMvLnJl&#10;bHNQSwECLQAUAAYACAAAACEAZCk3mwcDAADPBgAADgAAAAAAAAAAAAAAAAAuAgAAZHJzL2Uyb0Rv&#10;Yy54bWxQSwECLQAUAAYACAAAACEAhAjZTuEAAAAKAQAADwAAAAAAAAAAAAAAAABhBQAAZHJzL2Rv&#10;d25yZXYueG1sUEsFBgAAAAAEAAQA8wAAAG8GAAAAAA==&#10;" fillcolor="#4f81bd [3204]" stroked="f">
              <v:fill opacity="0"/>
              <v:stroke joinstyle="round"/>
              <v:path arrowok="t"/>
              <v:textbox style="layout-flow:vertical" inset="0,0,0,0">
                <w:txbxContent>
                  <w:p w:rsidR="004558C6" w:rsidRDefault="004558C6" w:rsidP="008438F9">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Pr>
                        <w:b/>
                        <w:bCs/>
                        <w:sz w:val="18"/>
                      </w:rPr>
                      <w:t>17</w:t>
                    </w:r>
                    <w:r w:rsidRPr="00586D12">
                      <w:rPr>
                        <w:b/>
                        <w:bCs/>
                        <w:sz w:val="18"/>
                      </w:rPr>
                      <w:fldChar w:fldCharType="end"/>
                    </w:r>
                  </w:p>
                  <w:p w:rsidR="004558C6" w:rsidRDefault="004558C6"/>
                </w:txbxContent>
              </v:textbox>
              <w10:wrap anchorx="page" anchory="page"/>
              <w10:anchorlock/>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20</w:t>
    </w:r>
    <w:r w:rsidRPr="00586D12">
      <w:rPr>
        <w:b/>
        <w:bCs/>
        <w:sz w:val="18"/>
      </w:rPr>
      <w:fldChar w:fldCharType="end"/>
    </w:r>
    <w:r>
      <w:tab/>
      <w:t>GE.19-14871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E9126A">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21</w:t>
    </w:r>
    <w:r w:rsidRPr="00586D12">
      <w:rPr>
        <w:b/>
        <w:bCs/>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AC3441" w:rsidRDefault="004558C6" w:rsidP="00AC3441">
    <w:pPr>
      <w:pStyle w:val="Footer"/>
    </w:pPr>
    <w:r>
      <w:rPr>
        <w:noProof/>
        <w:lang w:val="en-US"/>
      </w:rPr>
      <mc:AlternateContent>
        <mc:Choice Requires="wps">
          <w:drawing>
            <wp:anchor distT="0" distB="0" distL="114300" distR="114300" simplePos="0" relativeHeight="251665408"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AC3441">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Pr>
                              <w:b/>
                              <w:bCs/>
                              <w:sz w:val="18"/>
                            </w:rPr>
                            <w:t>28</w:t>
                          </w:r>
                          <w:r w:rsidRPr="00586D12">
                            <w:rPr>
                              <w:b/>
                              <w:bCs/>
                              <w:sz w:val="18"/>
                            </w:rPr>
                            <w:fldChar w:fldCharType="end"/>
                          </w:r>
                          <w:r>
                            <w:tab/>
                            <w:t>GE.19-14871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42" type="#_x0000_t202" style="position:absolute;margin-left:21.8pt;margin-top:56.65pt;width:17.55pt;height:4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r9BAMAAM8GAAAOAAAAZHJzL2Uyb0RvYy54bWzEVVtv2jAUfp+0/2D5nSZBQEnUUNEypkmo&#10;rdROfT44Donq2J5tIN20/75jh9DbHrpp0l7M8cnnc/nOhbPzthFkx42tlcxpchJTwiVTRS03Of16&#10;txxMKbEOZAFCSZ7TR27p+ezjh7O9zvhQVUoU3BA0Im221zmtnNNZFFlW8QbsidJc4sdSmQYcXs0m&#10;Kgzs0XojomEcT6K9MoU2inFrUbvoPtJZsF+WnLnrsrTcEZFTjM2F04Rz7c9odgbZxoCuanYIA/4i&#10;igZqiU6PphbggGxN/cZUUzOjrCrdCVNNpMqyZjzkgNkk8atsbivQPOSC5Fh9pMn+O7PsandjSF1g&#10;7SaUSGiwRne8deRCtQRVyM9e2wxhtxqBrkU9YkOuVq8Ue7AIiZ5hugcW0Z6PtjSN/8VMCT7EEjwe&#10;afduGCqHw+F0OqaE4adJMk7HcahL9PRaG+s+c9UQL+TUYFlDBLBbWef9Q9ZDvDOrRF0sayHCxbcS&#10;vxSG7ACbABjj0nUJgNAVdOreY2g8jw5GXxgSkuxzmo6HPlTAXi0FOBQbjexZuaEExAaHgDkTgpPK&#10;hxAazAe3AFt1voLVrvOM2soiQCoOxSdZEPeosQQSh4V6dw0vKBEczXopIB3U4j1IJEVIzwDyjDQd&#10;pK4rf6TJcBRfDNPBcjI9HYyWo/EgPY2ngzhJL9JJPEpHi+VPn0Yyyqq6KLhc1ZL3E5KM3teBh1nt&#10;ejvMyJ9R+IJ/T+KxjGsB7MHzgVm+Qf0Hql/QFKJC1vvfwH6YkW4s/LS4dt32c4dpeNVaFY84Y0Zh&#10;i+OgWM2WNea8AutuwOBaQiWuWneNRykUdoc6SJRUynz/nd7jc+pPbCdcc9ip37ZgsLnEF4l7xO/E&#10;XjC9sO4FuW0uFQ5NEqIJIj4wTvRiaVRzjxt47r3gJ5AMI8kpeuvES9ctW9zgjM/nAYSbT4NbyVvN&#10;+lXia3vX3oPRhxF3SN+V6hcgZK8mvcP6lpZqvnWqrMMaeGIRqfcX3JqhCIcN79fy83tAPf0PzX4B&#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kIK/QQDAADP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rsidR="004558C6" w:rsidRDefault="004558C6" w:rsidP="00AC3441">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Pr>
                        <w:b/>
                        <w:bCs/>
                        <w:sz w:val="18"/>
                      </w:rPr>
                      <w:t>28</w:t>
                    </w:r>
                    <w:r w:rsidRPr="00586D12">
                      <w:rPr>
                        <w:b/>
                        <w:bCs/>
                        <w:sz w:val="18"/>
                      </w:rPr>
                      <w:fldChar w:fldCharType="end"/>
                    </w:r>
                    <w:r>
                      <w:tab/>
                      <w:t>GE.19-14871</w:t>
                    </w:r>
                  </w:p>
                  <w:p w:rsidR="004558C6" w:rsidRDefault="004558C6"/>
                </w:txbxContent>
              </v:textbox>
              <w10:wrap anchorx="page" anchory="page"/>
              <w10:anchorlock/>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E9126A">
    <w:pPr>
      <w:pStyle w:val="Footer"/>
      <w:tabs>
        <w:tab w:val="right" w:pos="9638"/>
      </w:tabs>
    </w:pPr>
    <w:r>
      <w:rPr>
        <w:noProof/>
        <w:lang w:val="en-US"/>
      </w:rPr>
      <mc:AlternateContent>
        <mc:Choice Requires="wps">
          <w:drawing>
            <wp:anchor distT="0" distB="0" distL="114300" distR="114300" simplePos="0" relativeHeight="251653120" behindDoc="0" locked="1" layoutInCell="1" allowOverlap="1" wp14:anchorId="52264749" wp14:editId="21898F97">
              <wp:simplePos x="0" y="0"/>
              <wp:positionH relativeFrom="page">
                <wp:posOffset>276860</wp:posOffset>
              </wp:positionH>
              <wp:positionV relativeFrom="page">
                <wp:posOffset>719455</wp:posOffset>
              </wp:positionV>
              <wp:extent cx="222885" cy="6159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5E0554">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27</w:t>
                          </w:r>
                          <w:r w:rsidRPr="00586D12">
                            <w:rPr>
                              <w:b/>
                              <w:bCs/>
                              <w:sz w:val="18"/>
                            </w:rPr>
                            <w:fldChar w:fldCharType="end"/>
                          </w:r>
                        </w:p>
                        <w:p w:rsidR="004558C6" w:rsidRDefault="004558C6" w:rsidP="005E055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64749" id="_x0000_t202" coordsize="21600,21600" o:spt="202" path="m,l,21600r21600,l21600,xe">
              <v:stroke joinstyle="miter"/>
              <v:path gradientshapeok="t" o:connecttype="rect"/>
            </v:shapetype>
            <v:shape id="Text Box 21" o:spid="_x0000_s1043" type="#_x0000_t202" style="position:absolute;margin-left:21.8pt;margin-top:56.65pt;width:17.55pt;height:4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rCAMAAM8GAAAOAAAAZHJzL2Uyb0RvYy54bWzEVclu2zAQvRfoPxC8O1pgO5YQOXDiuihg&#10;JAGSIucxRVlCKJIl6SUt+u8dUpaz9ZAWBXqhhuRwljczT2fn+1aQLTe2UbKgyUlMCZdMlY1cF/Tr&#10;3WIwocQ6kCUIJXlBH7ml59OPH852OuepqpUouSFoRNp8pwtaO6fzKLKs5i3YE6W5xMtKmRYcbs06&#10;Kg3s0HorojSOx9FOmVIbxbi1eDrvLuk02K8qztx1VVnuiCgoxubCasK68ms0PYN8bUDXDTuEAX8R&#10;RQuNRKdHU3NwQDameWOqbZhRVlXuhKk2UlXVMB5ywGyS+FU2tzVoHnJBcKw+wmT/nVl2tb0xpCkL&#10;miaUSGixRnd878iF2hM8Qnx22uaodqtR0e3xHOsccrV6qdiDRZXomU73wKK2x2NfmdZ/MVOCD7EE&#10;j0fYvRuGh2maTiYjShhejZNRNopDXaKn19pY95mrlnihoAbLGiKA7dI67x/yXsU7s0o05aIRImx8&#10;K/FLYcgWsAmAMS5dlwAIXUN33HsMjee1g9EXhoQku4Jmo9SHCtirlQCHYqsRPSvXlIBY4xAwZ0Jw&#10;UvkQQoP54OZg685XsNp1nlEbWQaVmkP5SZbEPWosgcRhod5dy0tKBEezXgqaDhrxHk0ERUiPAOKM&#10;MB2krit/ZEk6jC/SbLAYT04Hw8VwNMhO48kgTrKLbBwPs+F88dOnkQzzuilLLpeN5P2EJMP3deBh&#10;VrveDjPyZxC+wN+DeCzjSgB78Hhglm+0/gPUL2AKUSHq/TegH2akGws/LW6/2oe5S077IVup8hFn&#10;zChscRwUq9miwZyXYN0NGKQlPESqdde4VEJhd6iDREmtzPffnXv9gvoV2wlpDjv12wYMNpf4IpFH&#10;PCf2gumFVS/ITXupcGiQGjCaIOID40QvVka198jAM+8Fr0AyjKSg6K0TL11HtsjgjM9mQQmZT4Nb&#10;ylvNeirxtb3b34PRhxF3CN+V6gkQ8leT3un6lpZqtnGqagINeGA7FBF6v0HWDEU4MLyn5ef7oPX0&#10;H5r+AgAA//8DAFBLAwQUAAYACAAAACEAhAjZTuEAAAAKAQAADwAAAGRycy9kb3ducmV2LnhtbEyP&#10;TU/DMAyG70j8h8hIXCaWjqKtlKYTQkIcJvGxTRrHtPHajsSpmmwr/x5zgqMfv3r9uFiOzooTDqHz&#10;pGA2TUAg1d501CjYbp5vMhAhajLaekIF3xhgWV5eFDo3/kwfeFrHRnAJhVwraGPscylD3aLTYep7&#10;JN7t/eB05HFopBn0mcudlbdJMpdOd8QXWt3jU4v11/roFHyurFklu/3769vLJqvc5DBx9welrq/G&#10;xwcQEcf4F4ZffVaHkp0qfyQThFVwl845yXyWpiA4sMgWICoGScZEloX8/0L5AwAA//8DAFBLAQIt&#10;ABQABgAIAAAAIQC2gziS/gAAAOEBAAATAAAAAAAAAAAAAAAAAAAAAABbQ29udGVudF9UeXBlc10u&#10;eG1sUEsBAi0AFAAGAAgAAAAhADj9If/WAAAAlAEAAAsAAAAAAAAAAAAAAAAALwEAAF9yZWxzLy5y&#10;ZWxzUEsBAi0AFAAGAAgAAAAhAJxt36sIAwAAzwYAAA4AAAAAAAAAAAAAAAAALgIAAGRycy9lMm9E&#10;b2MueG1sUEsBAi0AFAAGAAgAAAAhAIQI2U7hAAAACgEAAA8AAAAAAAAAAAAAAAAAYgUAAGRycy9k&#10;b3ducmV2LnhtbFBLBQYAAAAABAAEAPMAAABwBgAAAAA=&#10;" fillcolor="#4f81bd [3204]" stroked="f">
              <v:fill opacity="0"/>
              <v:stroke joinstyle="round"/>
              <v:path arrowok="t"/>
              <v:textbox style="layout-flow:vertical" inset="0,0,0,0">
                <w:txbxContent>
                  <w:p w:rsidR="004558C6" w:rsidRDefault="004558C6" w:rsidP="005E0554">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27</w:t>
                    </w:r>
                    <w:r w:rsidRPr="00586D12">
                      <w:rPr>
                        <w:b/>
                        <w:bCs/>
                        <w:sz w:val="18"/>
                      </w:rPr>
                      <w:fldChar w:fldCharType="end"/>
                    </w:r>
                  </w:p>
                  <w:p w:rsidR="004558C6" w:rsidRDefault="004558C6" w:rsidP="005E0554"/>
                </w:txbxContent>
              </v:textbox>
              <w10:wrap anchorx="page" anchory="page"/>
              <w10:anchorlock/>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30</w:t>
    </w:r>
    <w:r w:rsidRPr="00586D12">
      <w:rPr>
        <w:b/>
        <w:bCs/>
        <w:sz w:val="18"/>
      </w:rPr>
      <w:fldChar w:fldCharType="end"/>
    </w:r>
    <w:r>
      <w:tab/>
      <w:t>GE.19-14871</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29</w:t>
    </w:r>
    <w:r w:rsidRPr="00586D12">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245093">
      <w:rPr>
        <w:b/>
        <w:bCs/>
        <w:noProof/>
        <w:sz w:val="18"/>
      </w:rPr>
      <w:t>3</w:t>
    </w:r>
    <w:r w:rsidRPr="00586D1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pPr>
      <w:pStyle w:val="Footer"/>
      <w:rPr>
        <w:sz w:val="20"/>
      </w:rPr>
    </w:pPr>
    <w:r>
      <w:rPr>
        <w:noProof/>
        <w:lang w:val="en-US"/>
      </w:rPr>
      <w:drawing>
        <wp:anchor distT="0" distB="0" distL="114300" distR="114300" simplePos="0" relativeHeight="25165772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558C6" w:rsidRDefault="004558C6" w:rsidP="00E016B2">
    <w:pPr>
      <w:pStyle w:val="Footer"/>
      <w:rPr>
        <w:sz w:val="20"/>
      </w:rPr>
    </w:pPr>
    <w:r>
      <w:rPr>
        <w:sz w:val="20"/>
      </w:rPr>
      <w:t>GE.19-14871  (E)    171019    211019</w:t>
    </w:r>
  </w:p>
  <w:p w:rsidR="004558C6" w:rsidRPr="00586D12" w:rsidRDefault="004558C6" w:rsidP="00586D1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59776"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5" name="Picture 1" descr="https://undocs.org/m2/QRCode.ashx?DS=E/C.12/ECU/Q/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CU/Q/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ED3A14" w:rsidRDefault="004558C6" w:rsidP="00ED3A14">
    <w:pPr>
      <w:pStyle w:val="Footer"/>
    </w:pPr>
    <w:r>
      <w:rPr>
        <w:noProof/>
        <w:lang w:val="en-US"/>
      </w:rPr>
      <mc:AlternateContent>
        <mc:Choice Requires="wps">
          <w:drawing>
            <wp:anchor distT="0" distB="0" distL="114300" distR="114300" simplePos="0" relativeHeight="251649024"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ED3A14">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10</w:t>
                          </w:r>
                          <w:r w:rsidRPr="00586D12">
                            <w:rPr>
                              <w:b/>
                              <w:bCs/>
                              <w:sz w:val="18"/>
                            </w:rPr>
                            <w:fldChar w:fldCharType="end"/>
                          </w:r>
                          <w:r>
                            <w:tab/>
                            <w:t>GE.19-14871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1.8pt;margin-top:56.65pt;width:17.55pt;height: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7SBgMAAMwGAAAOAAAAZHJzL2Uyb0RvYy54bWzEVd1v2jAQf5+0/8HyO01IgULUUNEypkmo&#10;rdROfT4ch0R1bM82EDbtf9/ZIfRrD900aS/O2T7fx+9+dzm/aGpBttzYSsmM9k9iSrhkKq/kOqNf&#10;7xe9MSXWgcxBKMkzuueWXkw/fjjf6ZQnqlQi54agEWnTnc5o6ZxOo8iyktdgT5TmEi8LZWpwuDXr&#10;KDewQ+u1iJI4HkU7ZXJtFOPW4um8vaTTYL8oOHM3RWG5IyKjGJsLqwnryq/R9BzStQFdVuwQBvxF&#10;FDVUEp0eTc3BAdmY6o2pumJGWVW4E6bqSBVFxXjIAbPpx6+yuStB85ALgmP1ESb778yy6+2tIVWe&#10;0VNKJNRYonveOHKpGnLq0dlpm6LSnUY11+AxVjlkavVSsUeLKtEznfaBRW2PRlOY2n8xT4IPsQD7&#10;I+jeC8PDJEnG4yElDK9G/eFkGIeqRE+vtbHuM1c18UJGDRY1RADbpXXeP6SdindmlajyRSVE2Hgi&#10;8SthyBaQAsAYl65NAIQuoT3uPAbaee1g9IUhIckuo5Nh4kMFZGohwKFYa8TOyjUlINbYAsyZEJxU&#10;PoRALx/cHGzZ+gpWW94ZtZF5UCk55J9kTtxeYwUktgr17mqeUyI4mvVS0HRQifdoIihCegQQZ4Tp&#10;ILWc/DHpJ4P4Mpn0FqPxWW+wGAx7k7N43Iv7k8vJKB5MBvPFT59Gf5CWVZ5zuawk7/qjP3gf/w6d&#10;2jI7dMifQfgCfw/isYwrAezR44FZvtH6D1C/gClEhah334B+6JG2LXy3uGbVhK5Luh5bqXyPLWYU&#10;Mhz7xGq2qDDlJVh3CwZnEh7inHU3uBRCITnUQaKkVOb77869fkb9imzCGYdE/bYBg9wSXyQOET8Q&#10;O8F0wqoT5Ka+Utgz/RBNEPGBcaITC6PqBxy/M+8Fr0AyjCSj6K0Vr1w7aXF8Mz6bBSUcexrcUt5p&#10;1k0SX9r75gGMPnS4Q/SuVTf9IH3V6K2uZ7RUs41TRRWmgMe1RRGR9xscmaEGh/HuZ/LzfdB6+glN&#10;fwE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BYEK7SBgMAAMw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rsidR="004558C6" w:rsidRDefault="004558C6" w:rsidP="00ED3A14">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10</w:t>
                    </w:r>
                    <w:r w:rsidRPr="00586D12">
                      <w:rPr>
                        <w:b/>
                        <w:bCs/>
                        <w:sz w:val="18"/>
                      </w:rPr>
                      <w:fldChar w:fldCharType="end"/>
                    </w:r>
                    <w:r>
                      <w:tab/>
                      <w:t>GE.19-14871</w:t>
                    </w:r>
                  </w:p>
                  <w:p w:rsidR="004558C6" w:rsidRDefault="004558C6"/>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ED3A14" w:rsidRDefault="004558C6" w:rsidP="00ED3A14">
    <w:pPr>
      <w:pStyle w:val="Footer"/>
    </w:pPr>
    <w:r>
      <w:rPr>
        <w:noProof/>
        <w:lang w:val="en-US"/>
      </w:rPr>
      <mc:AlternateContent>
        <mc:Choice Requires="wps">
          <w:drawing>
            <wp:anchor distT="0" distB="0" distL="114300" distR="114300" simplePos="0" relativeHeight="251650048"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ED3A14">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9</w:t>
                          </w:r>
                          <w:r w:rsidRPr="00586D12">
                            <w:rPr>
                              <w:b/>
                              <w:bCs/>
                              <w:sz w:val="18"/>
                            </w:rPr>
                            <w:fldChar w:fldCharType="end"/>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1.8pt;margin-top:56.65pt;width:17.55pt;height:4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h/BQMAAMwGAAAOAAAAZHJzL2Uyb0RvYy54bWzEVclu2zAQvRfoPxC8O1pqu5YQOXDiuihg&#10;JAGSIucxRVlCKJIl6SUt+u8dUpaz9ZAWBXqhhuRwljdvRqdn+1aQLTe2UbKgyUlMCZdMlY1cF/Tr&#10;7WIwocQ6kCUIJXlBH7ilZ9P37053OuepqpUouSFoRNp8pwtaO6fzKLKs5i3YE6W5xMtKmRYcbs06&#10;Kg3s0HorojSOx9FOmVIbxbi1eDrvLuk02K8qztxVVVnuiCgoxubCasK68ms0PYV8bUDXDTuEAX8R&#10;RQuNRKdHU3NwQDameWWqbZhRVlXuhKk2UlXVMB5ywGyS+EU2NzVoHnJBcKw+wmT/nVl2ub02pCkL&#10;OqJEQosluuV7R87Vnow8Ojttc1S60ajm9niMVQ6ZWr1U7N6iSvREp3tgUdujsa9M67+YJ8GHWICH&#10;I+jeC8PDNE0nE3TO8GqcjLJRHKoSPb7WxrrPXLXECwU1WNQQAWyX1nn/kPcq3plVoikXjRBh44nE&#10;L4QhW0AKAGNcui4BELqG7rj3GGjntYPRZ4aEJLuCZqPUhwrI1EqAQ7HViJ2Va0pArLEFmDMhOKl8&#10;CIFePrg52LrzFax2vDNqI8ugUnMoP8mSuAeNFZDYKtS7a3lJieBo1ktB00Ej3qKJoAjpEUCcEaaD&#10;1HHyR5akw/g8zQaL8eTjYLgYjgbZx3gyiJPsPBvHw2w4X/z0aSTDvG7KkstlI3nfH8nwbfw7dGrH&#10;7NAhfwbhM/w9iMcyrgSwe48HZvlK6z9A/QymEBWi3n8D+qFHurbw3eL2q33oug99j61U+YAtZhQy&#10;HPvEarZoMOUlWHcNBmcSHuKcdVe4VEIhOdRBoqRW5vvvzr1+Qf2KbMIZh0T9tgGD3BJfJA4RPxB7&#10;wfTCqhfkpr1Q2DNJiCaI+MA40YuVUe0djt+Z94JXIBlGUlD01okXrpu0OL4Zn82CEo49DW4pbzTr&#10;J4kv7e3+Dow+dLhD9C5VP/0gf9Hona5ntFSzjVNVE6aAx7VDEZH3GxyZoQaH8e5n8tN90Hr8CU1/&#10;AQ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FcjWH8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4558C6" w:rsidRDefault="004558C6" w:rsidP="00ED3A14">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9</w:t>
                    </w:r>
                    <w:r w:rsidRPr="00586D12">
                      <w:rPr>
                        <w:b/>
                        <w:bCs/>
                        <w:sz w:val="18"/>
                      </w:rPr>
                      <w:fldChar w:fldCharType="end"/>
                    </w:r>
                  </w:p>
                  <w:p w:rsidR="004558C6" w:rsidRDefault="004558C6"/>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E9126A">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12</w:t>
    </w:r>
    <w:r w:rsidRPr="00586D12">
      <w:rPr>
        <w:b/>
        <w:bCs/>
        <w:sz w:val="18"/>
      </w:rPr>
      <w:fldChar w:fldCharType="end"/>
    </w:r>
    <w:r>
      <w:rPr>
        <w:b/>
        <w:bCs/>
        <w:sz w:val="18"/>
      </w:rPr>
      <w:tab/>
    </w:r>
    <w:r>
      <w:t>GE.19-14871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13</w:t>
    </w:r>
    <w:r w:rsidRPr="00586D12">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E87890" w:rsidRDefault="004558C6" w:rsidP="00E87890">
    <w:pPr>
      <w:pStyle w:val="Footer"/>
    </w:pPr>
    <w:r>
      <w:rPr>
        <w:noProof/>
        <w:lang w:val="en-US"/>
      </w:rPr>
      <mc:AlternateContent>
        <mc:Choice Requires="wps">
          <w:drawing>
            <wp:anchor distT="0" distB="0" distL="114300" distR="114300" simplePos="0" relativeHeight="251655168" behindDoc="0" locked="1" layoutInCell="1" allowOverlap="1" wp14:anchorId="52264749" wp14:editId="21898F97">
              <wp:simplePos x="0" y="0"/>
              <wp:positionH relativeFrom="page">
                <wp:posOffset>276860</wp:posOffset>
              </wp:positionH>
              <wp:positionV relativeFrom="page">
                <wp:posOffset>719455</wp:posOffset>
              </wp:positionV>
              <wp:extent cx="222885" cy="61595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4D05C1">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14</w:t>
                          </w:r>
                          <w:r w:rsidRPr="00586D12">
                            <w:rPr>
                              <w:b/>
                              <w:bCs/>
                              <w:sz w:val="18"/>
                            </w:rPr>
                            <w:fldChar w:fldCharType="end"/>
                          </w:r>
                          <w:r>
                            <w:rPr>
                              <w:b/>
                              <w:bCs/>
                              <w:sz w:val="18"/>
                            </w:rPr>
                            <w:tab/>
                          </w:r>
                          <w:r>
                            <w:t>GE.19-14871</w:t>
                          </w:r>
                        </w:p>
                        <w:p w:rsidR="004558C6" w:rsidRDefault="004558C6" w:rsidP="004D05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64749" id="_x0000_t202" coordsize="21600,21600" o:spt="202" path="m,l,21600r21600,l21600,xe">
              <v:stroke joinstyle="miter"/>
              <v:path gradientshapeok="t" o:connecttype="rect"/>
            </v:shapetype>
            <v:shape id="Text Box 23" o:spid="_x0000_s1033" type="#_x0000_t202" style="position:absolute;margin-left:21.8pt;margin-top:56.65pt;width:17.55pt;height: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jBwMAAM4GAAAOAAAAZHJzL2Uyb0RvYy54bWzEVclu2zAQvRfoPxC8O1pqO5YQOXDiuihg&#10;JAGSIucxRVlCKZIl6SUt+u8dUpaz9ZAWBXqhhuRwljdvRmfn+1aQLTe2UbKgyUlMCZdMlY1cF/TL&#10;3WIwocQ6kCUIJXlBH7il59P37852OuepqpUouSFoRNp8pwtaO6fzKLKs5i3YE6W5xMtKmRYcbs06&#10;Kg3s0HorojSOx9FOmVIbxbi1eDrvLuk02K8qztx1VVnuiCgoxubCasK68ms0PYN8bUDXDTuEAX8R&#10;RQuNRKdHU3NwQDameWWqbZhRVlXuhKk2UlXVMB5ywGyS+EU2tzVoHnJBcKw+wmT/nVl2tb0xpCkL&#10;mn6gREKLNbrje0cu1J7gEeKz0zZHtVuNim6P51jnkKvVS8W+WlSJnuh0Dyxqezz2lWn9FzMl+BBL&#10;8HCE3btheJim6WQyooTh1TgZZaM41CV6fK2NdZ+4aokXCmqwrCEC2C6t8/4h71W8M6tEUy4aIcLG&#10;U4lfCkO2gCQAxrh0XQIgdA3dce8xEM9rB6PPDAlJdgXNRqkPFZCrlQCHYqsRPSvXlIBYYxMwZ0Jw&#10;UvkQAsF8cHOwdecrWO2YZ9RGlkGl5lB+lCVxDxpLILFZqHfX8pISwdGsl4Kmg0a8RRNBEdIjgDgj&#10;TAepY+WPLEmH8UWaDRbjyelguBiOBtlpPBnESXaRjeNhNpwvfvo0kmFeN2XJ5bKRvO+QZPg2Bh56&#10;teN26JE/g/AZ/h7EYxlXAthXjwdm+UrrP0D9DKYQFaLefwP6oUe6tvDd4varfei7077HVqp8wBYz&#10;ChmOfWI1WzSY8hKsuwGDUwkPcdK6a1wqoZAc6iBRUivz/XfnXr+gfkU24ZRDon7bgEFuic8Sx4gf&#10;ib1gemHVC3LTXirsmSREE0R8YJzoxcqo9h4H8Mx7wSuQDCMpKHrrxEvXzVoc4IzPZkEJB58Gt5S3&#10;mvWTxJf2bn8PRh863CF6V6qff5C/aPRO1zNaqtnGqaoJU8Dj2qGIyPsNDs1Qg8OA91P56T5oPf6G&#10;pr8AAAD//wMAUEsDBBQABgAIAAAAIQCECNlO4QAAAAoBAAAPAAAAZHJzL2Rvd25yZXYueG1sTI9N&#10;T8MwDIbvSPyHyEhcJpaOoq2UphNCQhwm8bFNGse08dqOxKmabCv/HnOCox+/ev24WI7OihMOofOk&#10;YDZNQCDV3nTUKNhunm8yECFqMtp6QgXfGGBZXl4UOjf+TB94WsdGcAmFXCtoY+xzKUPdotNh6nsk&#10;3u394HTkcWikGfSZy52Vt0kyl053xBda3eNTi/XX+ugUfK6sWSW7/fvr28smq9zkMHH3B6Wur8bH&#10;BxARx/gXhl99VoeSnSp/JBOEVXCXzjnJfJamIDiwyBYgKgZJxkSWhfz/QvkDAAD//wMAUEsBAi0A&#10;FAAGAAgAAAAhALaDOJL+AAAA4QEAABMAAAAAAAAAAAAAAAAAAAAAAFtDb250ZW50X1R5cGVzXS54&#10;bWxQSwECLQAUAAYACAAAACEAOP0h/9YAAACUAQAACwAAAAAAAAAAAAAAAAAvAQAAX3JlbHMvLnJl&#10;bHNQSwECLQAUAAYACAAAACEAeaZfowcDAADOBgAADgAAAAAAAAAAAAAAAAAuAgAAZHJzL2Uyb0Rv&#10;Yy54bWxQSwECLQAUAAYACAAAACEAhAjZTuEAAAAKAQAADwAAAAAAAAAAAAAAAABhBQAAZHJzL2Rv&#10;d25yZXYueG1sUEsFBgAAAAAEAAQA8wAAAG8GAAAAAA==&#10;" fillcolor="#4f81bd [3204]" stroked="f">
              <v:fill opacity="0"/>
              <v:stroke joinstyle="round"/>
              <v:path arrowok="t"/>
              <v:textbox style="layout-flow:vertical" inset="0,0,0,0">
                <w:txbxContent>
                  <w:p w:rsidR="004558C6" w:rsidRDefault="004558C6" w:rsidP="004D05C1">
                    <w:pPr>
                      <w:pStyle w:val="Footer"/>
                      <w:tabs>
                        <w:tab w:val="right" w:pos="9638"/>
                      </w:tabs>
                    </w:pPr>
                    <w:r w:rsidRPr="00586D12">
                      <w:rPr>
                        <w:b/>
                        <w:bCs/>
                        <w:sz w:val="18"/>
                      </w:rPr>
                      <w:fldChar w:fldCharType="begin"/>
                    </w:r>
                    <w:r w:rsidRPr="00586D12">
                      <w:rPr>
                        <w:b/>
                        <w:bCs/>
                        <w:sz w:val="18"/>
                      </w:rPr>
                      <w:instrText xml:space="preserve"> PAGE  \* MERGEFORMAT </w:instrText>
                    </w:r>
                    <w:r w:rsidRPr="00586D12">
                      <w:rPr>
                        <w:b/>
                        <w:bCs/>
                        <w:sz w:val="18"/>
                      </w:rPr>
                      <w:fldChar w:fldCharType="separate"/>
                    </w:r>
                    <w:r w:rsidR="00CF2A5F">
                      <w:rPr>
                        <w:b/>
                        <w:bCs/>
                        <w:noProof/>
                        <w:sz w:val="18"/>
                      </w:rPr>
                      <w:t>14</w:t>
                    </w:r>
                    <w:r w:rsidRPr="00586D12">
                      <w:rPr>
                        <w:b/>
                        <w:bCs/>
                        <w:sz w:val="18"/>
                      </w:rPr>
                      <w:fldChar w:fldCharType="end"/>
                    </w:r>
                    <w:r>
                      <w:rPr>
                        <w:b/>
                        <w:bCs/>
                        <w:sz w:val="18"/>
                      </w:rPr>
                      <w:tab/>
                    </w:r>
                    <w:r>
                      <w:t>GE.19-14871</w:t>
                    </w:r>
                  </w:p>
                  <w:p w:rsidR="004558C6" w:rsidRDefault="004558C6" w:rsidP="004D05C1"/>
                </w:txbxContent>
              </v:textbox>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4917F7" w:rsidRDefault="004558C6" w:rsidP="004917F7">
    <w:pPr>
      <w:pStyle w:val="Footer"/>
    </w:pPr>
    <w:r>
      <w:rPr>
        <w:noProof/>
        <w:lang w:val="en-US"/>
      </w:rPr>
      <mc:AlternateContent>
        <mc:Choice Requires="wps">
          <w:drawing>
            <wp:anchor distT="0" distB="0" distL="114300" distR="114300" simplePos="0" relativeHeight="251658240"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4917F7">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Pr>
                              <w:b/>
                              <w:bCs/>
                              <w:sz w:val="18"/>
                            </w:rPr>
                            <w:t>15</w:t>
                          </w:r>
                          <w:r w:rsidRPr="00586D12">
                            <w:rPr>
                              <w:b/>
                              <w:bCs/>
                              <w:sz w:val="18"/>
                            </w:rPr>
                            <w:fldChar w:fldCharType="end"/>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1.8pt;margin-top:56.65pt;width:17.55pt;height: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sBQMAAMwGAAAOAAAAZHJzL2Uyb0RvYy54bWzEVUtv2zAMvg/YfxB0T+0YeTmoU6TNMgwI&#10;2gLt0DMjy7FRWdIkJXE27L+PkuP0tUM3DNhFpiSKj48f6fOLphZkx42tlMxo/yymhEum8kpuMvr1&#10;ftmbUGIdyByEkjyjB27pxezjh/O9nvJElUrk3BA0Iu10rzNaOqenUWRZyWuwZ0pziZeFMjU43JpN&#10;lBvYo/VaREkcj6K9Mrk2inFr8XTRXtJZsF8UnLmborDcEZFRjM2F1YR17ddodg7TjQFdVuwYBvxF&#10;FDVUEp2eTC3AAdma6o2pumJGWVW4M6bqSBVFxXjIAbPpx6+yuStB85ALgmP1CSb778yy692tIVWe&#10;0TElEmos0T1vHLlUDRl7dPbaTlHpTqOaa/AYqxwytXql2KNFleiZTvvAorZHoylM7b+YJ8GHWIDD&#10;CXTvheFhkiSTyZAShlej/jAdxqEq0dNrbaz7zFVNvJBRg0UNEcBuZZ33D9NOxTuzSlT5shIibDyR&#10;+JUwZAdIAWCMS9cmAEKX0B53HgPtvHYw+sKQkGSf0XSY+FABmVoIcCjWGrGzckMJiA22AHMmBCeV&#10;DyHQywe3AFu2voLVlndGbWUeVEoO+SeZE3fQWAGJrUK9u5rnlAiOZr0UNB1U4j2aCIqQHgHEGWE6&#10;Si0nf6T9ZBBfJmlvOZqMe4PlYNhLx/GkF/fTy3QUD9LBYvnTp9EfTMsqz7lcVZJ3/dEfvI9/x05t&#10;mR065M8gfIG/B/FUxrUA9ujxwCzfaP0HqF/AFKJC1LtvQD/0SNsWvltcs25C1026Hlur/IAtZhQy&#10;HPvEarasMOUVWHcLBmcSHuKcdTe4FEIhOdRRoqRU5vvvzr1+Rv2KbMIZh0T9tgWD3BJfJA4RPxA7&#10;wXTCuhPktr5S2DP9EE0Q8YFxohMLo+oHHL9z7wWvQDKMJKPorRWvXDtpcXwzPp8HJRx7GtxK3mnW&#10;TRJf2vvmAYw+drhD9K5VN/1g+qrRW13PaKnmW6eKKkwBj2uLIiLvNzgyQw2O493P5Of7oPX0E5r9&#10;Ag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Nh//yw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rsidR="004558C6" w:rsidRDefault="004558C6" w:rsidP="004917F7">
                    <w:pPr>
                      <w:pStyle w:val="Footer"/>
                      <w:tabs>
                        <w:tab w:val="right" w:pos="9638"/>
                      </w:tabs>
                    </w:pPr>
                    <w:r>
                      <w:t>GE.19-14871</w:t>
                    </w:r>
                    <w:r>
                      <w:tab/>
                    </w:r>
                    <w:r w:rsidRPr="00586D12">
                      <w:rPr>
                        <w:b/>
                        <w:bCs/>
                        <w:sz w:val="18"/>
                      </w:rPr>
                      <w:fldChar w:fldCharType="begin"/>
                    </w:r>
                    <w:r w:rsidRPr="00586D12">
                      <w:rPr>
                        <w:b/>
                        <w:bCs/>
                        <w:sz w:val="18"/>
                      </w:rPr>
                      <w:instrText xml:space="preserve"> PAGE  \* MERGEFORMAT </w:instrText>
                    </w:r>
                    <w:r w:rsidRPr="00586D12">
                      <w:rPr>
                        <w:b/>
                        <w:bCs/>
                        <w:sz w:val="18"/>
                      </w:rPr>
                      <w:fldChar w:fldCharType="separate"/>
                    </w:r>
                    <w:r>
                      <w:rPr>
                        <w:b/>
                        <w:bCs/>
                        <w:sz w:val="18"/>
                      </w:rPr>
                      <w:t>15</w:t>
                    </w:r>
                    <w:r w:rsidRPr="00586D12">
                      <w:rPr>
                        <w:b/>
                        <w:bCs/>
                        <w:sz w:val="18"/>
                      </w:rPr>
                      <w:fldChar w:fldCharType="end"/>
                    </w:r>
                  </w:p>
                  <w:p w:rsidR="004558C6" w:rsidRDefault="004558C6"/>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C6" w:rsidRPr="00FB1744" w:rsidRDefault="004558C6" w:rsidP="00FB1744">
      <w:pPr>
        <w:tabs>
          <w:tab w:val="right" w:pos="2155"/>
        </w:tabs>
        <w:spacing w:after="80" w:line="240" w:lineRule="auto"/>
        <w:ind w:left="680"/>
      </w:pPr>
      <w:r>
        <w:rPr>
          <w:u w:val="single"/>
        </w:rPr>
        <w:tab/>
      </w:r>
    </w:p>
  </w:footnote>
  <w:footnote w:type="continuationSeparator" w:id="0">
    <w:p w:rsidR="004558C6" w:rsidRPr="00FB1744" w:rsidRDefault="004558C6" w:rsidP="00FB1744">
      <w:pPr>
        <w:tabs>
          <w:tab w:val="right" w:pos="2155"/>
        </w:tabs>
        <w:spacing w:after="80" w:line="240" w:lineRule="auto"/>
        <w:ind w:left="680"/>
      </w:pPr>
      <w:r>
        <w:rPr>
          <w:u w:val="single"/>
        </w:rPr>
        <w:tab/>
      </w:r>
    </w:p>
  </w:footnote>
  <w:footnote w:id="1">
    <w:p w:rsidR="004558C6" w:rsidRPr="00DC19C2" w:rsidRDefault="004558C6" w:rsidP="00586D12">
      <w:pPr>
        <w:pStyle w:val="FootnoteText"/>
        <w:rPr>
          <w:sz w:val="20"/>
          <w:lang w:val="en-CA"/>
        </w:rPr>
      </w:pPr>
      <w:r w:rsidRPr="00586D12">
        <w:rPr>
          <w:sz w:val="20"/>
          <w:szCs w:val="22"/>
          <w:lang w:val="en-CA"/>
        </w:rPr>
        <w:tab/>
        <w:t>*</w:t>
      </w:r>
      <w:r w:rsidRPr="00586D12">
        <w:rPr>
          <w:sz w:val="20"/>
          <w:szCs w:val="22"/>
          <w:lang w:val="en-CA"/>
        </w:rPr>
        <w:tab/>
      </w:r>
      <w:r w:rsidRPr="00DC19C2">
        <w:rPr>
          <w:lang w:val="en-CA"/>
        </w:rPr>
        <w:t>The present document is being issued without formal editing.</w:t>
      </w:r>
    </w:p>
  </w:footnote>
  <w:footnote w:id="2">
    <w:p w:rsidR="004558C6" w:rsidRPr="00DC19C2" w:rsidRDefault="004558C6" w:rsidP="00B16D76">
      <w:pPr>
        <w:pStyle w:val="FootnoteText"/>
        <w:rPr>
          <w:lang w:val="en-CA"/>
        </w:rPr>
      </w:pPr>
      <w:r w:rsidRPr="00DC19C2">
        <w:rPr>
          <w:lang w:val="en-CA"/>
        </w:rPr>
        <w:tab/>
      </w:r>
      <w:r w:rsidRPr="00EF3BB8">
        <w:rPr>
          <w:rStyle w:val="FootnoteReference"/>
        </w:rPr>
        <w:footnoteRef/>
      </w:r>
      <w:r w:rsidRPr="00DC19C2">
        <w:rPr>
          <w:lang w:val="en-CA"/>
        </w:rPr>
        <w:tab/>
        <w:t>Technical Secretariat of Planning of Ecuador, 2019.</w:t>
      </w:r>
    </w:p>
  </w:footnote>
  <w:footnote w:id="3">
    <w:p w:rsidR="004558C6" w:rsidRPr="00D62DA1" w:rsidRDefault="004558C6" w:rsidP="004F7544">
      <w:pPr>
        <w:pStyle w:val="FootnoteText"/>
      </w:pPr>
      <w:r>
        <w:tab/>
      </w:r>
      <w:r>
        <w:rPr>
          <w:rStyle w:val="FootnoteReference"/>
        </w:rPr>
        <w:footnoteRef/>
      </w:r>
      <w:r w:rsidRPr="00D62DA1">
        <w:tab/>
      </w:r>
      <w:r w:rsidRPr="00DC19C2">
        <w:rPr>
          <w:lang w:val="en-CA"/>
        </w:rPr>
        <w:t>The heading “Food” covers the following entities: the Ministry of Agriculture, Livestock, Aquaculture and Fisheries, the Aliméntate Ecuador food programme, the public food purchasing programme, the National Food Sovereignty Conference, the food provision programme and the Institute of Food Supply.</w:t>
      </w:r>
    </w:p>
  </w:footnote>
  <w:footnote w:id="4">
    <w:p w:rsidR="004558C6" w:rsidRPr="004F7544" w:rsidRDefault="004558C6" w:rsidP="004F7544">
      <w:pPr>
        <w:pStyle w:val="FootnoteText"/>
        <w:rPr>
          <w:lang w:val="es-ES"/>
        </w:rPr>
      </w:pPr>
      <w:r w:rsidRPr="00D62DA1">
        <w:tab/>
      </w:r>
      <w:r>
        <w:rPr>
          <w:rStyle w:val="FootnoteReference"/>
        </w:rPr>
        <w:footnoteRef/>
      </w:r>
      <w:r w:rsidRPr="00D62DA1">
        <w:tab/>
      </w:r>
      <w:r w:rsidRPr="00DC19C2">
        <w:rPr>
          <w:lang w:val="en-CA"/>
        </w:rPr>
        <w:t xml:space="preserve">The heading “Water” refers only </w:t>
      </w:r>
      <w:r>
        <w:rPr>
          <w:lang w:val="en-CA"/>
        </w:rPr>
        <w:t xml:space="preserve">to </w:t>
      </w:r>
      <w:r w:rsidRPr="00DC19C2">
        <w:rPr>
          <w:lang w:val="en-CA"/>
        </w:rPr>
        <w:t xml:space="preserve">those entities </w:t>
      </w:r>
      <w:r>
        <w:rPr>
          <w:lang w:val="en-CA"/>
        </w:rPr>
        <w:t xml:space="preserve">that deal with water </w:t>
      </w:r>
      <w:r w:rsidRPr="00DC19C2">
        <w:rPr>
          <w:lang w:val="en-CA"/>
        </w:rPr>
        <w:t>management and use. Includes transfers to public enterprises for water-related activities.</w:t>
      </w:r>
    </w:p>
  </w:footnote>
  <w:footnote w:id="5">
    <w:p w:rsidR="004558C6" w:rsidRPr="00DC19C2" w:rsidRDefault="004558C6" w:rsidP="007814BC">
      <w:pPr>
        <w:pStyle w:val="FootnoteText"/>
        <w:jc w:val="both"/>
        <w:rPr>
          <w:lang w:val="en-CA"/>
        </w:rPr>
      </w:pPr>
      <w:r w:rsidRPr="004F7544">
        <w:rPr>
          <w:lang w:val="es-ES"/>
        </w:rPr>
        <w:tab/>
      </w:r>
      <w:r w:rsidRPr="00EF3BB8">
        <w:rPr>
          <w:rStyle w:val="FootnoteReference"/>
        </w:rPr>
        <w:footnoteRef/>
      </w:r>
      <w:r w:rsidRPr="00DC19C2">
        <w:rPr>
          <w:lang w:val="en-CA"/>
        </w:rPr>
        <w:tab/>
        <w:t>National Council for Gender Equality, 2019; Secretariat for Human Rights, 2019.</w:t>
      </w:r>
    </w:p>
  </w:footnote>
  <w:footnote w:id="6">
    <w:p w:rsidR="004558C6" w:rsidRPr="00DC19C2" w:rsidRDefault="004558C6" w:rsidP="007814BC">
      <w:pPr>
        <w:pStyle w:val="FootnoteText"/>
        <w:jc w:val="both"/>
        <w:rPr>
          <w:lang w:val="en-CA"/>
        </w:rPr>
      </w:pPr>
      <w:r w:rsidRPr="00DC19C2">
        <w:rPr>
          <w:lang w:val="en-CA"/>
        </w:rPr>
        <w:tab/>
      </w:r>
      <w:r w:rsidRPr="00EF3BB8">
        <w:rPr>
          <w:rStyle w:val="FootnoteReference"/>
        </w:rPr>
        <w:footnoteRef/>
      </w:r>
      <w:r w:rsidRPr="00DC19C2">
        <w:rPr>
          <w:lang w:val="en-CA"/>
        </w:rPr>
        <w:tab/>
        <w:t>Secretariat for Human Rights, 2019.</w:t>
      </w:r>
    </w:p>
  </w:footnote>
  <w:footnote w:id="7">
    <w:p w:rsidR="004558C6" w:rsidRPr="00DC19C2" w:rsidRDefault="004558C6" w:rsidP="007814BC">
      <w:pPr>
        <w:pStyle w:val="FootnoteText"/>
        <w:rPr>
          <w:lang w:val="en-CA"/>
        </w:rPr>
      </w:pPr>
      <w:r w:rsidRPr="00DC19C2">
        <w:rPr>
          <w:lang w:val="en-CA"/>
        </w:rPr>
        <w:tab/>
      </w:r>
      <w:r w:rsidRPr="00EF3BB8">
        <w:rPr>
          <w:rStyle w:val="FootnoteReference"/>
        </w:rPr>
        <w:footnoteRef/>
      </w:r>
      <w:r w:rsidRPr="00DC19C2">
        <w:rPr>
          <w:lang w:val="en-CA"/>
        </w:rPr>
        <w:tab/>
        <w:t>Secretariat for Human Rights, 2019.</w:t>
      </w:r>
    </w:p>
  </w:footnote>
  <w:footnote w:id="8">
    <w:p w:rsidR="004558C6" w:rsidRPr="00DC19C2" w:rsidRDefault="004558C6" w:rsidP="00A92E7D">
      <w:pPr>
        <w:pStyle w:val="FootnoteText"/>
        <w:jc w:val="both"/>
        <w:rPr>
          <w:lang w:val="en-CA"/>
        </w:rPr>
      </w:pPr>
      <w:r w:rsidRPr="00DC19C2">
        <w:rPr>
          <w:lang w:val="en-CA"/>
        </w:rPr>
        <w:tab/>
      </w:r>
      <w:r w:rsidRPr="00EF3BB8">
        <w:rPr>
          <w:rStyle w:val="FootnoteReference"/>
        </w:rPr>
        <w:footnoteRef/>
      </w:r>
      <w:r w:rsidRPr="00DC19C2">
        <w:rPr>
          <w:lang w:val="en-CA"/>
        </w:rPr>
        <w:tab/>
        <w:t>National Secretariat for Water, 2019.</w:t>
      </w:r>
    </w:p>
  </w:footnote>
  <w:footnote w:id="9">
    <w:p w:rsidR="004558C6" w:rsidRPr="00DC19C2" w:rsidRDefault="004558C6" w:rsidP="00DF4367">
      <w:pPr>
        <w:pStyle w:val="FootnoteText"/>
        <w:jc w:val="both"/>
        <w:rPr>
          <w:lang w:val="en-CA"/>
        </w:rPr>
      </w:pPr>
      <w:r w:rsidRPr="00DC19C2">
        <w:rPr>
          <w:lang w:val="en-CA"/>
        </w:rPr>
        <w:tab/>
      </w:r>
      <w:r w:rsidRPr="00EF3BB8">
        <w:rPr>
          <w:rStyle w:val="FootnoteReference"/>
        </w:rPr>
        <w:footnoteRef/>
      </w:r>
      <w:r w:rsidRPr="00DC19C2">
        <w:rPr>
          <w:lang w:val="en-CA"/>
        </w:rPr>
        <w:tab/>
        <w:t>Ministry of Telecommunications, 2015–2019.</w:t>
      </w:r>
    </w:p>
  </w:footnote>
  <w:footnote w:id="10">
    <w:p w:rsidR="004558C6" w:rsidRPr="00DC19C2" w:rsidRDefault="004558C6" w:rsidP="00DF4367">
      <w:pPr>
        <w:pStyle w:val="FootnoteText"/>
        <w:jc w:val="both"/>
        <w:rPr>
          <w:lang w:val="en-CA"/>
        </w:rPr>
      </w:pPr>
      <w:r w:rsidRPr="00DC19C2">
        <w:rPr>
          <w:lang w:val="en-CA"/>
        </w:rPr>
        <w:tab/>
      </w:r>
      <w:r w:rsidRPr="00EF3BB8">
        <w:rPr>
          <w:rStyle w:val="FootnoteReference"/>
        </w:rPr>
        <w:footnoteRef/>
      </w:r>
      <w:r w:rsidRPr="00DC19C2">
        <w:rPr>
          <w:lang w:val="en-CA"/>
        </w:rPr>
        <w:tab/>
        <w:t>Ministry of Telecommunications, 2009–2017.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Header"/>
    </w:pPr>
    <w:r>
      <w:t>E/C.12/ECU/Q/4/Add.1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8438F9" w:rsidRDefault="004558C6" w:rsidP="008438F9">
    <w:pPr>
      <w:pStyle w:val="Header"/>
      <w:pBdr>
        <w:bottom w:val="none" w:sz="0" w:space="0" w:color="auto"/>
      </w:pBdr>
    </w:pPr>
    <w:r>
      <w:rPr>
        <w:noProof/>
        <w:lang w:val="en-US"/>
      </w:rPr>
      <mc:AlternateContent>
        <mc:Choice Requires="wps">
          <w:drawing>
            <wp:anchor distT="0" distB="0" distL="114300" distR="114300" simplePos="0" relativeHeight="25165926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8438F9">
                          <w:pPr>
                            <w:pStyle w:val="Header"/>
                            <w:jc w:val="right"/>
                          </w:pPr>
                          <w:r>
                            <w:t>E/C.12/ECU/Q/4/Add.1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782.35pt;margin-top:56.65pt;width:23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Q0BAMAAM8GAAAOAAAAZHJzL2Uyb0RvYy54bWzEVV1v0zAUfUfiP1h+75KUbqzVsmkfFCFV&#10;26QN7fnWcZpojm1sd+1A/HeOnWawwQMgJF7cG/v4fhyfe3t0su0Ue5DOt0aXvNjLOZNamKrVq5J/&#10;vJ2PDjnzgXRFymhZ8kfp+cnx61dHGzuTY9MYVUnH4ET72caWvAnBzrLMi0Z25PeMlRqHtXEdBXy6&#10;VVY52sB7p7Jxnh9kG+Mq64yQ3mP3oj/kx8l/XUsRruray8BUyZFbSKtL6zKu2fERzVaObNOKXRr0&#10;F1l01GoEfXJ1QYHY2rU/uepa4Yw3ddgTpstMXbdCphpQTZG/qOamIStTLSDH2yea/L9zKy4frh1r&#10;K7wd6NHU4Y1u5TawM7Nl2AI/G+tngN1YAMMW+8CmWr1dGHHvAcl+wPQXPNCRj23tuviLShkuIsbj&#10;E+0xjMDmeDoucpwIHB0U4OFNipt9v22dD++l6Vg0Su7wrCkDelj4EOPTbIDEYN6otpq3SqWPKCV5&#10;rhx7IIiAhJA69AWQsg3120PEJLyITk6fOVKabUo+3R/vI1WCVmtFAWZnwZ7XK85IrdAEIriUnDYx&#10;hSSwmNwF+aaPlbz2ynNmrasEaSRV73TFwqPFE2g0C4/hOllxpiTcRishA7Xqd5AgRenIAHgGTTur&#10;V+WXaTGe5Gfj6Wh+cPh2NJlP9kfTt/nhKC+mZ9ODfDKdXMy/xjKKyaxpq0rqRavl0CHF5PcUuOvV&#10;XtupR/6Mwmf8RxKfnnGpSNxHPlDlT6j/QPUzmlJWYH34TeynHunbInZL2C63fd8VQ5MtTfWIHnMG&#10;Ekc7eCvmLWpekA/X5DCWsIlRG66w1MpAHWZncdYY9/lX+xFf8rhCThhzUOqnNTmIS33QmCNwGQbD&#10;DcZyMPS6OzdomiJlk0xccEENZu1Md4cJfBqj4Ii0QCYlR7TePA/9sMUEF/L0NIEw+SyFhb6xYhgl&#10;8W1vt3fk7K7FA+i7NMMApNmLTu+xUdLanK6Dqds0BiKxPYugPn5gaqZH2E34OJZ//E6o7/9Dx98A&#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j+fUNAQDAADP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4558C6" w:rsidRDefault="004558C6" w:rsidP="008438F9">
                    <w:pPr>
                      <w:pStyle w:val="Header"/>
                      <w:jc w:val="right"/>
                    </w:pPr>
                    <w:r>
                      <w:t>E/C.12/ECU/Q/4/Add.1</w:t>
                    </w:r>
                  </w:p>
                  <w:p w:rsidR="004558C6" w:rsidRDefault="004558C6"/>
                </w:txbxContent>
              </v:textbox>
              <w10:wrap anchorx="page" anchory="page"/>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Header"/>
    </w:pPr>
    <w:r>
      <w:t>E/C.12/ECU/Q/4/Add.1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AC3441" w:rsidRDefault="004558C6" w:rsidP="00E9126A">
    <w:pPr>
      <w:pStyle w:val="Header"/>
      <w:jc w:val="right"/>
    </w:pPr>
    <w:r>
      <w:t>E/C.12/ECU/Q/4/Add.1</w:t>
    </w:r>
    <w:r>
      <w:rPr>
        <w:noProof/>
        <w:lang w:val="en-US"/>
      </w:rPr>
      <mc:AlternateContent>
        <mc:Choice Requires="wps">
          <w:drawing>
            <wp:anchor distT="0" distB="0" distL="114300" distR="114300" simplePos="0" relativeHeight="25166438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AC3441">
                          <w:pPr>
                            <w:pStyle w:val="Header"/>
                            <w:jc w:val="right"/>
                          </w:pPr>
                          <w:r>
                            <w:t>E/C.12/ECU/Q/4/Add.1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39" type="#_x0000_t202" style="position:absolute;left:0;text-align:left;margin-left:782.35pt;margin-top:56.65pt;width:23pt;height:481.9pt;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KMBAMAAM8GAAAOAAAAZHJzL2Uyb0RvYy54bWzEVVtv0zAUfkfiP1h+75J03aXVMrQLRUgV&#10;TNoQz6eO00RzbGO7awfiv/PZaXaDB0BIvDjH9udz+c4lJ2+2nWJ30vnW6JIXezlnUgtTtXpV8k83&#10;89ExZz6QrkgZLUt+Lz1/c/r61cnGzuTYNEZV0jEo0X62sSVvQrCzLPOikR35PWOlxmVtXEcBW7fK&#10;KkcbaO9UNs7zw2xjXGWdEdJ7nF72l/w06a9rKcLHuvYyMFVy+BbS6tK6jGt2ekKzlSPbtGLnBv2F&#10;Fx21GkYfVF1SILZ27U+qulY4400d9oTpMlPXrZApBkRT5C+iuW7IyhQLyPH2gSb/79SKD3dXjrUV&#10;cnfEmaYOObqR28DOzZbhCPxsrJ8Bdm0BDFucA5ti9XZhxK0HJHuC6R94oCMf29p18YtIGR4iBfcP&#10;tEczAofj6bjIcSNwdViAh/2Ul+zxtXU+vJOmY1EouUNakwd0t/Ah2qfZAInGvFFtNW+VSptYSvJC&#10;OXZHKAISQurQB0DKNtQfDxZT4UV0UvpMkdJsU/LpwfgArhJqtVYUIHYW7Hm94ozUCk0ggkvOaRNd&#10;SAUWnbsk3/S2kta+8pxZ6ypBGknVW12xcG+RAo1m4dFcJyvOlITaKCVkoFb9DhKkKB0ZAM+gaSf1&#10;VfltWown+fl4OpofHh+NJvPJwWh6lB+P8mJ6Pj3MJ9PJ5fx7DKOYzJq2qqRetFoOHVJMfq8Cd73a&#10;13bqkT+j8Bn/kcSHNC4VidvIB6L8CfUfqH5GU/IKrA/fxH7qkb4tYreE7XLb993+0GRLU92jx5xB&#10;iaMdvBXzFjEvyIcrchhLOMSoDR+x1MqgOsxO4qwx7uuvziO+5HFFOWHMoVK/rMmhuNR7jTkClWEQ&#10;3CAsB0GvuwuDpimSN0nEAxfUINbOdJ8xgc+iFVyRFvCk5LDWixehH7aY4EKenSUQJp+lsNDXVgyj&#10;JOb2ZvuZnN21eAB9H8wwAGn2otN7bCxpbc7WwdRtGgOR2J5FUB83mJopCbsJH8fy031CPf6HTn8A&#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F10yjAQDAADP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4558C6" w:rsidRDefault="004558C6" w:rsidP="00AC3441">
                    <w:pPr>
                      <w:pStyle w:val="Header"/>
                      <w:jc w:val="right"/>
                    </w:pPr>
                    <w:r>
                      <w:t>E/C.12/ECU/Q/4/Add.1</w:t>
                    </w:r>
                  </w:p>
                  <w:p w:rsidR="004558C6" w:rsidRDefault="004558C6"/>
                </w:txbxContent>
              </v:textbox>
              <w10:wrap anchorx="page" anchory="page"/>
              <w10:anchorlock/>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AC3441" w:rsidRDefault="004558C6" w:rsidP="00AC3441">
    <w:pPr>
      <w:pStyle w:val="Header"/>
      <w:pBdr>
        <w:bottom w:val="none" w:sz="0" w:space="0" w:color="auto"/>
      </w:pBdr>
    </w:pPr>
    <w:r>
      <w:rPr>
        <w:noProof/>
        <w:lang w:val="en-US"/>
      </w:rPr>
      <mc:AlternateContent>
        <mc:Choice Requires="wps">
          <w:drawing>
            <wp:anchor distT="0" distB="0" distL="114300" distR="114300" simplePos="0" relativeHeight="251663360"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AC3441">
                          <w:pPr>
                            <w:pStyle w:val="Header"/>
                          </w:pPr>
                          <w:r>
                            <w:t>E/C.12/ECU/Q/4/Add.1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782.35pt;margin-top:56.65pt;width:23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aXAwMAAM8GAAAOAAAAZHJzL2Uyb0RvYy54bWzEVVtv0zAUfkfiP1h+75KUbqzVMrQLRUjV&#10;NmlDez51nCbCsY3trh2I/85np9kNHgAh8eKeHH8+l+9cevRu2yl2J51vjS55sZdzJrUwVatXJf90&#10;Mx8dcuYD6YqU0bLk99Lzd8evXx1t7EyOTWNUJR2DEe1nG1vyJgQ7yzIvGtmR3zNWalzWxnUU8OlW&#10;WeVoA+udysZ5fpBtjKusM0J6D+15f8mPk/26liJc1rWXgamSI7aQTpfOZTyz4yOarRzZphW7MOgv&#10;ouio1XD6YOqcArG1a38y1bXCGW/qsCdMl5m6boVMOSCbIn+RzXVDVqZcQI63DzT5f2dWXNxdOdZW&#10;qN2EM00danQjt4Gdmi2DCvxsrJ8Bdm0BDFvogU25ersw4rMHJHuC6R94oCMf29p18ReZMjxECe4f&#10;aI9uBJTj6bjIcSNwdVCAhzepLtnja+t8+CBNx6JQcoeypgjobuFD9E+zARKdeaPaat4qlT5iK8kz&#10;5dgdoQlICKlDnwAp21CvHjymxovoZPSZIaXZpuTT/fE+QiX0aq0oQOws2PN6xRmpFYZABJeC0yaG&#10;kBosBndOvul9Jat95zmz1lWCNJKq97pi4d6iBBrDwqO7TlacKQmzUUrIQK36HSRIUToyAJ5B007q&#10;u/LbtBhP8tPxdDQ/OHw7mswn+6Pp2/xwlBfT0+lBPplOzuffYxrFZNa0VSX1otVymJBi8nsduJvV&#10;vrfTjPwZhc/4jyQ+lHGpSHyOfCDLn1D/gepnNKWowPrwm9hPM9KPRZyWsF1uh7lDGlG1NNU9ZswZ&#10;tDjGwVsxb5Hzgny4Ioe1BCVWbbjEUSuD7jA7ibPGuK+/0kd8yeOJdsKaQ6d+WZNDc6mPGnsEJsMg&#10;uEFYDoJed2cGQ1OkaJKIBy6oQayd6W6xgU+iF1yRFoik5PDWi2ehX7bY4EKenCQQNp+lsNDXVgyr&#10;JNb2ZntLzu5GPIC+CzMsQJq9mPQeG1tam5N1MHWb1sAji6A+fmBrpiLsNnxcy0+/E+rxf+j4BwAA&#10;AP//AwBQSwMEFAAGAAgAAAAhAPqMjA/kAAAADgEAAA8AAABkcnMvZG93bnJldi54bWxMj0tPwzAQ&#10;hO9I/AdrkbhU1A6FpIQ4FUJCHCrxaCuVoxNvkxQ/othtw79ne4LbzO5o9ttiMVrDjjiEzjsJyVQA&#10;Q1d73blGwmb9cjMHFqJyWhnvUMIPBliUlxeFyrU/uU88rmLDqMSFXEloY+xzzkPdolVh6nt0tNv5&#10;wapIdmi4HtSJyq3ht0Kk3KrO0YVW9fjcYv29OlgJX0ujl2K7+3h7f13PKzvZT+zDXsrrq/HpEVjE&#10;Mf6F4YxP6FASU+UPTgdmyN+ndxllSSWzGbBzJE0EjSpSIssS4GXB/79R/gIAAP//AwBQSwECLQAU&#10;AAYACAAAACEAtoM4kv4AAADhAQAAEwAAAAAAAAAAAAAAAAAAAAAAW0NvbnRlbnRfVHlwZXNdLnht&#10;bFBLAQItABQABgAIAAAAIQA4/SH/1gAAAJQBAAALAAAAAAAAAAAAAAAAAC8BAABfcmVscy8ucmVs&#10;c1BLAQItABQABgAIAAAAIQBEm6aXAwMAAM8GAAAOAAAAAAAAAAAAAAAAAC4CAABkcnMvZTJvRG9j&#10;LnhtbFBLAQItABQABgAIAAAAIQD6jIwP5AAAAA4BAAAPAAAAAAAAAAAAAAAAAF0FAABkcnMvZG93&#10;bnJldi54bWxQSwUGAAAAAAQABADzAAAAbgYAAAAA&#10;" fillcolor="#4f81bd [3204]" stroked="f">
              <v:fill opacity="0"/>
              <v:stroke joinstyle="round"/>
              <v:path arrowok="t"/>
              <v:textbox style="layout-flow:vertical" inset="0,0,0,0">
                <w:txbxContent>
                  <w:p w:rsidR="004558C6" w:rsidRDefault="004558C6" w:rsidP="00AC3441">
                    <w:pPr>
                      <w:pStyle w:val="Header"/>
                    </w:pPr>
                    <w:r>
                      <w:t>E/C.12/ECU/Q/4/Add.1</w:t>
                    </w:r>
                  </w:p>
                  <w:p w:rsidR="004558C6" w:rsidRDefault="004558C6"/>
                </w:txbxContent>
              </v:textbox>
              <w10:wrap anchorx="page" anchory="page"/>
              <w10:anchorlock/>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AC3441" w:rsidRDefault="004558C6" w:rsidP="005E0554">
    <w:pPr>
      <w:pStyle w:val="Header"/>
      <w:pBdr>
        <w:bottom w:val="none" w:sz="0" w:space="0" w:color="auto"/>
      </w:pBdr>
      <w:jc w:val="right"/>
    </w:pPr>
    <w:r>
      <w:rPr>
        <w:noProof/>
        <w:lang w:val="en-US"/>
      </w:rPr>
      <mc:AlternateContent>
        <mc:Choice Requires="wps">
          <w:drawing>
            <wp:anchor distT="0" distB="0" distL="114300" distR="114300" simplePos="0" relativeHeight="251666432" behindDoc="0" locked="1" layoutInCell="1" allowOverlap="1" wp14:anchorId="5DB7565A" wp14:editId="5D7896DB">
              <wp:simplePos x="0" y="0"/>
              <wp:positionH relativeFrom="page">
                <wp:posOffset>9935845</wp:posOffset>
              </wp:positionH>
              <wp:positionV relativeFrom="page">
                <wp:posOffset>719455</wp:posOffset>
              </wp:positionV>
              <wp:extent cx="292100" cy="612013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AC3441">
                          <w:pPr>
                            <w:pStyle w:val="Header"/>
                            <w:jc w:val="right"/>
                          </w:pPr>
                          <w:r>
                            <w:t>E/C.12/ECU/Q/4/Add.1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B7565A" id="_x0000_t202" coordsize="21600,21600" o:spt="202" path="m,l,21600r21600,l21600,xe">
              <v:stroke joinstyle="miter"/>
              <v:path gradientshapeok="t" o:connecttype="rect"/>
            </v:shapetype>
            <v:shape id="Text Box 19" o:spid="_x0000_s1041" type="#_x0000_t202" style="position:absolute;left:0;text-align:left;margin-left:782.35pt;margin-top:56.65pt;width:23pt;height:481.9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dsBAMAAM8GAAAOAAAAZHJzL2Uyb0RvYy54bWzEVVtv0zAUfkfiP1h+75KUbizVMrQLRUjV&#10;QNrQnk8dp4lwbGO7awfiv/PZaQYbPABC4sU5tj+fy3cuOXm16xW7k853Rle8OMg5k1qYutPrin+4&#10;WUyOOfOBdE3KaFnxe+n5q9Pnz062di6npjWqlo5Bifbzra14G4KdZ5kXrezJHxgrNS4b43oK2Lp1&#10;VjvaQnuvsmmeH2Vb42rrjJDe4/RyuOSnSX/TSBHeNY2XgamKw7eQVpfWVVyz0xOarx3ZthN7N+gv&#10;vOip0zD6oOqSArGN635S1XfCGW+acCBMn5mm6YRMMSCaIn8SzXVLVqZYQI63DzT5f6dWXN29d6yr&#10;kbuSM009cnQjd4Gdmx3DEfjZWj8H7NoCGHY4BzbF6u3SiI8ekOwHzPDAAx352DWuj19EyvAQKbh/&#10;oD2aETicltMix43A1VEBHl6kvGTfX1vnwxtpehaFijukNXlAd0sfon2aj5BozBvV1YtOqbSJpSQv&#10;lGN3hCIgIaQOQwCkbEvD8WgxFV5EJ6WPFCnNthUvD6eHcJVQq42iALG3YM/rNWek1mgCEVxyTpvo&#10;Qiqw6Nwl+XawlbQOlefMRtcJ0kqqX+uahXuLFGg0C4/mellzpiTURikhA3Xqd5AgRenIAHgGTXtp&#10;qMovZTGd5efTcrI4On45mS1mh5PyZX48yYvyvDzKZ+XscvE1hlHM5m1X11IvOy3HDilmv1eB+14d&#10;ajv1yJ9R+Ij/SOJDGleKxMfIB6L8CfUfqH5EU/IKrI/fxH7qkaEtYreE3Wo39N3h2GQrU9+jx5xB&#10;iaMdvBWLDjEvyYf35DCWcIhRG95haZRBdZi9xFlr3OdfnUd8xeOKcsKYQ6V+2pBDcam3GnMEKsMo&#10;uFFYjYLe9BcGTVMkb5KIBy6oUWyc6W8xgc+iFVyRFvCk4rA2iBdhGLaY4EKenSUQJp+lsNTXVoyj&#10;JOb2ZndLzu5bPIC+KzMOQJo/6fQBG0tam7NNME2XxkAkdmAR1McNpmZKwn7Cx7H84z6hvv+HTr8B&#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ZGHHbAQDAADP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4558C6" w:rsidRDefault="004558C6" w:rsidP="00AC3441">
                    <w:pPr>
                      <w:pStyle w:val="Header"/>
                      <w:jc w:val="right"/>
                    </w:pPr>
                    <w:r>
                      <w:t>E/C.12/ECU/Q/4/Add.1</w:t>
                    </w:r>
                  </w:p>
                  <w:p w:rsidR="004558C6" w:rsidRDefault="004558C6"/>
                </w:txbxContent>
              </v:textbox>
              <w10:wrap anchorx="page" anchory="page"/>
              <w10:anchorlock/>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Header"/>
    </w:pPr>
    <w:r>
      <w:t>E/C.12/ECU/Q/4/Add.1</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Header"/>
      <w:jc w:val="right"/>
    </w:pPr>
    <w:r>
      <w:t>E/C.12/ECU/Q/4/Add.1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D6447E">
    <w:pPr>
      <w:pStyle w:val="Header"/>
      <w:jc w:val="right"/>
    </w:pPr>
    <w:r>
      <w:t>E/C.12/ECU/Q/4/Add.1</w:t>
    </w:r>
  </w:p>
  <w:p w:rsidR="004558C6" w:rsidRPr="00ED3A14" w:rsidRDefault="004558C6" w:rsidP="00ED3A14">
    <w:pPr>
      <w:pStyle w:val="Header"/>
      <w:pBdr>
        <w:bottom w:val="none" w:sz="0" w:space="0" w:color="auto"/>
      </w:pBdr>
    </w:pPr>
    <w:r>
      <w:rPr>
        <w:noProof/>
        <w:lang w:val="en-US"/>
      </w:rPr>
      <mc:AlternateContent>
        <mc:Choice Requires="wps">
          <w:drawing>
            <wp:anchor distT="0" distB="0" distL="114300" distR="114300" simplePos="0" relativeHeight="251655680"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ED3A14">
                          <w:pPr>
                            <w:pStyle w:val="Header"/>
                            <w:jc w:val="right"/>
                          </w:pPr>
                          <w:r>
                            <w:t>E/C.12/ECU/Q/4/Add.1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82.35pt;margin-top:56.65pt;width:23pt;height:481.9pt;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1AAMAAMUGAAAOAAAAZHJzL2Uyb0RvYy54bWzEVdtu1DAQfUfiHyy/b5MsaemumqJeWIS0&#10;gkot4nnWcTYRjm1sb3cL4t85dja9AA+AkHhxxvZ4LmfOTE5e7XrFbqXzndEVLw5yzqQWpu70uuIf&#10;bhaTY858IF2TMlpW/E56/ur0+bOTrZ3LqWmNqqVjMKL9fGsr3oZg51nmRSt78gfGSo3LxrieArZu&#10;ndWOtrDeq2ya50fZ1rjaOiOk9zi9HC75abLfNFKE903jZWCq4ogtpNWldRXX7PSE5mtHtu3EPgz6&#10;iyh66jSc3pu6pEBs47qfTPWdcMabJhwI02emaTohUw7Ipsh/yOa6JStTLgDH23uY/L8zK97dXjnW&#10;1RUvOdPUo0Q3chfYudmxMqKztX4OpWsLtbDDMaqcMvV2acQnD5Xskc7wwEM7orFrXB+/yJPhIQpw&#10;dw969CJwOJ1Nixw3AldHBVB4kaqSPby2zoc30vQsChV3KGqKgG6XPkT/NB9VojNvVFcvOqXSJhJJ&#10;XijHbgkUICGkDkMCpGxLw/HoMdEuaiejTwwpzbYVnx1ODxEqgamNogCxt8DO6zVnpNZoARFcCk6b&#10;GEKiVwzuknw7+EpWB945s9F1Umkl1a91zcKdRQU0WoVHd72sOVMSZqOUNAN16nc0AYrSEQHgDJj2&#10;0sDJr7NiWubn09lkcXT8clIuysPJ7GV+PMmL2fnsKC9n5eXiW0yjKOdtV9dSLzstx/4oyt/j375T&#10;B2anDvkzCJ/gH0G8L+NKkfgU8UCWP2n9B6ifwJSiAurjN6GfemRoi9gtYbfaIfworkx9h95yBtRG&#10;G3grFh1yXZIPV+QwjHCIARveY2mUASvMXuKsNe7Lr86jfsXjChphuIGhnzfkQCr1VmN6wGQYBTcK&#10;q1HQm/7CoFmKFE0S8cAFNYqNM/1HzN2z6AVXpAUiqTi8DeJFGEYs5raQZ2dJCfPOUljqayvGERJr&#10;erP7SM7uWzsAtndmHHs0/6HDB91IZW3ONsE0XWr/BxQBedxgVibw93M9DuPH+6T18Pc5/Q4AAP//&#10;AwBQSwMEFAAGAAgAAAAhAPqMjA/kAAAADgEAAA8AAABkcnMvZG93bnJldi54bWxMj0tPwzAQhO9I&#10;/AdrkbhU1A6FpIQ4FUJCHCrxaCuVoxNvkxQ/othtw79ne4LbzO5o9ttiMVrDjjiEzjsJyVQAQ1d7&#10;3blGwmb9cjMHFqJyWhnvUMIPBliUlxeFyrU/uU88rmLDqMSFXEloY+xzzkPdolVh6nt0tNv5wapI&#10;dmi4HtSJyq3ht0Kk3KrO0YVW9fjcYv29OlgJX0ujl2K7+3h7f13PKzvZT+zDXsrrq/HpEVjEMf6F&#10;4YxP6FASU+UPTgdmyN+ndxllSSWzGbBzJE0EjSpSIssS4GXB/79R/gIAAP//AwBQSwECLQAUAAYA&#10;CAAAACEAtoM4kv4AAADhAQAAEwAAAAAAAAAAAAAAAAAAAAAAW0NvbnRlbnRfVHlwZXNdLnhtbFBL&#10;AQItABQABgAIAAAAIQA4/SH/1gAAAJQBAAALAAAAAAAAAAAAAAAAAC8BAABfcmVscy8ucmVsc1BL&#10;AQItABQABgAIAAAAIQCQn/J1AAMAAMUGAAAOAAAAAAAAAAAAAAAAAC4CAABkcnMvZTJvRG9jLnht&#10;bFBLAQItABQABgAIAAAAIQD6jIwP5AAAAA4BAAAPAAAAAAAAAAAAAAAAAFoFAABkcnMvZG93bnJl&#10;di54bWxQSwUGAAAAAAQABADzAAAAawYAAAAA&#10;" fillcolor="#4f81bd [3204]" stroked="f">
              <v:fill opacity="0"/>
              <v:stroke joinstyle="round"/>
              <v:path arrowok="t"/>
              <v:textbox style="layout-flow:vertical" inset="0,0,0,0">
                <w:txbxContent>
                  <w:p w:rsidR="004558C6" w:rsidRDefault="004558C6" w:rsidP="00ED3A14">
                    <w:pPr>
                      <w:pStyle w:val="Header"/>
                      <w:jc w:val="right"/>
                    </w:pPr>
                    <w:r>
                      <w:t>E/C.12/ECU/Q/4/Add.1</w:t>
                    </w:r>
                  </w:p>
                  <w:p w:rsidR="004558C6" w:rsidRDefault="004558C6"/>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ED3A14" w:rsidRDefault="004558C6" w:rsidP="00ED3A14">
    <w:pPr>
      <w:pStyle w:val="Header"/>
      <w:pBdr>
        <w:bottom w:val="none" w:sz="0" w:space="0" w:color="auto"/>
      </w:pBdr>
    </w:pPr>
    <w:r>
      <w:rPr>
        <w:noProof/>
        <w:lang w:val="en-US"/>
      </w:rPr>
      <mc:AlternateContent>
        <mc:Choice Requires="wps">
          <w:drawing>
            <wp:anchor distT="0" distB="0" distL="114300" distR="114300" simplePos="0" relativeHeight="251648000"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ED3A14">
                          <w:pPr>
                            <w:pStyle w:val="Header"/>
                          </w:pPr>
                          <w:r>
                            <w:t>E/C.12/ECU/Q/4/Add.1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82.35pt;margin-top:56.65pt;width:23pt;height:48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lpBAMAAMwGAAAOAAAAZHJzL2Uyb0RvYy54bWzEVUtv2zAMvg/YfxB0T/1YmtVGnSJtlmFA&#10;0BZoh54ZWY6NypImKYm7Yf99lBynrx26YcAuMiVRfHz8SJ+eda0gW25so2RBk6OYEi6ZKhu5LujX&#10;28XohBLrQJYglOQFfeCWnk3fvzvd6Zynqlai5IagEWnznS5o7ZzOo8iymrdgj5TmEi8rZVpwuDXr&#10;qDSwQ+utiNI4nkQ7ZUptFOPW4um8v6TTYL+qOHNXVWW5I6KgGJsLqwnryq/R9BTytQFdN2wfBvxF&#10;FC00Ep0eTM3BAdmY5pWptmFGWVW5I6baSFVVw3jIAbNJ4hfZ3NSgecgFwbH6AJP9d2bZ5fbakKYs&#10;aEqJhBZLdMs7R85VR1KPzk7bHJVuNKq5Do+xyiFTq5eK3VtUiZ7o9A8sans0usq0/ot5EnyIBXg4&#10;gO69MDxMszSJ8Ybh1SRBFD6EqkSPr7Wx7jNXLfFCQQ0WNUQA26V13j/kg4p3ZpVoykUjRNh4IvEL&#10;YcgWkALAGJeuTwCErqE/HjwG2nntYPSZISHJrqDZcXqMoQIytRLgUGw1YmflmhIQa2wB5kwITiof&#10;QqCXD24Otu59Bas974zayDKo1BzKT7Ik7kFjBSS2CvXuWl5SIjia9VLQdNCIt2giKEJ6BBBnhGkv&#10;9Zz8kSXpOD5Ps9FicvJxNF6Mj0fZx/hkFCfZeTaJx9l4vvjp00jGed2UJZfLRvKhP5Lx2/i379Se&#10;2aFD/gzCZ/h7EA9lXAlg9x4PzPKV1n+A+hlMISpEffgG9EOP9G3hu8V1qy50XTL02EqVD9hiRiHD&#10;sRusZosGU16CdddgcCbhIc5Zd4VLJRSSQ+0lSmplvv/u3OsX1K/IJpxxSNRvGzDILfFF4hBBk24Q&#10;zCCsBkFu2guFPZOEaIKID4wTg1gZ1d7h+J15L3gFkmEkBUVvvXjh+kmL45vx2Swo4djT4JbyRrNh&#10;kvjS3nZ3YPS+wx2id6mG6Qf5i0bvdT2jpZptnKqaMAU8rj2KiLzf4MgMNdiPdz+Tn+6D1uNPaPoL&#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oL9JaQQDAADM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4558C6" w:rsidRDefault="004558C6" w:rsidP="00ED3A14">
                    <w:pPr>
                      <w:pStyle w:val="Header"/>
                    </w:pPr>
                    <w:r>
                      <w:t>E/C.12/ECU/Q/4/Add.1</w:t>
                    </w:r>
                  </w:p>
                  <w:p w:rsidR="004558C6" w:rsidRDefault="004558C6"/>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4917F7" w:rsidRDefault="004558C6" w:rsidP="00E9126A">
    <w:pPr>
      <w:pStyle w:val="Header"/>
    </w:pPr>
    <w:r>
      <w:t>E/C.12/ECU/Q/4/Add.1</w:t>
    </w:r>
    <w:r>
      <w:rPr>
        <w:noProof/>
        <w:lang w:val="en-US"/>
      </w:rPr>
      <mc:AlternateContent>
        <mc:Choice Requires="wps">
          <w:drawing>
            <wp:anchor distT="0" distB="0" distL="114300" distR="114300" simplePos="0" relativeHeight="251652096"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4917F7">
                          <w:pPr>
                            <w:pStyle w:val="Header"/>
                          </w:pPr>
                          <w:r>
                            <w:t>E/C.12/ECU/Q/4/Add.1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82.35pt;margin-top:56.65pt;width:23pt;height:481.9pt;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fmaBQMAAMwGAAAOAAAAZHJzL2Uyb0RvYy54bWzEVV1v0zAUfUfiP1h+75KUbqzVsmkfFCFV&#10;26QN7fnWcZpojm1sd+1A/HeOnWawwQMgJF6ca/v6fpx77s3RybZT7EE63xpd8mIv50xqYapWr0r+&#10;8XY+OuTMB9IVKaNlyR+l5yfHr18dbexMjk1jVCUdgxHtZxtb8iYEO8syLxrZkd8zVmpc1sZ1FLB1&#10;q6xytIH1TmXjPD/INsZV1hkhvcfpRX/Jj5P9upYiXNW1l4GpkiO2kFaX1mVcs+Mjmq0c2aYVuzDo&#10;L6LoqNVw+mTqggKxtWt/MtW1whlv6rAnTJeZum6FTDkgmyJ/kc1NQ1amXACOt08w+X9nVlw+XDvW&#10;ViVHoTR1KNGt3AZ2ZrbsMKKzsX4GpRsLtbDFMaqcMvV2YcS9h0r2g07/wEM7orGtXRe/yJPhIQrw&#10;+AR69CJwOJ6Oixw3AlcHBVB4k6qSfX9tnQ/vpelYFEruUNQUAT0sfIj+aTaoRGfeqLaat0qlTSSS&#10;PFeOPRAoQEJIHfoESNmG+uPBY6Jd1E5GnxlSmm1KPt0f7yNUAlNrRQFiZ4Gd1yvOSK3QAiK4FJw2&#10;MYRErxjcBfmm95Ws9rxzZq2rpNJIqt7pioVHiwpotAqP7jpZcaYkzEYpaQZq1e9oAhSlIwLAGTDt&#10;pJ6TX6bFeJKfjaej+cHh29FkPtkfTd/mh6O8mJ5ND/LJdHIx/xrTKCazpq0qqRetlkN/FJPf49+u&#10;U3tmpw75Mwif4R9BfCrjUpG4j3ggy5+0/gPUz2BKUQH14ZvQTz3St0XslrBdblPXTYYeW5rqES3m&#10;DBiObvBWzFukvCAfrslhJuEQczZcYamVATnMTuKsMe7zr86jfsnjCjZhxoGon9bkwC31QWOIwGQY&#10;BDcIy0HQ6+7coGeKFE0S8cAFNYi1M90dxu9p9IIr0gKRlBzeevE89JMW41vI09OkhLFnKSz0jRXD&#10;JImlvd3ekbO7Dg9A79IM049mLxq9142M1uZ0HUzdpikQce1RBPJxg5GZarAb73Em/7hPWt9/Qsff&#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PY9+Zo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4558C6" w:rsidRDefault="004558C6" w:rsidP="004917F7">
                    <w:pPr>
                      <w:pStyle w:val="Header"/>
                    </w:pPr>
                    <w:r>
                      <w:t>E/C.12/ECU/Q/4/Add.1</w:t>
                    </w:r>
                  </w:p>
                  <w:p w:rsidR="004558C6" w:rsidRDefault="004558C6"/>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Header"/>
      <w:jc w:val="right"/>
    </w:pPr>
    <w:r>
      <w:t>E/C.12/ECU/Q/4/Add.1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4917F7" w:rsidRDefault="004558C6" w:rsidP="00E87890">
    <w:pPr>
      <w:pStyle w:val="Header"/>
      <w:pBdr>
        <w:bottom w:val="none" w:sz="0" w:space="0" w:color="auto"/>
      </w:pBdr>
    </w:pPr>
    <w:r>
      <w:rPr>
        <w:noProof/>
        <w:lang w:val="en-US"/>
      </w:rPr>
      <mc:AlternateContent>
        <mc:Choice Requires="wps">
          <w:drawing>
            <wp:anchor distT="0" distB="0" distL="114300" distR="114300" simplePos="0" relativeHeight="251667456" behindDoc="0" locked="1" layoutInCell="1" allowOverlap="1" wp14:anchorId="10A63ABE" wp14:editId="542854AD">
              <wp:simplePos x="0" y="0"/>
              <wp:positionH relativeFrom="page">
                <wp:posOffset>9935845</wp:posOffset>
              </wp:positionH>
              <wp:positionV relativeFrom="page">
                <wp:posOffset>719455</wp:posOffset>
              </wp:positionV>
              <wp:extent cx="292100" cy="6120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4917F7">
                          <w:pPr>
                            <w:pStyle w:val="Header"/>
                          </w:pPr>
                          <w:r>
                            <w:t>E/C.12/ECU/Q/4/Add.1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63ABE" id="_x0000_t202" coordsize="21600,21600" o:spt="202" path="m,l,21600r21600,l21600,xe">
              <v:stroke joinstyle="miter"/>
              <v:path gradientshapeok="t" o:connecttype="rect"/>
            </v:shapetype>
            <v:shape id="Text Box 22" o:spid="_x0000_s1031" type="#_x0000_t202" style="position:absolute;margin-left:782.35pt;margin-top:56.65pt;width:23pt;height:481.9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zdBgMAAM4GAAAOAAAAZHJzL2Uyb0RvYy54bWzEVdtuEzEQfUfiHyy/p3shLU3ULeqFIKSo&#10;ILWozxOvN7vCaxvbaVIQ/86xN1to4QEQEi/esT2ey5kzsyevdr1id9L5zuiKFwc5Z1ILU3d6XfEP&#10;N4vJMWc+kK5JGS0rfi89f3X6/NnJ1s5laVqjaukYjGg/39qKtyHYeZZ50cqe/IGxUuOyMa6ngK1b&#10;Z7WjLaz3Kivz/CjbGldbZ4T0HqeXwyU/TfabRorwrmm8DExVHLGFtLq0ruKanZ7QfO3Itp3Yh0F/&#10;EUVPnYbTB1OXFIhtXPeTqb4TznjThANh+sw0TSdkygHZFPmTbK5bsjLlAnC8fYDJ/zuz4uruvWNd&#10;XfGy5ExTjxrdyF1g52bHcAR8ttbPoXZtoRh2OEedU67eLo346KGS/aAzPPDQjnjsGtfHLzJleIgS&#10;3D/AHt0IHJazsshxI3B1VACHF6ku2ffX1vnwRpqeRaHiDmVNEdDd0ofon+ajSnTmjerqRadU2kQq&#10;yQvl2B2BBCSE1GFIgJRtaTgePSbiRe1k9JEhpdm24rPD8hChErjaKAoQewv0vF5zRmqNJhDBpeC0&#10;iSEkgsXgLsm3g69kdWCeMxtdJ5VWUv1a1yzcW5RAo1l4dNfLmjMlYTZKSTNQp35HE6AoHREAzoBp&#10;Lw2s/DIryml+Xs4mi6Pjl5PpYno4mb3Mjyd5MTufHeXT2fRy8TWmUUznbVfXUi87LccOKaa/x8B9&#10;rw7cTj3yZxA+wj+C+FDGlSLxMeKBLH/S+g9QP4IpRQXUx29CP/XI0BaxW8JutUt9dzj22MrU92gx&#10;Z8BwdIO3YtEh5SX58J4cphIOMWnDOyyNMiCH2UuctcZ9/tV51K94XMEmTDkQ9dOGHLil3mqMEZgM&#10;o+BGYTUKetNfGPRMkaJJIh64oEaxcaa/xQA+i15wRVogkorD2yBehGHWYoALeXaWlDD4LIWlvrZi&#10;nCSxtDe7W3J23+EB6F2Zcf7R/EmjD7qR0dqcbYJpujQFIq4DikA+bjA0Uw32Az5O5R/3Sev7b+j0&#10;GwAAAP//AwBQSwMEFAAGAAgAAAAhAPqMjA/kAAAADgEAAA8AAABkcnMvZG93bnJldi54bWxMj0tP&#10;wzAQhO9I/AdrkbhU1A6FpIQ4FUJCHCrxaCuVoxNvkxQ/othtw79ne4LbzO5o9ttiMVrDjjiEzjsJ&#10;yVQAQ1d73blGwmb9cjMHFqJyWhnvUMIPBliUlxeFyrU/uU88rmLDqMSFXEloY+xzzkPdolVh6nt0&#10;tNv5wapIdmi4HtSJyq3ht0Kk3KrO0YVW9fjcYv29OlgJX0ujl2K7+3h7f13PKzvZT+zDXsrrq/Hp&#10;EVjEMf6F4YxP6FASU+UPTgdmyN+ndxllSSWzGbBzJE0EjSpSIssS4GXB/79R/gIAAP//AwBQSwEC&#10;LQAUAAYACAAAACEAtoM4kv4AAADhAQAAEwAAAAAAAAAAAAAAAAAAAAAAW0NvbnRlbnRfVHlwZXNd&#10;LnhtbFBLAQItABQABgAIAAAAIQA4/SH/1gAAAJQBAAALAAAAAAAAAAAAAAAAAC8BAABfcmVscy8u&#10;cmVsc1BLAQItABQABgAIAAAAIQAELFzdBgMAAM4GAAAOAAAAAAAAAAAAAAAAAC4CAABkcnMvZTJv&#10;RG9jLnhtbFBLAQItABQABgAIAAAAIQD6jIwP5AAAAA4BAAAPAAAAAAAAAAAAAAAAAGAFAABkcnMv&#10;ZG93bnJldi54bWxQSwUGAAAAAAQABADzAAAAcQYAAAAA&#10;" fillcolor="#4f81bd [3204]" stroked="f">
              <v:fill opacity="0"/>
              <v:stroke joinstyle="round"/>
              <v:path arrowok="t"/>
              <v:textbox style="layout-flow:vertical" inset="0,0,0,0">
                <w:txbxContent>
                  <w:p w:rsidR="004558C6" w:rsidRDefault="004558C6" w:rsidP="004917F7">
                    <w:pPr>
                      <w:pStyle w:val="Header"/>
                    </w:pPr>
                    <w:r>
                      <w:t>E/C.12/ECU/Q/4/Add.1</w:t>
                    </w:r>
                  </w:p>
                  <w:p w:rsidR="004558C6" w:rsidRDefault="004558C6"/>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4917F7" w:rsidRDefault="004558C6" w:rsidP="004917F7">
    <w:pPr>
      <w:pStyle w:val="Header"/>
      <w:pBdr>
        <w:bottom w:val="none" w:sz="0" w:space="0" w:color="auto"/>
      </w:pBdr>
    </w:pPr>
    <w:r>
      <w:rPr>
        <w:noProof/>
        <w:lang w:val="en-US"/>
      </w:rPr>
      <mc:AlternateContent>
        <mc:Choice Requires="wps">
          <w:drawing>
            <wp:anchor distT="0" distB="0" distL="114300" distR="114300" simplePos="0" relativeHeight="251651072"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4917F7">
                          <w:pPr>
                            <w:pStyle w:val="Header"/>
                            <w:jc w:val="right"/>
                          </w:pPr>
                          <w:r>
                            <w:t>E/C.12/ECU/Q/4/Add.1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782.35pt;margin-top:56.65pt;width:23pt;height:48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UBAMAAMwGAAAOAAAAZHJzL2Uyb0RvYy54bWzEVV1v0zAUfUfiP1h+75KUrqzVsmkfFCFV&#10;G9KGeL51nCaaYxvbXTsQ/51jp9kY8AAIiRfn2r6+H+eee3N8uusUu5fOt0aXvDjIOZNamKrV65J/&#10;uF2MjjjzgXRFymhZ8gfp+enJyxfHWzuXY9MYVUnHYET7+daWvAnBzrPMi0Z25A+MlRqXtXEdBWzd&#10;OqscbWG9U9k4z6fZ1rjKOiOk9zi97C/5SbJf11KE67r2MjBVcsQW0urSuoprdnJM87Uj27RiHwb9&#10;RRQdtRpOH01dUiC2ce1PprpWOONNHQ6E6TJT162QKQdkU+Q/ZHPTkJUpF4Dj7SNM/t+ZFVf37x1r&#10;q5JPOdPUoUS3chfYudmxaURna/0cSjcWamGHY1Q5Zert0og7D5XsO53+gYd2RGNXuy5+kSfDQxTg&#10;4RH06EXgcDwbFzluBK6mBVB4laqSPb22zoe30nQsCiV3KGqKgO6XPkT/NB9UojNvVFstWqXSJhJJ&#10;XijH7gkUICGkDn0CpGxD/fHgMdEuaiejzwwpzbYlnx2ODxEqgam1ogCxs8DO6zVnpNZoARFcCk6b&#10;GEKiVwzuknzT+0pWe945s9FVUmkkVW90xcKDRQU0WoVHd52sOFMSZqOUNAO16nc0AYrSEQHgDJj2&#10;Us/JL7NiPMnPx7PRYnr0ejRZTA5Hs9f50SgvZuezaT6ZTS4XX2MaxWTetFUl9bLVcuiPYvJ7/Nt3&#10;as/s1CF/BuEz/COIj2VcKRJ3EQ9k+ZPWf4D6GUwpKqA+fBP6qUf6tojdEnar3b7rkEU8WZnqAS3m&#10;DBiObvBWLFqkvCQf3pPDTMIh5my4xlIrA3KYvcRZY9znX51H/ZLHFWzCjANRP23IgVvqncYQgckw&#10;CG4QVoOgN92FQc8UKZok4oELahBrZ7qPGL9n0QuuSAtEUnJ468WL0E9ajG8hz86SEsaepbDUN1YM&#10;kySW9nb3kZzdd3gAeldmmH40/6HRe93IaG3ONsHUbZoCTygC+bjByEw12I/3OJO/3yetp5/QyTcA&#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7NP61AQDAADM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4558C6" w:rsidRDefault="004558C6" w:rsidP="004917F7">
                    <w:pPr>
                      <w:pStyle w:val="Header"/>
                      <w:jc w:val="right"/>
                    </w:pPr>
                    <w:r>
                      <w:t>E/C.12/ECU/Q/4/Add.1</w:t>
                    </w:r>
                  </w:p>
                  <w:p w:rsidR="004558C6" w:rsidRDefault="004558C6"/>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Pr="008438F9" w:rsidRDefault="004558C6" w:rsidP="008438F9">
    <w:pPr>
      <w:pStyle w:val="Header"/>
      <w:pBdr>
        <w:bottom w:val="none" w:sz="0" w:space="0" w:color="auto"/>
      </w:pBdr>
    </w:pPr>
    <w:r>
      <w:rPr>
        <w:noProof/>
        <w:lang w:val="en-US"/>
      </w:rPr>
      <mc:AlternateContent>
        <mc:Choice Requires="wps">
          <w:drawing>
            <wp:anchor distT="0" distB="0" distL="114300" distR="114300" simplePos="0" relativeHeight="251661312"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558C6" w:rsidRDefault="004558C6" w:rsidP="008438F9">
                          <w:pPr>
                            <w:pStyle w:val="Header"/>
                          </w:pPr>
                          <w:r>
                            <w:t>E/C.12/ECU/Q/4/Add.1</w:t>
                          </w:r>
                        </w:p>
                        <w:p w:rsidR="004558C6" w:rsidRDefault="004558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782.35pt;margin-top:56.65pt;width:23pt;height:481.9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FbBAMAAM4GAAAOAAAAZHJzL2Uyb0RvYy54bWzEVVtv0zAUfkfiP1h+75KUbizVMrQLRUjV&#10;QNrQnk8dp4lwbGO7awfiv/PZaQYbPABC4sU5tj+fy3cuOXm16xW7k853Rle8OMg5k1qYutPrin+4&#10;WUyOOfOBdE3KaFnxe+n5q9Pnz062di6npjWqlo5Bifbzra14G4KdZ5kXrezJHxgrNS4b43oK2Lp1&#10;VjvaQnuvsmmeH2Vb42rrjJDe4/RyuOSnSX/TSBHeNY2XgamKw7eQVpfWVVyz0xOarx3ZthN7N+gv&#10;vOip0zD6oOqSArGN635S1XfCGW+acCBMn5mm6YRMMSCaIn8SzXVLVqZYQI63DzT5f6dWXN29d6yr&#10;kbspZ5p65OhG7gI7NzuGI/CztX4O2LUFMOxwDmyK1dulER89INkPmOGBBzrysWtcH7+IlOEhUnD/&#10;QHs0I3A4LadFjhuBq6MCPLxIecm+v7bOhzfS9CwKFXdIa/KA7pY+RPs0HyHRmDeqqxedUmkTS0le&#10;KMfuCEVAQkgdhgBI2ZaG49FiKryITkofKVKabSteHk4P4SqhVhtFAWJvwZ7Xa85IrdEEIrjknDbR&#10;hVRg0blL8u1gK2kdKs+Zja4TpJVUv9Y1C/cWKdBoFh7N9bLmTEmojVJCBurU7yBBitKRAfAMmvbS&#10;UJVfymI6y8+n5WRxdPxyMlvMDifly/x4khfleXmUz8rZ5eJrDKOYzduurqVedlqOHVLMfq8C9706&#10;1HbqkT+j8BH/kcSHNK4UiY+RD0T5E+o/UP2IpuQVWB+/if3UI0NbxG4Ju9Uu9V059tjK1PdoMWdQ&#10;4egGb8WiQ8hL8uE9OUwlHGLShndYGmVQHGYvcdYa9/lX5xFf8biimjDlUKifNuRQW+qtxhiByjAK&#10;bhRWo6A3/YVBzxTJmyTigQtqFBtn+lsM4LNoBVekBTypOKwN4kUYZi0GuJBnZwmEwWcpLPW1FeMk&#10;iam92d2Ss/sOD2Dvyozzj+ZPGn3AxorW5mwTTNOlKRB5HVgE83GDoZlysB/wcSr/uE+o77+h028A&#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nTjxWwQDAADOBgAADgAAAAAAAAAAAAAAAAAuAgAAZHJzL2Uyb0Rv&#10;Yy54bWxQSwECLQAUAAYACAAAACEA+oyMD+QAAAAOAQAADwAAAAAAAAAAAAAAAABeBQAAZHJzL2Rv&#10;d25yZXYueG1sUEsFBgAAAAAEAAQA8wAAAG8GAAAAAA==&#10;" fillcolor="#4f81bd [3204]" stroked="f">
              <v:fill opacity="0"/>
              <v:stroke joinstyle="round"/>
              <v:path arrowok="t"/>
              <v:textbox style="layout-flow:vertical" inset="0,0,0,0">
                <w:txbxContent>
                  <w:p w:rsidR="004558C6" w:rsidRDefault="004558C6" w:rsidP="008438F9">
                    <w:pPr>
                      <w:pStyle w:val="Header"/>
                    </w:pPr>
                    <w:r>
                      <w:t>E/C.12/ECU/Q/4/Add.1</w:t>
                    </w:r>
                  </w:p>
                  <w:p w:rsidR="004558C6" w:rsidRDefault="004558C6"/>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6" w:rsidRDefault="004558C6" w:rsidP="00586D12">
    <w:pPr>
      <w:pStyle w:val="Header"/>
      <w:jc w:val="right"/>
    </w:pPr>
    <w:r>
      <w:t>E/C.12/ECU/Q/4/Add.1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D2E28"/>
    <w:multiLevelType w:val="multilevel"/>
    <w:tmpl w:val="0809001D"/>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C"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CA" w:vendorID="64" w:dllVersion="131078" w:nlCheck="1" w:checkStyle="1"/>
  <w:attachedTemplate r:id="rId1"/>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CA"/>
    <w:rsid w:val="00006C56"/>
    <w:rsid w:val="00046E92"/>
    <w:rsid w:val="000D1B89"/>
    <w:rsid w:val="00100BE9"/>
    <w:rsid w:val="00112209"/>
    <w:rsid w:val="001170DC"/>
    <w:rsid w:val="00185181"/>
    <w:rsid w:val="001A5503"/>
    <w:rsid w:val="001E4FC7"/>
    <w:rsid w:val="0021159C"/>
    <w:rsid w:val="00226CB2"/>
    <w:rsid w:val="00245093"/>
    <w:rsid w:val="00247E2C"/>
    <w:rsid w:val="00262179"/>
    <w:rsid w:val="00277A1F"/>
    <w:rsid w:val="00281A0C"/>
    <w:rsid w:val="0028273D"/>
    <w:rsid w:val="00293DE4"/>
    <w:rsid w:val="002D6C53"/>
    <w:rsid w:val="002F5595"/>
    <w:rsid w:val="003347D3"/>
    <w:rsid w:val="00334F6A"/>
    <w:rsid w:val="003374CA"/>
    <w:rsid w:val="00342AC8"/>
    <w:rsid w:val="003530C3"/>
    <w:rsid w:val="003B4550"/>
    <w:rsid w:val="003E2F31"/>
    <w:rsid w:val="003E57AF"/>
    <w:rsid w:val="00425701"/>
    <w:rsid w:val="0043448D"/>
    <w:rsid w:val="004558C6"/>
    <w:rsid w:val="00461253"/>
    <w:rsid w:val="004917F7"/>
    <w:rsid w:val="004B10D6"/>
    <w:rsid w:val="004D05C1"/>
    <w:rsid w:val="004F7544"/>
    <w:rsid w:val="005042C2"/>
    <w:rsid w:val="00506C12"/>
    <w:rsid w:val="00551761"/>
    <w:rsid w:val="00563A85"/>
    <w:rsid w:val="00564F20"/>
    <w:rsid w:val="0056599A"/>
    <w:rsid w:val="005806BE"/>
    <w:rsid w:val="00586D12"/>
    <w:rsid w:val="00587690"/>
    <w:rsid w:val="005E0554"/>
    <w:rsid w:val="005F609A"/>
    <w:rsid w:val="00600385"/>
    <w:rsid w:val="00671529"/>
    <w:rsid w:val="006A0CE9"/>
    <w:rsid w:val="006A4331"/>
    <w:rsid w:val="00717266"/>
    <w:rsid w:val="007239EC"/>
    <w:rsid w:val="007268F9"/>
    <w:rsid w:val="007814BC"/>
    <w:rsid w:val="00795C81"/>
    <w:rsid w:val="007C52B0"/>
    <w:rsid w:val="007D4D2A"/>
    <w:rsid w:val="007F279E"/>
    <w:rsid w:val="0080671A"/>
    <w:rsid w:val="008438F9"/>
    <w:rsid w:val="0086053F"/>
    <w:rsid w:val="00896667"/>
    <w:rsid w:val="008C3A09"/>
    <w:rsid w:val="008D652D"/>
    <w:rsid w:val="0090193E"/>
    <w:rsid w:val="00907037"/>
    <w:rsid w:val="00926D7D"/>
    <w:rsid w:val="009411B4"/>
    <w:rsid w:val="00975936"/>
    <w:rsid w:val="009D0139"/>
    <w:rsid w:val="009F5CDC"/>
    <w:rsid w:val="00A1043C"/>
    <w:rsid w:val="00A1112A"/>
    <w:rsid w:val="00A21CD2"/>
    <w:rsid w:val="00A429CD"/>
    <w:rsid w:val="00A775CF"/>
    <w:rsid w:val="00A77E8C"/>
    <w:rsid w:val="00A92E7D"/>
    <w:rsid w:val="00AB3C7E"/>
    <w:rsid w:val="00AC3441"/>
    <w:rsid w:val="00AD1022"/>
    <w:rsid w:val="00AE14C8"/>
    <w:rsid w:val="00B06045"/>
    <w:rsid w:val="00B16D76"/>
    <w:rsid w:val="00B451ED"/>
    <w:rsid w:val="00B81FAF"/>
    <w:rsid w:val="00B82E90"/>
    <w:rsid w:val="00B93E6D"/>
    <w:rsid w:val="00BB01C9"/>
    <w:rsid w:val="00BB6C88"/>
    <w:rsid w:val="00C0283A"/>
    <w:rsid w:val="00C35A27"/>
    <w:rsid w:val="00CD60FE"/>
    <w:rsid w:val="00CF1EDE"/>
    <w:rsid w:val="00CF2A5F"/>
    <w:rsid w:val="00D2528F"/>
    <w:rsid w:val="00D346F0"/>
    <w:rsid w:val="00D62DA1"/>
    <w:rsid w:val="00D6447E"/>
    <w:rsid w:val="00D830DB"/>
    <w:rsid w:val="00DE2632"/>
    <w:rsid w:val="00DF4367"/>
    <w:rsid w:val="00E016B2"/>
    <w:rsid w:val="00E02C2B"/>
    <w:rsid w:val="00E311B9"/>
    <w:rsid w:val="00E47AF3"/>
    <w:rsid w:val="00E6096A"/>
    <w:rsid w:val="00E75FA1"/>
    <w:rsid w:val="00E82907"/>
    <w:rsid w:val="00E87890"/>
    <w:rsid w:val="00E9126A"/>
    <w:rsid w:val="00ED3A14"/>
    <w:rsid w:val="00ED3FB2"/>
    <w:rsid w:val="00ED6C48"/>
    <w:rsid w:val="00EF3BB8"/>
    <w:rsid w:val="00F65F5D"/>
    <w:rsid w:val="00F715B1"/>
    <w:rsid w:val="00F776F4"/>
    <w:rsid w:val="00F86A3A"/>
    <w:rsid w:val="00FA5097"/>
    <w:rsid w:val="00FB02C3"/>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79DB7AD-15A2-4FEC-B27F-7F6D2F73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EF3BB8"/>
    <w:pPr>
      <w:spacing w:after="0"/>
      <w:ind w:right="0"/>
      <w:jc w:val="left"/>
      <w:outlineLvl w:val="0"/>
    </w:pPr>
  </w:style>
  <w:style w:type="paragraph" w:styleId="Heading2">
    <w:name w:val="heading 2"/>
    <w:basedOn w:val="Normal"/>
    <w:next w:val="Normal"/>
    <w:link w:val="Heading2Char"/>
    <w:semiHidden/>
    <w:rsid w:val="007268F9"/>
    <w:pPr>
      <w:numPr>
        <w:ilvl w:val="1"/>
        <w:numId w:val="1"/>
      </w:numPr>
      <w:spacing w:line="240" w:lineRule="auto"/>
      <w:outlineLvl w:val="1"/>
    </w:pPr>
    <w:rPr>
      <w:rFonts w:eastAsia="SimSun"/>
      <w:lang w:eastAsia="zh-CN"/>
    </w:rPr>
  </w:style>
  <w:style w:type="paragraph" w:styleId="Heading3">
    <w:name w:val="heading 3"/>
    <w:basedOn w:val="Normal"/>
    <w:next w:val="Normal"/>
    <w:link w:val="Heading3Char"/>
    <w:semiHidden/>
    <w:rsid w:val="007268F9"/>
    <w:pPr>
      <w:numPr>
        <w:ilvl w:val="2"/>
        <w:numId w:val="1"/>
      </w:numPr>
      <w:spacing w:line="240" w:lineRule="auto"/>
      <w:outlineLvl w:val="2"/>
    </w:pPr>
    <w:rPr>
      <w:rFonts w:eastAsia="SimSun"/>
      <w:lang w:eastAsia="zh-CN"/>
    </w:rPr>
  </w:style>
  <w:style w:type="paragraph" w:styleId="Heading4">
    <w:name w:val="heading 4"/>
    <w:basedOn w:val="Normal"/>
    <w:next w:val="Normal"/>
    <w:link w:val="Heading4Char"/>
    <w:semiHidden/>
    <w:rsid w:val="007268F9"/>
    <w:pPr>
      <w:numPr>
        <w:ilvl w:val="3"/>
        <w:numId w:val="1"/>
      </w:numPr>
      <w:spacing w:line="240" w:lineRule="auto"/>
      <w:outlineLvl w:val="3"/>
    </w:pPr>
    <w:rPr>
      <w:rFonts w:eastAsia="SimSun"/>
      <w:lang w:eastAsia="zh-CN"/>
    </w:rPr>
  </w:style>
  <w:style w:type="paragraph" w:styleId="Heading5">
    <w:name w:val="heading 5"/>
    <w:basedOn w:val="Normal"/>
    <w:next w:val="Normal"/>
    <w:link w:val="Heading5Char"/>
    <w:semiHidden/>
    <w:rsid w:val="007268F9"/>
    <w:pPr>
      <w:numPr>
        <w:ilvl w:val="4"/>
        <w:numId w:val="1"/>
      </w:numPr>
      <w:spacing w:line="240" w:lineRule="auto"/>
      <w:outlineLvl w:val="4"/>
    </w:pPr>
    <w:rPr>
      <w:rFonts w:eastAsia="SimSun"/>
      <w:lang w:eastAsia="zh-CN"/>
    </w:rPr>
  </w:style>
  <w:style w:type="paragraph" w:styleId="Heading6">
    <w:name w:val="heading 6"/>
    <w:basedOn w:val="Normal"/>
    <w:next w:val="Normal"/>
    <w:link w:val="Heading6Char"/>
    <w:semiHidden/>
    <w:rsid w:val="007268F9"/>
    <w:pPr>
      <w:numPr>
        <w:ilvl w:val="5"/>
        <w:numId w:val="1"/>
      </w:numPr>
      <w:spacing w:line="240" w:lineRule="auto"/>
      <w:outlineLvl w:val="5"/>
    </w:pPr>
    <w:rPr>
      <w:rFonts w:eastAsia="SimSun"/>
      <w:lang w:eastAsia="zh-CN"/>
    </w:rPr>
  </w:style>
  <w:style w:type="paragraph" w:styleId="Heading7">
    <w:name w:val="heading 7"/>
    <w:basedOn w:val="Normal"/>
    <w:next w:val="Normal"/>
    <w:link w:val="Heading7Char"/>
    <w:semiHidden/>
    <w:rsid w:val="007268F9"/>
    <w:pPr>
      <w:numPr>
        <w:ilvl w:val="6"/>
        <w:numId w:val="1"/>
      </w:numPr>
      <w:spacing w:line="240" w:lineRule="auto"/>
      <w:outlineLvl w:val="6"/>
    </w:pPr>
    <w:rPr>
      <w:rFonts w:eastAsia="SimSun"/>
      <w:lang w:eastAsia="zh-CN"/>
    </w:rPr>
  </w:style>
  <w:style w:type="paragraph" w:styleId="Heading8">
    <w:name w:val="heading 8"/>
    <w:basedOn w:val="Normal"/>
    <w:next w:val="Normal"/>
    <w:link w:val="Heading8Char"/>
    <w:semiHidden/>
    <w:rsid w:val="007268F9"/>
    <w:pPr>
      <w:numPr>
        <w:ilvl w:val="7"/>
        <w:numId w:val="1"/>
      </w:numPr>
      <w:spacing w:line="240" w:lineRule="auto"/>
      <w:outlineLvl w:val="7"/>
    </w:pPr>
    <w:rPr>
      <w:rFonts w:eastAsia="SimSun"/>
      <w:lang w:eastAsia="zh-CN"/>
    </w:rPr>
  </w:style>
  <w:style w:type="paragraph" w:styleId="Heading9">
    <w:name w:val="heading 9"/>
    <w:basedOn w:val="Normal"/>
    <w:next w:val="Normal"/>
    <w:link w:val="Heading9Char"/>
    <w:semiHidden/>
    <w:rsid w:val="007268F9"/>
    <w:pPr>
      <w:numPr>
        <w:ilvl w:val="8"/>
        <w:numId w:val="1"/>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F3BB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F3BB8"/>
    <w:rPr>
      <w:rFonts w:ascii="Times New Roman" w:hAnsi="Times New Roman" w:cs="Times New Roman"/>
      <w:b/>
      <w:sz w:val="18"/>
      <w:szCs w:val="20"/>
    </w:rPr>
  </w:style>
  <w:style w:type="paragraph" w:styleId="Footer">
    <w:name w:val="footer"/>
    <w:aliases w:val="3_G"/>
    <w:basedOn w:val="Normal"/>
    <w:link w:val="FooterChar"/>
    <w:rsid w:val="00EF3BB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EF3BB8"/>
    <w:rPr>
      <w:rFonts w:ascii="Times New Roman" w:hAnsi="Times New Roman" w:cs="Times New Roman"/>
      <w:sz w:val="16"/>
      <w:szCs w:val="20"/>
    </w:rPr>
  </w:style>
  <w:style w:type="paragraph" w:customStyle="1" w:styleId="HMG">
    <w:name w:val="_ H __M_G"/>
    <w:basedOn w:val="Normal"/>
    <w:next w:val="Normal"/>
    <w:rsid w:val="00EF3BB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F3BB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F3BB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F3BB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F3BB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F3BB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EF3BB8"/>
    <w:pPr>
      <w:suppressAutoHyphens w:val="0"/>
      <w:spacing w:after="120"/>
      <w:ind w:left="1134" w:right="1134"/>
      <w:jc w:val="both"/>
    </w:pPr>
    <w:rPr>
      <w:rFonts w:eastAsia="SimSun"/>
      <w:lang w:eastAsia="zh-CN"/>
    </w:rPr>
  </w:style>
  <w:style w:type="paragraph" w:customStyle="1" w:styleId="SLG">
    <w:name w:val="__S_L_G"/>
    <w:basedOn w:val="Normal"/>
    <w:next w:val="Normal"/>
    <w:rsid w:val="00EF3BB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EF3BB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EF3BB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F3BB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EF3BB8"/>
    <w:pPr>
      <w:numPr>
        <w:numId w:val="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EF3BB8"/>
    <w:pPr>
      <w:numPr>
        <w:numId w:val="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EF3BB8"/>
    <w:pPr>
      <w:numPr>
        <w:numId w:val="5"/>
      </w:numPr>
    </w:pPr>
  </w:style>
  <w:style w:type="numbering" w:styleId="111111">
    <w:name w:val="Outline List 2"/>
    <w:basedOn w:val="NoList"/>
    <w:semiHidden/>
    <w:rsid w:val="00EF3BB8"/>
    <w:pPr>
      <w:numPr>
        <w:numId w:val="6"/>
      </w:numPr>
    </w:pPr>
  </w:style>
  <w:style w:type="numbering" w:styleId="1ai">
    <w:name w:val="Outline List 1"/>
    <w:basedOn w:val="NoList"/>
    <w:semiHidden/>
    <w:rsid w:val="00EF3BB8"/>
    <w:pPr>
      <w:numPr>
        <w:numId w:val="7"/>
      </w:numPr>
    </w:pPr>
  </w:style>
  <w:style w:type="character" w:styleId="EndnoteReference">
    <w:name w:val="endnote reference"/>
    <w:aliases w:val="1_G"/>
    <w:rsid w:val="00EF3BB8"/>
    <w:rPr>
      <w:rFonts w:ascii="Times New Roman" w:hAnsi="Times New Roman"/>
      <w:sz w:val="18"/>
      <w:vertAlign w:val="superscript"/>
    </w:rPr>
  </w:style>
  <w:style w:type="paragraph" w:styleId="FootnoteText">
    <w:name w:val="footnote text"/>
    <w:aliases w:val="5_G"/>
    <w:basedOn w:val="Normal"/>
    <w:link w:val="FootnoteTextChar"/>
    <w:rsid w:val="00EF3BB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F3BB8"/>
    <w:rPr>
      <w:rFonts w:ascii="Times New Roman" w:hAnsi="Times New Roman" w:cs="Times New Roman"/>
      <w:sz w:val="18"/>
      <w:szCs w:val="20"/>
    </w:rPr>
  </w:style>
  <w:style w:type="paragraph" w:styleId="EndnoteText">
    <w:name w:val="endnote text"/>
    <w:aliases w:val="2_G"/>
    <w:basedOn w:val="FootnoteText"/>
    <w:link w:val="EndnoteTextChar"/>
    <w:rsid w:val="00EF3BB8"/>
  </w:style>
  <w:style w:type="character" w:customStyle="1" w:styleId="EndnoteTextChar">
    <w:name w:val="Endnote Text Char"/>
    <w:aliases w:val="2_G Char"/>
    <w:basedOn w:val="DefaultParagraphFont"/>
    <w:link w:val="EndnoteText"/>
    <w:rsid w:val="00EF3BB8"/>
    <w:rPr>
      <w:rFonts w:ascii="Times New Roman" w:hAnsi="Times New Roman" w:cs="Times New Roman"/>
      <w:sz w:val="18"/>
      <w:szCs w:val="20"/>
    </w:rPr>
  </w:style>
  <w:style w:type="character" w:styleId="FootnoteReference">
    <w:name w:val="footnote reference"/>
    <w:aliases w:val="4_G"/>
    <w:rsid w:val="00EF3BB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F3BB8"/>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BB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F3BB8"/>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TMLAcronym">
    <w:name w:val="HTML Acronym"/>
    <w:basedOn w:val="DefaultParagraphFont"/>
    <w:semiHidden/>
    <w:rsid w:val="00A92E7D"/>
  </w:style>
  <w:style w:type="numbering" w:styleId="ArticleSection">
    <w:name w:val="Outline List 3"/>
    <w:basedOn w:val="NoList"/>
    <w:semiHidden/>
    <w:rsid w:val="00A92E7D"/>
    <w:pPr>
      <w:numPr>
        <w:numId w:val="2"/>
      </w:numPr>
    </w:pPr>
  </w:style>
  <w:style w:type="paragraph" w:styleId="Closing">
    <w:name w:val="Closing"/>
    <w:basedOn w:val="Normal"/>
    <w:link w:val="ClosingChar"/>
    <w:semiHidden/>
    <w:rsid w:val="00A92E7D"/>
    <w:pPr>
      <w:suppressAutoHyphens w:val="0"/>
      <w:ind w:left="4252"/>
    </w:pPr>
    <w:rPr>
      <w:lang w:val="es-ES" w:eastAsia="es-ES"/>
    </w:rPr>
  </w:style>
  <w:style w:type="character" w:customStyle="1" w:styleId="ClosingChar">
    <w:name w:val="Closing Char"/>
    <w:basedOn w:val="DefaultParagraphFont"/>
    <w:link w:val="Closing"/>
    <w:semiHidden/>
    <w:rsid w:val="00A92E7D"/>
    <w:rPr>
      <w:rFonts w:ascii="Times New Roman" w:eastAsia="Times New Roman" w:hAnsi="Times New Roman" w:cs="Times New Roman"/>
      <w:sz w:val="20"/>
      <w:szCs w:val="20"/>
      <w:lang w:val="es-ES" w:eastAsia="es-ES"/>
    </w:rPr>
  </w:style>
  <w:style w:type="character" w:styleId="HTMLCite">
    <w:name w:val="HTML Cite"/>
    <w:basedOn w:val="DefaultParagraphFont"/>
    <w:semiHidden/>
    <w:rsid w:val="00A92E7D"/>
    <w:rPr>
      <w:i/>
      <w:iCs/>
    </w:rPr>
  </w:style>
  <w:style w:type="character" w:styleId="HTMLCode">
    <w:name w:val="HTML Code"/>
    <w:basedOn w:val="DefaultParagraphFont"/>
    <w:semiHidden/>
    <w:rsid w:val="00A92E7D"/>
    <w:rPr>
      <w:rFonts w:ascii="Courier New" w:hAnsi="Courier New" w:cs="Courier New"/>
      <w:sz w:val="20"/>
      <w:szCs w:val="20"/>
    </w:rPr>
  </w:style>
  <w:style w:type="paragraph" w:styleId="ListContinue">
    <w:name w:val="List Continue"/>
    <w:basedOn w:val="Normal"/>
    <w:semiHidden/>
    <w:rsid w:val="00A92E7D"/>
    <w:pPr>
      <w:suppressAutoHyphens w:val="0"/>
      <w:spacing w:after="120"/>
      <w:ind w:left="283"/>
    </w:pPr>
    <w:rPr>
      <w:lang w:val="es-ES" w:eastAsia="es-ES"/>
    </w:rPr>
  </w:style>
  <w:style w:type="paragraph" w:styleId="ListContinue2">
    <w:name w:val="List Continue 2"/>
    <w:basedOn w:val="Normal"/>
    <w:semiHidden/>
    <w:rsid w:val="00A92E7D"/>
    <w:pPr>
      <w:suppressAutoHyphens w:val="0"/>
      <w:spacing w:after="120"/>
      <w:ind w:left="566"/>
    </w:pPr>
    <w:rPr>
      <w:lang w:val="es-ES" w:eastAsia="es-ES"/>
    </w:rPr>
  </w:style>
  <w:style w:type="paragraph" w:styleId="ListContinue3">
    <w:name w:val="List Continue 3"/>
    <w:basedOn w:val="Normal"/>
    <w:semiHidden/>
    <w:rsid w:val="00A92E7D"/>
    <w:pPr>
      <w:suppressAutoHyphens w:val="0"/>
      <w:spacing w:after="120"/>
      <w:ind w:left="849"/>
    </w:pPr>
    <w:rPr>
      <w:lang w:val="es-ES" w:eastAsia="es-ES"/>
    </w:rPr>
  </w:style>
  <w:style w:type="paragraph" w:styleId="ListContinue4">
    <w:name w:val="List Continue 4"/>
    <w:basedOn w:val="Normal"/>
    <w:semiHidden/>
    <w:rsid w:val="00A92E7D"/>
    <w:pPr>
      <w:suppressAutoHyphens w:val="0"/>
      <w:spacing w:after="120"/>
      <w:ind w:left="1132"/>
    </w:pPr>
    <w:rPr>
      <w:lang w:val="es-ES" w:eastAsia="es-ES"/>
    </w:rPr>
  </w:style>
  <w:style w:type="paragraph" w:styleId="ListContinue5">
    <w:name w:val="List Continue 5"/>
    <w:basedOn w:val="Normal"/>
    <w:semiHidden/>
    <w:rsid w:val="00A92E7D"/>
    <w:pPr>
      <w:suppressAutoHyphens w:val="0"/>
      <w:spacing w:after="120"/>
      <w:ind w:left="1415"/>
    </w:pPr>
    <w:rPr>
      <w:lang w:val="es-ES" w:eastAsia="es-ES"/>
    </w:rPr>
  </w:style>
  <w:style w:type="character" w:styleId="HTMLDefinition">
    <w:name w:val="HTML Definition"/>
    <w:basedOn w:val="DefaultParagraphFont"/>
    <w:semiHidden/>
    <w:rsid w:val="00A92E7D"/>
    <w:rPr>
      <w:i/>
      <w:iCs/>
    </w:rPr>
  </w:style>
  <w:style w:type="paragraph" w:styleId="HTMLAddress">
    <w:name w:val="HTML Address"/>
    <w:basedOn w:val="Normal"/>
    <w:link w:val="HTMLAddressChar"/>
    <w:semiHidden/>
    <w:rsid w:val="00A92E7D"/>
    <w:pPr>
      <w:suppressAutoHyphens w:val="0"/>
    </w:pPr>
    <w:rPr>
      <w:i/>
      <w:iCs/>
      <w:lang w:val="es-ES" w:eastAsia="es-ES"/>
    </w:rPr>
  </w:style>
  <w:style w:type="character" w:customStyle="1" w:styleId="HTMLAddressChar">
    <w:name w:val="HTML Address Char"/>
    <w:basedOn w:val="DefaultParagraphFont"/>
    <w:link w:val="HTMLAddress"/>
    <w:semiHidden/>
    <w:rsid w:val="00A92E7D"/>
    <w:rPr>
      <w:rFonts w:ascii="Times New Roman" w:eastAsia="Times New Roman" w:hAnsi="Times New Roman" w:cs="Times New Roman"/>
      <w:i/>
      <w:iCs/>
      <w:sz w:val="20"/>
      <w:szCs w:val="20"/>
      <w:lang w:val="es-ES" w:eastAsia="es-ES"/>
    </w:rPr>
  </w:style>
  <w:style w:type="paragraph" w:styleId="EnvelopeAddress">
    <w:name w:val="envelope address"/>
    <w:basedOn w:val="Normal"/>
    <w:semiHidden/>
    <w:rsid w:val="00A92E7D"/>
    <w:pPr>
      <w:framePr w:w="7920" w:h="1980" w:hRule="exact" w:hSpace="141" w:wrap="auto" w:hAnchor="page" w:xAlign="center" w:yAlign="bottom"/>
      <w:suppressAutoHyphens w:val="0"/>
      <w:ind w:left="2880"/>
    </w:pPr>
    <w:rPr>
      <w:rFonts w:ascii="Arial" w:hAnsi="Arial" w:cs="Arial"/>
      <w:sz w:val="24"/>
      <w:szCs w:val="24"/>
      <w:lang w:val="es-ES" w:eastAsia="es-ES"/>
    </w:rPr>
  </w:style>
  <w:style w:type="character" w:styleId="HTMLSample">
    <w:name w:val="HTML Sample"/>
    <w:basedOn w:val="DefaultParagraphFont"/>
    <w:semiHidden/>
    <w:rsid w:val="00A92E7D"/>
    <w:rPr>
      <w:rFonts w:ascii="Courier New" w:hAnsi="Courier New" w:cs="Courier New"/>
    </w:rPr>
  </w:style>
  <w:style w:type="paragraph" w:styleId="MessageHeader">
    <w:name w:val="Message Header"/>
    <w:basedOn w:val="Normal"/>
    <w:link w:val="MessageHeaderChar"/>
    <w:semiHidden/>
    <w:rsid w:val="00A92E7D"/>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character" w:customStyle="1" w:styleId="MessageHeaderChar">
    <w:name w:val="Message Header Char"/>
    <w:basedOn w:val="DefaultParagraphFont"/>
    <w:link w:val="MessageHeader"/>
    <w:semiHidden/>
    <w:rsid w:val="00A92E7D"/>
    <w:rPr>
      <w:rFonts w:ascii="Arial" w:eastAsia="Times New Roman" w:hAnsi="Arial" w:cs="Arial"/>
      <w:sz w:val="24"/>
      <w:szCs w:val="24"/>
      <w:shd w:val="pct20" w:color="auto" w:fill="auto"/>
      <w:lang w:val="es-ES" w:eastAsia="es-ES"/>
    </w:rPr>
  </w:style>
  <w:style w:type="paragraph" w:styleId="NoteHeading">
    <w:name w:val="Note Heading"/>
    <w:basedOn w:val="Normal"/>
    <w:next w:val="Normal"/>
    <w:link w:val="NoteHeadingChar"/>
    <w:semiHidden/>
    <w:rsid w:val="00A92E7D"/>
    <w:pPr>
      <w:suppressAutoHyphens w:val="0"/>
    </w:pPr>
    <w:rPr>
      <w:lang w:val="es-ES" w:eastAsia="es-ES"/>
    </w:rPr>
  </w:style>
  <w:style w:type="character" w:customStyle="1" w:styleId="NoteHeadingChar">
    <w:name w:val="Note Heading Char"/>
    <w:basedOn w:val="DefaultParagraphFont"/>
    <w:link w:val="NoteHeading"/>
    <w:semiHidden/>
    <w:rsid w:val="00A92E7D"/>
    <w:rPr>
      <w:rFonts w:ascii="Times New Roman" w:eastAsia="Times New Roman" w:hAnsi="Times New Roman" w:cs="Times New Roman"/>
      <w:sz w:val="20"/>
      <w:szCs w:val="20"/>
      <w:lang w:val="es-ES" w:eastAsia="es-ES"/>
    </w:rPr>
  </w:style>
  <w:style w:type="character" w:styleId="Emphasis">
    <w:name w:val="Emphasis"/>
    <w:basedOn w:val="DefaultParagraphFont"/>
    <w:uiPriority w:val="20"/>
    <w:qFormat/>
    <w:rsid w:val="00A92E7D"/>
    <w:rPr>
      <w:i/>
      <w:iCs/>
    </w:rPr>
  </w:style>
  <w:style w:type="paragraph" w:styleId="Date">
    <w:name w:val="Date"/>
    <w:basedOn w:val="Normal"/>
    <w:next w:val="Normal"/>
    <w:link w:val="DateChar"/>
    <w:semiHidden/>
    <w:rsid w:val="00A92E7D"/>
    <w:pPr>
      <w:suppressAutoHyphens w:val="0"/>
    </w:pPr>
    <w:rPr>
      <w:lang w:val="es-ES" w:eastAsia="es-ES"/>
    </w:rPr>
  </w:style>
  <w:style w:type="character" w:customStyle="1" w:styleId="DateChar">
    <w:name w:val="Date Char"/>
    <w:basedOn w:val="DefaultParagraphFont"/>
    <w:link w:val="Date"/>
    <w:semiHidden/>
    <w:rsid w:val="00A92E7D"/>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A92E7D"/>
    <w:pPr>
      <w:suppressAutoHyphens w:val="0"/>
      <w:ind w:left="4252"/>
    </w:pPr>
    <w:rPr>
      <w:lang w:val="es-ES" w:eastAsia="es-ES"/>
    </w:rPr>
  </w:style>
  <w:style w:type="character" w:customStyle="1" w:styleId="SignatureChar">
    <w:name w:val="Signature Char"/>
    <w:basedOn w:val="DefaultParagraphFont"/>
    <w:link w:val="Signature"/>
    <w:semiHidden/>
    <w:rsid w:val="00A92E7D"/>
    <w:rPr>
      <w:rFonts w:ascii="Times New Roman" w:eastAsia="Times New Roman" w:hAnsi="Times New Roman" w:cs="Times New Roman"/>
      <w:sz w:val="20"/>
      <w:szCs w:val="20"/>
      <w:lang w:val="es-ES" w:eastAsia="es-ES"/>
    </w:rPr>
  </w:style>
  <w:style w:type="paragraph" w:styleId="E-mailSignature">
    <w:name w:val="E-mail Signature"/>
    <w:basedOn w:val="Normal"/>
    <w:link w:val="E-mailSignatureChar"/>
    <w:semiHidden/>
    <w:rsid w:val="00A92E7D"/>
    <w:pPr>
      <w:suppressAutoHyphens w:val="0"/>
    </w:pPr>
    <w:rPr>
      <w:lang w:val="es-ES" w:eastAsia="es-ES"/>
    </w:rPr>
  </w:style>
  <w:style w:type="character" w:customStyle="1" w:styleId="E-mailSignatureChar">
    <w:name w:val="E-mail Signature Char"/>
    <w:basedOn w:val="DefaultParagraphFont"/>
    <w:link w:val="E-mailSignature"/>
    <w:semiHidden/>
    <w:rsid w:val="00A92E7D"/>
    <w:rPr>
      <w:rFonts w:ascii="Times New Roman" w:eastAsia="Times New Roman" w:hAnsi="Times New Roman" w:cs="Times New Roman"/>
      <w:sz w:val="20"/>
      <w:szCs w:val="20"/>
      <w:lang w:val="es-ES" w:eastAsia="es-ES"/>
    </w:rPr>
  </w:style>
  <w:style w:type="character" w:styleId="FollowedHyperlink">
    <w:name w:val="FollowedHyperlink"/>
    <w:basedOn w:val="DefaultParagraphFont"/>
    <w:semiHidden/>
    <w:rsid w:val="00A92E7D"/>
    <w:rPr>
      <w:color w:val="0000FF"/>
      <w:u w:val="none"/>
    </w:rPr>
  </w:style>
  <w:style w:type="paragraph" w:styleId="HTMLPreformatted">
    <w:name w:val="HTML Preformatted"/>
    <w:basedOn w:val="Normal"/>
    <w:link w:val="HTMLPreformattedChar"/>
    <w:semiHidden/>
    <w:rsid w:val="00A92E7D"/>
    <w:pPr>
      <w:suppressAutoHyphens w:val="0"/>
    </w:pPr>
    <w:rPr>
      <w:rFonts w:ascii="Courier New" w:hAnsi="Courier New" w:cs="Courier New"/>
      <w:lang w:val="es-ES" w:eastAsia="es-ES"/>
    </w:rPr>
  </w:style>
  <w:style w:type="character" w:customStyle="1" w:styleId="HTMLPreformattedChar">
    <w:name w:val="HTML Preformatted Char"/>
    <w:basedOn w:val="DefaultParagraphFont"/>
    <w:link w:val="HTMLPreformatted"/>
    <w:semiHidden/>
    <w:rsid w:val="00A92E7D"/>
    <w:rPr>
      <w:rFonts w:ascii="Courier New" w:eastAsia="Times New Roman" w:hAnsi="Courier New" w:cs="Courier New"/>
      <w:sz w:val="20"/>
      <w:szCs w:val="20"/>
      <w:lang w:val="es-ES" w:eastAsia="es-ES"/>
    </w:rPr>
  </w:style>
  <w:style w:type="paragraph" w:styleId="List">
    <w:name w:val="List"/>
    <w:basedOn w:val="Normal"/>
    <w:semiHidden/>
    <w:rsid w:val="00A92E7D"/>
    <w:pPr>
      <w:suppressAutoHyphens w:val="0"/>
      <w:ind w:left="283" w:hanging="283"/>
    </w:pPr>
    <w:rPr>
      <w:lang w:val="es-ES" w:eastAsia="es-ES"/>
    </w:rPr>
  </w:style>
  <w:style w:type="paragraph" w:styleId="List2">
    <w:name w:val="List 2"/>
    <w:basedOn w:val="Normal"/>
    <w:semiHidden/>
    <w:rsid w:val="00A92E7D"/>
    <w:pPr>
      <w:suppressAutoHyphens w:val="0"/>
      <w:ind w:left="566" w:hanging="283"/>
    </w:pPr>
    <w:rPr>
      <w:lang w:val="es-ES" w:eastAsia="es-ES"/>
    </w:rPr>
  </w:style>
  <w:style w:type="paragraph" w:styleId="List3">
    <w:name w:val="List 3"/>
    <w:basedOn w:val="Normal"/>
    <w:semiHidden/>
    <w:rsid w:val="00A92E7D"/>
    <w:pPr>
      <w:suppressAutoHyphens w:val="0"/>
      <w:ind w:left="849" w:hanging="283"/>
    </w:pPr>
    <w:rPr>
      <w:lang w:val="es-ES" w:eastAsia="es-ES"/>
    </w:rPr>
  </w:style>
  <w:style w:type="paragraph" w:styleId="List4">
    <w:name w:val="List 4"/>
    <w:basedOn w:val="Normal"/>
    <w:semiHidden/>
    <w:rsid w:val="00A92E7D"/>
    <w:pPr>
      <w:suppressAutoHyphens w:val="0"/>
      <w:ind w:left="1132" w:hanging="283"/>
    </w:pPr>
    <w:rPr>
      <w:lang w:val="es-ES" w:eastAsia="es-ES"/>
    </w:rPr>
  </w:style>
  <w:style w:type="paragraph" w:styleId="List5">
    <w:name w:val="List 5"/>
    <w:basedOn w:val="Normal"/>
    <w:semiHidden/>
    <w:rsid w:val="00A92E7D"/>
    <w:pPr>
      <w:suppressAutoHyphens w:val="0"/>
      <w:ind w:left="1415" w:hanging="283"/>
    </w:pPr>
    <w:rPr>
      <w:lang w:val="es-ES" w:eastAsia="es-ES"/>
    </w:rPr>
  </w:style>
  <w:style w:type="paragraph" w:styleId="ListNumber">
    <w:name w:val="List Number"/>
    <w:basedOn w:val="Normal"/>
    <w:semiHidden/>
    <w:rsid w:val="00A92E7D"/>
    <w:pPr>
      <w:tabs>
        <w:tab w:val="num" w:pos="360"/>
      </w:tabs>
      <w:suppressAutoHyphens w:val="0"/>
      <w:ind w:left="360" w:hanging="360"/>
    </w:pPr>
    <w:rPr>
      <w:lang w:val="es-ES" w:eastAsia="es-ES"/>
    </w:rPr>
  </w:style>
  <w:style w:type="paragraph" w:styleId="ListNumber2">
    <w:name w:val="List Number 2"/>
    <w:basedOn w:val="Normal"/>
    <w:semiHidden/>
    <w:rsid w:val="00A92E7D"/>
    <w:pPr>
      <w:tabs>
        <w:tab w:val="num" w:pos="643"/>
      </w:tabs>
      <w:suppressAutoHyphens w:val="0"/>
      <w:ind w:left="643" w:hanging="360"/>
    </w:pPr>
    <w:rPr>
      <w:lang w:val="es-ES" w:eastAsia="es-ES"/>
    </w:rPr>
  </w:style>
  <w:style w:type="paragraph" w:styleId="ListNumber3">
    <w:name w:val="List Number 3"/>
    <w:basedOn w:val="Normal"/>
    <w:semiHidden/>
    <w:rsid w:val="00A92E7D"/>
    <w:pPr>
      <w:tabs>
        <w:tab w:val="num" w:pos="926"/>
      </w:tabs>
      <w:suppressAutoHyphens w:val="0"/>
      <w:ind w:left="926" w:hanging="360"/>
    </w:pPr>
    <w:rPr>
      <w:lang w:val="es-ES" w:eastAsia="es-ES"/>
    </w:rPr>
  </w:style>
  <w:style w:type="paragraph" w:styleId="ListNumber4">
    <w:name w:val="List Number 4"/>
    <w:basedOn w:val="Normal"/>
    <w:semiHidden/>
    <w:rsid w:val="00A92E7D"/>
    <w:pPr>
      <w:tabs>
        <w:tab w:val="num" w:pos="1209"/>
      </w:tabs>
      <w:suppressAutoHyphens w:val="0"/>
      <w:ind w:left="1209" w:hanging="360"/>
    </w:pPr>
    <w:rPr>
      <w:lang w:val="es-ES" w:eastAsia="es-ES"/>
    </w:rPr>
  </w:style>
  <w:style w:type="paragraph" w:styleId="ListNumber5">
    <w:name w:val="List Number 5"/>
    <w:basedOn w:val="Normal"/>
    <w:semiHidden/>
    <w:rsid w:val="00A92E7D"/>
    <w:pPr>
      <w:tabs>
        <w:tab w:val="num" w:pos="1492"/>
      </w:tabs>
      <w:suppressAutoHyphens w:val="0"/>
      <w:ind w:left="1492" w:hanging="360"/>
    </w:pPr>
    <w:rPr>
      <w:lang w:val="es-ES" w:eastAsia="es-ES"/>
    </w:rPr>
  </w:style>
  <w:style w:type="paragraph" w:styleId="ListBullet">
    <w:name w:val="List Bullet"/>
    <w:basedOn w:val="Normal"/>
    <w:semiHidden/>
    <w:rsid w:val="00A92E7D"/>
    <w:pPr>
      <w:tabs>
        <w:tab w:val="num" w:pos="360"/>
      </w:tabs>
      <w:suppressAutoHyphens w:val="0"/>
      <w:ind w:left="360" w:hanging="360"/>
    </w:pPr>
    <w:rPr>
      <w:lang w:val="es-ES" w:eastAsia="es-ES"/>
    </w:rPr>
  </w:style>
  <w:style w:type="paragraph" w:styleId="ListBullet2">
    <w:name w:val="List Bullet 2"/>
    <w:basedOn w:val="Normal"/>
    <w:semiHidden/>
    <w:rsid w:val="00A92E7D"/>
    <w:pPr>
      <w:tabs>
        <w:tab w:val="num" w:pos="643"/>
      </w:tabs>
      <w:suppressAutoHyphens w:val="0"/>
      <w:ind w:left="643" w:hanging="360"/>
    </w:pPr>
    <w:rPr>
      <w:lang w:val="es-ES" w:eastAsia="es-ES"/>
    </w:rPr>
  </w:style>
  <w:style w:type="paragraph" w:styleId="ListBullet3">
    <w:name w:val="List Bullet 3"/>
    <w:basedOn w:val="Normal"/>
    <w:semiHidden/>
    <w:rsid w:val="00A92E7D"/>
    <w:pPr>
      <w:tabs>
        <w:tab w:val="num" w:pos="926"/>
      </w:tabs>
      <w:suppressAutoHyphens w:val="0"/>
      <w:ind w:left="926" w:hanging="360"/>
    </w:pPr>
    <w:rPr>
      <w:lang w:val="es-ES" w:eastAsia="es-ES"/>
    </w:rPr>
  </w:style>
  <w:style w:type="paragraph" w:styleId="ListBullet4">
    <w:name w:val="List Bullet 4"/>
    <w:basedOn w:val="Normal"/>
    <w:semiHidden/>
    <w:rsid w:val="00A92E7D"/>
    <w:pPr>
      <w:tabs>
        <w:tab w:val="num" w:pos="1209"/>
      </w:tabs>
      <w:suppressAutoHyphens w:val="0"/>
      <w:ind w:left="1209" w:hanging="360"/>
    </w:pPr>
    <w:rPr>
      <w:lang w:val="es-ES" w:eastAsia="es-ES"/>
    </w:rPr>
  </w:style>
  <w:style w:type="paragraph" w:styleId="ListBullet5">
    <w:name w:val="List Bullet 5"/>
    <w:basedOn w:val="Normal"/>
    <w:semiHidden/>
    <w:rsid w:val="00A92E7D"/>
    <w:pPr>
      <w:tabs>
        <w:tab w:val="num" w:pos="1492"/>
      </w:tabs>
      <w:suppressAutoHyphens w:val="0"/>
      <w:ind w:left="1492" w:hanging="360"/>
    </w:pPr>
    <w:rPr>
      <w:lang w:val="es-ES" w:eastAsia="es-ES"/>
    </w:rPr>
  </w:style>
  <w:style w:type="character" w:styleId="HTMLTypewriter">
    <w:name w:val="HTML Typewriter"/>
    <w:basedOn w:val="DefaultParagraphFont"/>
    <w:semiHidden/>
    <w:rsid w:val="00A92E7D"/>
    <w:rPr>
      <w:rFonts w:ascii="Courier New" w:hAnsi="Courier New" w:cs="Courier New"/>
      <w:sz w:val="20"/>
      <w:szCs w:val="20"/>
    </w:rPr>
  </w:style>
  <w:style w:type="paragraph" w:styleId="NormalWeb">
    <w:name w:val="Normal (Web)"/>
    <w:basedOn w:val="Normal"/>
    <w:semiHidden/>
    <w:rsid w:val="00A92E7D"/>
    <w:pPr>
      <w:suppressAutoHyphens w:val="0"/>
    </w:pPr>
    <w:rPr>
      <w:sz w:val="24"/>
      <w:szCs w:val="24"/>
      <w:lang w:val="es-ES" w:eastAsia="es-ES"/>
    </w:rPr>
  </w:style>
  <w:style w:type="character" w:styleId="LineNumber">
    <w:name w:val="line number"/>
    <w:basedOn w:val="DefaultParagraphFont"/>
    <w:semiHidden/>
    <w:rsid w:val="00A92E7D"/>
  </w:style>
  <w:style w:type="paragraph" w:styleId="EnvelopeReturn">
    <w:name w:val="envelope return"/>
    <w:basedOn w:val="Normal"/>
    <w:semiHidden/>
    <w:rsid w:val="00A92E7D"/>
    <w:pPr>
      <w:suppressAutoHyphens w:val="0"/>
    </w:pPr>
    <w:rPr>
      <w:rFonts w:ascii="Arial" w:hAnsi="Arial" w:cs="Arial"/>
      <w:lang w:val="es-ES" w:eastAsia="es-ES"/>
    </w:rPr>
  </w:style>
  <w:style w:type="paragraph" w:styleId="Salutation">
    <w:name w:val="Salutation"/>
    <w:basedOn w:val="Normal"/>
    <w:next w:val="Normal"/>
    <w:link w:val="SalutationChar"/>
    <w:semiHidden/>
    <w:rsid w:val="00A92E7D"/>
    <w:pPr>
      <w:suppressAutoHyphens w:val="0"/>
    </w:pPr>
    <w:rPr>
      <w:lang w:val="es-ES" w:eastAsia="es-ES"/>
    </w:rPr>
  </w:style>
  <w:style w:type="character" w:customStyle="1" w:styleId="SalutationChar">
    <w:name w:val="Salutation Char"/>
    <w:basedOn w:val="DefaultParagraphFont"/>
    <w:link w:val="Salutation"/>
    <w:semiHidden/>
    <w:rsid w:val="00A92E7D"/>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A92E7D"/>
    <w:pPr>
      <w:suppressAutoHyphens w:val="0"/>
      <w:spacing w:after="120" w:line="480" w:lineRule="auto"/>
      <w:ind w:left="283"/>
    </w:pPr>
    <w:rPr>
      <w:lang w:val="es-ES" w:eastAsia="es-ES"/>
    </w:rPr>
  </w:style>
  <w:style w:type="character" w:customStyle="1" w:styleId="BodyTextIndent2Char">
    <w:name w:val="Body Text Indent 2 Char"/>
    <w:basedOn w:val="DefaultParagraphFont"/>
    <w:link w:val="BodyTextIndent2"/>
    <w:semiHidden/>
    <w:rsid w:val="00A92E7D"/>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A92E7D"/>
    <w:pPr>
      <w:suppressAutoHyphens w:val="0"/>
      <w:spacing w:after="120"/>
      <w:ind w:left="283"/>
    </w:pPr>
    <w:rPr>
      <w:sz w:val="16"/>
      <w:szCs w:val="16"/>
      <w:lang w:val="es-ES" w:eastAsia="es-ES"/>
    </w:rPr>
  </w:style>
  <w:style w:type="character" w:customStyle="1" w:styleId="BodyTextIndent3Char">
    <w:name w:val="Body Text Indent 3 Char"/>
    <w:basedOn w:val="DefaultParagraphFont"/>
    <w:link w:val="BodyTextIndent3"/>
    <w:semiHidden/>
    <w:rsid w:val="00A92E7D"/>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semiHidden/>
    <w:rsid w:val="00A92E7D"/>
    <w:pPr>
      <w:suppressAutoHyphens w:val="0"/>
      <w:spacing w:after="120"/>
      <w:ind w:left="283"/>
    </w:pPr>
    <w:rPr>
      <w:lang w:val="es-ES" w:eastAsia="es-ES"/>
    </w:rPr>
  </w:style>
  <w:style w:type="character" w:customStyle="1" w:styleId="BodyTextIndentChar">
    <w:name w:val="Body Text Indent Char"/>
    <w:basedOn w:val="DefaultParagraphFont"/>
    <w:link w:val="BodyTextIndent"/>
    <w:semiHidden/>
    <w:rsid w:val="00A92E7D"/>
    <w:rPr>
      <w:rFonts w:ascii="Times New Roman" w:eastAsia="Times New Roman" w:hAnsi="Times New Roman" w:cs="Times New Roman"/>
      <w:sz w:val="20"/>
      <w:szCs w:val="20"/>
      <w:lang w:val="es-ES" w:eastAsia="es-ES"/>
    </w:rPr>
  </w:style>
  <w:style w:type="paragraph" w:styleId="NormalIndent">
    <w:name w:val="Normal Indent"/>
    <w:basedOn w:val="Normal"/>
    <w:semiHidden/>
    <w:rsid w:val="00A92E7D"/>
    <w:pPr>
      <w:suppressAutoHyphens w:val="0"/>
      <w:ind w:left="567"/>
    </w:pPr>
    <w:rPr>
      <w:lang w:val="es-ES" w:eastAsia="es-ES"/>
    </w:rPr>
  </w:style>
  <w:style w:type="paragraph" w:styleId="Subtitle">
    <w:name w:val="Subtitle"/>
    <w:basedOn w:val="Normal"/>
    <w:link w:val="SubtitleChar"/>
    <w:rsid w:val="00A92E7D"/>
    <w:pPr>
      <w:suppressAutoHyphens w:val="0"/>
      <w:spacing w:after="60"/>
      <w:jc w:val="center"/>
      <w:outlineLvl w:val="1"/>
    </w:pPr>
    <w:rPr>
      <w:rFonts w:ascii="Arial" w:hAnsi="Arial" w:cs="Arial"/>
      <w:sz w:val="24"/>
      <w:szCs w:val="24"/>
      <w:lang w:val="es-ES" w:eastAsia="es-ES"/>
    </w:rPr>
  </w:style>
  <w:style w:type="character" w:customStyle="1" w:styleId="SubtitleChar">
    <w:name w:val="Subtitle Char"/>
    <w:basedOn w:val="DefaultParagraphFont"/>
    <w:link w:val="Subtitle"/>
    <w:rsid w:val="00A92E7D"/>
    <w:rPr>
      <w:rFonts w:ascii="Arial" w:eastAsia="Times New Roman" w:hAnsi="Arial" w:cs="Arial"/>
      <w:sz w:val="24"/>
      <w:szCs w:val="24"/>
      <w:lang w:val="es-ES" w:eastAsia="es-ES"/>
    </w:rPr>
  </w:style>
  <w:style w:type="table" w:styleId="TableSimple1">
    <w:name w:val="Table Simple 1"/>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2E7D"/>
    <w:pPr>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2E7D"/>
    <w:pPr>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A92E7D"/>
    <w:pPr>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2E7D"/>
    <w:pPr>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2E7D"/>
    <w:pPr>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2E7D"/>
    <w:pPr>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2E7D"/>
    <w:pPr>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2E7D"/>
    <w:pPr>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2E7D"/>
    <w:pPr>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2E7D"/>
    <w:pPr>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A92E7D"/>
    <w:pPr>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2E7D"/>
    <w:pPr>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2E7D"/>
    <w:pPr>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A92E7D"/>
    <w:pPr>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2E7D"/>
    <w:pPr>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2E7D"/>
    <w:pPr>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2E7D"/>
    <w:pPr>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2E7D"/>
    <w:pPr>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A92E7D"/>
    <w:pPr>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2E7D"/>
    <w:pPr>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2E7D"/>
    <w:pPr>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A92E7D"/>
    <w:pPr>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2E7D"/>
    <w:pPr>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2E7D"/>
    <w:pPr>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A92E7D"/>
    <w:pPr>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2E7D"/>
    <w:pPr>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2E7D"/>
    <w:pPr>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A92E7D"/>
    <w:rPr>
      <w:rFonts w:ascii="Courier New" w:hAnsi="Courier New" w:cs="Courier New"/>
      <w:sz w:val="20"/>
      <w:szCs w:val="20"/>
    </w:rPr>
  </w:style>
  <w:style w:type="paragraph" w:styleId="BlockText">
    <w:name w:val="Block Text"/>
    <w:basedOn w:val="Normal"/>
    <w:semiHidden/>
    <w:rsid w:val="00A92E7D"/>
    <w:pPr>
      <w:suppressAutoHyphens w:val="0"/>
      <w:spacing w:after="120"/>
      <w:ind w:left="1440" w:right="1440"/>
    </w:pPr>
    <w:rPr>
      <w:lang w:val="es-ES" w:eastAsia="es-ES"/>
    </w:rPr>
  </w:style>
  <w:style w:type="character" w:styleId="Strong">
    <w:name w:val="Strong"/>
    <w:basedOn w:val="DefaultParagraphFont"/>
    <w:rsid w:val="00A92E7D"/>
    <w:rPr>
      <w:b/>
      <w:bCs/>
    </w:rPr>
  </w:style>
  <w:style w:type="paragraph" w:styleId="BodyText">
    <w:name w:val="Body Text"/>
    <w:basedOn w:val="Normal"/>
    <w:link w:val="BodyTextChar"/>
    <w:semiHidden/>
    <w:rsid w:val="00A92E7D"/>
    <w:pPr>
      <w:suppressAutoHyphens w:val="0"/>
      <w:spacing w:after="120"/>
    </w:pPr>
    <w:rPr>
      <w:lang w:val="es-ES" w:eastAsia="es-ES"/>
    </w:rPr>
  </w:style>
  <w:style w:type="character" w:customStyle="1" w:styleId="BodyTextChar">
    <w:name w:val="Body Text Char"/>
    <w:basedOn w:val="DefaultParagraphFont"/>
    <w:link w:val="BodyText"/>
    <w:semiHidden/>
    <w:rsid w:val="00A92E7D"/>
    <w:rPr>
      <w:rFonts w:ascii="Times New Roman" w:eastAsia="Times New Roman" w:hAnsi="Times New Roman" w:cs="Times New Roman"/>
      <w:sz w:val="20"/>
      <w:szCs w:val="20"/>
      <w:lang w:val="es-ES" w:eastAsia="es-ES"/>
    </w:rPr>
  </w:style>
  <w:style w:type="paragraph" w:styleId="BodyText2">
    <w:name w:val="Body Text 2"/>
    <w:basedOn w:val="Normal"/>
    <w:link w:val="BodyText2Char"/>
    <w:semiHidden/>
    <w:rsid w:val="00A92E7D"/>
    <w:pPr>
      <w:suppressAutoHyphens w:val="0"/>
      <w:spacing w:after="120" w:line="480" w:lineRule="auto"/>
    </w:pPr>
    <w:rPr>
      <w:lang w:val="es-ES" w:eastAsia="es-ES"/>
    </w:rPr>
  </w:style>
  <w:style w:type="character" w:customStyle="1" w:styleId="BodyText2Char">
    <w:name w:val="Body Text 2 Char"/>
    <w:basedOn w:val="DefaultParagraphFont"/>
    <w:link w:val="BodyText2"/>
    <w:semiHidden/>
    <w:rsid w:val="00A92E7D"/>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A92E7D"/>
    <w:pPr>
      <w:suppressAutoHyphens w:val="0"/>
      <w:spacing w:after="120"/>
    </w:pPr>
    <w:rPr>
      <w:sz w:val="16"/>
      <w:szCs w:val="16"/>
      <w:lang w:val="es-ES" w:eastAsia="es-ES"/>
    </w:rPr>
  </w:style>
  <w:style w:type="character" w:customStyle="1" w:styleId="BodyText3Char">
    <w:name w:val="Body Text 3 Char"/>
    <w:basedOn w:val="DefaultParagraphFont"/>
    <w:link w:val="BodyText3"/>
    <w:semiHidden/>
    <w:rsid w:val="00A92E7D"/>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A92E7D"/>
    <w:pPr>
      <w:ind w:firstLine="210"/>
    </w:pPr>
  </w:style>
  <w:style w:type="character" w:customStyle="1" w:styleId="BodyTextFirstIndentChar">
    <w:name w:val="Body Text First Indent Char"/>
    <w:basedOn w:val="BodyTextChar"/>
    <w:link w:val="BodyTextFirstIndent"/>
    <w:semiHidden/>
    <w:rsid w:val="00A92E7D"/>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A92E7D"/>
    <w:pPr>
      <w:ind w:firstLine="210"/>
    </w:pPr>
  </w:style>
  <w:style w:type="character" w:customStyle="1" w:styleId="BodyTextFirstIndent2Char">
    <w:name w:val="Body Text First Indent 2 Char"/>
    <w:basedOn w:val="BodyTextIndentChar"/>
    <w:link w:val="BodyTextFirstIndent2"/>
    <w:semiHidden/>
    <w:rsid w:val="00A92E7D"/>
    <w:rPr>
      <w:rFonts w:ascii="Times New Roman" w:eastAsia="Times New Roman" w:hAnsi="Times New Roman" w:cs="Times New Roman"/>
      <w:sz w:val="20"/>
      <w:szCs w:val="20"/>
      <w:lang w:val="es-ES" w:eastAsia="es-ES"/>
    </w:rPr>
  </w:style>
  <w:style w:type="paragraph" w:styleId="PlainText">
    <w:name w:val="Plain Text"/>
    <w:basedOn w:val="Normal"/>
    <w:link w:val="PlainTextChar"/>
    <w:semiHidden/>
    <w:rsid w:val="00A92E7D"/>
    <w:pPr>
      <w:suppressAutoHyphens w:val="0"/>
    </w:pPr>
    <w:rPr>
      <w:rFonts w:ascii="Courier New" w:hAnsi="Courier New" w:cs="Courier New"/>
      <w:lang w:val="es-ES" w:eastAsia="es-ES"/>
    </w:rPr>
  </w:style>
  <w:style w:type="character" w:customStyle="1" w:styleId="PlainTextChar">
    <w:name w:val="Plain Text Char"/>
    <w:basedOn w:val="DefaultParagraphFont"/>
    <w:link w:val="PlainText"/>
    <w:semiHidden/>
    <w:rsid w:val="00A92E7D"/>
    <w:rPr>
      <w:rFonts w:ascii="Courier New" w:eastAsia="Times New Roman" w:hAnsi="Courier New" w:cs="Courier New"/>
      <w:sz w:val="20"/>
      <w:szCs w:val="20"/>
      <w:lang w:val="es-ES" w:eastAsia="es-ES"/>
    </w:rPr>
  </w:style>
  <w:style w:type="paragraph" w:styleId="Title">
    <w:name w:val="Title"/>
    <w:basedOn w:val="Normal"/>
    <w:link w:val="TitleChar"/>
    <w:rsid w:val="00A92E7D"/>
    <w:pPr>
      <w:suppressAutoHyphens w:val="0"/>
      <w:spacing w:before="240" w:after="60"/>
      <w:jc w:val="center"/>
      <w:outlineLvl w:val="0"/>
    </w:pPr>
    <w:rPr>
      <w:rFonts w:ascii="Arial" w:hAnsi="Arial" w:cs="Arial"/>
      <w:b/>
      <w:bCs/>
      <w:kern w:val="28"/>
      <w:sz w:val="32"/>
      <w:szCs w:val="32"/>
      <w:lang w:val="es-ES" w:eastAsia="es-ES"/>
    </w:rPr>
  </w:style>
  <w:style w:type="character" w:customStyle="1" w:styleId="TitleChar">
    <w:name w:val="Title Char"/>
    <w:basedOn w:val="DefaultParagraphFont"/>
    <w:link w:val="Title"/>
    <w:rsid w:val="00A92E7D"/>
    <w:rPr>
      <w:rFonts w:ascii="Arial" w:eastAsia="Times New Roman" w:hAnsi="Arial" w:cs="Arial"/>
      <w:b/>
      <w:bCs/>
      <w:kern w:val="28"/>
      <w:sz w:val="32"/>
      <w:szCs w:val="32"/>
      <w:lang w:val="es-ES" w:eastAsia="es-ES"/>
    </w:rPr>
  </w:style>
  <w:style w:type="character" w:styleId="HTMLVariable">
    <w:name w:val="HTML Variable"/>
    <w:basedOn w:val="DefaultParagraphFont"/>
    <w:semiHidden/>
    <w:rsid w:val="00A92E7D"/>
    <w:rPr>
      <w:i/>
      <w:iCs/>
    </w:rPr>
  </w:style>
  <w:style w:type="paragraph" w:customStyle="1" w:styleId="NormalG">
    <w:name w:val="_ Normal_G"/>
    <w:basedOn w:val="Normal"/>
    <w:link w:val="NormalGChar"/>
    <w:rsid w:val="00A92E7D"/>
    <w:pPr>
      <w:suppressAutoHyphens w:val="0"/>
    </w:pPr>
    <w:rPr>
      <w:bCs/>
      <w:lang w:val="es-ES" w:eastAsia="es-ES"/>
    </w:rPr>
  </w:style>
  <w:style w:type="character" w:customStyle="1" w:styleId="NormalGChar">
    <w:name w:val="_ Normal_G Char"/>
    <w:link w:val="NormalG"/>
    <w:rsid w:val="00A92E7D"/>
    <w:rPr>
      <w:rFonts w:ascii="Times New Roman" w:eastAsia="Times New Roman" w:hAnsi="Times New Roman" w:cs="Times New Roman"/>
      <w:bCs/>
      <w:sz w:val="20"/>
      <w:szCs w:val="20"/>
      <w:lang w:val="es-ES" w:eastAsia="es-ES"/>
    </w:rPr>
  </w:style>
  <w:style w:type="paragraph" w:styleId="CommentText">
    <w:name w:val="annotation text"/>
    <w:basedOn w:val="Normal"/>
    <w:link w:val="CommentTextChar"/>
    <w:unhideWhenUsed/>
    <w:rsid w:val="00A92E7D"/>
    <w:pPr>
      <w:suppressAutoHyphens w:val="0"/>
      <w:spacing w:line="240" w:lineRule="auto"/>
    </w:pPr>
    <w:rPr>
      <w:lang w:val="es-ES" w:eastAsia="es-ES"/>
    </w:rPr>
  </w:style>
  <w:style w:type="character" w:customStyle="1" w:styleId="CommentTextChar">
    <w:name w:val="Comment Text Char"/>
    <w:basedOn w:val="DefaultParagraphFont"/>
    <w:link w:val="CommentText"/>
    <w:rsid w:val="00A92E7D"/>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semiHidden/>
    <w:unhideWhenUsed/>
    <w:rsid w:val="00A92E7D"/>
    <w:rPr>
      <w:sz w:val="16"/>
      <w:szCs w:val="16"/>
    </w:rPr>
  </w:style>
  <w:style w:type="paragraph" w:styleId="CommentSubject">
    <w:name w:val="annotation subject"/>
    <w:basedOn w:val="CommentText"/>
    <w:next w:val="CommentText"/>
    <w:link w:val="CommentSubjectChar"/>
    <w:semiHidden/>
    <w:unhideWhenUsed/>
    <w:rsid w:val="00A92E7D"/>
    <w:rPr>
      <w:b/>
      <w:bCs/>
    </w:rPr>
  </w:style>
  <w:style w:type="character" w:customStyle="1" w:styleId="CommentSubjectChar">
    <w:name w:val="Comment Subject Char"/>
    <w:basedOn w:val="CommentTextChar"/>
    <w:link w:val="CommentSubject"/>
    <w:semiHidden/>
    <w:rsid w:val="00A92E7D"/>
    <w:rPr>
      <w:rFonts w:ascii="Times New Roman" w:eastAsia="Times New Roman" w:hAnsi="Times New Roman" w:cs="Times New Roman"/>
      <w:b/>
      <w:bCs/>
      <w:sz w:val="20"/>
      <w:szCs w:val="20"/>
      <w:lang w:val="es-ES" w:eastAsia="es-ES"/>
    </w:rPr>
  </w:style>
  <w:style w:type="character" w:customStyle="1" w:styleId="UnresolvedMention1">
    <w:name w:val="Unresolved Mention1"/>
    <w:basedOn w:val="DefaultParagraphFont"/>
    <w:uiPriority w:val="99"/>
    <w:semiHidden/>
    <w:unhideWhenUsed/>
    <w:rsid w:val="00A92E7D"/>
    <w:rPr>
      <w:color w:val="605E5C"/>
      <w:shd w:val="clear" w:color="auto" w:fill="E1DFDD"/>
    </w:rPr>
  </w:style>
  <w:style w:type="character" w:customStyle="1" w:styleId="highlight">
    <w:name w:val="highlight"/>
    <w:basedOn w:val="DefaultParagraphFont"/>
    <w:rsid w:val="00A92E7D"/>
  </w:style>
  <w:style w:type="paragraph" w:styleId="Revision">
    <w:name w:val="Revision"/>
    <w:hidden/>
    <w:uiPriority w:val="99"/>
    <w:semiHidden/>
    <w:rsid w:val="00A92E7D"/>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rsid w:val="00A92E7D"/>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image" Target="media/image10.png"/><Relationship Id="rId47" Type="http://schemas.openxmlformats.org/officeDocument/2006/relationships/header" Target="header15.xml"/><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1.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6.png"/><Relationship Id="rId37" Type="http://schemas.openxmlformats.org/officeDocument/2006/relationships/image" Target="media/image9.emf"/><Relationship Id="rId40" Type="http://schemas.openxmlformats.org/officeDocument/2006/relationships/footer" Target="footer13.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image" Target="media/image5.emf"/><Relationship Id="rId28" Type="http://schemas.openxmlformats.org/officeDocument/2006/relationships/header" Target="header8.xml"/><Relationship Id="rId36" Type="http://schemas.openxmlformats.org/officeDocument/2006/relationships/image" Target="media/image8.png"/><Relationship Id="rId49" Type="http://schemas.openxmlformats.org/officeDocument/2006/relationships/footer" Target="foot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image" Target="media/image7.png"/><Relationship Id="rId43" Type="http://schemas.openxmlformats.org/officeDocument/2006/relationships/header" Target="header13.xml"/><Relationship Id="rId48" Type="http://schemas.openxmlformats.org/officeDocument/2006/relationships/header" Target="header16.xml"/><Relationship Id="rId8" Type="http://schemas.openxmlformats.org/officeDocument/2006/relationships/image" Target="media/image1.wmf"/><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9731-3830-4847-AED4-D8FAB43C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30</Pages>
  <Words>10036</Words>
  <Characters>54304</Characters>
  <Application>Microsoft Office Word</Application>
  <DocSecurity>0</DocSecurity>
  <Lines>2149</Lines>
  <Paragraphs>1569</Paragraphs>
  <ScaleCrop>false</ScaleCrop>
  <HeadingPairs>
    <vt:vector size="2" baseType="variant">
      <vt:variant>
        <vt:lpstr>Title</vt:lpstr>
      </vt:variant>
      <vt:variant>
        <vt:i4>1</vt:i4>
      </vt:variant>
    </vt:vector>
  </HeadingPairs>
  <TitlesOfParts>
    <vt:vector size="1" baseType="lpstr">
      <vt:lpstr>E/C.12/ECU/Q/4/Add.1</vt:lpstr>
    </vt:vector>
  </TitlesOfParts>
  <Company>DCM</Company>
  <LinksUpToDate>false</LinksUpToDate>
  <CharactersWithSpaces>63122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E/C.12/ECU/Q/4/Add.1</dc:title>
  <dc:subject>1914871</dc:subject>
  <dc:creator>dm</dc:creator>
  <cp:keywords/>
  <dc:description/>
  <cp:lastModifiedBy>Generic Pdf eng</cp:lastModifiedBy>
  <cp:revision>2</cp:revision>
  <cp:lastPrinted>2019-10-17T09:45:00Z</cp:lastPrinted>
  <dcterms:created xsi:type="dcterms:W3CDTF">2019-10-21T10:05:00Z</dcterms:created>
  <dcterms:modified xsi:type="dcterms:W3CDTF">2019-10-21T10:05:00Z</dcterms:modified>
</cp:coreProperties>
</file>