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71BB7" w:rsidRPr="00EC1F05" w14:paraId="52C2AC78" w14:textId="77777777" w:rsidTr="0047154B">
        <w:trPr>
          <w:trHeight w:hRule="exact" w:val="851"/>
        </w:trPr>
        <w:tc>
          <w:tcPr>
            <w:tcW w:w="1276" w:type="dxa"/>
            <w:tcBorders>
              <w:bottom w:val="single" w:sz="4" w:space="0" w:color="auto"/>
            </w:tcBorders>
          </w:tcPr>
          <w:p w14:paraId="30D9D0C0" w14:textId="77777777" w:rsidR="00E71BB7" w:rsidRPr="00EC1F05" w:rsidRDefault="00E71BB7" w:rsidP="00E71BB7"/>
        </w:tc>
        <w:tc>
          <w:tcPr>
            <w:tcW w:w="2268" w:type="dxa"/>
            <w:tcBorders>
              <w:bottom w:val="single" w:sz="4" w:space="0" w:color="auto"/>
            </w:tcBorders>
            <w:vAlign w:val="bottom"/>
          </w:tcPr>
          <w:p w14:paraId="2F2A1E6F" w14:textId="6C1017D9" w:rsidR="00E71BB7" w:rsidRPr="00EC1F05" w:rsidRDefault="00E71BB7" w:rsidP="00E71BB7">
            <w:pPr>
              <w:spacing w:after="80" w:line="300" w:lineRule="exact"/>
              <w:rPr>
                <w:sz w:val="28"/>
              </w:rPr>
            </w:pPr>
            <w:r w:rsidRPr="00EC1F05">
              <w:rPr>
                <w:sz w:val="28"/>
              </w:rPr>
              <w:t>Nations Unies</w:t>
            </w:r>
          </w:p>
        </w:tc>
        <w:tc>
          <w:tcPr>
            <w:tcW w:w="6095" w:type="dxa"/>
            <w:gridSpan w:val="2"/>
            <w:tcBorders>
              <w:bottom w:val="single" w:sz="4" w:space="0" w:color="auto"/>
            </w:tcBorders>
            <w:vAlign w:val="bottom"/>
          </w:tcPr>
          <w:p w14:paraId="7DDE4324" w14:textId="2DD1CA28" w:rsidR="00E71BB7" w:rsidRPr="002979A4" w:rsidRDefault="00812CE4" w:rsidP="00812CE4">
            <w:pPr>
              <w:jc w:val="right"/>
            </w:pPr>
            <w:r w:rsidRPr="00812CE4">
              <w:rPr>
                <w:sz w:val="40"/>
              </w:rPr>
              <w:t>E</w:t>
            </w:r>
            <w:r w:rsidRPr="00C61517">
              <w:t>/C.12/TUN/CO/3</w:t>
            </w:r>
          </w:p>
        </w:tc>
      </w:tr>
      <w:tr w:rsidR="00E71BB7" w:rsidRPr="00EC1F05" w14:paraId="1D2769AD" w14:textId="77777777" w:rsidTr="00F01516">
        <w:trPr>
          <w:trHeight w:hRule="exact" w:val="2835"/>
        </w:trPr>
        <w:tc>
          <w:tcPr>
            <w:tcW w:w="1276" w:type="dxa"/>
            <w:tcBorders>
              <w:top w:val="single" w:sz="4" w:space="0" w:color="auto"/>
              <w:bottom w:val="single" w:sz="12" w:space="0" w:color="auto"/>
            </w:tcBorders>
          </w:tcPr>
          <w:p w14:paraId="115F631E" w14:textId="42BB0DD5" w:rsidR="00E71BB7" w:rsidRPr="00EC1F05" w:rsidRDefault="0098180E" w:rsidP="00E71BB7">
            <w:pPr>
              <w:spacing w:before="120"/>
              <w:jc w:val="center"/>
            </w:pPr>
            <w:r>
              <w:pict w14:anchorId="1B8E7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7.25pt">
                  <v:imagedata r:id="rId9" o:title="_unlogo"/>
                </v:shape>
              </w:pict>
            </w:r>
          </w:p>
        </w:tc>
        <w:tc>
          <w:tcPr>
            <w:tcW w:w="5528" w:type="dxa"/>
            <w:gridSpan w:val="2"/>
            <w:tcBorders>
              <w:top w:val="single" w:sz="4" w:space="0" w:color="auto"/>
              <w:bottom w:val="single" w:sz="12" w:space="0" w:color="auto"/>
            </w:tcBorders>
          </w:tcPr>
          <w:p w14:paraId="136A427A" w14:textId="1D0E706F" w:rsidR="00E71BB7" w:rsidRPr="00EC1F05" w:rsidRDefault="00E71BB7" w:rsidP="00E71BB7">
            <w:pPr>
              <w:spacing w:before="120" w:line="420" w:lineRule="exact"/>
              <w:rPr>
                <w:b/>
                <w:sz w:val="40"/>
                <w:szCs w:val="40"/>
              </w:rPr>
            </w:pPr>
            <w:r w:rsidRPr="00EC1F05">
              <w:rPr>
                <w:b/>
                <w:sz w:val="40"/>
                <w:szCs w:val="40"/>
              </w:rPr>
              <w:t>Conseil économique et social</w:t>
            </w:r>
          </w:p>
        </w:tc>
        <w:tc>
          <w:tcPr>
            <w:tcW w:w="2835" w:type="dxa"/>
            <w:tcBorders>
              <w:top w:val="single" w:sz="4" w:space="0" w:color="auto"/>
              <w:bottom w:val="single" w:sz="12" w:space="0" w:color="auto"/>
            </w:tcBorders>
          </w:tcPr>
          <w:p w14:paraId="40FE528B" w14:textId="0298E47F" w:rsidR="00E71BB7" w:rsidRDefault="00812CE4" w:rsidP="00C61517">
            <w:pPr>
              <w:spacing w:before="240" w:line="240" w:lineRule="exact"/>
            </w:pPr>
            <w:proofErr w:type="spellStart"/>
            <w:r>
              <w:t>Distr</w:t>
            </w:r>
            <w:proofErr w:type="spellEnd"/>
            <w:r>
              <w:t>. générale</w:t>
            </w:r>
          </w:p>
          <w:p w14:paraId="4659BD2C" w14:textId="50127A2A" w:rsidR="00812CE4" w:rsidRDefault="002C4A24" w:rsidP="004D178C">
            <w:pPr>
              <w:spacing w:line="240" w:lineRule="exact"/>
            </w:pPr>
            <w:r>
              <w:t>1</w:t>
            </w:r>
            <w:r w:rsidR="00DF561B">
              <w:t>4</w:t>
            </w:r>
            <w:r w:rsidR="00DE25C9">
              <w:t xml:space="preserve"> novembre</w:t>
            </w:r>
            <w:r w:rsidR="00812CE4">
              <w:t xml:space="preserve"> 2016</w:t>
            </w:r>
          </w:p>
          <w:p w14:paraId="56A743CD" w14:textId="77777777" w:rsidR="00812CE4" w:rsidRDefault="00812CE4" w:rsidP="00812CE4">
            <w:pPr>
              <w:spacing w:line="240" w:lineRule="exact"/>
            </w:pPr>
          </w:p>
          <w:p w14:paraId="52DB6352" w14:textId="304C7302" w:rsidR="007C272A" w:rsidRDefault="00812CE4" w:rsidP="00812CE4">
            <w:pPr>
              <w:spacing w:line="240" w:lineRule="exact"/>
              <w:rPr>
                <w:lang w:val="fr-FR"/>
              </w:rPr>
            </w:pPr>
            <w:r>
              <w:t>Original</w:t>
            </w:r>
            <w:r w:rsidR="00DE25C9">
              <w:t> </w:t>
            </w:r>
            <w:r>
              <w:t>: français</w:t>
            </w:r>
            <w:r w:rsidR="007C272A" w:rsidRPr="007C272A">
              <w:rPr>
                <w:lang w:val="fr-FR"/>
              </w:rPr>
              <w:t xml:space="preserve"> </w:t>
            </w:r>
          </w:p>
          <w:p w14:paraId="638FC28C" w14:textId="58C5681F" w:rsidR="00812CE4" w:rsidRPr="00535F5E" w:rsidRDefault="00812CE4" w:rsidP="00E43BAC">
            <w:pPr>
              <w:spacing w:line="240" w:lineRule="exact"/>
            </w:pPr>
          </w:p>
        </w:tc>
      </w:tr>
    </w:tbl>
    <w:p w14:paraId="079A79D5" w14:textId="77777777" w:rsidR="008F55BB" w:rsidRPr="005D2E32" w:rsidRDefault="008F55BB" w:rsidP="008F55BB">
      <w:pPr>
        <w:keepNext/>
        <w:keepLines/>
        <w:tabs>
          <w:tab w:val="right" w:pos="851"/>
        </w:tabs>
        <w:spacing w:before="120" w:line="270" w:lineRule="exact"/>
        <w:ind w:left="1134" w:right="1134" w:hanging="1134"/>
        <w:rPr>
          <w:b/>
          <w:sz w:val="24"/>
        </w:rPr>
      </w:pPr>
      <w:r w:rsidRPr="005D2E32">
        <w:rPr>
          <w:b/>
          <w:sz w:val="24"/>
        </w:rPr>
        <w:t>Comité des droits économiques, sociaux et culturels</w:t>
      </w:r>
    </w:p>
    <w:p w14:paraId="085D670F" w14:textId="258AD410" w:rsidR="0047154B" w:rsidRDefault="0047154B" w:rsidP="00372E0C">
      <w:pPr>
        <w:pStyle w:val="HChG"/>
        <w:rPr>
          <w:b w:val="0"/>
          <w:sz w:val="20"/>
        </w:rPr>
      </w:pPr>
      <w:r w:rsidRPr="00EC1F05">
        <w:tab/>
      </w:r>
      <w:r w:rsidRPr="00EC1F05">
        <w:tab/>
      </w:r>
      <w:r w:rsidR="00D07D5C" w:rsidRPr="000D2D65">
        <w:t xml:space="preserve">Observations finales concernant le </w:t>
      </w:r>
      <w:r w:rsidR="005E093B">
        <w:t>troisième</w:t>
      </w:r>
      <w:r w:rsidR="00D07D5C" w:rsidRPr="00F3269A">
        <w:t xml:space="preserve"> </w:t>
      </w:r>
      <w:r w:rsidR="00D07D5C" w:rsidRPr="000D2D65">
        <w:t>rapport périodique</w:t>
      </w:r>
      <w:r w:rsidR="00F3269A">
        <w:t xml:space="preserve"> </w:t>
      </w:r>
      <w:r w:rsidR="00D07D5C" w:rsidRPr="000D2D65">
        <w:t>de</w:t>
      </w:r>
      <w:r w:rsidR="00F3269A">
        <w:t xml:space="preserve"> la </w:t>
      </w:r>
      <w:r w:rsidR="005E093B">
        <w:t>Tunisie</w:t>
      </w:r>
      <w:r w:rsidR="0093411A" w:rsidRPr="00C61517">
        <w:rPr>
          <w:rStyle w:val="Appelnotedebasdep"/>
          <w:b w:val="0"/>
          <w:sz w:val="20"/>
          <w:vertAlign w:val="baseline"/>
        </w:rPr>
        <w:footnoteReference w:customMarkFollows="1" w:id="2"/>
        <w:t>*</w:t>
      </w:r>
      <w:r w:rsidR="00DF561B">
        <w:rPr>
          <w:b w:val="0"/>
          <w:sz w:val="20"/>
        </w:rPr>
        <w:t xml:space="preserve"> </w:t>
      </w:r>
    </w:p>
    <w:p w14:paraId="02476619" w14:textId="07335EB8" w:rsidR="00FC00F2" w:rsidRPr="00EC1F05" w:rsidRDefault="00C61517" w:rsidP="00C61517">
      <w:pPr>
        <w:pStyle w:val="SingleTxtG"/>
      </w:pPr>
      <w:r w:rsidRPr="00EC1F05">
        <w:t>1.</w:t>
      </w:r>
      <w:r w:rsidRPr="00EC1F05">
        <w:tab/>
      </w:r>
      <w:r w:rsidR="00E83EF8" w:rsidRPr="00EC1F05">
        <w:t>Le Comité des droits économiques, so</w:t>
      </w:r>
      <w:r w:rsidR="00677163" w:rsidRPr="00EC1F05">
        <w:t xml:space="preserve">ciaux et culturels a examiné </w:t>
      </w:r>
      <w:r w:rsidR="00372E0C" w:rsidRPr="00EC1F05">
        <w:t xml:space="preserve">le </w:t>
      </w:r>
      <w:r w:rsidR="005E093B">
        <w:t>troisième</w:t>
      </w:r>
      <w:r w:rsidR="00F3269A" w:rsidRPr="00084F16">
        <w:rPr>
          <w:color w:val="FF0000"/>
        </w:rPr>
        <w:t xml:space="preserve"> </w:t>
      </w:r>
      <w:r w:rsidR="00692C8B" w:rsidRPr="000D2D65">
        <w:t>rapport périodique de</w:t>
      </w:r>
      <w:r w:rsidR="00F3269A">
        <w:t xml:space="preserve"> la </w:t>
      </w:r>
      <w:r w:rsidR="005E093B">
        <w:t xml:space="preserve">Tunisie </w:t>
      </w:r>
      <w:r w:rsidR="00E83EF8" w:rsidRPr="00EC1F05">
        <w:t>sur l’application du Pacte international relatif aux droits économiques</w:t>
      </w:r>
      <w:r w:rsidR="00677163" w:rsidRPr="00EC1F05">
        <w:t>, sociaux et culturels (E/C.12/</w:t>
      </w:r>
      <w:r w:rsidR="005E093B">
        <w:t>TUN/3</w:t>
      </w:r>
      <w:r w:rsidR="00E83EF8" w:rsidRPr="00EC1F05">
        <w:t xml:space="preserve">) à </w:t>
      </w:r>
      <w:r w:rsidR="00E83EF8" w:rsidRPr="00770EAE">
        <w:t>ses</w:t>
      </w:r>
      <w:r w:rsidR="00770EAE" w:rsidRPr="00770EAE">
        <w:t xml:space="preserve"> 57</w:t>
      </w:r>
      <w:r w:rsidR="00770EAE" w:rsidRPr="00770EAE">
        <w:rPr>
          <w:vertAlign w:val="superscript"/>
        </w:rPr>
        <w:t xml:space="preserve">e </w:t>
      </w:r>
      <w:r w:rsidR="00F3269A" w:rsidRPr="00770EAE">
        <w:t>et</w:t>
      </w:r>
      <w:r w:rsidR="00770EAE" w:rsidRPr="00770EAE">
        <w:t xml:space="preserve"> 58</w:t>
      </w:r>
      <w:r w:rsidR="00F3269A" w:rsidRPr="00770EAE">
        <w:rPr>
          <w:vertAlign w:val="superscript"/>
        </w:rPr>
        <w:t>e</w:t>
      </w:r>
      <w:r w:rsidR="00D605A8" w:rsidRPr="00770EAE">
        <w:t> séanc</w:t>
      </w:r>
      <w:r w:rsidR="00D605A8" w:rsidRPr="00EC1F05">
        <w:t xml:space="preserve">es </w:t>
      </w:r>
      <w:r w:rsidR="00D605A8" w:rsidRPr="00056258">
        <w:t>(</w:t>
      </w:r>
      <w:r w:rsidR="00B57EE9">
        <w:t xml:space="preserve">voir </w:t>
      </w:r>
      <w:r w:rsidR="00D605A8" w:rsidRPr="00056258">
        <w:t>E/C.12/201</w:t>
      </w:r>
      <w:r w:rsidR="00AF1675" w:rsidRPr="00056258">
        <w:t>6</w:t>
      </w:r>
      <w:r w:rsidR="00E83EF8" w:rsidRPr="00056258">
        <w:t>/SR</w:t>
      </w:r>
      <w:r w:rsidR="005E093B" w:rsidRPr="00056258">
        <w:t>.</w:t>
      </w:r>
      <w:r w:rsidR="00056258" w:rsidRPr="00056258">
        <w:t>57</w:t>
      </w:r>
      <w:r w:rsidR="007D224C">
        <w:t xml:space="preserve"> et </w:t>
      </w:r>
      <w:r w:rsidR="00056258" w:rsidRPr="00056258">
        <w:t>58</w:t>
      </w:r>
      <w:r w:rsidR="00372E0C" w:rsidRPr="00056258">
        <w:t>), le</w:t>
      </w:r>
      <w:r w:rsidR="00F3269A" w:rsidRPr="00056258">
        <w:t>s</w:t>
      </w:r>
      <w:r w:rsidR="00E83EF8" w:rsidRPr="00056258">
        <w:t xml:space="preserve"> </w:t>
      </w:r>
      <w:r w:rsidR="00770EAE" w:rsidRPr="00056258">
        <w:t>22</w:t>
      </w:r>
      <w:r w:rsidR="006F1EB3" w:rsidRPr="00056258">
        <w:t xml:space="preserve"> et </w:t>
      </w:r>
      <w:r w:rsidR="00770EAE" w:rsidRPr="00056258">
        <w:t>23</w:t>
      </w:r>
      <w:r w:rsidR="006F1EB3" w:rsidRPr="00EC1F05">
        <w:t xml:space="preserve"> </w:t>
      </w:r>
      <w:r w:rsidR="005E093B">
        <w:t>septembre</w:t>
      </w:r>
      <w:r w:rsidR="006F1EB3" w:rsidRPr="00EC1F05">
        <w:t>2016</w:t>
      </w:r>
      <w:r w:rsidR="00D605A8" w:rsidRPr="00EC1F05">
        <w:t xml:space="preserve">, et </w:t>
      </w:r>
      <w:r w:rsidR="00004746">
        <w:t xml:space="preserve">a </w:t>
      </w:r>
      <w:r w:rsidR="00D605A8" w:rsidRPr="00EC1F05">
        <w:t xml:space="preserve">adopté, à sa </w:t>
      </w:r>
      <w:r w:rsidR="007C272A">
        <w:t>7</w:t>
      </w:r>
      <w:r w:rsidR="009D418D">
        <w:t>8</w:t>
      </w:r>
      <w:r w:rsidR="007C272A" w:rsidRPr="00C61517">
        <w:rPr>
          <w:vertAlign w:val="superscript"/>
        </w:rPr>
        <w:t>e</w:t>
      </w:r>
      <w:r w:rsidR="007C272A">
        <w:t xml:space="preserve"> </w:t>
      </w:r>
      <w:r w:rsidR="00D605A8" w:rsidRPr="00762C6C">
        <w:t>séance</w:t>
      </w:r>
      <w:r w:rsidR="00D605A8" w:rsidRPr="00EC1F05">
        <w:t xml:space="preserve">, </w:t>
      </w:r>
      <w:r w:rsidR="00D605A8" w:rsidRPr="00762C6C">
        <w:t xml:space="preserve">le </w:t>
      </w:r>
      <w:r w:rsidR="007C272A">
        <w:t>7</w:t>
      </w:r>
      <w:r w:rsidR="00B143CD">
        <w:t> </w:t>
      </w:r>
      <w:r w:rsidR="005E093B">
        <w:t>octobre</w:t>
      </w:r>
      <w:r w:rsidR="00004746">
        <w:t xml:space="preserve"> </w:t>
      </w:r>
      <w:r w:rsidR="006F1EB3" w:rsidRPr="00EC1F05">
        <w:t>2016</w:t>
      </w:r>
      <w:r w:rsidR="0002316E">
        <w:t xml:space="preserve">, les </w:t>
      </w:r>
      <w:r w:rsidR="00E83EF8" w:rsidRPr="00EC1F05">
        <w:t>observations finales ci-après.</w:t>
      </w:r>
    </w:p>
    <w:p w14:paraId="082470AD" w14:textId="77777777" w:rsidR="00FC00F2" w:rsidRPr="00EC1F05" w:rsidRDefault="00FC00F2" w:rsidP="00C61517">
      <w:pPr>
        <w:pStyle w:val="H1G"/>
      </w:pPr>
      <w:r w:rsidRPr="00EC1F05">
        <w:tab/>
      </w:r>
      <w:r w:rsidR="00C63E3B" w:rsidRPr="00EC1F05">
        <w:t>A.</w:t>
      </w:r>
      <w:r w:rsidR="00C63E3B" w:rsidRPr="00EC1F05">
        <w:tab/>
      </w:r>
      <w:r w:rsidR="00C63E3B" w:rsidRPr="009E6C51">
        <w:t>Introduction</w:t>
      </w:r>
    </w:p>
    <w:p w14:paraId="79035B0A" w14:textId="652AF080" w:rsidR="00FF1DBD" w:rsidRDefault="00C61517" w:rsidP="00C61517">
      <w:pPr>
        <w:pStyle w:val="SingleTxtG"/>
      </w:pPr>
      <w:r>
        <w:t>2.</w:t>
      </w:r>
      <w:r>
        <w:tab/>
      </w:r>
      <w:r w:rsidR="00084F16">
        <w:t xml:space="preserve">Le Comité se félicite de la présentation du </w:t>
      </w:r>
      <w:r w:rsidR="005E093B">
        <w:t>troisième</w:t>
      </w:r>
      <w:r w:rsidR="00084F16">
        <w:t xml:space="preserve"> rapport périodique de la </w:t>
      </w:r>
      <w:r w:rsidR="005E093B">
        <w:t>Tunisie</w:t>
      </w:r>
      <w:r w:rsidR="00084F16">
        <w:t xml:space="preserve"> </w:t>
      </w:r>
      <w:r w:rsidR="00084F16" w:rsidRPr="001E0263">
        <w:t>ainsi que des réponses écrites de l’État partie à la liste de points</w:t>
      </w:r>
      <w:r w:rsidR="00B57EE9">
        <w:t xml:space="preserve"> </w:t>
      </w:r>
      <w:r w:rsidR="00B57EE9" w:rsidRPr="001E0263">
        <w:t>(E/C.12/TUN/Q/3/Add.1)</w:t>
      </w:r>
      <w:r w:rsidR="00084F16" w:rsidRPr="001E0263">
        <w:t xml:space="preserve">. </w:t>
      </w:r>
      <w:r w:rsidR="003828BC">
        <w:t>Il</w:t>
      </w:r>
      <w:r w:rsidR="00084F16" w:rsidRPr="001E0263">
        <w:t xml:space="preserve"> se félicite également du dialogue</w:t>
      </w:r>
      <w:r w:rsidR="0013780B" w:rsidRPr="001E0263">
        <w:t xml:space="preserve"> </w:t>
      </w:r>
      <w:r w:rsidR="00757FC3" w:rsidRPr="001E0263">
        <w:t>ouvert</w:t>
      </w:r>
      <w:r w:rsidR="006853C1">
        <w:t xml:space="preserve"> et</w:t>
      </w:r>
      <w:r w:rsidR="00757FC3" w:rsidRPr="001E0263">
        <w:t xml:space="preserve"> </w:t>
      </w:r>
      <w:r w:rsidR="0013780B" w:rsidRPr="001E0263">
        <w:t>constructif</w:t>
      </w:r>
      <w:r w:rsidR="00084F16" w:rsidRPr="001E0263">
        <w:t xml:space="preserve"> qu’il a eu avec la délégation </w:t>
      </w:r>
      <w:r w:rsidR="000E32D8">
        <w:t xml:space="preserve">de haut niveau </w:t>
      </w:r>
      <w:r w:rsidR="00C22839" w:rsidRPr="001E0263">
        <w:t xml:space="preserve">de </w:t>
      </w:r>
      <w:r w:rsidR="00084F16" w:rsidRPr="001E0263">
        <w:t>l’État partie.</w:t>
      </w:r>
    </w:p>
    <w:p w14:paraId="10C87654" w14:textId="0FB31B4C" w:rsidR="006853C1" w:rsidRPr="00825518" w:rsidRDefault="00C61517" w:rsidP="00C61517">
      <w:pPr>
        <w:pStyle w:val="SingleTxtG"/>
      </w:pPr>
      <w:r w:rsidRPr="00825518">
        <w:t>3.</w:t>
      </w:r>
      <w:r w:rsidRPr="00825518">
        <w:tab/>
      </w:r>
      <w:r w:rsidR="005723F6" w:rsidRPr="00825518">
        <w:t xml:space="preserve">Le Comité </w:t>
      </w:r>
      <w:r w:rsidR="00386B78" w:rsidRPr="00825518">
        <w:t xml:space="preserve">a examiné la </w:t>
      </w:r>
      <w:r w:rsidR="00B72E89" w:rsidRPr="00825518">
        <w:t xml:space="preserve">situation de la Tunisie au regard du Pacte alors que celle-ci est entrée dans une période de transition, </w:t>
      </w:r>
      <w:r w:rsidR="000C7868">
        <w:t>marquée</w:t>
      </w:r>
      <w:r w:rsidR="00B72E89" w:rsidRPr="00825518">
        <w:t xml:space="preserve"> notamment </w:t>
      </w:r>
      <w:r w:rsidR="000C7868">
        <w:t xml:space="preserve">par </w:t>
      </w:r>
      <w:r w:rsidR="00B72E89" w:rsidRPr="00825518">
        <w:t>l</w:t>
      </w:r>
      <w:r w:rsidR="00E4384B" w:rsidRPr="00926DC8">
        <w:t>’</w:t>
      </w:r>
      <w:r w:rsidR="00B72E89" w:rsidRPr="00825518">
        <w:t>adoption d</w:t>
      </w:r>
      <w:r w:rsidR="00E4384B" w:rsidRPr="00926DC8">
        <w:t>’</w:t>
      </w:r>
      <w:r w:rsidR="00B72E89" w:rsidRPr="00825518">
        <w:t xml:space="preserve">une nouvelle Constitution en 2014. Conscient </w:t>
      </w:r>
      <w:r w:rsidR="005723F6" w:rsidRPr="00825518">
        <w:t>des défis que</w:t>
      </w:r>
      <w:r w:rsidR="007667FB" w:rsidRPr="00825518">
        <w:t xml:space="preserve"> </w:t>
      </w:r>
      <w:r w:rsidR="00B72E89" w:rsidRPr="00825518">
        <w:t>présente cette</w:t>
      </w:r>
      <w:r w:rsidR="005723F6" w:rsidRPr="00825518">
        <w:t xml:space="preserve"> transition</w:t>
      </w:r>
      <w:r w:rsidR="00A24C58" w:rsidRPr="00825518">
        <w:t xml:space="preserve">, le Comité encourage la Tunisie à voir cette période comme une opportunité pour renforcer </w:t>
      </w:r>
      <w:r w:rsidR="005723F6" w:rsidRPr="00825518">
        <w:t xml:space="preserve">la protection des droits </w:t>
      </w:r>
      <w:r w:rsidR="00E87F34" w:rsidRPr="00825518">
        <w:t>économiques, sociaux et culturels.</w:t>
      </w:r>
    </w:p>
    <w:p w14:paraId="757027D7" w14:textId="0A3C05E6" w:rsidR="00C63E3B" w:rsidRPr="00EC1F05" w:rsidRDefault="00FC00F2" w:rsidP="00C61517">
      <w:pPr>
        <w:pStyle w:val="H1G"/>
      </w:pPr>
      <w:r w:rsidRPr="006853C1">
        <w:tab/>
      </w:r>
      <w:r w:rsidR="00C63E3B" w:rsidRPr="00EC1F05">
        <w:t>B.</w:t>
      </w:r>
      <w:r w:rsidR="00C63E3B" w:rsidRPr="00EC1F05">
        <w:tab/>
        <w:t xml:space="preserve">Aspects positifs </w:t>
      </w:r>
      <w:r w:rsidR="00246647">
        <w:t>1618936</w:t>
      </w:r>
    </w:p>
    <w:p w14:paraId="6AB54D34" w14:textId="5D332F86" w:rsidR="0024701A" w:rsidRDefault="00C61517" w:rsidP="00C61517">
      <w:pPr>
        <w:pStyle w:val="SingleTxtG"/>
      </w:pPr>
      <w:r>
        <w:t>4.</w:t>
      </w:r>
      <w:r>
        <w:tab/>
      </w:r>
      <w:r w:rsidR="00084F16">
        <w:t xml:space="preserve">Le Comité accueille avec satisfaction la </w:t>
      </w:r>
      <w:r w:rsidR="0024701A">
        <w:t xml:space="preserve">nouvelle Constitution </w:t>
      </w:r>
      <w:r w:rsidR="00420CC4">
        <w:t>promulguée le 27</w:t>
      </w:r>
      <w:r w:rsidR="00DF561B">
        <w:t> </w:t>
      </w:r>
      <w:r w:rsidR="00757FC3">
        <w:t>janvier 2014</w:t>
      </w:r>
      <w:r w:rsidR="008D3FDC">
        <w:t>,</w:t>
      </w:r>
      <w:r w:rsidR="00757FC3">
        <w:t xml:space="preserve"> </w:t>
      </w:r>
      <w:r w:rsidR="0024701A">
        <w:t xml:space="preserve">qui consacre les droits économiques, sociaux et culturels, en particulier le droit </w:t>
      </w:r>
      <w:r w:rsidR="00A956B8">
        <w:t xml:space="preserve">syndical (art. 36), </w:t>
      </w:r>
      <w:r w:rsidR="008D3FDC">
        <w:t xml:space="preserve">le droit </w:t>
      </w:r>
      <w:r w:rsidR="0024701A">
        <w:t xml:space="preserve">à la santé (art. 38), </w:t>
      </w:r>
      <w:r w:rsidR="008D3FDC">
        <w:t xml:space="preserve">le droit </w:t>
      </w:r>
      <w:r w:rsidR="0024701A">
        <w:t>à l’éducation (art. 39)</w:t>
      </w:r>
      <w:r w:rsidR="00A956B8">
        <w:t>,</w:t>
      </w:r>
      <w:r w:rsidR="0024701A">
        <w:t xml:space="preserve"> </w:t>
      </w:r>
      <w:r w:rsidR="008D3FDC">
        <w:t xml:space="preserve">le droit </w:t>
      </w:r>
      <w:r w:rsidR="00A956B8">
        <w:t>au travail (art</w:t>
      </w:r>
      <w:r w:rsidR="00E4384B">
        <w:t>.</w:t>
      </w:r>
      <w:r w:rsidR="00A956B8">
        <w:t xml:space="preserve"> 40) </w:t>
      </w:r>
      <w:r w:rsidR="0024701A">
        <w:t xml:space="preserve">et </w:t>
      </w:r>
      <w:r w:rsidR="008D3FDC">
        <w:t xml:space="preserve">le droit </w:t>
      </w:r>
      <w:r w:rsidR="0024701A">
        <w:t>à l’eau (art. 44).</w:t>
      </w:r>
      <w:bookmarkStart w:id="0" w:name="_GoBack"/>
      <w:bookmarkEnd w:id="0"/>
    </w:p>
    <w:p w14:paraId="485FA586" w14:textId="2BAE6A5D" w:rsidR="00436F2B" w:rsidRDefault="00C61517" w:rsidP="00C61517">
      <w:pPr>
        <w:pStyle w:val="SingleTxtG"/>
      </w:pPr>
      <w:r>
        <w:t>5.</w:t>
      </w:r>
      <w:r>
        <w:tab/>
      </w:r>
      <w:r w:rsidR="00757FC3">
        <w:t xml:space="preserve">Le Comité note avec satisfaction que l’État partie a ratifié ou adhéré à la plupart des </w:t>
      </w:r>
      <w:r w:rsidR="00757FC3" w:rsidRPr="007667FB">
        <w:t xml:space="preserve">instruments internationaux relatifs aux droits de l’homme </w:t>
      </w:r>
      <w:r w:rsidR="001E0263" w:rsidRPr="007667FB">
        <w:t xml:space="preserve">et a </w:t>
      </w:r>
      <w:r w:rsidR="00436F2B" w:rsidRPr="007667FB">
        <w:t>retiré</w:t>
      </w:r>
      <w:r w:rsidR="00345C24">
        <w:t>,</w:t>
      </w:r>
      <w:r w:rsidR="0082387E">
        <w:t xml:space="preserve"> en 2014</w:t>
      </w:r>
      <w:r w:rsidR="00345C24">
        <w:t>,</w:t>
      </w:r>
      <w:r w:rsidR="00436F2B" w:rsidRPr="007667FB">
        <w:t xml:space="preserve"> la </w:t>
      </w:r>
      <w:r w:rsidR="0082387E">
        <w:t>réserve accompagnant sa ratification de</w:t>
      </w:r>
      <w:r w:rsidR="00436F2B" w:rsidRPr="007667FB">
        <w:t xml:space="preserve"> la Convention sur l</w:t>
      </w:r>
      <w:r w:rsidR="00E4384B" w:rsidRPr="00926DC8">
        <w:t>’</w:t>
      </w:r>
      <w:r w:rsidR="00436F2B" w:rsidRPr="007667FB">
        <w:t>élimination de toutes les formes de discrimination à l</w:t>
      </w:r>
      <w:r w:rsidR="00E4384B" w:rsidRPr="00926DC8">
        <w:t>’</w:t>
      </w:r>
      <w:r w:rsidR="00436F2B" w:rsidRPr="007667FB">
        <w:t>égard des femmes</w:t>
      </w:r>
      <w:r w:rsidR="0049395B" w:rsidRPr="007667FB">
        <w:t>.</w:t>
      </w:r>
    </w:p>
    <w:p w14:paraId="185DD329" w14:textId="5294A5EE" w:rsidR="00A956B8" w:rsidRDefault="00C61517" w:rsidP="00014F84">
      <w:pPr>
        <w:pStyle w:val="SingleTxtG"/>
        <w:keepLines/>
      </w:pPr>
      <w:r>
        <w:lastRenderedPageBreak/>
        <w:t>6.</w:t>
      </w:r>
      <w:r>
        <w:tab/>
      </w:r>
      <w:r w:rsidR="00757FC3">
        <w:t xml:space="preserve">Le Comité </w:t>
      </w:r>
      <w:r w:rsidR="00A956B8">
        <w:t>note avec satisfaction la mise en place</w:t>
      </w:r>
      <w:r w:rsidR="008A0024">
        <w:t>, à</w:t>
      </w:r>
      <w:r w:rsidR="008A0024" w:rsidRPr="008A0024">
        <w:t xml:space="preserve"> la suite de la révolution de 2011</w:t>
      </w:r>
      <w:r w:rsidR="008A0024">
        <w:t xml:space="preserve">, </w:t>
      </w:r>
      <w:r w:rsidR="00A956B8">
        <w:t>d</w:t>
      </w:r>
      <w:r w:rsidR="005760E8" w:rsidRPr="00926DC8">
        <w:t>’</w:t>
      </w:r>
      <w:r w:rsidR="008A0024">
        <w:t>institutions démocratiques</w:t>
      </w:r>
      <w:r w:rsidR="005760E8">
        <w:t xml:space="preserve"> telles que</w:t>
      </w:r>
      <w:r w:rsidR="008A0024">
        <w:t xml:space="preserve"> l’Assemblée des </w:t>
      </w:r>
      <w:r w:rsidR="00601398">
        <w:t xml:space="preserve">représentants </w:t>
      </w:r>
      <w:r w:rsidR="008A0024">
        <w:t xml:space="preserve">du </w:t>
      </w:r>
      <w:r w:rsidR="00601398">
        <w:t>p</w:t>
      </w:r>
      <w:r w:rsidR="008A0024">
        <w:t>euple</w:t>
      </w:r>
      <w:r w:rsidR="00B32B35">
        <w:t xml:space="preserve"> et </w:t>
      </w:r>
      <w:r w:rsidR="008A0024">
        <w:t>l</w:t>
      </w:r>
      <w:r w:rsidR="00234F03" w:rsidRPr="00926DC8">
        <w:t>’</w:t>
      </w:r>
      <w:r w:rsidR="008A0024">
        <w:t xml:space="preserve">Instance Vérité et Dignité, ainsi que </w:t>
      </w:r>
      <w:r w:rsidR="007667FB">
        <w:t>la création du</w:t>
      </w:r>
      <w:r w:rsidR="008A0024">
        <w:t xml:space="preserve"> </w:t>
      </w:r>
      <w:r w:rsidR="00A956B8">
        <w:t xml:space="preserve">Ministère chargé des </w:t>
      </w:r>
      <w:r w:rsidR="00234F03">
        <w:t xml:space="preserve">relations </w:t>
      </w:r>
      <w:r w:rsidR="00A956B8">
        <w:t xml:space="preserve">avec les </w:t>
      </w:r>
      <w:r w:rsidR="00234F03">
        <w:t>instances constitutionnelles</w:t>
      </w:r>
      <w:r w:rsidR="00A956B8">
        <w:t xml:space="preserve">, la </w:t>
      </w:r>
      <w:r w:rsidR="00234F03">
        <w:t xml:space="preserve">société civile </w:t>
      </w:r>
      <w:r w:rsidR="00A956B8">
        <w:t xml:space="preserve">et les </w:t>
      </w:r>
      <w:r w:rsidR="00234F03">
        <w:t xml:space="preserve">droits </w:t>
      </w:r>
      <w:r w:rsidR="00A956B8">
        <w:t xml:space="preserve">de </w:t>
      </w:r>
      <w:r w:rsidR="00234F03">
        <w:t>l’homme</w:t>
      </w:r>
      <w:r w:rsidR="008A0024">
        <w:t>.</w:t>
      </w:r>
    </w:p>
    <w:p w14:paraId="0F66FD58" w14:textId="77777777" w:rsidR="00FC00F2" w:rsidRDefault="00FC00F2" w:rsidP="00C61517">
      <w:pPr>
        <w:pStyle w:val="H1G"/>
      </w:pPr>
      <w:r w:rsidRPr="00EC1F05">
        <w:tab/>
      </w:r>
      <w:r w:rsidR="00C63E3B" w:rsidRPr="00EC1F05">
        <w:t>C.</w:t>
      </w:r>
      <w:r w:rsidR="00C63E3B" w:rsidRPr="00EC1F05">
        <w:tab/>
        <w:t>Principaux sujets de préoccupation et recommandations</w:t>
      </w:r>
    </w:p>
    <w:p w14:paraId="7D11CFBD" w14:textId="77777777" w:rsidR="00C73E59" w:rsidRPr="00705F9D" w:rsidRDefault="00705F9D" w:rsidP="003E022E">
      <w:pPr>
        <w:pStyle w:val="H23G"/>
      </w:pPr>
      <w:r>
        <w:tab/>
      </w:r>
      <w:r>
        <w:tab/>
      </w:r>
      <w:r w:rsidRPr="009E6C51">
        <w:t>Applicabilité</w:t>
      </w:r>
      <w:r>
        <w:t xml:space="preserve"> du Pacte</w:t>
      </w:r>
    </w:p>
    <w:p w14:paraId="2F5B7D66" w14:textId="204D5A79" w:rsidR="00F0407B" w:rsidRDefault="00C61517" w:rsidP="00C61517">
      <w:pPr>
        <w:pStyle w:val="SingleTxtG"/>
      </w:pPr>
      <w:r>
        <w:t>7.</w:t>
      </w:r>
      <w:r>
        <w:tab/>
      </w:r>
      <w:r w:rsidR="00F41EBF">
        <w:t xml:space="preserve">Tout en accueillant avec satisfaction le fait que la </w:t>
      </w:r>
      <w:r w:rsidR="008A22C0">
        <w:t>Constitution</w:t>
      </w:r>
      <w:r w:rsidR="007D14A4">
        <w:t xml:space="preserve"> a prévu </w:t>
      </w:r>
      <w:r w:rsidR="008A22C0">
        <w:t>expressément</w:t>
      </w:r>
      <w:r w:rsidR="00EB0A6D">
        <w:t>,</w:t>
      </w:r>
      <w:r w:rsidR="007D14A4">
        <w:t xml:space="preserve"> </w:t>
      </w:r>
      <w:r w:rsidR="008A22C0">
        <w:t>dans</w:t>
      </w:r>
      <w:r w:rsidR="007D14A4">
        <w:t xml:space="preserve"> son art</w:t>
      </w:r>
      <w:r w:rsidR="00E629C1">
        <w:t xml:space="preserve">icle </w:t>
      </w:r>
      <w:r w:rsidR="007D14A4">
        <w:t>20</w:t>
      </w:r>
      <w:r w:rsidR="00EB0A6D">
        <w:t>,</w:t>
      </w:r>
      <w:r w:rsidR="007D14A4">
        <w:t xml:space="preserve"> </w:t>
      </w:r>
      <w:r w:rsidR="0064507D">
        <w:t>que les traités internationaux en vigueur à l</w:t>
      </w:r>
      <w:r w:rsidR="000C592D" w:rsidRPr="00926DC8">
        <w:t>’</w:t>
      </w:r>
      <w:r w:rsidR="0064507D">
        <w:t>égard de la Tunisie sont supérieurs aux lois</w:t>
      </w:r>
      <w:r w:rsidR="007D14A4">
        <w:t>, le Comité est préoccup</w:t>
      </w:r>
      <w:r w:rsidR="00F0407B">
        <w:t>é</w:t>
      </w:r>
      <w:r w:rsidR="007D14A4">
        <w:t xml:space="preserve"> par le</w:t>
      </w:r>
      <w:r w:rsidR="001E7939">
        <w:t xml:space="preserve"> fait que les </w:t>
      </w:r>
      <w:r w:rsidR="00F0407B" w:rsidRPr="00F0407B">
        <w:t>tribunaux tunisiens</w:t>
      </w:r>
      <w:r w:rsidR="00F0407B">
        <w:t xml:space="preserve"> n’</w:t>
      </w:r>
      <w:r w:rsidR="001E7939">
        <w:t>invoquent que très rarement</w:t>
      </w:r>
      <w:r w:rsidR="00BE5EB9">
        <w:t xml:space="preserve"> </w:t>
      </w:r>
      <w:r w:rsidR="00EB0A6D">
        <w:t xml:space="preserve">le Pacte </w:t>
      </w:r>
      <w:r w:rsidR="008B0499">
        <w:t>(art</w:t>
      </w:r>
      <w:r w:rsidR="00DA12E3">
        <w:t>.</w:t>
      </w:r>
      <w:r w:rsidR="008B0499">
        <w:t xml:space="preserve"> 2, par. 1)</w:t>
      </w:r>
      <w:r w:rsidR="00DA12E3">
        <w:t>.</w:t>
      </w:r>
    </w:p>
    <w:p w14:paraId="63E66FB8" w14:textId="56D0B8C6" w:rsidR="008A0024" w:rsidRPr="00723711" w:rsidRDefault="00C61517" w:rsidP="00C61517">
      <w:pPr>
        <w:pStyle w:val="SingleTxtG"/>
        <w:rPr>
          <w:b/>
        </w:rPr>
      </w:pPr>
      <w:r w:rsidRPr="00723711">
        <w:t>8.</w:t>
      </w:r>
      <w:r w:rsidRPr="00723711">
        <w:tab/>
      </w:r>
      <w:r w:rsidR="00723BC2" w:rsidRPr="00723711">
        <w:rPr>
          <w:b/>
        </w:rPr>
        <w:t>L</w:t>
      </w:r>
      <w:r w:rsidR="00F41EBF" w:rsidRPr="00723711">
        <w:rPr>
          <w:b/>
        </w:rPr>
        <w:t>e Comité engage l’État partie à</w:t>
      </w:r>
      <w:r w:rsidR="00136538" w:rsidRPr="00723711">
        <w:rPr>
          <w:b/>
        </w:rPr>
        <w:t xml:space="preserve"> </w:t>
      </w:r>
      <w:r w:rsidR="002D71FC">
        <w:rPr>
          <w:b/>
        </w:rPr>
        <w:t xml:space="preserve">prendre </w:t>
      </w:r>
      <w:r w:rsidR="003F7B59">
        <w:rPr>
          <w:b/>
        </w:rPr>
        <w:t xml:space="preserve">des </w:t>
      </w:r>
      <w:r w:rsidR="002D71FC">
        <w:rPr>
          <w:b/>
        </w:rPr>
        <w:t>mesures favorisant l</w:t>
      </w:r>
      <w:r w:rsidR="003F7B59" w:rsidRPr="003F7B59">
        <w:rPr>
          <w:b/>
        </w:rPr>
        <w:t>’</w:t>
      </w:r>
      <w:r w:rsidR="002D71FC">
        <w:rPr>
          <w:b/>
        </w:rPr>
        <w:t xml:space="preserve">application </w:t>
      </w:r>
      <w:r w:rsidR="008A22C0" w:rsidRPr="00723711">
        <w:rPr>
          <w:b/>
        </w:rPr>
        <w:t>du Pacte</w:t>
      </w:r>
      <w:r w:rsidR="002D71FC">
        <w:rPr>
          <w:b/>
        </w:rPr>
        <w:t xml:space="preserve"> par les autorités nationales, y compris par les cours et tribunaux</w:t>
      </w:r>
      <w:r w:rsidR="008A22C0" w:rsidRPr="00723711">
        <w:rPr>
          <w:b/>
        </w:rPr>
        <w:t>. Il</w:t>
      </w:r>
      <w:r w:rsidR="00846B56">
        <w:rPr>
          <w:b/>
        </w:rPr>
        <w:t> </w:t>
      </w:r>
      <w:r w:rsidR="008A22C0" w:rsidRPr="00723711">
        <w:rPr>
          <w:b/>
        </w:rPr>
        <w:t>recommande notamment de</w:t>
      </w:r>
      <w:r w:rsidR="00252A62">
        <w:rPr>
          <w:b/>
        </w:rPr>
        <w:t> </w:t>
      </w:r>
      <w:r w:rsidR="002D71FC">
        <w:rPr>
          <w:b/>
        </w:rPr>
        <w:t>:</w:t>
      </w:r>
    </w:p>
    <w:p w14:paraId="1A58D27E" w14:textId="3BA1D76E" w:rsidR="008A0024" w:rsidRPr="00723711" w:rsidRDefault="00DF561B" w:rsidP="00C61517">
      <w:pPr>
        <w:pStyle w:val="SingleTxtG"/>
        <w:ind w:firstLine="567"/>
        <w:rPr>
          <w:b/>
        </w:rPr>
      </w:pPr>
      <w:r w:rsidRPr="00C61517">
        <w:rPr>
          <w:bCs/>
        </w:rPr>
        <w:t>a)</w:t>
      </w:r>
      <w:r>
        <w:rPr>
          <w:b/>
        </w:rPr>
        <w:tab/>
      </w:r>
      <w:r w:rsidR="00252A62">
        <w:rPr>
          <w:b/>
        </w:rPr>
        <w:t>S</w:t>
      </w:r>
      <w:r w:rsidR="00252A62" w:rsidRPr="00723711">
        <w:rPr>
          <w:b/>
        </w:rPr>
        <w:t xml:space="preserve">ensibiliser </w:t>
      </w:r>
      <w:r w:rsidR="001A55FE">
        <w:rPr>
          <w:b/>
        </w:rPr>
        <w:t xml:space="preserve">les juges, </w:t>
      </w:r>
      <w:r w:rsidR="008A22C0" w:rsidRPr="00723711">
        <w:rPr>
          <w:b/>
        </w:rPr>
        <w:t>les avocats</w:t>
      </w:r>
      <w:r w:rsidR="001A55FE">
        <w:rPr>
          <w:b/>
        </w:rPr>
        <w:t xml:space="preserve">, le public et les parlementaires </w:t>
      </w:r>
      <w:r w:rsidR="00EB324C">
        <w:rPr>
          <w:b/>
        </w:rPr>
        <w:t>à</w:t>
      </w:r>
      <w:r w:rsidR="00EB324C" w:rsidRPr="00723711">
        <w:rPr>
          <w:b/>
        </w:rPr>
        <w:t xml:space="preserve"> </w:t>
      </w:r>
      <w:r w:rsidR="008A22C0" w:rsidRPr="00723711">
        <w:rPr>
          <w:b/>
        </w:rPr>
        <w:t xml:space="preserve">la </w:t>
      </w:r>
      <w:proofErr w:type="spellStart"/>
      <w:r w:rsidR="008A22C0" w:rsidRPr="00723711">
        <w:rPr>
          <w:b/>
        </w:rPr>
        <w:t>justiciabilité</w:t>
      </w:r>
      <w:proofErr w:type="spellEnd"/>
      <w:r w:rsidR="008A22C0" w:rsidRPr="00723711">
        <w:rPr>
          <w:b/>
        </w:rPr>
        <w:t xml:space="preserve"> des droits économiques, sociaux et culturels et </w:t>
      </w:r>
      <w:r w:rsidR="00EB324C">
        <w:rPr>
          <w:b/>
        </w:rPr>
        <w:t xml:space="preserve">à </w:t>
      </w:r>
      <w:r w:rsidR="008A22C0" w:rsidRPr="00723711">
        <w:rPr>
          <w:b/>
        </w:rPr>
        <w:t>la possibilité d’invoquer les d</w:t>
      </w:r>
      <w:r w:rsidR="008A0024" w:rsidRPr="00723711">
        <w:rPr>
          <w:b/>
        </w:rPr>
        <w:t>ispositions du Pacte en justice ;</w:t>
      </w:r>
    </w:p>
    <w:p w14:paraId="5C8FEDC9" w14:textId="032D7D74" w:rsidR="008A0024" w:rsidRPr="00723711" w:rsidRDefault="00DF561B" w:rsidP="00C61517">
      <w:pPr>
        <w:pStyle w:val="SingleTxtG"/>
        <w:ind w:firstLine="567"/>
        <w:rPr>
          <w:b/>
        </w:rPr>
      </w:pPr>
      <w:r w:rsidRPr="00C61517">
        <w:rPr>
          <w:bCs/>
        </w:rPr>
        <w:t>b)</w:t>
      </w:r>
      <w:r>
        <w:rPr>
          <w:b/>
        </w:rPr>
        <w:tab/>
      </w:r>
      <w:r w:rsidR="00252A62">
        <w:rPr>
          <w:b/>
        </w:rPr>
        <w:t>F</w:t>
      </w:r>
      <w:r w:rsidR="00252A62" w:rsidRPr="00723711">
        <w:rPr>
          <w:b/>
        </w:rPr>
        <w:t xml:space="preserve">ournir </w:t>
      </w:r>
      <w:r w:rsidR="00EB324C">
        <w:rPr>
          <w:b/>
        </w:rPr>
        <w:t>une</w:t>
      </w:r>
      <w:r w:rsidR="00EB324C" w:rsidRPr="00723711">
        <w:rPr>
          <w:b/>
        </w:rPr>
        <w:t xml:space="preserve"> </w:t>
      </w:r>
      <w:r w:rsidR="00723711" w:rsidRPr="00723711">
        <w:rPr>
          <w:b/>
        </w:rPr>
        <w:t>formation</w:t>
      </w:r>
      <w:r w:rsidR="008A0024" w:rsidRPr="00723711">
        <w:rPr>
          <w:b/>
        </w:rPr>
        <w:t xml:space="preserve"> spécialisée aux juges et magistrats concernant l’application du Pacte ;</w:t>
      </w:r>
    </w:p>
    <w:p w14:paraId="18A212D6" w14:textId="03328AAF" w:rsidR="00723711" w:rsidRPr="00723711" w:rsidRDefault="00DF561B" w:rsidP="00C61517">
      <w:pPr>
        <w:pStyle w:val="SingleTxtG"/>
        <w:ind w:firstLine="567"/>
        <w:rPr>
          <w:b/>
        </w:rPr>
      </w:pPr>
      <w:r w:rsidRPr="00C61517">
        <w:rPr>
          <w:bCs/>
        </w:rPr>
        <w:t>c)</w:t>
      </w:r>
      <w:r>
        <w:rPr>
          <w:b/>
        </w:rPr>
        <w:tab/>
      </w:r>
      <w:r w:rsidR="00252A62">
        <w:rPr>
          <w:b/>
        </w:rPr>
        <w:t>F</w:t>
      </w:r>
      <w:r w:rsidR="00252A62" w:rsidRPr="00723711">
        <w:rPr>
          <w:b/>
        </w:rPr>
        <w:t xml:space="preserve">ournir </w:t>
      </w:r>
      <w:r w:rsidR="00723711" w:rsidRPr="00723711">
        <w:rPr>
          <w:b/>
        </w:rPr>
        <w:t>dans</w:t>
      </w:r>
      <w:r w:rsidR="008A0024" w:rsidRPr="00723711">
        <w:rPr>
          <w:b/>
        </w:rPr>
        <w:t xml:space="preserve"> son prochain rapport </w:t>
      </w:r>
      <w:r w:rsidR="00AA1997">
        <w:rPr>
          <w:b/>
        </w:rPr>
        <w:t xml:space="preserve">une </w:t>
      </w:r>
      <w:r w:rsidR="00723711" w:rsidRPr="00723711">
        <w:rPr>
          <w:b/>
        </w:rPr>
        <w:t xml:space="preserve">compilation </w:t>
      </w:r>
      <w:r w:rsidR="009B3AAC">
        <w:rPr>
          <w:b/>
        </w:rPr>
        <w:t>des décisions adoptées</w:t>
      </w:r>
      <w:r w:rsidR="00723711" w:rsidRPr="00723711">
        <w:rPr>
          <w:b/>
        </w:rPr>
        <w:t xml:space="preserve"> par les </w:t>
      </w:r>
      <w:r w:rsidR="00AA1997">
        <w:rPr>
          <w:b/>
        </w:rPr>
        <w:t>juridictions</w:t>
      </w:r>
      <w:r w:rsidR="00AA1997" w:rsidRPr="00723711">
        <w:rPr>
          <w:b/>
        </w:rPr>
        <w:t xml:space="preserve"> </w:t>
      </w:r>
      <w:r w:rsidR="00723711" w:rsidRPr="00723711">
        <w:rPr>
          <w:b/>
        </w:rPr>
        <w:t>tunisien</w:t>
      </w:r>
      <w:r w:rsidR="00AA1997">
        <w:rPr>
          <w:b/>
        </w:rPr>
        <w:t>ne</w:t>
      </w:r>
      <w:r w:rsidR="00723711" w:rsidRPr="00723711">
        <w:rPr>
          <w:b/>
        </w:rPr>
        <w:t xml:space="preserve">s </w:t>
      </w:r>
      <w:r w:rsidR="00AA1997">
        <w:rPr>
          <w:b/>
        </w:rPr>
        <w:t>en</w:t>
      </w:r>
      <w:r w:rsidR="00AA1997" w:rsidRPr="00723711">
        <w:rPr>
          <w:b/>
        </w:rPr>
        <w:t xml:space="preserve"> </w:t>
      </w:r>
      <w:r w:rsidR="00723711" w:rsidRPr="00723711">
        <w:rPr>
          <w:b/>
        </w:rPr>
        <w:t>la matière.</w:t>
      </w:r>
    </w:p>
    <w:p w14:paraId="1CB954EA" w14:textId="7951EBD1" w:rsidR="00F41EBF" w:rsidRPr="00C61517" w:rsidRDefault="00C61517" w:rsidP="00C61517">
      <w:pPr>
        <w:pStyle w:val="SingleTxtG"/>
        <w:rPr>
          <w:b/>
        </w:rPr>
      </w:pPr>
      <w:r w:rsidRPr="00C61517">
        <w:t>9.</w:t>
      </w:r>
      <w:r w:rsidRPr="00C61517">
        <w:tab/>
      </w:r>
      <w:r w:rsidR="008A22C0" w:rsidRPr="00C61517">
        <w:rPr>
          <w:b/>
        </w:rPr>
        <w:t xml:space="preserve">Le Comité </w:t>
      </w:r>
      <w:r w:rsidR="009B3AAC" w:rsidRPr="00C61517">
        <w:rPr>
          <w:b/>
        </w:rPr>
        <w:t xml:space="preserve">attire </w:t>
      </w:r>
      <w:r w:rsidR="008A22C0" w:rsidRPr="00C61517">
        <w:rPr>
          <w:b/>
        </w:rPr>
        <w:t xml:space="preserve">l’attention de l’État partie </w:t>
      </w:r>
      <w:r w:rsidR="00EB324C">
        <w:rPr>
          <w:b/>
        </w:rPr>
        <w:t>sur</w:t>
      </w:r>
      <w:r w:rsidR="00EB324C" w:rsidRPr="00C61517">
        <w:rPr>
          <w:b/>
        </w:rPr>
        <w:t xml:space="preserve"> </w:t>
      </w:r>
      <w:r w:rsidR="008A22C0" w:rsidRPr="00C61517">
        <w:rPr>
          <w:b/>
        </w:rPr>
        <w:t xml:space="preserve">l’observation générale </w:t>
      </w:r>
      <w:r w:rsidR="00462A5C" w:rsidRPr="00C61517">
        <w:rPr>
          <w:b/>
        </w:rPr>
        <w:t>n</w:t>
      </w:r>
      <w:r w:rsidR="00462A5C" w:rsidRPr="00C61517">
        <w:rPr>
          <w:b/>
          <w:vertAlign w:val="superscript"/>
        </w:rPr>
        <w:t>o</w:t>
      </w:r>
      <w:r w:rsidR="00462A5C">
        <w:rPr>
          <w:b/>
        </w:rPr>
        <w:t> </w:t>
      </w:r>
      <w:r w:rsidR="008A22C0" w:rsidRPr="00C61517">
        <w:rPr>
          <w:b/>
        </w:rPr>
        <w:t>9 (1998) sur l’application du Pacte au niveau national.</w:t>
      </w:r>
    </w:p>
    <w:p w14:paraId="0CFB5F31" w14:textId="02CC7931" w:rsidR="00BE5EB9" w:rsidRPr="003072D1" w:rsidRDefault="00C61517" w:rsidP="00C61517">
      <w:pPr>
        <w:pStyle w:val="SingleTxtG"/>
        <w:rPr>
          <w:b/>
        </w:rPr>
      </w:pPr>
      <w:r w:rsidRPr="003072D1">
        <w:t>10.</w:t>
      </w:r>
      <w:r w:rsidRPr="003072D1">
        <w:tab/>
      </w:r>
      <w:r w:rsidR="00BE5EB9" w:rsidRPr="003072D1">
        <w:rPr>
          <w:b/>
        </w:rPr>
        <w:t>Le Comité accueille avec satisfaction le projet de loi sur l’Instance</w:t>
      </w:r>
      <w:r w:rsidR="00630916">
        <w:rPr>
          <w:b/>
        </w:rPr>
        <w:t xml:space="preserve"> </w:t>
      </w:r>
      <w:r w:rsidR="00BE5EB9" w:rsidRPr="003072D1">
        <w:rPr>
          <w:b/>
        </w:rPr>
        <w:t xml:space="preserve">des </w:t>
      </w:r>
      <w:r w:rsidR="00EF7B58">
        <w:rPr>
          <w:b/>
        </w:rPr>
        <w:t>d</w:t>
      </w:r>
      <w:r w:rsidR="00EF7B58" w:rsidRPr="003072D1">
        <w:rPr>
          <w:b/>
        </w:rPr>
        <w:t xml:space="preserve">roits </w:t>
      </w:r>
      <w:r w:rsidR="00BE5EB9" w:rsidRPr="003072D1">
        <w:rPr>
          <w:b/>
        </w:rPr>
        <w:t xml:space="preserve">de </w:t>
      </w:r>
      <w:r w:rsidR="00EF7B58" w:rsidRPr="003072D1">
        <w:rPr>
          <w:b/>
        </w:rPr>
        <w:t>l’</w:t>
      </w:r>
      <w:r w:rsidR="00EF7B58">
        <w:rPr>
          <w:b/>
        </w:rPr>
        <w:t>h</w:t>
      </w:r>
      <w:r w:rsidR="00EF7B58" w:rsidRPr="003072D1">
        <w:rPr>
          <w:b/>
        </w:rPr>
        <w:t>omme</w:t>
      </w:r>
      <w:r w:rsidR="00BE5EB9" w:rsidRPr="003072D1">
        <w:rPr>
          <w:b/>
        </w:rPr>
        <w:t xml:space="preserve">, </w:t>
      </w:r>
      <w:r w:rsidR="009B3AAC">
        <w:rPr>
          <w:b/>
        </w:rPr>
        <w:t>érigée en instance constitutionnelle par</w:t>
      </w:r>
      <w:r w:rsidR="00BE5EB9" w:rsidRPr="003072D1">
        <w:rPr>
          <w:b/>
        </w:rPr>
        <w:t xml:space="preserve"> l’article 128 de la Constitution</w:t>
      </w:r>
      <w:r w:rsidR="003072D1" w:rsidRPr="003072D1">
        <w:rPr>
          <w:b/>
        </w:rPr>
        <w:t>. Il</w:t>
      </w:r>
      <w:r w:rsidR="00846B56">
        <w:rPr>
          <w:b/>
        </w:rPr>
        <w:t> </w:t>
      </w:r>
      <w:r w:rsidR="003072D1" w:rsidRPr="003072D1">
        <w:rPr>
          <w:b/>
        </w:rPr>
        <w:t>recommande à l’</w:t>
      </w:r>
      <w:r w:rsidR="00B143CD">
        <w:rPr>
          <w:b/>
        </w:rPr>
        <w:t>État</w:t>
      </w:r>
      <w:r w:rsidR="003072D1" w:rsidRPr="003072D1">
        <w:rPr>
          <w:b/>
        </w:rPr>
        <w:t xml:space="preserve"> partie d’a</w:t>
      </w:r>
      <w:r w:rsidR="00BE5EB9" w:rsidRPr="003072D1">
        <w:rPr>
          <w:b/>
        </w:rPr>
        <w:t>ssur</w:t>
      </w:r>
      <w:r w:rsidR="003072D1" w:rsidRPr="003072D1">
        <w:rPr>
          <w:b/>
        </w:rPr>
        <w:t>er l</w:t>
      </w:r>
      <w:r w:rsidR="00BE5EB9" w:rsidRPr="003072D1">
        <w:rPr>
          <w:b/>
        </w:rPr>
        <w:t xml:space="preserve">a conformité </w:t>
      </w:r>
      <w:r w:rsidR="003072D1" w:rsidRPr="003072D1">
        <w:rPr>
          <w:b/>
        </w:rPr>
        <w:t xml:space="preserve">de </w:t>
      </w:r>
      <w:r w:rsidR="001650F3">
        <w:rPr>
          <w:b/>
        </w:rPr>
        <w:t>cette i</w:t>
      </w:r>
      <w:r w:rsidR="003072D1" w:rsidRPr="003072D1">
        <w:rPr>
          <w:b/>
        </w:rPr>
        <w:t xml:space="preserve">nstance </w:t>
      </w:r>
      <w:r w:rsidR="00BE5EB9" w:rsidRPr="003072D1">
        <w:rPr>
          <w:b/>
        </w:rPr>
        <w:t>avec les Principes concernant le statut des institutions nationales pour la promotion et la protection des droits de l</w:t>
      </w:r>
      <w:r w:rsidR="00B143CD" w:rsidRPr="00B143CD">
        <w:rPr>
          <w:b/>
        </w:rPr>
        <w:t>’</w:t>
      </w:r>
      <w:r w:rsidR="00BE5EB9" w:rsidRPr="003072D1">
        <w:rPr>
          <w:b/>
        </w:rPr>
        <w:t xml:space="preserve">homme (Principes de Paris), </w:t>
      </w:r>
      <w:r w:rsidR="00F3025C">
        <w:rPr>
          <w:b/>
        </w:rPr>
        <w:t>et</w:t>
      </w:r>
      <w:r w:rsidR="002D69AB">
        <w:rPr>
          <w:b/>
        </w:rPr>
        <w:t xml:space="preserve"> de</w:t>
      </w:r>
      <w:r w:rsidR="00BE5EB9" w:rsidRPr="003072D1">
        <w:rPr>
          <w:b/>
        </w:rPr>
        <w:t xml:space="preserve"> </w:t>
      </w:r>
      <w:r w:rsidR="002D69AB">
        <w:rPr>
          <w:b/>
        </w:rPr>
        <w:t>s</w:t>
      </w:r>
      <w:r w:rsidR="00B143CD" w:rsidRPr="00B143CD">
        <w:rPr>
          <w:b/>
        </w:rPr>
        <w:t>’</w:t>
      </w:r>
      <w:r w:rsidR="002D69AB">
        <w:rPr>
          <w:b/>
        </w:rPr>
        <w:t>assurer que son mandat s</w:t>
      </w:r>
      <w:r w:rsidR="001650F3" w:rsidRPr="001650F3">
        <w:rPr>
          <w:b/>
        </w:rPr>
        <w:t>’</w:t>
      </w:r>
      <w:r w:rsidR="002D69AB">
        <w:rPr>
          <w:b/>
        </w:rPr>
        <w:t>étend aux</w:t>
      </w:r>
      <w:r w:rsidR="00BE5EB9" w:rsidRPr="003072D1">
        <w:rPr>
          <w:b/>
        </w:rPr>
        <w:t xml:space="preserve"> droits économiques, sociaux et culturels</w:t>
      </w:r>
      <w:r w:rsidR="00462A5C">
        <w:rPr>
          <w:b/>
        </w:rPr>
        <w:t xml:space="preserve"> </w:t>
      </w:r>
      <w:r w:rsidR="003072D1" w:rsidRPr="003072D1">
        <w:rPr>
          <w:b/>
        </w:rPr>
        <w:t>(art. 2, par.</w:t>
      </w:r>
      <w:r w:rsidR="00B143CD">
        <w:rPr>
          <w:b/>
        </w:rPr>
        <w:t> </w:t>
      </w:r>
      <w:r w:rsidR="003072D1" w:rsidRPr="003072D1">
        <w:rPr>
          <w:b/>
        </w:rPr>
        <w:t>1).</w:t>
      </w:r>
    </w:p>
    <w:p w14:paraId="227F8789" w14:textId="184DFC15" w:rsidR="00A40314" w:rsidRDefault="00C61517" w:rsidP="00C61517">
      <w:pPr>
        <w:pStyle w:val="SingleTxtG"/>
      </w:pPr>
      <w:r>
        <w:t>11.</w:t>
      </w:r>
      <w:r>
        <w:tab/>
      </w:r>
      <w:r w:rsidR="00B91A8A">
        <w:t xml:space="preserve">Le Comité </w:t>
      </w:r>
      <w:r w:rsidR="001E7939">
        <w:t xml:space="preserve">note qu’un nombre significatif de projets de loi </w:t>
      </w:r>
      <w:r w:rsidR="00723711">
        <w:t>qui concernent</w:t>
      </w:r>
      <w:r w:rsidR="001E7939">
        <w:t xml:space="preserve"> </w:t>
      </w:r>
      <w:r w:rsidR="004E71AF">
        <w:t>d</w:t>
      </w:r>
      <w:r w:rsidR="00723711">
        <w:t>es droits contenus dans l</w:t>
      </w:r>
      <w:r w:rsidR="00B82063">
        <w:t>e Pacte</w:t>
      </w:r>
      <w:r w:rsidR="001E7939">
        <w:t xml:space="preserve"> </w:t>
      </w:r>
      <w:r w:rsidR="002D69AB">
        <w:t>sont en attente de leur adoption</w:t>
      </w:r>
      <w:r w:rsidR="001E7939">
        <w:t xml:space="preserve"> par l’Assemblée des </w:t>
      </w:r>
      <w:r w:rsidR="00843121">
        <w:t xml:space="preserve">représentants </w:t>
      </w:r>
      <w:r w:rsidR="001E7939">
        <w:t xml:space="preserve">du </w:t>
      </w:r>
      <w:r w:rsidR="00843121">
        <w:t xml:space="preserve">peuple </w:t>
      </w:r>
      <w:r w:rsidR="008B0499">
        <w:t>(art. 2, par.</w:t>
      </w:r>
      <w:r w:rsidR="00B143CD">
        <w:t> </w:t>
      </w:r>
      <w:r w:rsidR="008B0499">
        <w:t>1)</w:t>
      </w:r>
      <w:r w:rsidR="00DA12E3">
        <w:t>.</w:t>
      </w:r>
    </w:p>
    <w:p w14:paraId="117F571B" w14:textId="41453D50" w:rsidR="001E7939" w:rsidRDefault="00C61517" w:rsidP="00C61517">
      <w:pPr>
        <w:pStyle w:val="SingleTxtG"/>
        <w:rPr>
          <w:b/>
        </w:rPr>
      </w:pPr>
      <w:r>
        <w:t>12.</w:t>
      </w:r>
      <w:r>
        <w:tab/>
      </w:r>
      <w:r w:rsidR="00B91A8A" w:rsidRPr="00B91A8A">
        <w:rPr>
          <w:b/>
        </w:rPr>
        <w:t xml:space="preserve">Le Comité </w:t>
      </w:r>
      <w:r w:rsidR="003072D1">
        <w:rPr>
          <w:b/>
        </w:rPr>
        <w:t>encourage</w:t>
      </w:r>
      <w:r w:rsidR="00B91A8A" w:rsidRPr="00B91A8A">
        <w:rPr>
          <w:b/>
        </w:rPr>
        <w:t xml:space="preserve"> l’</w:t>
      </w:r>
      <w:r w:rsidR="00B143CD">
        <w:rPr>
          <w:b/>
        </w:rPr>
        <w:t>État</w:t>
      </w:r>
      <w:r w:rsidR="00B91A8A" w:rsidRPr="00B91A8A">
        <w:rPr>
          <w:b/>
        </w:rPr>
        <w:t xml:space="preserve"> partie </w:t>
      </w:r>
      <w:r w:rsidR="007B4E21">
        <w:rPr>
          <w:b/>
        </w:rPr>
        <w:t>à</w:t>
      </w:r>
      <w:r w:rsidR="003072D1">
        <w:rPr>
          <w:b/>
        </w:rPr>
        <w:t xml:space="preserve"> accélérer l’adoption, entre autres, du projet de loi sur l’Instance de bonne gouvernance et de la lutte contre la corruption, du</w:t>
      </w:r>
      <w:r w:rsidR="00723711">
        <w:rPr>
          <w:b/>
        </w:rPr>
        <w:t xml:space="preserve"> </w:t>
      </w:r>
      <w:r w:rsidR="008A0F23">
        <w:rPr>
          <w:b/>
        </w:rPr>
        <w:t>projet de loi sur la d</w:t>
      </w:r>
      <w:r w:rsidR="007B4E21">
        <w:rPr>
          <w:b/>
        </w:rPr>
        <w:t>é</w:t>
      </w:r>
      <w:r w:rsidR="008A0F23">
        <w:rPr>
          <w:b/>
        </w:rPr>
        <w:t>l</w:t>
      </w:r>
      <w:r w:rsidR="00800C68">
        <w:rPr>
          <w:b/>
        </w:rPr>
        <w:t xml:space="preserve">ation et </w:t>
      </w:r>
      <w:r w:rsidR="00843121">
        <w:rPr>
          <w:b/>
        </w:rPr>
        <w:t xml:space="preserve">la </w:t>
      </w:r>
      <w:r w:rsidR="00800C68">
        <w:rPr>
          <w:b/>
        </w:rPr>
        <w:t>protection des témoins</w:t>
      </w:r>
      <w:r w:rsidR="003072D1">
        <w:rPr>
          <w:b/>
        </w:rPr>
        <w:t>, ainsi que du projet de loi sur l’asile.</w:t>
      </w:r>
    </w:p>
    <w:p w14:paraId="5D3D7375" w14:textId="61B03DF1" w:rsidR="00B82063" w:rsidRDefault="00C61517" w:rsidP="00C61517">
      <w:pPr>
        <w:pStyle w:val="SingleTxtG"/>
        <w:rPr>
          <w:b/>
        </w:rPr>
      </w:pPr>
      <w:r>
        <w:t>13.</w:t>
      </w:r>
      <w:r>
        <w:tab/>
      </w:r>
      <w:r w:rsidR="003F3C04" w:rsidRPr="00B82063">
        <w:rPr>
          <w:b/>
        </w:rPr>
        <w:t>Par ailleurs, le Comité encourage l</w:t>
      </w:r>
      <w:r w:rsidR="00B82063" w:rsidRPr="00B82063">
        <w:rPr>
          <w:b/>
        </w:rPr>
        <w:t>’</w:t>
      </w:r>
      <w:r w:rsidR="00B143CD">
        <w:rPr>
          <w:b/>
        </w:rPr>
        <w:t>État</w:t>
      </w:r>
      <w:r w:rsidR="00B82063" w:rsidRPr="00B82063">
        <w:rPr>
          <w:b/>
        </w:rPr>
        <w:t xml:space="preserve"> partie</w:t>
      </w:r>
      <w:r w:rsidR="003F3C04" w:rsidRPr="00B82063">
        <w:rPr>
          <w:b/>
        </w:rPr>
        <w:t xml:space="preserve"> à </w:t>
      </w:r>
      <w:r w:rsidR="00B82063" w:rsidRPr="00B82063">
        <w:rPr>
          <w:b/>
        </w:rPr>
        <w:t xml:space="preserve">finaliser la mise en place de la Cour </w:t>
      </w:r>
      <w:r w:rsidR="00EB0A6D">
        <w:rPr>
          <w:b/>
        </w:rPr>
        <w:t>c</w:t>
      </w:r>
      <w:r w:rsidR="00B82063" w:rsidRPr="00B82063">
        <w:rPr>
          <w:b/>
        </w:rPr>
        <w:t xml:space="preserve">onstitutionnelle </w:t>
      </w:r>
      <w:r w:rsidR="00FC5C01">
        <w:rPr>
          <w:b/>
        </w:rPr>
        <w:t>afin que celle-ci puisse garantir la conformité de la législation nationale</w:t>
      </w:r>
      <w:r w:rsidR="00B82063" w:rsidRPr="00B82063">
        <w:rPr>
          <w:b/>
        </w:rPr>
        <w:t xml:space="preserve"> avec la Constitution.</w:t>
      </w:r>
    </w:p>
    <w:p w14:paraId="198348BE" w14:textId="3D2F319A" w:rsidR="006D4E14" w:rsidRPr="00DF561B" w:rsidRDefault="00DF561B" w:rsidP="00C61517">
      <w:pPr>
        <w:pStyle w:val="H23G"/>
      </w:pPr>
      <w:r>
        <w:tab/>
      </w:r>
      <w:r>
        <w:tab/>
      </w:r>
      <w:r w:rsidR="00517F15">
        <w:t>Politique fiscale</w:t>
      </w:r>
    </w:p>
    <w:p w14:paraId="5C8A5074" w14:textId="0EBC1CF9" w:rsidR="0088530F" w:rsidRPr="00825518" w:rsidRDefault="00C61517" w:rsidP="00C61517">
      <w:pPr>
        <w:pStyle w:val="SingleTxtG"/>
      </w:pPr>
      <w:r w:rsidRPr="00825518">
        <w:t>14.</w:t>
      </w:r>
      <w:r w:rsidRPr="00825518">
        <w:tab/>
      </w:r>
      <w:r w:rsidR="00B05257" w:rsidRPr="00825518">
        <w:t>Le Comité observe avec préoccupation que</w:t>
      </w:r>
      <w:r w:rsidR="007B5071" w:rsidRPr="00825518">
        <w:t xml:space="preserve"> le s</w:t>
      </w:r>
      <w:r w:rsidR="00040DC7" w:rsidRPr="00825518">
        <w:t>y</w:t>
      </w:r>
      <w:r w:rsidR="007B5071" w:rsidRPr="00825518">
        <w:t>s</w:t>
      </w:r>
      <w:r w:rsidR="00040DC7" w:rsidRPr="00825518">
        <w:t>tème fiscal actuel fait peser une charge disproportionnée sur les ménages</w:t>
      </w:r>
      <w:r w:rsidR="007B5071" w:rsidRPr="00825518">
        <w:t>, en particulier sur les familles comprenant un employé dans le secteur formel de l</w:t>
      </w:r>
      <w:r w:rsidR="00B143CD" w:rsidRPr="00926DC8">
        <w:t>’</w:t>
      </w:r>
      <w:r w:rsidR="007B5071" w:rsidRPr="00825518">
        <w:t>économie</w:t>
      </w:r>
      <w:r w:rsidR="00DA12E3" w:rsidRPr="00825518">
        <w:t xml:space="preserve"> (art. 2, par.</w:t>
      </w:r>
      <w:r w:rsidR="00B143CD">
        <w:t> </w:t>
      </w:r>
      <w:r w:rsidR="00DA12E3" w:rsidRPr="00825518">
        <w:t>1).</w:t>
      </w:r>
    </w:p>
    <w:p w14:paraId="413D4B28" w14:textId="5F2E4FE6" w:rsidR="00744DDB" w:rsidRPr="00825518" w:rsidRDefault="00C61517" w:rsidP="00014F84">
      <w:pPr>
        <w:pStyle w:val="SingleTxtG"/>
        <w:keepLines/>
        <w:rPr>
          <w:b/>
        </w:rPr>
      </w:pPr>
      <w:r w:rsidRPr="00825518">
        <w:lastRenderedPageBreak/>
        <w:t>15.</w:t>
      </w:r>
      <w:r w:rsidRPr="00825518">
        <w:tab/>
      </w:r>
      <w:r w:rsidR="0088530F" w:rsidRPr="00825518">
        <w:rPr>
          <w:b/>
        </w:rPr>
        <w:t>Le Comité recommande à l’</w:t>
      </w:r>
      <w:r w:rsidR="00B143CD">
        <w:rPr>
          <w:b/>
        </w:rPr>
        <w:t>État</w:t>
      </w:r>
      <w:r w:rsidR="0088530F" w:rsidRPr="00825518">
        <w:rPr>
          <w:b/>
        </w:rPr>
        <w:t xml:space="preserve"> partie d’entamer une réforme fiscale </w:t>
      </w:r>
      <w:r w:rsidR="00C564A5" w:rsidRPr="00825518">
        <w:rPr>
          <w:b/>
        </w:rPr>
        <w:t>visant à introduire davantage de</w:t>
      </w:r>
      <w:r w:rsidR="0088530F" w:rsidRPr="00825518">
        <w:rPr>
          <w:b/>
        </w:rPr>
        <w:t xml:space="preserve"> justice fiscale et </w:t>
      </w:r>
      <w:r w:rsidR="00C564A5" w:rsidRPr="00825518">
        <w:rPr>
          <w:b/>
        </w:rPr>
        <w:t xml:space="preserve">à </w:t>
      </w:r>
      <w:r w:rsidR="00502A26">
        <w:rPr>
          <w:b/>
        </w:rPr>
        <w:t>répartir de manière</w:t>
      </w:r>
      <w:r w:rsidR="0088530F" w:rsidRPr="00825518">
        <w:rPr>
          <w:b/>
        </w:rPr>
        <w:t xml:space="preserve"> plus égalitaire </w:t>
      </w:r>
      <w:r w:rsidR="00502A26">
        <w:rPr>
          <w:b/>
        </w:rPr>
        <w:t>l</w:t>
      </w:r>
      <w:r w:rsidR="00502A26" w:rsidRPr="00825518">
        <w:rPr>
          <w:b/>
        </w:rPr>
        <w:t xml:space="preserve">es </w:t>
      </w:r>
      <w:r w:rsidR="00C564A5" w:rsidRPr="00825518">
        <w:rPr>
          <w:b/>
        </w:rPr>
        <w:t xml:space="preserve">efforts </w:t>
      </w:r>
      <w:r w:rsidR="0088530F" w:rsidRPr="00825518">
        <w:rPr>
          <w:b/>
        </w:rPr>
        <w:t xml:space="preserve">entre les contribuables, en vue </w:t>
      </w:r>
      <w:r w:rsidR="00C564A5" w:rsidRPr="00825518">
        <w:rPr>
          <w:b/>
        </w:rPr>
        <w:t>de permettre à</w:t>
      </w:r>
      <w:r w:rsidR="00B05257" w:rsidRPr="00825518">
        <w:rPr>
          <w:b/>
        </w:rPr>
        <w:t xml:space="preserve"> l</w:t>
      </w:r>
      <w:r w:rsidR="00502A26" w:rsidRPr="00502A26">
        <w:rPr>
          <w:b/>
        </w:rPr>
        <w:t>’</w:t>
      </w:r>
      <w:r w:rsidR="00B05257" w:rsidRPr="00825518">
        <w:rPr>
          <w:b/>
        </w:rPr>
        <w:t>État</w:t>
      </w:r>
      <w:r w:rsidR="003072D1" w:rsidRPr="00825518">
        <w:rPr>
          <w:b/>
        </w:rPr>
        <w:t xml:space="preserve"> </w:t>
      </w:r>
      <w:r w:rsidR="00C564A5" w:rsidRPr="00825518">
        <w:rPr>
          <w:b/>
        </w:rPr>
        <w:t xml:space="preserve">de progresser dans la mise en </w:t>
      </w:r>
      <w:r w:rsidR="00762C6C" w:rsidRPr="00825518">
        <w:rPr>
          <w:b/>
        </w:rPr>
        <w:t>œuvre</w:t>
      </w:r>
      <w:r w:rsidR="00C564A5" w:rsidRPr="00825518">
        <w:rPr>
          <w:b/>
        </w:rPr>
        <w:t xml:space="preserve"> des</w:t>
      </w:r>
      <w:r w:rsidR="003072D1" w:rsidRPr="00825518">
        <w:rPr>
          <w:b/>
        </w:rPr>
        <w:t xml:space="preserve"> droits économiques, sociaux et culturels</w:t>
      </w:r>
      <w:r w:rsidR="00C564A5" w:rsidRPr="00825518">
        <w:rPr>
          <w:b/>
        </w:rPr>
        <w:t xml:space="preserve"> et de réduire les inégalités</w:t>
      </w:r>
      <w:r w:rsidR="00DA12E3" w:rsidRPr="00825518">
        <w:rPr>
          <w:b/>
        </w:rPr>
        <w:t xml:space="preserve">. </w:t>
      </w:r>
    </w:p>
    <w:p w14:paraId="2A4BF727" w14:textId="3A11202E" w:rsidR="006D4E14" w:rsidRPr="00DF561B" w:rsidRDefault="00DF561B" w:rsidP="00C61517">
      <w:pPr>
        <w:pStyle w:val="H23G"/>
      </w:pPr>
      <w:r>
        <w:tab/>
      </w:r>
      <w:r>
        <w:tab/>
      </w:r>
      <w:r w:rsidR="006D4E14">
        <w:t xml:space="preserve">Corruption </w:t>
      </w:r>
    </w:p>
    <w:p w14:paraId="3F555D46" w14:textId="3DB8374D" w:rsidR="00D43878" w:rsidRDefault="00C61517" w:rsidP="00C61517">
      <w:pPr>
        <w:pStyle w:val="SingleTxtG"/>
      </w:pPr>
      <w:r>
        <w:t>16.</w:t>
      </w:r>
      <w:r>
        <w:tab/>
      </w:r>
      <w:r w:rsidR="001B12E0">
        <w:t xml:space="preserve">Le Comité note </w:t>
      </w:r>
      <w:r w:rsidR="00A40314" w:rsidRPr="00744DDB">
        <w:t>avec satisfaction la ratification par l’</w:t>
      </w:r>
      <w:r w:rsidR="00B143CD">
        <w:t>État</w:t>
      </w:r>
      <w:r w:rsidR="00A40314" w:rsidRPr="00744DDB">
        <w:t xml:space="preserve"> partie de la Convention</w:t>
      </w:r>
      <w:r w:rsidR="008B0499">
        <w:t xml:space="preserve"> des Nations Unies</w:t>
      </w:r>
      <w:r w:rsidR="00A40314" w:rsidRPr="00744DDB">
        <w:t xml:space="preserve"> contre la corruption, le 23 septembre 2008, </w:t>
      </w:r>
      <w:r w:rsidR="00365825">
        <w:t>et le statut constitutionnel de l’</w:t>
      </w:r>
      <w:r w:rsidR="00FA309E">
        <w:t>I</w:t>
      </w:r>
      <w:r w:rsidR="00365825">
        <w:t xml:space="preserve">nstance </w:t>
      </w:r>
      <w:r w:rsidR="00365825" w:rsidRPr="00365825">
        <w:t>de bonne gouvernance et de</w:t>
      </w:r>
      <w:r w:rsidR="00365825">
        <w:t xml:space="preserve"> la lutte contre la corruption</w:t>
      </w:r>
      <w:r w:rsidR="001B12E0">
        <w:t xml:space="preserve">. Néanmoins, </w:t>
      </w:r>
      <w:r w:rsidR="00FA309E">
        <w:t>les efforts visant à éradiquer la corruption doivent se poursuivre</w:t>
      </w:r>
      <w:r w:rsidR="004F3BB1">
        <w:t>. L</w:t>
      </w:r>
      <w:r w:rsidR="00526D0F" w:rsidRPr="00926DC8">
        <w:t>’</w:t>
      </w:r>
      <w:r w:rsidR="00B143CD">
        <w:t>État</w:t>
      </w:r>
      <w:r w:rsidR="004F3BB1">
        <w:t xml:space="preserve"> partie devrait également s</w:t>
      </w:r>
      <w:r w:rsidR="00526D0F" w:rsidRPr="00926DC8">
        <w:t>’</w:t>
      </w:r>
      <w:r w:rsidR="004F3BB1">
        <w:t xml:space="preserve">assurer que le projet de </w:t>
      </w:r>
      <w:r w:rsidR="00526D0F">
        <w:t xml:space="preserve">loi </w:t>
      </w:r>
      <w:r w:rsidR="004F3BB1">
        <w:t xml:space="preserve">de réconciliation nationale économique et financière ne débouche pas sur une impunité pour les </w:t>
      </w:r>
      <w:r w:rsidR="0057497F">
        <w:t>personnes s</w:t>
      </w:r>
      <w:r w:rsidR="00526D0F" w:rsidRPr="00926DC8">
        <w:t>’</w:t>
      </w:r>
      <w:r w:rsidR="0057497F">
        <w:t xml:space="preserve">étant rendues coupables de corruption à grande échelle avant 2011, compte tenu du </w:t>
      </w:r>
      <w:r w:rsidR="001D29A7">
        <w:t xml:space="preserve">message </w:t>
      </w:r>
      <w:r w:rsidR="0057497F">
        <w:t>ambigu qui en résulterait pour la société tunisienne</w:t>
      </w:r>
      <w:r w:rsidR="00D2563C" w:rsidRPr="00744DDB">
        <w:t xml:space="preserve"> </w:t>
      </w:r>
      <w:r w:rsidR="00A40314" w:rsidRPr="00744DDB">
        <w:t>(art. 2, par. 1)</w:t>
      </w:r>
      <w:r w:rsidR="00D2563C" w:rsidRPr="00744DDB">
        <w:t>.</w:t>
      </w:r>
    </w:p>
    <w:p w14:paraId="48E8128E" w14:textId="27A69BEA" w:rsidR="00D43878" w:rsidRDefault="00C61517" w:rsidP="00C61517">
      <w:pPr>
        <w:pStyle w:val="SingleTxtG"/>
        <w:rPr>
          <w:b/>
        </w:rPr>
      </w:pPr>
      <w:r>
        <w:t>17.</w:t>
      </w:r>
      <w:r>
        <w:tab/>
      </w:r>
      <w:r w:rsidR="00D2563C" w:rsidRPr="002F4A3B">
        <w:rPr>
          <w:b/>
        </w:rPr>
        <w:t>Le Comité recommande à l’</w:t>
      </w:r>
      <w:r w:rsidR="00B143CD">
        <w:rPr>
          <w:b/>
        </w:rPr>
        <w:t>État</w:t>
      </w:r>
      <w:r w:rsidR="00A40314" w:rsidRPr="002F4A3B">
        <w:rPr>
          <w:b/>
        </w:rPr>
        <w:t xml:space="preserve"> partie de redoubler d’efforts dans la lutte contre la corruption </w:t>
      </w:r>
      <w:r w:rsidR="00D2563C" w:rsidRPr="002F4A3B">
        <w:rPr>
          <w:b/>
        </w:rPr>
        <w:t xml:space="preserve">et </w:t>
      </w:r>
      <w:r w:rsidR="00A40314" w:rsidRPr="002F4A3B">
        <w:rPr>
          <w:b/>
        </w:rPr>
        <w:t xml:space="preserve">de </w:t>
      </w:r>
      <w:r w:rsidR="00A77888" w:rsidRPr="002F4A3B">
        <w:rPr>
          <w:b/>
        </w:rPr>
        <w:t xml:space="preserve">garantir la reddition de comptes et </w:t>
      </w:r>
      <w:r w:rsidR="006E1E8E">
        <w:rPr>
          <w:b/>
        </w:rPr>
        <w:t xml:space="preserve">la </w:t>
      </w:r>
      <w:r w:rsidR="00A77888" w:rsidRPr="002F4A3B">
        <w:rPr>
          <w:b/>
        </w:rPr>
        <w:t xml:space="preserve">transparence dans la </w:t>
      </w:r>
      <w:r w:rsidR="006E1E8E">
        <w:rPr>
          <w:b/>
        </w:rPr>
        <w:t xml:space="preserve">gestion des fonds publics. </w:t>
      </w:r>
      <w:r w:rsidR="00365825" w:rsidRPr="002F4A3B">
        <w:rPr>
          <w:b/>
        </w:rPr>
        <w:t xml:space="preserve">Le Comité recommande également à </w:t>
      </w:r>
      <w:r w:rsidR="00135ACC">
        <w:rPr>
          <w:b/>
        </w:rPr>
        <w:t>l</w:t>
      </w:r>
      <w:r w:rsidR="00365825" w:rsidRPr="002F4A3B">
        <w:rPr>
          <w:b/>
        </w:rPr>
        <w:t>’</w:t>
      </w:r>
      <w:r w:rsidR="00B143CD">
        <w:rPr>
          <w:b/>
        </w:rPr>
        <w:t>État</w:t>
      </w:r>
      <w:r w:rsidR="00365825" w:rsidRPr="002F4A3B">
        <w:rPr>
          <w:b/>
        </w:rPr>
        <w:t xml:space="preserve"> partie de</w:t>
      </w:r>
      <w:r w:rsidR="00A77888" w:rsidRPr="002F4A3B">
        <w:rPr>
          <w:b/>
        </w:rPr>
        <w:t xml:space="preserve"> </w:t>
      </w:r>
      <w:r w:rsidR="00A40314" w:rsidRPr="002F4A3B">
        <w:rPr>
          <w:b/>
        </w:rPr>
        <w:t>sensibiliser les responsables politiques, les parlementaires et les fonctionnaires nationaux et locaux aux coûts économique</w:t>
      </w:r>
      <w:r w:rsidR="00E51514" w:rsidRPr="002F4A3B">
        <w:rPr>
          <w:b/>
        </w:rPr>
        <w:t>s</w:t>
      </w:r>
      <w:r w:rsidR="00A40314" w:rsidRPr="002F4A3B">
        <w:rPr>
          <w:b/>
        </w:rPr>
        <w:t xml:space="preserve"> et socia</w:t>
      </w:r>
      <w:r w:rsidR="00E51514" w:rsidRPr="002F4A3B">
        <w:rPr>
          <w:b/>
        </w:rPr>
        <w:t xml:space="preserve">ux </w:t>
      </w:r>
      <w:r w:rsidR="00A40314" w:rsidRPr="002F4A3B">
        <w:rPr>
          <w:b/>
        </w:rPr>
        <w:t xml:space="preserve">de la corruption, ainsi que </w:t>
      </w:r>
      <w:r w:rsidR="00D0334F">
        <w:rPr>
          <w:b/>
        </w:rPr>
        <w:t>d</w:t>
      </w:r>
      <w:r w:rsidR="009E0734" w:rsidRPr="009E0734">
        <w:rPr>
          <w:b/>
        </w:rPr>
        <w:t>’</w:t>
      </w:r>
      <w:r w:rsidR="00D0334F">
        <w:rPr>
          <w:b/>
        </w:rPr>
        <w:t xml:space="preserve">encourager </w:t>
      </w:r>
      <w:r w:rsidR="00A40314" w:rsidRPr="002F4A3B">
        <w:rPr>
          <w:b/>
        </w:rPr>
        <w:t xml:space="preserve">les juges, les procureurs et les agents </w:t>
      </w:r>
      <w:r w:rsidR="00D0334F">
        <w:rPr>
          <w:b/>
        </w:rPr>
        <w:t>publics</w:t>
      </w:r>
      <w:r w:rsidR="00A40314" w:rsidRPr="002F4A3B">
        <w:rPr>
          <w:b/>
        </w:rPr>
        <w:t xml:space="preserve"> à </w:t>
      </w:r>
      <w:r w:rsidR="00215C4F">
        <w:rPr>
          <w:b/>
        </w:rPr>
        <w:t>appliquer</w:t>
      </w:r>
      <w:r w:rsidR="00215C4F" w:rsidRPr="002F4A3B">
        <w:rPr>
          <w:b/>
        </w:rPr>
        <w:t xml:space="preserve"> </w:t>
      </w:r>
      <w:r w:rsidR="00A40314" w:rsidRPr="002F4A3B">
        <w:rPr>
          <w:b/>
        </w:rPr>
        <w:t>stricte</w:t>
      </w:r>
      <w:r w:rsidR="00215C4F">
        <w:rPr>
          <w:b/>
        </w:rPr>
        <w:t>ment</w:t>
      </w:r>
      <w:r w:rsidR="00A40314" w:rsidRPr="002F4A3B">
        <w:rPr>
          <w:b/>
        </w:rPr>
        <w:t xml:space="preserve"> la législation.</w:t>
      </w:r>
    </w:p>
    <w:p w14:paraId="0C0E2210" w14:textId="78977B4B" w:rsidR="00FD72A7" w:rsidRPr="00DF561B" w:rsidRDefault="00DF561B" w:rsidP="00C61517">
      <w:pPr>
        <w:pStyle w:val="H23G"/>
      </w:pPr>
      <w:r>
        <w:tab/>
      </w:r>
      <w:r>
        <w:tab/>
      </w:r>
      <w:r w:rsidR="00FD72A7" w:rsidRPr="00FD72A7">
        <w:t xml:space="preserve">Accords commerciaux et d’investissement bilatéraux et multilatéraux </w:t>
      </w:r>
    </w:p>
    <w:p w14:paraId="153D6FD8" w14:textId="7A832739" w:rsidR="002F4A3B" w:rsidRDefault="00C61517" w:rsidP="00C61517">
      <w:pPr>
        <w:pStyle w:val="SingleTxtG"/>
      </w:pPr>
      <w:r>
        <w:t>18.</w:t>
      </w:r>
      <w:r>
        <w:tab/>
      </w:r>
      <w:r w:rsidR="00180BC8">
        <w:t>L</w:t>
      </w:r>
      <w:r w:rsidR="00705F9D" w:rsidRPr="00D2563C">
        <w:t>e Comité exprime sa préoccupa</w:t>
      </w:r>
      <w:r w:rsidR="00A70C15" w:rsidRPr="00D2563C">
        <w:t>tion</w:t>
      </w:r>
      <w:r w:rsidR="003D1F43" w:rsidRPr="00D2563C">
        <w:t xml:space="preserve"> </w:t>
      </w:r>
      <w:r w:rsidR="00C3217E">
        <w:t xml:space="preserve">quant à </w:t>
      </w:r>
      <w:r w:rsidR="00180BC8">
        <w:t>la faiblesse des instruments existants visant à garantir que</w:t>
      </w:r>
      <w:r w:rsidR="000D4FDB" w:rsidRPr="00D2563C">
        <w:t xml:space="preserve"> </w:t>
      </w:r>
      <w:r w:rsidR="003E30CC" w:rsidRPr="00D2563C">
        <w:t xml:space="preserve">les droits </w:t>
      </w:r>
      <w:r w:rsidR="00AD3FD5" w:rsidRPr="00D2563C">
        <w:t>d</w:t>
      </w:r>
      <w:r w:rsidR="00B82063">
        <w:t xml:space="preserve">u Pacte </w:t>
      </w:r>
      <w:r w:rsidR="00180BC8">
        <w:t xml:space="preserve">seront </w:t>
      </w:r>
      <w:r w:rsidR="00682967">
        <w:t xml:space="preserve">pris en compte dans la négociation </w:t>
      </w:r>
      <w:r w:rsidR="00A70C15" w:rsidRPr="00D2563C">
        <w:t>des accords commerciaux</w:t>
      </w:r>
      <w:r w:rsidR="0072129C" w:rsidRPr="00D2563C">
        <w:t xml:space="preserve"> ou </w:t>
      </w:r>
      <w:r w:rsidR="005015AD" w:rsidRPr="00D2563C">
        <w:t>d’investissement</w:t>
      </w:r>
      <w:r w:rsidR="00A70C15" w:rsidRPr="00D2563C">
        <w:t xml:space="preserve"> </w:t>
      </w:r>
      <w:r w:rsidR="0072129C" w:rsidRPr="00D2563C">
        <w:t xml:space="preserve">bilatéraux et </w:t>
      </w:r>
      <w:r w:rsidR="00A70C15" w:rsidRPr="00D2563C">
        <w:t>multilatéraux par l’État partie</w:t>
      </w:r>
      <w:r w:rsidR="000E7D3F" w:rsidRPr="002F4A3B">
        <w:t xml:space="preserve">, </w:t>
      </w:r>
      <w:r w:rsidR="00014F84">
        <w:t>y </w:t>
      </w:r>
      <w:r w:rsidR="00682967">
        <w:t>compris</w:t>
      </w:r>
      <w:r w:rsidR="000E7D3F" w:rsidRPr="002F4A3B">
        <w:t xml:space="preserve"> </w:t>
      </w:r>
      <w:r w:rsidR="009B1297">
        <w:t xml:space="preserve">le </w:t>
      </w:r>
      <w:r w:rsidR="000E7D3F" w:rsidRPr="002F4A3B">
        <w:t>projet</w:t>
      </w:r>
      <w:r w:rsidR="002F4A3B">
        <w:t xml:space="preserve"> d’Accord de </w:t>
      </w:r>
      <w:r w:rsidR="00800C68">
        <w:t>libre-échange</w:t>
      </w:r>
      <w:r w:rsidR="009B1297">
        <w:t xml:space="preserve"> complet et approfondi </w:t>
      </w:r>
      <w:r w:rsidR="000E7D3F">
        <w:t xml:space="preserve">avec l’Union </w:t>
      </w:r>
      <w:r w:rsidR="00682967">
        <w:t>e</w:t>
      </w:r>
      <w:r w:rsidR="000E7D3F" w:rsidRPr="00800C68">
        <w:t xml:space="preserve">uropéenne </w:t>
      </w:r>
      <w:r w:rsidR="00DA12E3" w:rsidRPr="00DA12E3">
        <w:t>(art. 2, par.</w:t>
      </w:r>
      <w:r w:rsidR="00FD606A">
        <w:t> </w:t>
      </w:r>
      <w:r w:rsidR="00DA12E3" w:rsidRPr="00DA12E3">
        <w:t>1)</w:t>
      </w:r>
      <w:r w:rsidR="00DA12E3">
        <w:t>.</w:t>
      </w:r>
    </w:p>
    <w:p w14:paraId="70F87580" w14:textId="2638309D" w:rsidR="00D43878" w:rsidRPr="002F4A3B" w:rsidRDefault="00C61517" w:rsidP="00C61517">
      <w:pPr>
        <w:pStyle w:val="SingleTxtG"/>
        <w:rPr>
          <w:b/>
        </w:rPr>
      </w:pPr>
      <w:r w:rsidRPr="002F4A3B">
        <w:t>19.</w:t>
      </w:r>
      <w:r w:rsidRPr="002F4A3B">
        <w:tab/>
      </w:r>
      <w:r w:rsidR="002F4A3B" w:rsidRPr="002F4A3B">
        <w:rPr>
          <w:b/>
        </w:rPr>
        <w:t xml:space="preserve">Le Comité appelle l’État partie à </w:t>
      </w:r>
      <w:r w:rsidR="00BF493F">
        <w:rPr>
          <w:b/>
        </w:rPr>
        <w:t>s</w:t>
      </w:r>
      <w:r w:rsidR="00BE1357" w:rsidRPr="00BE1357">
        <w:rPr>
          <w:b/>
        </w:rPr>
        <w:t>’</w:t>
      </w:r>
      <w:r w:rsidR="00BF493F">
        <w:rPr>
          <w:b/>
        </w:rPr>
        <w:t>assurer que ses obligations à l</w:t>
      </w:r>
      <w:r w:rsidR="00BE1357" w:rsidRPr="00BE1357">
        <w:rPr>
          <w:b/>
        </w:rPr>
        <w:t>’</w:t>
      </w:r>
      <w:r w:rsidR="00BF493F">
        <w:rPr>
          <w:b/>
        </w:rPr>
        <w:t>égard du Pacte seront prises en compte</w:t>
      </w:r>
      <w:r w:rsidR="002F4A3B" w:rsidRPr="002F4A3B">
        <w:rPr>
          <w:b/>
        </w:rPr>
        <w:t xml:space="preserve"> dans le cadre de la négociation et de la mise en œuvre des accords commerciaux et d’investissement bilatéraux et multilatéraux</w:t>
      </w:r>
      <w:r w:rsidR="00561863">
        <w:rPr>
          <w:b/>
        </w:rPr>
        <w:t>, en particulier par la préparation d</w:t>
      </w:r>
      <w:r w:rsidR="00BE1357" w:rsidRPr="00BE1357">
        <w:rPr>
          <w:b/>
        </w:rPr>
        <w:t>’</w:t>
      </w:r>
      <w:r w:rsidR="00561863" w:rsidRPr="002F4A3B">
        <w:rPr>
          <w:b/>
        </w:rPr>
        <w:t xml:space="preserve">études d’impact de ces accords sur les droits </w:t>
      </w:r>
      <w:r w:rsidR="00561863">
        <w:rPr>
          <w:b/>
        </w:rPr>
        <w:t xml:space="preserve">économiques, sociaux et culturels, en mettant </w:t>
      </w:r>
      <w:r w:rsidR="00AA4644">
        <w:rPr>
          <w:b/>
        </w:rPr>
        <w:t>l</w:t>
      </w:r>
      <w:r w:rsidR="00BE1357" w:rsidRPr="00BE1357">
        <w:rPr>
          <w:b/>
        </w:rPr>
        <w:t>’</w:t>
      </w:r>
      <w:r w:rsidR="00AA4644">
        <w:rPr>
          <w:b/>
        </w:rPr>
        <w:t xml:space="preserve">accent sur les impacts potentiels de ces accords sur </w:t>
      </w:r>
      <w:r w:rsidR="00561863" w:rsidRPr="002F4A3B">
        <w:rPr>
          <w:b/>
        </w:rPr>
        <w:t>les groupes en situation de vulnérabilité</w:t>
      </w:r>
      <w:r w:rsidR="002F4A3B" w:rsidRPr="002F4A3B">
        <w:rPr>
          <w:b/>
        </w:rPr>
        <w:t xml:space="preserve">. </w:t>
      </w:r>
      <w:r w:rsidR="00BE1357">
        <w:rPr>
          <w:b/>
        </w:rPr>
        <w:t>L</w:t>
      </w:r>
      <w:r w:rsidR="00BE1357" w:rsidRPr="00BE1357">
        <w:rPr>
          <w:b/>
        </w:rPr>
        <w:t>’</w:t>
      </w:r>
      <w:r w:rsidR="00BE1357">
        <w:rPr>
          <w:b/>
        </w:rPr>
        <w:t xml:space="preserve">Assemblée </w:t>
      </w:r>
      <w:r w:rsidR="00561863">
        <w:rPr>
          <w:b/>
        </w:rPr>
        <w:t xml:space="preserve">des </w:t>
      </w:r>
      <w:r w:rsidR="00BE1357">
        <w:rPr>
          <w:b/>
        </w:rPr>
        <w:t xml:space="preserve">représentants </w:t>
      </w:r>
      <w:r w:rsidR="00561863">
        <w:rPr>
          <w:b/>
        </w:rPr>
        <w:t xml:space="preserve">du </w:t>
      </w:r>
      <w:r w:rsidR="00BE1357">
        <w:rPr>
          <w:b/>
        </w:rPr>
        <w:t xml:space="preserve">peuple </w:t>
      </w:r>
      <w:r w:rsidR="00561863">
        <w:rPr>
          <w:b/>
        </w:rPr>
        <w:t xml:space="preserve">a une responsabilité spécifique à cet égard. </w:t>
      </w:r>
      <w:r w:rsidR="002F4A3B" w:rsidRPr="002F4A3B">
        <w:rPr>
          <w:b/>
        </w:rPr>
        <w:t xml:space="preserve">Le Comité </w:t>
      </w:r>
      <w:r w:rsidR="00AA4644">
        <w:rPr>
          <w:b/>
        </w:rPr>
        <w:t>attire l</w:t>
      </w:r>
      <w:r w:rsidR="00BE1357" w:rsidRPr="00BE1357">
        <w:rPr>
          <w:b/>
        </w:rPr>
        <w:t>’</w:t>
      </w:r>
      <w:r w:rsidR="00AA4644">
        <w:rPr>
          <w:b/>
        </w:rPr>
        <w:t>attention de l</w:t>
      </w:r>
      <w:r w:rsidR="00BE1357" w:rsidRPr="00BE1357">
        <w:rPr>
          <w:b/>
        </w:rPr>
        <w:t>’</w:t>
      </w:r>
      <w:r w:rsidR="00B143CD">
        <w:rPr>
          <w:b/>
        </w:rPr>
        <w:t>État</w:t>
      </w:r>
      <w:r w:rsidR="00AA4644">
        <w:rPr>
          <w:b/>
        </w:rPr>
        <w:t xml:space="preserve"> partie sur </w:t>
      </w:r>
      <w:r w:rsidR="00F216F6">
        <w:rPr>
          <w:b/>
        </w:rPr>
        <w:t xml:space="preserve">les </w:t>
      </w:r>
      <w:r w:rsidR="00F216F6">
        <w:rPr>
          <w:rStyle w:val="lev"/>
        </w:rPr>
        <w:t>Principes directeurs applicables aux études de l’impact des accords de commerce et d’investissement sur les droits de l’homme</w:t>
      </w:r>
      <w:r w:rsidR="0008606E">
        <w:rPr>
          <w:rStyle w:val="lev"/>
        </w:rPr>
        <w:t xml:space="preserve"> (A/HRC/19/59/Add.5).</w:t>
      </w:r>
    </w:p>
    <w:p w14:paraId="06C0AD02" w14:textId="77777777" w:rsidR="00DB6B78" w:rsidRPr="00C61517" w:rsidRDefault="00F91520">
      <w:pPr>
        <w:pStyle w:val="H23G"/>
        <w:rPr>
          <w:rStyle w:val="Normal2"/>
        </w:rPr>
      </w:pPr>
      <w:r>
        <w:rPr>
          <w:rStyle w:val="Normal2"/>
        </w:rPr>
        <w:tab/>
      </w:r>
      <w:r>
        <w:rPr>
          <w:rStyle w:val="Normal2"/>
        </w:rPr>
        <w:tab/>
      </w:r>
      <w:r w:rsidR="00C54A10" w:rsidRPr="00C54A10">
        <w:rPr>
          <w:rStyle w:val="Normal2"/>
        </w:rPr>
        <w:t>Non-discrimination</w:t>
      </w:r>
      <w:r w:rsidR="00D2563C">
        <w:rPr>
          <w:rStyle w:val="Normal2"/>
        </w:rPr>
        <w:t xml:space="preserve"> </w:t>
      </w:r>
    </w:p>
    <w:p w14:paraId="28B9E2CB" w14:textId="217F2842" w:rsidR="003072D1" w:rsidRDefault="00C61517" w:rsidP="00C61517">
      <w:pPr>
        <w:pStyle w:val="SingleTxtG"/>
      </w:pPr>
      <w:r>
        <w:t>20.</w:t>
      </w:r>
      <w:r>
        <w:tab/>
      </w:r>
      <w:r w:rsidR="00D243E2">
        <w:t>L</w:t>
      </w:r>
      <w:r w:rsidR="00AB5754">
        <w:t xml:space="preserve">e Comité </w:t>
      </w:r>
      <w:r w:rsidR="00D243E2">
        <w:t>regrette que l</w:t>
      </w:r>
      <w:r w:rsidR="008560B9" w:rsidRPr="00926DC8">
        <w:t>’</w:t>
      </w:r>
      <w:r w:rsidR="00B143CD">
        <w:t>État</w:t>
      </w:r>
      <w:r w:rsidR="00D243E2">
        <w:t xml:space="preserve"> partie ne se soit pas encore d</w:t>
      </w:r>
      <w:r w:rsidR="00D45DCB">
        <w:t>oté</w:t>
      </w:r>
      <w:r w:rsidR="00D243E2">
        <w:t xml:space="preserve"> d</w:t>
      </w:r>
      <w:r w:rsidR="008560B9" w:rsidRPr="00926DC8">
        <w:t>’</w:t>
      </w:r>
      <w:r w:rsidR="00D243E2">
        <w:t>un</w:t>
      </w:r>
      <w:r w:rsidR="00AB5754">
        <w:t xml:space="preserve"> cadre législatif </w:t>
      </w:r>
      <w:r w:rsidR="00D45DCB">
        <w:t xml:space="preserve">contre la discrimination </w:t>
      </w:r>
      <w:r w:rsidR="00AB5754">
        <w:t>intégrant tous les motifs de discrimination prévus à l’article 2 du Pacte</w:t>
      </w:r>
      <w:r w:rsidR="00D45DCB">
        <w:t xml:space="preserve">. </w:t>
      </w:r>
      <w:r w:rsidR="0063678B">
        <w:t>À cet égard, i</w:t>
      </w:r>
      <w:r w:rsidR="00D45DCB">
        <w:t xml:space="preserve">l relève avec intérêt </w:t>
      </w:r>
      <w:r w:rsidR="00C135F8">
        <w:t xml:space="preserve">les propositions </w:t>
      </w:r>
      <w:r w:rsidR="0063678B">
        <w:t xml:space="preserve">faites </w:t>
      </w:r>
      <w:r w:rsidR="00C135F8">
        <w:t>en vue de l</w:t>
      </w:r>
      <w:r w:rsidR="0063678B" w:rsidRPr="00926DC8">
        <w:t>’</w:t>
      </w:r>
      <w:r w:rsidR="00C135F8">
        <w:t>adoption d</w:t>
      </w:r>
      <w:r w:rsidR="0063678B" w:rsidRPr="00926DC8">
        <w:t>’</w:t>
      </w:r>
      <w:r w:rsidR="00C135F8">
        <w:t>une loi générale contre la discrimination</w:t>
      </w:r>
      <w:r w:rsidR="00AB5754">
        <w:t xml:space="preserve"> (art</w:t>
      </w:r>
      <w:r w:rsidR="0063678B">
        <w:t>.</w:t>
      </w:r>
      <w:r w:rsidR="00AB5754">
        <w:t xml:space="preserve"> 2).</w:t>
      </w:r>
    </w:p>
    <w:p w14:paraId="7E3E6101" w14:textId="0FA0A8FA" w:rsidR="00AB5754" w:rsidRPr="00582EED" w:rsidRDefault="00C61517" w:rsidP="00C61517">
      <w:pPr>
        <w:pStyle w:val="SingleTxtG"/>
        <w:rPr>
          <w:b/>
        </w:rPr>
      </w:pPr>
      <w:r w:rsidRPr="00582EED">
        <w:t>21.</w:t>
      </w:r>
      <w:r w:rsidRPr="00582EED">
        <w:tab/>
      </w:r>
      <w:r w:rsidR="0093592C" w:rsidRPr="00582EED">
        <w:rPr>
          <w:b/>
        </w:rPr>
        <w:t>Le Comité recom</w:t>
      </w:r>
      <w:r w:rsidR="00AB5754" w:rsidRPr="00582EED">
        <w:rPr>
          <w:b/>
        </w:rPr>
        <w:t>mande à l’</w:t>
      </w:r>
      <w:r w:rsidR="00B143CD">
        <w:rPr>
          <w:b/>
        </w:rPr>
        <w:t>État</w:t>
      </w:r>
      <w:r w:rsidR="00AB5754" w:rsidRPr="00582EED">
        <w:rPr>
          <w:b/>
        </w:rPr>
        <w:t xml:space="preserve"> partie d’</w:t>
      </w:r>
      <w:r w:rsidR="0093592C" w:rsidRPr="00582EED">
        <w:rPr>
          <w:b/>
        </w:rPr>
        <w:t>accélér</w:t>
      </w:r>
      <w:r w:rsidR="00AB5754" w:rsidRPr="00582EED">
        <w:rPr>
          <w:b/>
        </w:rPr>
        <w:t xml:space="preserve">er l’adoption et de </w:t>
      </w:r>
      <w:r w:rsidR="005016B5">
        <w:rPr>
          <w:b/>
        </w:rPr>
        <w:t xml:space="preserve">veiller à la </w:t>
      </w:r>
      <w:r w:rsidR="005016B5" w:rsidRPr="00582EED">
        <w:rPr>
          <w:b/>
        </w:rPr>
        <w:t>m</w:t>
      </w:r>
      <w:r w:rsidR="005016B5">
        <w:rPr>
          <w:b/>
        </w:rPr>
        <w:t>ise</w:t>
      </w:r>
      <w:r w:rsidR="005016B5" w:rsidRPr="00582EED">
        <w:rPr>
          <w:b/>
        </w:rPr>
        <w:t xml:space="preserve"> </w:t>
      </w:r>
      <w:r w:rsidR="00AB5754" w:rsidRPr="00582EED">
        <w:rPr>
          <w:b/>
        </w:rPr>
        <w:t xml:space="preserve">en œuvre </w:t>
      </w:r>
      <w:r w:rsidR="005016B5">
        <w:rPr>
          <w:b/>
        </w:rPr>
        <w:t>d</w:t>
      </w:r>
      <w:r w:rsidR="005016B5" w:rsidRPr="005016B5">
        <w:rPr>
          <w:b/>
        </w:rPr>
        <w:t>’</w:t>
      </w:r>
      <w:r w:rsidR="00AB5754" w:rsidRPr="00582EED">
        <w:rPr>
          <w:b/>
        </w:rPr>
        <w:t>une l</w:t>
      </w:r>
      <w:r w:rsidR="006D2D30">
        <w:rPr>
          <w:b/>
        </w:rPr>
        <w:t xml:space="preserve">égislation anti-discrimination </w:t>
      </w:r>
      <w:r w:rsidR="00AB5754" w:rsidRPr="00582EED">
        <w:rPr>
          <w:b/>
        </w:rPr>
        <w:t xml:space="preserve">complète qui interdise toute forme de discrimination, directe </w:t>
      </w:r>
      <w:r w:rsidR="00673C8A">
        <w:rPr>
          <w:b/>
        </w:rPr>
        <w:t>ou</w:t>
      </w:r>
      <w:r w:rsidR="00673C8A" w:rsidRPr="00582EED">
        <w:rPr>
          <w:b/>
        </w:rPr>
        <w:t xml:space="preserve"> </w:t>
      </w:r>
      <w:r w:rsidR="00AB5754" w:rsidRPr="00582EED">
        <w:rPr>
          <w:b/>
        </w:rPr>
        <w:t>indirecte</w:t>
      </w:r>
      <w:r w:rsidR="006D2D30">
        <w:rPr>
          <w:b/>
        </w:rPr>
        <w:t xml:space="preserve">, </w:t>
      </w:r>
      <w:r w:rsidR="006D2D30" w:rsidRPr="006D2D30">
        <w:rPr>
          <w:b/>
        </w:rPr>
        <w:t>conformément au p</w:t>
      </w:r>
      <w:r w:rsidR="006D2D30">
        <w:rPr>
          <w:b/>
        </w:rPr>
        <w:t>aragraphe 2 de l’article 2 du P</w:t>
      </w:r>
      <w:r w:rsidR="006D2D30" w:rsidRPr="006D2D30">
        <w:rPr>
          <w:b/>
        </w:rPr>
        <w:t xml:space="preserve">acte et à l’observation générale </w:t>
      </w:r>
      <w:r w:rsidR="005A2135" w:rsidRPr="006D2D30">
        <w:rPr>
          <w:b/>
        </w:rPr>
        <w:t>n</w:t>
      </w:r>
      <w:r w:rsidR="005A2135" w:rsidRPr="00C61517">
        <w:rPr>
          <w:b/>
          <w:vertAlign w:val="superscript"/>
        </w:rPr>
        <w:t>o</w:t>
      </w:r>
      <w:r w:rsidR="005A2135">
        <w:rPr>
          <w:b/>
        </w:rPr>
        <w:t> </w:t>
      </w:r>
      <w:r w:rsidR="006D2D30" w:rsidRPr="006D2D30">
        <w:rPr>
          <w:b/>
        </w:rPr>
        <w:t xml:space="preserve">20 (2009) </w:t>
      </w:r>
      <w:r w:rsidR="00673C8A">
        <w:rPr>
          <w:b/>
        </w:rPr>
        <w:t>sur</w:t>
      </w:r>
      <w:r w:rsidR="00673C8A" w:rsidRPr="006D2D30">
        <w:rPr>
          <w:b/>
        </w:rPr>
        <w:t xml:space="preserve"> </w:t>
      </w:r>
      <w:r w:rsidR="006D2D30" w:rsidRPr="006D2D30">
        <w:rPr>
          <w:b/>
        </w:rPr>
        <w:t>la non-discrimination dans l’exercice des droits économiques, sociaux et culturels.</w:t>
      </w:r>
    </w:p>
    <w:p w14:paraId="3A1C6CB5" w14:textId="5334E67E" w:rsidR="00FD72A7" w:rsidRPr="00DF561B" w:rsidRDefault="00DF561B" w:rsidP="00C61517">
      <w:pPr>
        <w:pStyle w:val="H23G"/>
      </w:pPr>
      <w:r>
        <w:lastRenderedPageBreak/>
        <w:tab/>
      </w:r>
      <w:r>
        <w:tab/>
      </w:r>
      <w:r w:rsidR="00FD72A7" w:rsidRPr="00FD72A7">
        <w:t>Disparités régionales</w:t>
      </w:r>
    </w:p>
    <w:p w14:paraId="6F8333A4" w14:textId="4F0F0E33" w:rsidR="004171D7" w:rsidRDefault="00C61517" w:rsidP="00C61517">
      <w:pPr>
        <w:pStyle w:val="SingleTxtG"/>
      </w:pPr>
      <w:r>
        <w:t>22.</w:t>
      </w:r>
      <w:r>
        <w:tab/>
      </w:r>
      <w:r w:rsidR="004171D7">
        <w:t xml:space="preserve">Le Comité note avec inquiétude </w:t>
      </w:r>
      <w:r w:rsidR="003D157A">
        <w:t>qu</w:t>
      </w:r>
      <w:r w:rsidR="003D157A" w:rsidRPr="00926DC8">
        <w:t>’</w:t>
      </w:r>
      <w:r w:rsidR="003D157A">
        <w:t>il existe de</w:t>
      </w:r>
      <w:r w:rsidR="004171D7">
        <w:t xml:space="preserve"> grandes disparités économiques et sociales entre les régions</w:t>
      </w:r>
      <w:r w:rsidR="00C135F8">
        <w:t xml:space="preserve"> côtières et les régions de l</w:t>
      </w:r>
      <w:r w:rsidR="00C92D3B" w:rsidRPr="00926DC8">
        <w:t>’</w:t>
      </w:r>
      <w:r w:rsidR="00C135F8">
        <w:t>intérieur</w:t>
      </w:r>
      <w:r w:rsidR="004171D7">
        <w:t xml:space="preserve">, </w:t>
      </w:r>
      <w:r w:rsidR="009A5927">
        <w:t>que reflètent les</w:t>
      </w:r>
      <w:r w:rsidR="004171D7">
        <w:t xml:space="preserve"> taux de pauvreté et </w:t>
      </w:r>
      <w:r w:rsidR="009A5927">
        <w:t>d</w:t>
      </w:r>
      <w:r w:rsidR="00C92D3B" w:rsidRPr="00926DC8">
        <w:t>’</w:t>
      </w:r>
      <w:r w:rsidR="009A5927">
        <w:t>emploi</w:t>
      </w:r>
      <w:r w:rsidR="00E7439C">
        <w:t>, et dont les impacts différenciés en fonction des groupes ethniques ne peuvent être ignorés</w:t>
      </w:r>
      <w:r w:rsidR="004171D7">
        <w:t xml:space="preserve"> </w:t>
      </w:r>
      <w:r w:rsidR="00582EED">
        <w:t>(art. 2</w:t>
      </w:r>
      <w:r w:rsidR="00DA12E3">
        <w:t>).</w:t>
      </w:r>
    </w:p>
    <w:p w14:paraId="17611D42" w14:textId="4514EE84" w:rsidR="004171D7" w:rsidRPr="00021664" w:rsidRDefault="00C61517" w:rsidP="00C61517">
      <w:pPr>
        <w:pStyle w:val="SingleTxtG"/>
        <w:rPr>
          <w:b/>
        </w:rPr>
      </w:pPr>
      <w:r w:rsidRPr="00021664">
        <w:t>23.</w:t>
      </w:r>
      <w:r w:rsidRPr="00021664">
        <w:tab/>
      </w:r>
      <w:r w:rsidR="004171D7" w:rsidRPr="00021664">
        <w:rPr>
          <w:b/>
        </w:rPr>
        <w:t>Le Comité</w:t>
      </w:r>
      <w:r w:rsidR="00582EED">
        <w:rPr>
          <w:b/>
        </w:rPr>
        <w:t xml:space="preserve"> recommande à l’</w:t>
      </w:r>
      <w:r w:rsidR="00B143CD">
        <w:rPr>
          <w:b/>
        </w:rPr>
        <w:t>État</w:t>
      </w:r>
      <w:r w:rsidR="00582EED">
        <w:rPr>
          <w:b/>
        </w:rPr>
        <w:t xml:space="preserve"> partie de prendre toutes les mesures nécessaires pour remédier aux disparités régionales</w:t>
      </w:r>
      <w:r w:rsidR="00E7439C">
        <w:rPr>
          <w:b/>
        </w:rPr>
        <w:t>, y compris en recourant au</w:t>
      </w:r>
      <w:r w:rsidR="003869CC">
        <w:rPr>
          <w:b/>
        </w:rPr>
        <w:t xml:space="preserve"> mécanisme des</w:t>
      </w:r>
      <w:r w:rsidR="00E7439C">
        <w:rPr>
          <w:b/>
        </w:rPr>
        <w:t xml:space="preserve"> inégalités compensatrices</w:t>
      </w:r>
      <w:r w:rsidR="004171D7" w:rsidRPr="00021664">
        <w:rPr>
          <w:b/>
        </w:rPr>
        <w:t xml:space="preserve"> inscrit dans la Constitutio</w:t>
      </w:r>
      <w:r w:rsidR="00582EED">
        <w:rPr>
          <w:b/>
        </w:rPr>
        <w:t xml:space="preserve">n, </w:t>
      </w:r>
      <w:r w:rsidR="003869CC">
        <w:rPr>
          <w:b/>
        </w:rPr>
        <w:t>par</w:t>
      </w:r>
      <w:r w:rsidR="003869CC" w:rsidRPr="00021664">
        <w:rPr>
          <w:b/>
        </w:rPr>
        <w:t xml:space="preserve"> </w:t>
      </w:r>
      <w:r w:rsidR="004171D7" w:rsidRPr="00021664">
        <w:rPr>
          <w:b/>
        </w:rPr>
        <w:t xml:space="preserve">des investissements publics et d’infrastructure dans </w:t>
      </w:r>
      <w:r w:rsidR="003869CC">
        <w:rPr>
          <w:b/>
        </w:rPr>
        <w:t>l</w:t>
      </w:r>
      <w:r w:rsidR="004171D7" w:rsidRPr="00021664">
        <w:rPr>
          <w:b/>
        </w:rPr>
        <w:t>es rég</w:t>
      </w:r>
      <w:r w:rsidR="00582EED">
        <w:rPr>
          <w:b/>
        </w:rPr>
        <w:t>ions</w:t>
      </w:r>
      <w:r w:rsidR="003869CC">
        <w:rPr>
          <w:b/>
        </w:rPr>
        <w:t xml:space="preserve"> défavorisées</w:t>
      </w:r>
      <w:r w:rsidR="00A83F40">
        <w:rPr>
          <w:b/>
        </w:rPr>
        <w:t xml:space="preserve">, </w:t>
      </w:r>
      <w:r w:rsidR="003869CC">
        <w:rPr>
          <w:b/>
        </w:rPr>
        <w:t xml:space="preserve">et en </w:t>
      </w:r>
      <w:r w:rsidR="00D827C7">
        <w:rPr>
          <w:b/>
        </w:rPr>
        <w:t xml:space="preserve">orientant </w:t>
      </w:r>
      <w:r w:rsidR="00A83F40">
        <w:rPr>
          <w:b/>
        </w:rPr>
        <w:t xml:space="preserve">les politiques sociales compte </w:t>
      </w:r>
      <w:r w:rsidR="003D157A">
        <w:rPr>
          <w:b/>
        </w:rPr>
        <w:t xml:space="preserve">tenu </w:t>
      </w:r>
      <w:r w:rsidR="00A83F40">
        <w:rPr>
          <w:b/>
        </w:rPr>
        <w:t>de ces disparités</w:t>
      </w:r>
      <w:r w:rsidR="00582EED">
        <w:rPr>
          <w:b/>
        </w:rPr>
        <w:t>.</w:t>
      </w:r>
    </w:p>
    <w:p w14:paraId="7C23E24B" w14:textId="4CD1D734" w:rsidR="00B3250D" w:rsidRPr="00D725F8" w:rsidRDefault="00D725F8" w:rsidP="00C61517">
      <w:pPr>
        <w:pStyle w:val="H23G"/>
      </w:pPr>
      <w:r>
        <w:tab/>
      </w:r>
      <w:r>
        <w:tab/>
      </w:r>
      <w:r w:rsidR="00B3250D" w:rsidRPr="00B3250D">
        <w:t>Discriminations basée</w:t>
      </w:r>
      <w:r w:rsidR="00B3250D">
        <w:t>s</w:t>
      </w:r>
      <w:r w:rsidR="00B3250D" w:rsidRPr="00B3250D">
        <w:t xml:space="preserve"> sur l’orientation sexuelle et l</w:t>
      </w:r>
      <w:r w:rsidR="00C92D3B" w:rsidRPr="00926DC8">
        <w:t>’</w:t>
      </w:r>
      <w:r w:rsidR="00B3250D" w:rsidRPr="00B3250D">
        <w:t xml:space="preserve">identité de genre </w:t>
      </w:r>
    </w:p>
    <w:p w14:paraId="201D673C" w14:textId="5A8540D4" w:rsidR="00F91520" w:rsidRDefault="00C61517" w:rsidP="00C61517">
      <w:pPr>
        <w:pStyle w:val="SingleTxtG"/>
      </w:pPr>
      <w:r>
        <w:t>24.</w:t>
      </w:r>
      <w:r>
        <w:tab/>
      </w:r>
      <w:r w:rsidR="00F91520" w:rsidRPr="00770F83">
        <w:t>Bien que la Constitution</w:t>
      </w:r>
      <w:r w:rsidR="00F91520">
        <w:t xml:space="preserve"> consacre le droit à la vie privée et </w:t>
      </w:r>
      <w:r w:rsidR="004434BA">
        <w:t xml:space="preserve">à </w:t>
      </w:r>
      <w:r w:rsidR="00F91520">
        <w:t>la liberté d</w:t>
      </w:r>
      <w:r w:rsidR="003D157A" w:rsidRPr="00926DC8">
        <w:t>’</w:t>
      </w:r>
      <w:r w:rsidR="00F91520">
        <w:t>expression, de pensée et d</w:t>
      </w:r>
      <w:r w:rsidR="003D157A" w:rsidRPr="00926DC8">
        <w:t>’</w:t>
      </w:r>
      <w:r w:rsidR="00F91520">
        <w:t xml:space="preserve">opinion, le Comité note avec inquiétude que la discrimination </w:t>
      </w:r>
      <w:r w:rsidR="00136EB9">
        <w:t xml:space="preserve">envers </w:t>
      </w:r>
      <w:r w:rsidR="00F91520">
        <w:t xml:space="preserve">les lesbiennes, gays, bisexuels, transgenres </w:t>
      </w:r>
      <w:r w:rsidR="004434BA">
        <w:t xml:space="preserve">et </w:t>
      </w:r>
      <w:r w:rsidR="00F91520">
        <w:t xml:space="preserve">intersexués persiste dans la loi et la pratique. Le Comité relève avec préoccupation que les relations consenties entre personnes du même sexe sont </w:t>
      </w:r>
      <w:r w:rsidR="00136EB9">
        <w:t>incriminées par l</w:t>
      </w:r>
      <w:r w:rsidR="003D157A" w:rsidRPr="00926DC8">
        <w:t>’</w:t>
      </w:r>
      <w:r w:rsidR="00136EB9">
        <w:t>article 230 du Code pénal</w:t>
      </w:r>
      <w:r w:rsidR="00CF6664">
        <w:t xml:space="preserve"> sous l</w:t>
      </w:r>
      <w:r w:rsidR="003D157A" w:rsidRPr="00926DC8">
        <w:t>’</w:t>
      </w:r>
      <w:r w:rsidR="0006637A">
        <w:t>appellation</w:t>
      </w:r>
      <w:r w:rsidR="00CF6664">
        <w:t xml:space="preserve"> de sodomie</w:t>
      </w:r>
      <w:r w:rsidR="00F91520">
        <w:t xml:space="preserve">, et </w:t>
      </w:r>
      <w:r w:rsidR="00D73DCB">
        <w:t>que l</w:t>
      </w:r>
      <w:r w:rsidR="003D157A" w:rsidRPr="00926DC8">
        <w:t>’</w:t>
      </w:r>
      <w:r w:rsidR="00D73DCB">
        <w:t xml:space="preserve">article 226 du Code </w:t>
      </w:r>
      <w:r w:rsidR="003C0AE6">
        <w:t>pénal réprimant l</w:t>
      </w:r>
      <w:r w:rsidR="003D157A" w:rsidRPr="00926DC8">
        <w:t>’</w:t>
      </w:r>
      <w:r w:rsidR="003C0AE6">
        <w:t>outrage public à la pudeur est régulièrement prétexte au harcèlement des minorités sexuelles</w:t>
      </w:r>
      <w:r w:rsidR="00F91520">
        <w:t xml:space="preserve"> (art. 2</w:t>
      </w:r>
      <w:r w:rsidR="005A477C">
        <w:t>, par. 2</w:t>
      </w:r>
      <w:r w:rsidR="00F91520">
        <w:t>).</w:t>
      </w:r>
    </w:p>
    <w:p w14:paraId="230E1FF2" w14:textId="689941FC" w:rsidR="00F91520" w:rsidRDefault="00C61517" w:rsidP="00C61517">
      <w:pPr>
        <w:pStyle w:val="SingleTxtG"/>
        <w:rPr>
          <w:b/>
        </w:rPr>
      </w:pPr>
      <w:r>
        <w:t>25.</w:t>
      </w:r>
      <w:r>
        <w:tab/>
      </w:r>
      <w:r w:rsidR="00F91520" w:rsidRPr="00770F83">
        <w:rPr>
          <w:b/>
        </w:rPr>
        <w:t xml:space="preserve">Le Comité </w:t>
      </w:r>
      <w:r w:rsidR="00582EED">
        <w:rPr>
          <w:b/>
        </w:rPr>
        <w:t>recommande à l’</w:t>
      </w:r>
      <w:r w:rsidR="00B143CD">
        <w:rPr>
          <w:b/>
        </w:rPr>
        <w:t>État</w:t>
      </w:r>
      <w:r w:rsidR="00582EED">
        <w:rPr>
          <w:b/>
        </w:rPr>
        <w:t xml:space="preserve"> partie </w:t>
      </w:r>
      <w:r w:rsidR="00EE3145" w:rsidRPr="00770F83">
        <w:rPr>
          <w:b/>
        </w:rPr>
        <w:t xml:space="preserve">d’abroger </w:t>
      </w:r>
      <w:r w:rsidR="00CF6664">
        <w:rPr>
          <w:b/>
        </w:rPr>
        <w:t xml:space="preserve">sans délai </w:t>
      </w:r>
      <w:r w:rsidR="00EE3145" w:rsidRPr="00C460C3">
        <w:rPr>
          <w:b/>
        </w:rPr>
        <w:t xml:space="preserve">l’article 230 du Code pénal </w:t>
      </w:r>
      <w:r w:rsidR="00D92105">
        <w:rPr>
          <w:b/>
        </w:rPr>
        <w:t>et de former les agents responsables de l</w:t>
      </w:r>
      <w:r w:rsidR="001074CE" w:rsidRPr="001074CE">
        <w:rPr>
          <w:b/>
        </w:rPr>
        <w:t>’</w:t>
      </w:r>
      <w:r w:rsidR="00D92105">
        <w:rPr>
          <w:b/>
        </w:rPr>
        <w:t xml:space="preserve">application des lois à la nécessité de </w:t>
      </w:r>
      <w:r w:rsidR="005A477C">
        <w:rPr>
          <w:b/>
        </w:rPr>
        <w:t>respecter la diversité des orientations sexuelles et les identités de genre</w:t>
      </w:r>
      <w:r w:rsidR="00EE3145" w:rsidRPr="00C460C3">
        <w:rPr>
          <w:b/>
        </w:rPr>
        <w:t>.</w:t>
      </w:r>
    </w:p>
    <w:p w14:paraId="6FEC54C3" w14:textId="44557DFB" w:rsidR="004171D7" w:rsidRDefault="00F91520">
      <w:pPr>
        <w:pStyle w:val="H23G"/>
      </w:pPr>
      <w:r>
        <w:tab/>
      </w:r>
      <w:r>
        <w:tab/>
      </w:r>
      <w:r w:rsidR="00FD37DC">
        <w:t xml:space="preserve">Égalité </w:t>
      </w:r>
      <w:r w:rsidR="004171D7">
        <w:t>de</w:t>
      </w:r>
      <w:r>
        <w:t>s droits entre les hommes et les femmes</w:t>
      </w:r>
      <w:r w:rsidR="004171D7">
        <w:t xml:space="preserve"> </w:t>
      </w:r>
    </w:p>
    <w:p w14:paraId="587CB27A" w14:textId="3DBF2272" w:rsidR="00003AC3" w:rsidRDefault="00C61517" w:rsidP="00C61517">
      <w:pPr>
        <w:pStyle w:val="SingleTxtG"/>
      </w:pPr>
      <w:r>
        <w:t>26.</w:t>
      </w:r>
      <w:r>
        <w:tab/>
      </w:r>
      <w:r w:rsidR="004171D7">
        <w:t xml:space="preserve">Le Comité </w:t>
      </w:r>
      <w:r w:rsidR="00614F80">
        <w:t xml:space="preserve">se félicite de </w:t>
      </w:r>
      <w:r w:rsidR="00E36917">
        <w:t>l</w:t>
      </w:r>
      <w:r w:rsidR="00CF2332" w:rsidRPr="00926DC8">
        <w:t>’</w:t>
      </w:r>
      <w:r w:rsidR="00E36917">
        <w:t>engagement de</w:t>
      </w:r>
      <w:r w:rsidR="00614F80">
        <w:t xml:space="preserve"> l’</w:t>
      </w:r>
      <w:r w:rsidR="00B143CD">
        <w:t>État</w:t>
      </w:r>
      <w:r w:rsidR="00614F80">
        <w:t xml:space="preserve"> partie </w:t>
      </w:r>
      <w:r w:rsidR="00E36917">
        <w:t>à</w:t>
      </w:r>
      <w:r w:rsidR="00003AC3">
        <w:t xml:space="preserve"> poursuivre ses efforts afin d’instaurer l’égalité des sexes. Néanmoins, </w:t>
      </w:r>
      <w:r w:rsidR="00CF2332">
        <w:t>il</w:t>
      </w:r>
      <w:r w:rsidR="00003AC3">
        <w:t xml:space="preserve"> relève avec inq</w:t>
      </w:r>
      <w:r w:rsidR="00B82063">
        <w:t xml:space="preserve">uiétude que l’accès des femmes </w:t>
      </w:r>
      <w:r w:rsidR="00582EED">
        <w:t xml:space="preserve">à l’héritage </w:t>
      </w:r>
      <w:r w:rsidR="009D1BFB">
        <w:t xml:space="preserve">demeure </w:t>
      </w:r>
      <w:r w:rsidR="00003AC3">
        <w:t>entravé par des dispositions discriminatoires</w:t>
      </w:r>
      <w:r w:rsidR="00462A5C">
        <w:t> </w:t>
      </w:r>
      <w:r w:rsidR="009D1BFB">
        <w:t>:</w:t>
      </w:r>
      <w:r w:rsidR="00003AC3">
        <w:t xml:space="preserve"> le livre neuf du Code d</w:t>
      </w:r>
      <w:r w:rsidR="00CF2332">
        <w:t>u</w:t>
      </w:r>
      <w:r w:rsidR="00003AC3">
        <w:t xml:space="preserve"> statut personnel sur la succession est en </w:t>
      </w:r>
      <w:r w:rsidR="00CF2332">
        <w:t xml:space="preserve">nette </w:t>
      </w:r>
      <w:r w:rsidR="00003AC3">
        <w:t>contradiction avec la Constitution et avec les conventions internati</w:t>
      </w:r>
      <w:r w:rsidR="00F91520">
        <w:t>onales ratifiées par la Tunisie (art.</w:t>
      </w:r>
      <w:r w:rsidR="009D1BFB">
        <w:t xml:space="preserve"> </w:t>
      </w:r>
      <w:r w:rsidR="00F91520">
        <w:t>3).</w:t>
      </w:r>
    </w:p>
    <w:p w14:paraId="42D7D30E" w14:textId="547F968B" w:rsidR="00614F80" w:rsidRPr="00FF53B9" w:rsidRDefault="00C61517" w:rsidP="00C61517">
      <w:pPr>
        <w:pStyle w:val="SingleTxtG"/>
        <w:rPr>
          <w:b/>
        </w:rPr>
      </w:pPr>
      <w:r w:rsidRPr="00FF53B9">
        <w:t>27.</w:t>
      </w:r>
      <w:r w:rsidRPr="00FF53B9">
        <w:tab/>
      </w:r>
      <w:r w:rsidR="00003AC3" w:rsidRPr="00FF53B9">
        <w:rPr>
          <w:b/>
        </w:rPr>
        <w:t xml:space="preserve">Le </w:t>
      </w:r>
      <w:r w:rsidR="00003AC3" w:rsidRPr="00535F5E">
        <w:rPr>
          <w:b/>
        </w:rPr>
        <w:t xml:space="preserve">Comité </w:t>
      </w:r>
      <w:r w:rsidR="006622D7" w:rsidRPr="00535F5E">
        <w:rPr>
          <w:b/>
        </w:rPr>
        <w:t xml:space="preserve">recommande </w:t>
      </w:r>
      <w:r w:rsidR="00674C83">
        <w:rPr>
          <w:b/>
        </w:rPr>
        <w:t>à l</w:t>
      </w:r>
      <w:r w:rsidR="00674C83" w:rsidRPr="00674C83">
        <w:rPr>
          <w:b/>
        </w:rPr>
        <w:t>’</w:t>
      </w:r>
      <w:r w:rsidR="00674C83">
        <w:rPr>
          <w:b/>
        </w:rPr>
        <w:t xml:space="preserve">État partie </w:t>
      </w:r>
      <w:r w:rsidR="006622D7" w:rsidRPr="00535F5E">
        <w:rPr>
          <w:b/>
        </w:rPr>
        <w:t xml:space="preserve">de modifier sans délai toutes les dispositions légales établissant une discrimination fondée sur le sexe, y compris en matière successorale. Il </w:t>
      </w:r>
      <w:r w:rsidR="00261449" w:rsidRPr="00535F5E">
        <w:rPr>
          <w:b/>
        </w:rPr>
        <w:t>réitère sur ce point les</w:t>
      </w:r>
      <w:r w:rsidR="00003AC3" w:rsidRPr="00535F5E">
        <w:rPr>
          <w:b/>
        </w:rPr>
        <w:t xml:space="preserve"> recommandations formulées par le Comité pour l’élimination de la discrimination à l’égard des femmes </w:t>
      </w:r>
      <w:r w:rsidR="00261449" w:rsidRPr="00535F5E">
        <w:rPr>
          <w:b/>
        </w:rPr>
        <w:t xml:space="preserve">ainsi que par </w:t>
      </w:r>
      <w:r w:rsidR="00B3250D" w:rsidRPr="00535F5E">
        <w:rPr>
          <w:b/>
        </w:rPr>
        <w:t xml:space="preserve">le Groupe </w:t>
      </w:r>
      <w:r w:rsidR="00B3250D" w:rsidRPr="00825518">
        <w:rPr>
          <w:b/>
        </w:rPr>
        <w:t>de travail sur l’élimination de la discrimination à l’égard des femmes dans la législation et dans la pratique</w:t>
      </w:r>
      <w:r w:rsidR="00261449" w:rsidRPr="00825518">
        <w:rPr>
          <w:b/>
        </w:rPr>
        <w:t>.</w:t>
      </w:r>
    </w:p>
    <w:p w14:paraId="6CC886AA" w14:textId="77777777" w:rsidR="00003AC3" w:rsidRDefault="007B587E" w:rsidP="003E022E">
      <w:pPr>
        <w:pStyle w:val="H23G"/>
      </w:pPr>
      <w:r>
        <w:rPr>
          <w:b w:val="0"/>
        </w:rPr>
        <w:tab/>
      </w:r>
      <w:r>
        <w:rPr>
          <w:b w:val="0"/>
        </w:rPr>
        <w:tab/>
      </w:r>
      <w:r w:rsidR="00003AC3" w:rsidRPr="00003AC3">
        <w:t>Droit au travail</w:t>
      </w:r>
    </w:p>
    <w:p w14:paraId="63E32C01" w14:textId="152556CC" w:rsidR="00003AC3" w:rsidRPr="00E51514" w:rsidRDefault="00C61517" w:rsidP="00C61517">
      <w:pPr>
        <w:pStyle w:val="SingleTxtG"/>
      </w:pPr>
      <w:r w:rsidRPr="00E51514">
        <w:t>28.</w:t>
      </w:r>
      <w:r w:rsidRPr="00E51514">
        <w:tab/>
      </w:r>
      <w:r w:rsidR="00003AC3">
        <w:t>Le Comité salue les mesures prises par l’</w:t>
      </w:r>
      <w:r w:rsidR="00B143CD">
        <w:t>État</w:t>
      </w:r>
      <w:r w:rsidR="00003AC3">
        <w:t xml:space="preserve"> </w:t>
      </w:r>
      <w:r w:rsidR="004C2AD4">
        <w:t xml:space="preserve">partie en </w:t>
      </w:r>
      <w:r w:rsidR="00304F46">
        <w:t>vue d</w:t>
      </w:r>
      <w:r w:rsidR="00A06A7A" w:rsidRPr="00926DC8">
        <w:t>’</w:t>
      </w:r>
      <w:r w:rsidR="00304F46">
        <w:t xml:space="preserve">améliorer la </w:t>
      </w:r>
      <w:r w:rsidR="004C2AD4">
        <w:t xml:space="preserve">représentation des femmes dans le secteur de </w:t>
      </w:r>
      <w:r w:rsidR="00F60352">
        <w:t xml:space="preserve">la </w:t>
      </w:r>
      <w:r w:rsidR="004C2AD4">
        <w:t xml:space="preserve">justice, les instances législatives et la fonction publique. </w:t>
      </w:r>
      <w:r w:rsidR="00304F46">
        <w:t>L</w:t>
      </w:r>
      <w:r w:rsidR="00003AC3">
        <w:t xml:space="preserve">es femmes demeurent </w:t>
      </w:r>
      <w:r w:rsidR="00304F46">
        <w:t xml:space="preserve">néanmoins </w:t>
      </w:r>
      <w:r w:rsidR="00003AC3">
        <w:t xml:space="preserve">défavorisées dans </w:t>
      </w:r>
      <w:r w:rsidR="00C86FED">
        <w:t>l</w:t>
      </w:r>
      <w:r w:rsidR="00A06A7A" w:rsidRPr="00926DC8">
        <w:t>’</w:t>
      </w:r>
      <w:r w:rsidR="00C86FED">
        <w:t>accès au</w:t>
      </w:r>
      <w:r w:rsidR="00003AC3">
        <w:t xml:space="preserve"> marché du travail</w:t>
      </w:r>
      <w:r w:rsidR="00C86FED">
        <w:t xml:space="preserve">, plusieurs des dispositions visant à favoriser la conciliation de la vie professionnelle et </w:t>
      </w:r>
      <w:r w:rsidR="009C0DD7">
        <w:t xml:space="preserve">de la vie </w:t>
      </w:r>
      <w:r w:rsidR="00C86FED">
        <w:t xml:space="preserve">familiale renforçant les stéréotypes de genre et </w:t>
      </w:r>
      <w:r w:rsidR="00537DD6">
        <w:t>la ségrégation professionnelle. Le Comité est également préoccupé par</w:t>
      </w:r>
      <w:r w:rsidR="00003AC3">
        <w:t xml:space="preserve"> l’écart salarial entre hommes et femmes</w:t>
      </w:r>
      <w:r w:rsidR="00537DD6">
        <w:t xml:space="preserve"> </w:t>
      </w:r>
      <w:r w:rsidR="00003AC3" w:rsidRPr="00E51514">
        <w:t xml:space="preserve">et </w:t>
      </w:r>
      <w:r w:rsidR="00A06A7A">
        <w:t xml:space="preserve">par </w:t>
      </w:r>
      <w:r w:rsidR="00537DD6" w:rsidRPr="00E51514">
        <w:t>l</w:t>
      </w:r>
      <w:r w:rsidR="00A06A7A" w:rsidRPr="00926DC8">
        <w:t>’</w:t>
      </w:r>
      <w:r w:rsidR="00537DD6">
        <w:t>importance du</w:t>
      </w:r>
      <w:r w:rsidR="00537DD6" w:rsidRPr="00E51514">
        <w:t xml:space="preserve"> </w:t>
      </w:r>
      <w:r w:rsidR="00003AC3" w:rsidRPr="00E51514">
        <w:t>travail non rémunéré des femmes dans le secteur agricole (art. 3</w:t>
      </w:r>
      <w:r w:rsidR="004C2AD4">
        <w:t xml:space="preserve"> et 6</w:t>
      </w:r>
      <w:r w:rsidR="00003AC3" w:rsidRPr="00E51514">
        <w:t>).</w:t>
      </w:r>
    </w:p>
    <w:p w14:paraId="1D1C1322" w14:textId="2510EB73" w:rsidR="00003AC3" w:rsidRPr="00670878" w:rsidRDefault="00C61517" w:rsidP="00014F84">
      <w:pPr>
        <w:pStyle w:val="SingleTxtG"/>
        <w:keepNext/>
        <w:keepLines/>
      </w:pPr>
      <w:r w:rsidRPr="00670878">
        <w:lastRenderedPageBreak/>
        <w:t>29.</w:t>
      </w:r>
      <w:r w:rsidRPr="00670878">
        <w:tab/>
      </w:r>
      <w:r w:rsidR="00003AC3">
        <w:rPr>
          <w:b/>
        </w:rPr>
        <w:t>L</w:t>
      </w:r>
      <w:r w:rsidR="00003AC3" w:rsidRPr="00343E3B">
        <w:rPr>
          <w:b/>
        </w:rPr>
        <w:t>e Comité</w:t>
      </w:r>
      <w:r w:rsidR="00003AC3">
        <w:rPr>
          <w:b/>
        </w:rPr>
        <w:t xml:space="preserve"> </w:t>
      </w:r>
      <w:r w:rsidR="00003AC3">
        <w:rPr>
          <w:b/>
          <w:lang w:val="fr-FR"/>
        </w:rPr>
        <w:t xml:space="preserve">exhorte </w:t>
      </w:r>
      <w:r w:rsidR="00003AC3" w:rsidRPr="00343E3B">
        <w:rPr>
          <w:b/>
        </w:rPr>
        <w:t>l’État partie</w:t>
      </w:r>
      <w:r w:rsidR="00003AC3" w:rsidRPr="00343E3B">
        <w:rPr>
          <w:b/>
          <w:lang w:val="fr-FR"/>
        </w:rPr>
        <w:t xml:space="preserve"> à :</w:t>
      </w:r>
    </w:p>
    <w:p w14:paraId="5916C0FD" w14:textId="106BA062" w:rsidR="00003AC3" w:rsidRPr="00C1320B" w:rsidRDefault="00D725F8" w:rsidP="00014F84">
      <w:pPr>
        <w:pStyle w:val="SingleTxtG"/>
        <w:keepNext/>
        <w:keepLines/>
        <w:ind w:firstLine="567"/>
        <w:rPr>
          <w:b/>
        </w:rPr>
      </w:pPr>
      <w:r w:rsidRPr="00C61517">
        <w:rPr>
          <w:bCs/>
        </w:rPr>
        <w:t>a)</w:t>
      </w:r>
      <w:r>
        <w:rPr>
          <w:b/>
        </w:rPr>
        <w:tab/>
      </w:r>
      <w:r w:rsidR="00003AC3" w:rsidRPr="00C1320B">
        <w:rPr>
          <w:b/>
        </w:rPr>
        <w:t>Prendre des mesures ciblé</w:t>
      </w:r>
      <w:r w:rsidR="00C754D8">
        <w:rPr>
          <w:b/>
        </w:rPr>
        <w:t>e</w:t>
      </w:r>
      <w:r w:rsidR="00003AC3" w:rsidRPr="00C1320B">
        <w:rPr>
          <w:b/>
        </w:rPr>
        <w:t xml:space="preserve">s en faveur des femmes </w:t>
      </w:r>
      <w:r w:rsidR="00923EB9">
        <w:rPr>
          <w:b/>
        </w:rPr>
        <w:t xml:space="preserve">les </w:t>
      </w:r>
      <w:r w:rsidR="00003AC3" w:rsidRPr="00C1320B">
        <w:rPr>
          <w:b/>
        </w:rPr>
        <w:t xml:space="preserve">plus défavorisées sur le marché </w:t>
      </w:r>
      <w:r w:rsidR="00923EB9">
        <w:rPr>
          <w:b/>
        </w:rPr>
        <w:t>du travail</w:t>
      </w:r>
      <w:r w:rsidR="00003AC3" w:rsidRPr="00C1320B">
        <w:rPr>
          <w:b/>
        </w:rPr>
        <w:t>, notamment les femmes vivant en milieu rural ;</w:t>
      </w:r>
    </w:p>
    <w:p w14:paraId="58F6883E" w14:textId="228E0C23" w:rsidR="00003AC3" w:rsidRPr="00C1320B" w:rsidRDefault="00D725F8" w:rsidP="00C61517">
      <w:pPr>
        <w:pStyle w:val="SingleTxtG"/>
        <w:ind w:firstLine="567"/>
        <w:rPr>
          <w:b/>
        </w:rPr>
      </w:pPr>
      <w:r w:rsidRPr="00C61517">
        <w:rPr>
          <w:bCs/>
        </w:rPr>
        <w:t>b)</w:t>
      </w:r>
      <w:r>
        <w:rPr>
          <w:b/>
        </w:rPr>
        <w:tab/>
      </w:r>
      <w:r w:rsidR="00923EB9">
        <w:rPr>
          <w:b/>
        </w:rPr>
        <w:t>Lutter contre la ségrégation professionnelle et d</w:t>
      </w:r>
      <w:r w:rsidR="00923EB9" w:rsidRPr="00C1320B">
        <w:rPr>
          <w:b/>
        </w:rPr>
        <w:t xml:space="preserve">évelopper </w:t>
      </w:r>
      <w:r w:rsidR="00003AC3" w:rsidRPr="00C1320B">
        <w:rPr>
          <w:b/>
        </w:rPr>
        <w:t>des outils d’évaluation des emplois permettant de revaloriser les salaires des métiers où les femmes sont traditionnellement surreprésentées</w:t>
      </w:r>
      <w:r w:rsidR="00003AC3" w:rsidRPr="00C1320B">
        <w:rPr>
          <w:b/>
          <w:lang w:val="fr-FR"/>
        </w:rPr>
        <w:t> ;</w:t>
      </w:r>
    </w:p>
    <w:p w14:paraId="04D5A6AB" w14:textId="3F01E02E" w:rsidR="00003AC3" w:rsidRPr="00C1320B" w:rsidRDefault="00D725F8" w:rsidP="00C61517">
      <w:pPr>
        <w:pStyle w:val="SingleTxtG"/>
        <w:ind w:firstLine="567"/>
        <w:rPr>
          <w:b/>
        </w:rPr>
      </w:pPr>
      <w:r w:rsidRPr="00C61517">
        <w:rPr>
          <w:bCs/>
          <w:lang w:val="fr-FR"/>
        </w:rPr>
        <w:t>c)</w:t>
      </w:r>
      <w:r>
        <w:rPr>
          <w:b/>
          <w:lang w:val="fr-FR"/>
        </w:rPr>
        <w:tab/>
      </w:r>
      <w:r w:rsidR="00003AC3">
        <w:rPr>
          <w:b/>
          <w:lang w:val="fr-FR"/>
        </w:rPr>
        <w:t>Accroître</w:t>
      </w:r>
      <w:r w:rsidR="00003AC3" w:rsidRPr="00C1320B">
        <w:rPr>
          <w:b/>
          <w:lang w:val="fr-FR"/>
        </w:rPr>
        <w:t xml:space="preserve"> la représentation des femmes aux postes de décision dans les organes publics</w:t>
      </w:r>
      <w:r w:rsidR="00E7274C">
        <w:rPr>
          <w:b/>
          <w:lang w:val="fr-FR"/>
        </w:rPr>
        <w:t xml:space="preserve"> </w:t>
      </w:r>
      <w:r w:rsidR="00003AC3" w:rsidRPr="00C1320B">
        <w:rPr>
          <w:b/>
          <w:lang w:val="fr-FR"/>
        </w:rPr>
        <w:t xml:space="preserve">et </w:t>
      </w:r>
      <w:r w:rsidR="00003AC3">
        <w:rPr>
          <w:b/>
          <w:lang w:val="fr-FR"/>
        </w:rPr>
        <w:t>promouvoir davantage la représentation équilibrée des sexes dans les entreprises,</w:t>
      </w:r>
      <w:r w:rsidR="00C754D8">
        <w:rPr>
          <w:b/>
          <w:lang w:val="fr-FR"/>
        </w:rPr>
        <w:t xml:space="preserve"> y compris par le biais de mesures spéciales temporaires</w:t>
      </w:r>
      <w:r w:rsidR="002207DF">
        <w:rPr>
          <w:b/>
          <w:lang w:val="fr-FR"/>
        </w:rPr>
        <w:t>.</w:t>
      </w:r>
    </w:p>
    <w:p w14:paraId="070E9A85" w14:textId="46020D04" w:rsidR="00130BB4" w:rsidRPr="00C1320B" w:rsidRDefault="00D725F8" w:rsidP="00C61517">
      <w:pPr>
        <w:pStyle w:val="H23G"/>
      </w:pPr>
      <w:r>
        <w:rPr>
          <w:lang w:val="fr-FR"/>
        </w:rPr>
        <w:tab/>
      </w:r>
      <w:r>
        <w:rPr>
          <w:lang w:val="fr-FR"/>
        </w:rPr>
        <w:tab/>
      </w:r>
      <w:r w:rsidR="002207DF">
        <w:rPr>
          <w:lang w:val="fr-FR"/>
        </w:rPr>
        <w:t>Chômage</w:t>
      </w:r>
    </w:p>
    <w:p w14:paraId="564A9896" w14:textId="74DB8882" w:rsidR="00715138" w:rsidRDefault="00C61517" w:rsidP="00C61517">
      <w:pPr>
        <w:pStyle w:val="SingleTxtG"/>
      </w:pPr>
      <w:r>
        <w:t>30.</w:t>
      </w:r>
      <w:r>
        <w:tab/>
      </w:r>
      <w:r w:rsidR="004C2AD4">
        <w:t xml:space="preserve">Le </w:t>
      </w:r>
      <w:r w:rsidR="004C2AD4" w:rsidRPr="002207DF">
        <w:t>C</w:t>
      </w:r>
      <w:r w:rsidR="00715138" w:rsidRPr="002207DF">
        <w:t xml:space="preserve">omité </w:t>
      </w:r>
      <w:r w:rsidR="00450D4B">
        <w:t>salue</w:t>
      </w:r>
      <w:r w:rsidR="002207DF" w:rsidRPr="002207DF">
        <w:t xml:space="preserve"> l’adoption en 2012 de la stratégie nationale pour l’emploi</w:t>
      </w:r>
      <w:r w:rsidR="00450D4B">
        <w:t>. Il</w:t>
      </w:r>
      <w:r w:rsidR="00846B56">
        <w:t> </w:t>
      </w:r>
      <w:r w:rsidR="00715138" w:rsidRPr="002207DF">
        <w:t xml:space="preserve">constate </w:t>
      </w:r>
      <w:r w:rsidR="00450D4B">
        <w:t xml:space="preserve">néanmoins </w:t>
      </w:r>
      <w:r w:rsidR="00715138" w:rsidRPr="002207DF">
        <w:t>avec préoccupation</w:t>
      </w:r>
      <w:r w:rsidR="00715138" w:rsidRPr="00715138">
        <w:t xml:space="preserve"> que le taux de chômage reste élevé</w:t>
      </w:r>
      <w:r w:rsidR="00C30813">
        <w:t>, en particulier da</w:t>
      </w:r>
      <w:r w:rsidR="00C754D8">
        <w:t>n</w:t>
      </w:r>
      <w:r w:rsidR="00C30813">
        <w:t>s</w:t>
      </w:r>
      <w:r w:rsidR="00C754D8">
        <w:t xml:space="preserve"> les </w:t>
      </w:r>
      <w:r w:rsidR="00E13383">
        <w:t xml:space="preserve">gouvernorats </w:t>
      </w:r>
      <w:r w:rsidR="00C754D8">
        <w:t>de Sidi Bouzid, Gafsa et Kasserine</w:t>
      </w:r>
      <w:r w:rsidR="00513141">
        <w:t>,</w:t>
      </w:r>
      <w:r w:rsidR="00715138" w:rsidRPr="00715138">
        <w:t xml:space="preserve"> et que </w:t>
      </w:r>
      <w:r w:rsidR="00E13383">
        <w:t>37</w:t>
      </w:r>
      <w:r w:rsidR="00701243">
        <w:t> </w:t>
      </w:r>
      <w:r w:rsidR="00E13383">
        <w:t xml:space="preserve">% des emplois, selon certaines estimations, </w:t>
      </w:r>
      <w:r w:rsidR="00D257B8">
        <w:t xml:space="preserve">se </w:t>
      </w:r>
      <w:r w:rsidR="00661D8C">
        <w:t xml:space="preserve">trouvent </w:t>
      </w:r>
      <w:r w:rsidR="00D257B8">
        <w:t xml:space="preserve">dans </w:t>
      </w:r>
      <w:r w:rsidR="00715138" w:rsidRPr="00715138">
        <w:t xml:space="preserve">l’économie informelle </w:t>
      </w:r>
      <w:r w:rsidR="008A6EFC">
        <w:t>(a</w:t>
      </w:r>
      <w:r w:rsidR="00C30813">
        <w:t>rt. 6</w:t>
      </w:r>
      <w:r w:rsidR="0097524B">
        <w:t xml:space="preserve"> et 7</w:t>
      </w:r>
      <w:r w:rsidR="00C30813">
        <w:t>)</w:t>
      </w:r>
      <w:r w:rsidR="00715138" w:rsidRPr="00715138">
        <w:t xml:space="preserve">. </w:t>
      </w:r>
    </w:p>
    <w:p w14:paraId="06CC9C25" w14:textId="5426F03F" w:rsidR="00C30813" w:rsidRDefault="00C61517" w:rsidP="00C61517">
      <w:pPr>
        <w:pStyle w:val="SingleTxtG"/>
        <w:rPr>
          <w:b/>
        </w:rPr>
      </w:pPr>
      <w:r>
        <w:t>31.</w:t>
      </w:r>
      <w:r>
        <w:tab/>
      </w:r>
      <w:r w:rsidR="00C30813" w:rsidRPr="0097524B">
        <w:rPr>
          <w:b/>
        </w:rPr>
        <w:t>Le</w:t>
      </w:r>
      <w:r w:rsidR="00715138" w:rsidRPr="0097524B">
        <w:rPr>
          <w:b/>
        </w:rPr>
        <w:t xml:space="preserve"> </w:t>
      </w:r>
      <w:r w:rsidR="00C30813" w:rsidRPr="0097524B">
        <w:rPr>
          <w:b/>
        </w:rPr>
        <w:t>C</w:t>
      </w:r>
      <w:r w:rsidR="00715138" w:rsidRPr="0097524B">
        <w:rPr>
          <w:b/>
        </w:rPr>
        <w:t>o</w:t>
      </w:r>
      <w:r w:rsidR="00C30813" w:rsidRPr="0097524B">
        <w:rPr>
          <w:b/>
        </w:rPr>
        <w:t>mité recommande à l’</w:t>
      </w:r>
      <w:r w:rsidR="00B143CD">
        <w:rPr>
          <w:b/>
        </w:rPr>
        <w:t>État</w:t>
      </w:r>
      <w:r w:rsidR="00715138" w:rsidRPr="0097524B">
        <w:rPr>
          <w:b/>
        </w:rPr>
        <w:t xml:space="preserve"> partie de poursuivre et </w:t>
      </w:r>
      <w:r w:rsidR="005D5799">
        <w:rPr>
          <w:b/>
        </w:rPr>
        <w:t xml:space="preserve">de </w:t>
      </w:r>
      <w:r w:rsidR="00715138" w:rsidRPr="0097524B">
        <w:rPr>
          <w:b/>
        </w:rPr>
        <w:t>renforcer la lutte contre le chômage en visant en priorité les régions les plus touchées et les groupes les plus défavori</w:t>
      </w:r>
      <w:r w:rsidR="00C30813" w:rsidRPr="0097524B">
        <w:rPr>
          <w:b/>
        </w:rPr>
        <w:t>sés</w:t>
      </w:r>
      <w:r w:rsidR="002207DF">
        <w:rPr>
          <w:b/>
        </w:rPr>
        <w:t>.</w:t>
      </w:r>
      <w:r w:rsidR="00C30813" w:rsidRPr="0097524B">
        <w:rPr>
          <w:b/>
        </w:rPr>
        <w:t xml:space="preserve"> Le Comité recommande à l’</w:t>
      </w:r>
      <w:r w:rsidR="00B143CD">
        <w:rPr>
          <w:b/>
        </w:rPr>
        <w:t>État</w:t>
      </w:r>
      <w:r w:rsidR="00715138" w:rsidRPr="0097524B">
        <w:rPr>
          <w:b/>
        </w:rPr>
        <w:t xml:space="preserve"> partie de prendre des mesures pour régulariser la situation des travailleurs du secteur informel en améliorant progressivement leurs conditions de travail et en les intégrant dans les régimes de sécurité sociale. </w:t>
      </w:r>
      <w:r w:rsidR="00AE3506">
        <w:rPr>
          <w:b/>
        </w:rPr>
        <w:t>Le renforcement du mandat de l</w:t>
      </w:r>
      <w:r w:rsidR="00513141" w:rsidRPr="00513141">
        <w:rPr>
          <w:b/>
        </w:rPr>
        <w:t>’</w:t>
      </w:r>
      <w:r w:rsidR="00AE3506">
        <w:rPr>
          <w:b/>
        </w:rPr>
        <w:t xml:space="preserve">inspection du travail </w:t>
      </w:r>
      <w:r w:rsidR="008E4FA9">
        <w:rPr>
          <w:b/>
        </w:rPr>
        <w:t xml:space="preserve">en vue </w:t>
      </w:r>
      <w:r w:rsidR="00AE3506">
        <w:rPr>
          <w:b/>
        </w:rPr>
        <w:t xml:space="preserve">de favoriser le processus de régularisation est une priorité à cet égard. </w:t>
      </w:r>
    </w:p>
    <w:p w14:paraId="728EEF43" w14:textId="052B6CFD" w:rsidR="002207DF" w:rsidRPr="00D725F8" w:rsidRDefault="00D725F8" w:rsidP="00C61517">
      <w:pPr>
        <w:pStyle w:val="H23G"/>
      </w:pPr>
      <w:r>
        <w:tab/>
      </w:r>
      <w:r>
        <w:tab/>
      </w:r>
      <w:r w:rsidR="002207DF">
        <w:t>Réfugiés et demandeurs d’asile</w:t>
      </w:r>
    </w:p>
    <w:p w14:paraId="707DC38A" w14:textId="53B7FB0C" w:rsidR="00A42DFE" w:rsidRDefault="00C61517" w:rsidP="00C61517">
      <w:pPr>
        <w:pStyle w:val="SingleTxtG"/>
      </w:pPr>
      <w:r>
        <w:t>32.</w:t>
      </w:r>
      <w:r>
        <w:tab/>
      </w:r>
      <w:r w:rsidR="00A42DFE">
        <w:t xml:space="preserve">Le Comité salue la générosité de l’assistance </w:t>
      </w:r>
      <w:r w:rsidR="002207DF">
        <w:t>fournie par l’</w:t>
      </w:r>
      <w:r w:rsidR="00B143CD">
        <w:t>État</w:t>
      </w:r>
      <w:r w:rsidR="002207DF">
        <w:t xml:space="preserve"> partie </w:t>
      </w:r>
      <w:r w:rsidR="00A42DFE">
        <w:t>aux réfugiés et demandeurs d</w:t>
      </w:r>
      <w:r w:rsidR="00EC22E4" w:rsidRPr="00926DC8">
        <w:t>’</w:t>
      </w:r>
      <w:r w:rsidR="00A42DFE">
        <w:t>asile</w:t>
      </w:r>
      <w:r w:rsidR="00680B3C">
        <w:t>, notamment aux réfugiés ayant fui la Libye</w:t>
      </w:r>
      <w:r w:rsidR="00A42DFE">
        <w:t xml:space="preserve">. Le Comité </w:t>
      </w:r>
      <w:r w:rsidR="00E46530">
        <w:t>note</w:t>
      </w:r>
      <w:r w:rsidR="002207DF">
        <w:t xml:space="preserve"> cependant</w:t>
      </w:r>
      <w:r w:rsidR="00E46530">
        <w:t xml:space="preserve"> </w:t>
      </w:r>
      <w:r w:rsidR="00A42DFE">
        <w:t>que</w:t>
      </w:r>
      <w:r w:rsidR="00A42DFE" w:rsidRPr="00A42DFE">
        <w:t xml:space="preserve"> </w:t>
      </w:r>
      <w:r w:rsidR="00680B3C">
        <w:t>l</w:t>
      </w:r>
      <w:r w:rsidR="00EC22E4" w:rsidRPr="00926DC8">
        <w:t>’</w:t>
      </w:r>
      <w:r w:rsidR="00680B3C">
        <w:t>accès des</w:t>
      </w:r>
      <w:r w:rsidR="00A42DFE" w:rsidRPr="00A42DFE">
        <w:t xml:space="preserve"> réfugiés et demandeurs d</w:t>
      </w:r>
      <w:r w:rsidR="00EC22E4" w:rsidRPr="00926DC8">
        <w:t>’</w:t>
      </w:r>
      <w:r w:rsidR="00A42DFE" w:rsidRPr="00A42DFE">
        <w:t xml:space="preserve">asile enregistrés auprès du </w:t>
      </w:r>
      <w:r w:rsidR="00A42DFE">
        <w:t xml:space="preserve">Haut-Commissariat des Nations Unies </w:t>
      </w:r>
      <w:r w:rsidR="00B00969">
        <w:t>pour les r</w:t>
      </w:r>
      <w:r w:rsidR="00A42DFE">
        <w:t xml:space="preserve">éfugiés </w:t>
      </w:r>
      <w:r w:rsidR="00E97E74">
        <w:t>au</w:t>
      </w:r>
      <w:r w:rsidR="00A42DFE">
        <w:t xml:space="preserve"> travail, </w:t>
      </w:r>
      <w:r w:rsidR="00E97E74">
        <w:t>aux</w:t>
      </w:r>
      <w:r w:rsidR="00A42DFE">
        <w:t xml:space="preserve"> soins de santé et </w:t>
      </w:r>
      <w:r w:rsidR="00E97E74">
        <w:t xml:space="preserve">à </w:t>
      </w:r>
      <w:r w:rsidR="00A42DFE">
        <w:t>l</w:t>
      </w:r>
      <w:r w:rsidR="00EC22E4" w:rsidRPr="00926DC8">
        <w:t>’</w:t>
      </w:r>
      <w:r w:rsidR="00A42DFE">
        <w:t>éducation</w:t>
      </w:r>
      <w:r w:rsidR="00E97E74">
        <w:t xml:space="preserve"> demeure entravé en l</w:t>
      </w:r>
      <w:r w:rsidR="00EC22E4" w:rsidRPr="00926DC8">
        <w:t>’</w:t>
      </w:r>
      <w:r w:rsidR="00E97E74">
        <w:t>absence de reconnaissance d</w:t>
      </w:r>
      <w:r w:rsidR="00EC22E4" w:rsidRPr="00926DC8">
        <w:t>’</w:t>
      </w:r>
      <w:r w:rsidR="00E97E74">
        <w:t>un statut juridique provisoire</w:t>
      </w:r>
      <w:r w:rsidR="00F91520">
        <w:t xml:space="preserve"> </w:t>
      </w:r>
      <w:r w:rsidR="007D653C">
        <w:t xml:space="preserve">pour ces personnes </w:t>
      </w:r>
      <w:r w:rsidR="00F91520">
        <w:t>(art. 3, 6, 11, 12 et 13)</w:t>
      </w:r>
      <w:r w:rsidR="00A42DFE">
        <w:t>.</w:t>
      </w:r>
    </w:p>
    <w:p w14:paraId="23C37C0C" w14:textId="6506DF78" w:rsidR="0097524B" w:rsidRPr="00EB5759" w:rsidRDefault="00C61517" w:rsidP="00C61517">
      <w:pPr>
        <w:pStyle w:val="SingleTxtG"/>
        <w:rPr>
          <w:b/>
        </w:rPr>
      </w:pPr>
      <w:r w:rsidRPr="00EB5759">
        <w:t>33.</w:t>
      </w:r>
      <w:r w:rsidRPr="00EB5759">
        <w:tab/>
      </w:r>
      <w:r w:rsidR="00A42DFE" w:rsidRPr="00EB5759">
        <w:rPr>
          <w:b/>
        </w:rPr>
        <w:t>Le Comité recommande à l’</w:t>
      </w:r>
      <w:r w:rsidR="00B143CD">
        <w:rPr>
          <w:b/>
        </w:rPr>
        <w:t>État</w:t>
      </w:r>
      <w:r w:rsidR="00A42DFE" w:rsidRPr="00EB5759">
        <w:rPr>
          <w:b/>
        </w:rPr>
        <w:t xml:space="preserve"> partie </w:t>
      </w:r>
      <w:r w:rsidR="00EB5759" w:rsidRPr="00EB5759">
        <w:rPr>
          <w:b/>
        </w:rPr>
        <w:t xml:space="preserve">d’octroyer </w:t>
      </w:r>
      <w:r w:rsidR="00055FA4" w:rsidRPr="00EB5759">
        <w:rPr>
          <w:b/>
        </w:rPr>
        <w:t xml:space="preserve">un statut juridique </w:t>
      </w:r>
      <w:r w:rsidR="00EB5759" w:rsidRPr="00EB5759">
        <w:rPr>
          <w:b/>
        </w:rPr>
        <w:t>officiel</w:t>
      </w:r>
      <w:r w:rsidR="00CB6A56">
        <w:rPr>
          <w:b/>
        </w:rPr>
        <w:t xml:space="preserve"> à titre provisoire</w:t>
      </w:r>
      <w:r w:rsidR="00EB5759" w:rsidRPr="00EB5759">
        <w:rPr>
          <w:b/>
        </w:rPr>
        <w:t xml:space="preserve"> aux réfugiés et demandeurs d</w:t>
      </w:r>
      <w:r w:rsidR="008E718D" w:rsidRPr="008E718D">
        <w:rPr>
          <w:b/>
        </w:rPr>
        <w:t>’</w:t>
      </w:r>
      <w:r w:rsidR="00EB5759" w:rsidRPr="00EB5759">
        <w:rPr>
          <w:b/>
        </w:rPr>
        <w:t>asile, en veillant à ce qu</w:t>
      </w:r>
      <w:r w:rsidR="008E718D" w:rsidRPr="008E718D">
        <w:rPr>
          <w:b/>
        </w:rPr>
        <w:t>’</w:t>
      </w:r>
      <w:r w:rsidR="00EB5759" w:rsidRPr="00EB5759">
        <w:rPr>
          <w:b/>
        </w:rPr>
        <w:t>ils soient correctement identifiés et munis de documents délivrés par les autorités tunisiennes compétentes</w:t>
      </w:r>
      <w:r w:rsidR="00A14C77">
        <w:rPr>
          <w:b/>
        </w:rPr>
        <w:t xml:space="preserve"> et à favoriser par là </w:t>
      </w:r>
      <w:r w:rsidR="00297B69">
        <w:rPr>
          <w:b/>
        </w:rPr>
        <w:t>leur accès à l</w:t>
      </w:r>
      <w:r w:rsidR="008E718D" w:rsidRPr="008E718D">
        <w:rPr>
          <w:b/>
        </w:rPr>
        <w:t>’</w:t>
      </w:r>
      <w:r w:rsidR="00297B69">
        <w:rPr>
          <w:b/>
        </w:rPr>
        <w:t xml:space="preserve">emploi salarié </w:t>
      </w:r>
      <w:r w:rsidR="00B94FDD">
        <w:rPr>
          <w:b/>
        </w:rPr>
        <w:t xml:space="preserve">ou </w:t>
      </w:r>
      <w:r w:rsidR="00297B69">
        <w:rPr>
          <w:b/>
        </w:rPr>
        <w:t>à une activité indépendante, ainsi que l</w:t>
      </w:r>
      <w:r w:rsidR="00E15230">
        <w:rPr>
          <w:b/>
        </w:rPr>
        <w:t xml:space="preserve">eur </w:t>
      </w:r>
      <w:r w:rsidR="00297B69">
        <w:rPr>
          <w:b/>
        </w:rPr>
        <w:t>accès aux soins de santé et à l</w:t>
      </w:r>
      <w:r w:rsidR="008E718D" w:rsidRPr="008E718D">
        <w:rPr>
          <w:b/>
        </w:rPr>
        <w:t>’</w:t>
      </w:r>
      <w:r w:rsidR="00297B69">
        <w:rPr>
          <w:b/>
        </w:rPr>
        <w:t>éducation</w:t>
      </w:r>
      <w:r w:rsidR="00EB5759" w:rsidRPr="00EB5759">
        <w:rPr>
          <w:b/>
        </w:rPr>
        <w:t xml:space="preserve">. </w:t>
      </w:r>
      <w:r w:rsidR="00297B69">
        <w:rPr>
          <w:b/>
        </w:rPr>
        <w:t>Il recommande également qu</w:t>
      </w:r>
      <w:r w:rsidR="008E718D">
        <w:rPr>
          <w:b/>
        </w:rPr>
        <w:t xml:space="preserve">e </w:t>
      </w:r>
      <w:r w:rsidR="00297B69">
        <w:rPr>
          <w:b/>
        </w:rPr>
        <w:t>l</w:t>
      </w:r>
      <w:r w:rsidR="008E718D" w:rsidRPr="008E718D">
        <w:rPr>
          <w:b/>
        </w:rPr>
        <w:t>’</w:t>
      </w:r>
      <w:r w:rsidR="00297B69">
        <w:rPr>
          <w:b/>
        </w:rPr>
        <w:t>adoption de la loi sur l</w:t>
      </w:r>
      <w:r w:rsidR="008E718D" w:rsidRPr="008E718D">
        <w:rPr>
          <w:b/>
        </w:rPr>
        <w:t>’</w:t>
      </w:r>
      <w:r w:rsidR="00297B69">
        <w:rPr>
          <w:b/>
        </w:rPr>
        <w:t>asile, pendante au moment du dialogue avec l</w:t>
      </w:r>
      <w:r w:rsidR="008E718D" w:rsidRPr="008E718D">
        <w:rPr>
          <w:b/>
        </w:rPr>
        <w:t>’</w:t>
      </w:r>
      <w:r w:rsidR="00B143CD">
        <w:rPr>
          <w:b/>
        </w:rPr>
        <w:t>État</w:t>
      </w:r>
      <w:r w:rsidR="00297B69">
        <w:rPr>
          <w:b/>
        </w:rPr>
        <w:t xml:space="preserve"> partie</w:t>
      </w:r>
      <w:r w:rsidR="00E15230">
        <w:rPr>
          <w:b/>
        </w:rPr>
        <w:t>, soit considérée comme une priorité</w:t>
      </w:r>
      <w:r w:rsidR="00297B69">
        <w:rPr>
          <w:b/>
        </w:rPr>
        <w:t>.</w:t>
      </w:r>
    </w:p>
    <w:p w14:paraId="1D7A9607" w14:textId="64ED359C" w:rsidR="009279A0" w:rsidRDefault="0097524B" w:rsidP="003E022E">
      <w:pPr>
        <w:pStyle w:val="H23G"/>
      </w:pPr>
      <w:r>
        <w:tab/>
      </w:r>
      <w:r>
        <w:tab/>
      </w:r>
      <w:r w:rsidR="00891753">
        <w:t xml:space="preserve">Droit </w:t>
      </w:r>
      <w:r w:rsidR="00BD1C38">
        <w:t>à des</w:t>
      </w:r>
      <w:r w:rsidR="00891753">
        <w:t xml:space="preserve"> conditions de travail justes et favorables</w:t>
      </w:r>
    </w:p>
    <w:p w14:paraId="02DA50D4" w14:textId="3730C51E" w:rsidR="002207DF" w:rsidRDefault="00C61517" w:rsidP="00C61517">
      <w:pPr>
        <w:pStyle w:val="SingleTxtG"/>
        <w:rPr>
          <w:lang w:val="fr-FR"/>
        </w:rPr>
      </w:pPr>
      <w:r>
        <w:rPr>
          <w:lang w:val="fr-FR"/>
        </w:rPr>
        <w:t>34.</w:t>
      </w:r>
      <w:r>
        <w:rPr>
          <w:lang w:val="fr-FR"/>
        </w:rPr>
        <w:tab/>
      </w:r>
      <w:r w:rsidR="00FB7841">
        <w:rPr>
          <w:lang w:val="fr-FR"/>
        </w:rPr>
        <w:t>Bien qu</w:t>
      </w:r>
      <w:r w:rsidR="00E15230" w:rsidRPr="00E15230">
        <w:rPr>
          <w:lang w:val="fr-FR"/>
        </w:rPr>
        <w:t>’</w:t>
      </w:r>
      <w:r w:rsidR="00FB7841">
        <w:rPr>
          <w:lang w:val="fr-FR"/>
        </w:rPr>
        <w:t>un salaire minimum interprofessionnel garanti soit fixé conformément à l</w:t>
      </w:r>
      <w:r w:rsidR="00CD16F3" w:rsidRPr="00CD16F3">
        <w:rPr>
          <w:lang w:val="fr-FR"/>
        </w:rPr>
        <w:t>’</w:t>
      </w:r>
      <w:r w:rsidR="00FB7841">
        <w:rPr>
          <w:lang w:val="fr-FR"/>
        </w:rPr>
        <w:t xml:space="preserve">article 134 de la Constitution, </w:t>
      </w:r>
      <w:r w:rsidR="005D55AE">
        <w:rPr>
          <w:lang w:val="fr-FR"/>
        </w:rPr>
        <w:t>plusieurs catégories de travailleurs se trouvent dans une situation dérogatoire</w:t>
      </w:r>
      <w:r w:rsidR="0059027F">
        <w:rPr>
          <w:lang w:val="fr-FR"/>
        </w:rPr>
        <w:t>.</w:t>
      </w:r>
      <w:r w:rsidR="005D55AE">
        <w:rPr>
          <w:lang w:val="fr-FR"/>
        </w:rPr>
        <w:t xml:space="preserve"> </w:t>
      </w:r>
      <w:r w:rsidR="0059027F">
        <w:rPr>
          <w:lang w:val="fr-FR"/>
        </w:rPr>
        <w:t xml:space="preserve">En </w:t>
      </w:r>
      <w:r w:rsidR="005D55AE">
        <w:rPr>
          <w:lang w:val="fr-FR"/>
        </w:rPr>
        <w:t xml:space="preserve">outre, dans le secteur agricole, </w:t>
      </w:r>
      <w:r w:rsidR="00ED0B39">
        <w:rPr>
          <w:lang w:val="fr-FR"/>
        </w:rPr>
        <w:t>où un salaire minimum garanti distinct</w:t>
      </w:r>
      <w:r w:rsidR="00CD16F3">
        <w:rPr>
          <w:lang w:val="fr-FR"/>
        </w:rPr>
        <w:t xml:space="preserve"> est fixé</w:t>
      </w:r>
      <w:r w:rsidR="00ED0B39">
        <w:rPr>
          <w:lang w:val="fr-FR"/>
        </w:rPr>
        <w:t>, le travail</w:t>
      </w:r>
      <w:r w:rsidR="006A6EE3" w:rsidRPr="00A20902">
        <w:rPr>
          <w:lang w:val="fr-FR"/>
        </w:rPr>
        <w:t xml:space="preserve"> non</w:t>
      </w:r>
      <w:r w:rsidR="00CD16F3">
        <w:rPr>
          <w:lang w:val="fr-FR"/>
        </w:rPr>
        <w:t xml:space="preserve"> </w:t>
      </w:r>
      <w:r w:rsidR="006A6EE3" w:rsidRPr="00A20902">
        <w:rPr>
          <w:lang w:val="fr-FR"/>
        </w:rPr>
        <w:t>rémunéré</w:t>
      </w:r>
      <w:r w:rsidR="00ED0B39">
        <w:rPr>
          <w:lang w:val="fr-FR"/>
        </w:rPr>
        <w:t xml:space="preserve"> demeure fréquent</w:t>
      </w:r>
      <w:r w:rsidR="006A6EE3" w:rsidRPr="00A20902">
        <w:rPr>
          <w:lang w:val="fr-FR"/>
        </w:rPr>
        <w:t xml:space="preserve">. Le Comité s’inquiète </w:t>
      </w:r>
      <w:r w:rsidR="00466E15" w:rsidRPr="00A20902">
        <w:rPr>
          <w:lang w:val="fr-FR"/>
        </w:rPr>
        <w:t xml:space="preserve">aussi </w:t>
      </w:r>
      <w:r w:rsidR="006A6EE3" w:rsidRPr="00A20902">
        <w:rPr>
          <w:lang w:val="fr-FR"/>
        </w:rPr>
        <w:t xml:space="preserve">des conditions de travail dans le secteur </w:t>
      </w:r>
      <w:r w:rsidR="00ED0B39">
        <w:rPr>
          <w:lang w:val="fr-FR"/>
        </w:rPr>
        <w:t>du textile</w:t>
      </w:r>
      <w:r w:rsidR="006A6EE3" w:rsidRPr="00A20902">
        <w:rPr>
          <w:lang w:val="fr-FR"/>
        </w:rPr>
        <w:t xml:space="preserve"> et </w:t>
      </w:r>
      <w:r w:rsidR="00CD16F3">
        <w:rPr>
          <w:lang w:val="fr-FR"/>
        </w:rPr>
        <w:t>du</w:t>
      </w:r>
      <w:r w:rsidR="00CD16F3" w:rsidRPr="00A20902">
        <w:rPr>
          <w:lang w:val="fr-FR"/>
        </w:rPr>
        <w:t xml:space="preserve"> </w:t>
      </w:r>
      <w:r w:rsidR="006A6EE3" w:rsidRPr="00A20902">
        <w:rPr>
          <w:lang w:val="fr-FR"/>
        </w:rPr>
        <w:t>manque de ressources allouée</w:t>
      </w:r>
      <w:r w:rsidR="00FE6CB3">
        <w:rPr>
          <w:lang w:val="fr-FR"/>
        </w:rPr>
        <w:t>s</w:t>
      </w:r>
      <w:r w:rsidR="006A6EE3" w:rsidRPr="00A20902">
        <w:rPr>
          <w:lang w:val="fr-FR"/>
        </w:rPr>
        <w:t xml:space="preserve"> à l’</w:t>
      </w:r>
      <w:r w:rsidR="00ED0B39">
        <w:rPr>
          <w:lang w:val="fr-FR"/>
        </w:rPr>
        <w:t>i</w:t>
      </w:r>
      <w:r w:rsidR="006A6EE3" w:rsidRPr="00A20902">
        <w:rPr>
          <w:lang w:val="fr-FR"/>
        </w:rPr>
        <w:t xml:space="preserve">nspection </w:t>
      </w:r>
      <w:r w:rsidR="001A1865" w:rsidRPr="00A20902">
        <w:rPr>
          <w:lang w:val="fr-FR"/>
        </w:rPr>
        <w:t>d</w:t>
      </w:r>
      <w:r w:rsidR="001A1865">
        <w:rPr>
          <w:lang w:val="fr-FR"/>
        </w:rPr>
        <w:t>u</w:t>
      </w:r>
      <w:r w:rsidR="001A1865" w:rsidRPr="00A20902">
        <w:rPr>
          <w:lang w:val="fr-FR"/>
        </w:rPr>
        <w:t xml:space="preserve"> </w:t>
      </w:r>
      <w:r w:rsidR="006A6EE3" w:rsidRPr="00A20902">
        <w:rPr>
          <w:lang w:val="fr-FR"/>
        </w:rPr>
        <w:t xml:space="preserve">travail </w:t>
      </w:r>
      <w:r w:rsidR="0059027F">
        <w:rPr>
          <w:lang w:val="fr-FR"/>
        </w:rPr>
        <w:t>pour</w:t>
      </w:r>
      <w:r w:rsidR="006A6EE3" w:rsidRPr="00A20902">
        <w:rPr>
          <w:lang w:val="fr-FR"/>
        </w:rPr>
        <w:t xml:space="preserve"> conduire des visites périodiques sur l’hygiène</w:t>
      </w:r>
      <w:r w:rsidR="00466E15" w:rsidRPr="00A20902">
        <w:rPr>
          <w:lang w:val="fr-FR"/>
        </w:rPr>
        <w:t xml:space="preserve">, </w:t>
      </w:r>
      <w:r w:rsidR="00ED0B39">
        <w:rPr>
          <w:lang w:val="fr-FR"/>
        </w:rPr>
        <w:t xml:space="preserve">la </w:t>
      </w:r>
      <w:r w:rsidR="00466E15" w:rsidRPr="00A20902">
        <w:rPr>
          <w:lang w:val="fr-FR"/>
        </w:rPr>
        <w:t xml:space="preserve">santé et </w:t>
      </w:r>
      <w:r w:rsidR="00ED0B39">
        <w:rPr>
          <w:lang w:val="fr-FR"/>
        </w:rPr>
        <w:t xml:space="preserve">la </w:t>
      </w:r>
      <w:r w:rsidR="00466E15" w:rsidRPr="00A20902">
        <w:rPr>
          <w:lang w:val="fr-FR"/>
        </w:rPr>
        <w:t>sécurité au travail</w:t>
      </w:r>
      <w:r w:rsidR="002207DF">
        <w:rPr>
          <w:rStyle w:val="Marquedecommentaire"/>
        </w:rPr>
        <w:t xml:space="preserve">. </w:t>
      </w:r>
      <w:r w:rsidR="00CD16F3">
        <w:rPr>
          <w:lang w:val="fr-FR"/>
        </w:rPr>
        <w:t>Il</w:t>
      </w:r>
      <w:r w:rsidR="002207DF" w:rsidRPr="005B742F">
        <w:rPr>
          <w:lang w:val="fr-FR"/>
        </w:rPr>
        <w:t xml:space="preserve"> </w:t>
      </w:r>
      <w:r w:rsidR="00034857">
        <w:rPr>
          <w:lang w:val="fr-FR"/>
        </w:rPr>
        <w:t>s</w:t>
      </w:r>
      <w:r w:rsidR="00CD16F3" w:rsidRPr="00CD16F3">
        <w:rPr>
          <w:lang w:val="fr-FR"/>
        </w:rPr>
        <w:t>’</w:t>
      </w:r>
      <w:r w:rsidR="00034857">
        <w:rPr>
          <w:lang w:val="fr-FR"/>
        </w:rPr>
        <w:t>étonne de ce</w:t>
      </w:r>
      <w:r w:rsidR="002207DF" w:rsidRPr="005B742F">
        <w:rPr>
          <w:lang w:val="fr-FR"/>
        </w:rPr>
        <w:t xml:space="preserve"> que le mandat de l’</w:t>
      </w:r>
      <w:r w:rsidR="00034857">
        <w:rPr>
          <w:lang w:val="fr-FR"/>
        </w:rPr>
        <w:t>i</w:t>
      </w:r>
      <w:r w:rsidR="002207DF" w:rsidRPr="005B742F">
        <w:rPr>
          <w:lang w:val="fr-FR"/>
        </w:rPr>
        <w:t xml:space="preserve">nspection </w:t>
      </w:r>
      <w:r w:rsidR="001A1865" w:rsidRPr="005B742F">
        <w:rPr>
          <w:lang w:val="fr-FR"/>
        </w:rPr>
        <w:t>d</w:t>
      </w:r>
      <w:r w:rsidR="001A1865">
        <w:rPr>
          <w:lang w:val="fr-FR"/>
        </w:rPr>
        <w:t>u</w:t>
      </w:r>
      <w:r w:rsidR="001A1865" w:rsidRPr="005B742F">
        <w:rPr>
          <w:lang w:val="fr-FR"/>
        </w:rPr>
        <w:t xml:space="preserve"> </w:t>
      </w:r>
      <w:r w:rsidR="002207DF" w:rsidRPr="005B742F">
        <w:rPr>
          <w:lang w:val="fr-FR"/>
        </w:rPr>
        <w:t xml:space="preserve">travail </w:t>
      </w:r>
      <w:r w:rsidR="00034857">
        <w:rPr>
          <w:lang w:val="fr-FR"/>
        </w:rPr>
        <w:t>paraisse ne pas s</w:t>
      </w:r>
      <w:r w:rsidR="00CD16F3" w:rsidRPr="00CD16F3">
        <w:rPr>
          <w:lang w:val="fr-FR"/>
        </w:rPr>
        <w:t>’</w:t>
      </w:r>
      <w:r w:rsidR="00034857">
        <w:rPr>
          <w:lang w:val="fr-FR"/>
        </w:rPr>
        <w:t>étendre au</w:t>
      </w:r>
      <w:r w:rsidR="002207DF" w:rsidRPr="005B742F">
        <w:rPr>
          <w:lang w:val="fr-FR"/>
        </w:rPr>
        <w:t xml:space="preserve"> secteur informel, ce qui </w:t>
      </w:r>
      <w:r w:rsidR="00742770">
        <w:rPr>
          <w:lang w:val="fr-FR"/>
        </w:rPr>
        <w:t>expose</w:t>
      </w:r>
      <w:r w:rsidR="00742770" w:rsidRPr="005B742F">
        <w:rPr>
          <w:lang w:val="fr-FR"/>
        </w:rPr>
        <w:t xml:space="preserve"> </w:t>
      </w:r>
      <w:r w:rsidR="002207DF" w:rsidRPr="005B742F">
        <w:rPr>
          <w:lang w:val="fr-FR"/>
        </w:rPr>
        <w:t xml:space="preserve">les travailleurs </w:t>
      </w:r>
      <w:r w:rsidR="002207DF">
        <w:rPr>
          <w:lang w:val="fr-FR"/>
        </w:rPr>
        <w:t xml:space="preserve">et les travailleuses </w:t>
      </w:r>
      <w:r w:rsidR="002207DF" w:rsidRPr="005B742F">
        <w:rPr>
          <w:lang w:val="fr-FR"/>
        </w:rPr>
        <w:t xml:space="preserve">de l’économie informelle à l’exploitation et à des conditions de travail </w:t>
      </w:r>
      <w:r w:rsidR="00762C6C">
        <w:rPr>
          <w:lang w:val="fr-FR"/>
        </w:rPr>
        <w:t>dangereuses (art</w:t>
      </w:r>
      <w:r w:rsidR="00795DC3">
        <w:rPr>
          <w:lang w:val="fr-FR"/>
        </w:rPr>
        <w:t>.</w:t>
      </w:r>
      <w:r w:rsidR="00762C6C">
        <w:rPr>
          <w:lang w:val="fr-FR"/>
        </w:rPr>
        <w:t xml:space="preserve"> </w:t>
      </w:r>
      <w:r w:rsidR="002207DF" w:rsidRPr="00F91520">
        <w:rPr>
          <w:lang w:val="fr-FR"/>
        </w:rPr>
        <w:t>3, 6 et</w:t>
      </w:r>
      <w:r w:rsidR="00D725F8">
        <w:rPr>
          <w:lang w:val="fr-FR"/>
        </w:rPr>
        <w:t> </w:t>
      </w:r>
      <w:r w:rsidR="002207DF" w:rsidRPr="00F91520">
        <w:rPr>
          <w:lang w:val="fr-FR"/>
        </w:rPr>
        <w:t>7).</w:t>
      </w:r>
    </w:p>
    <w:p w14:paraId="0C5B9708" w14:textId="664D1BCF" w:rsidR="009E0211" w:rsidRPr="002207DF" w:rsidRDefault="00C61517" w:rsidP="00C61517">
      <w:pPr>
        <w:pStyle w:val="SingleTxtG"/>
        <w:rPr>
          <w:b/>
          <w:lang w:val="fr-FR"/>
        </w:rPr>
      </w:pPr>
      <w:r w:rsidRPr="002207DF">
        <w:rPr>
          <w:lang w:val="fr-FR"/>
        </w:rPr>
        <w:lastRenderedPageBreak/>
        <w:t>35.</w:t>
      </w:r>
      <w:r w:rsidRPr="002207DF">
        <w:rPr>
          <w:lang w:val="fr-FR"/>
        </w:rPr>
        <w:tab/>
      </w:r>
      <w:r w:rsidR="00466E15" w:rsidRPr="002207DF">
        <w:rPr>
          <w:b/>
          <w:lang w:val="fr-FR"/>
        </w:rPr>
        <w:t>Le Comité engage l’</w:t>
      </w:r>
      <w:r w:rsidR="00B143CD">
        <w:rPr>
          <w:b/>
          <w:lang w:val="fr-FR"/>
        </w:rPr>
        <w:t>État</w:t>
      </w:r>
      <w:r w:rsidR="00466E15" w:rsidRPr="002207DF">
        <w:rPr>
          <w:b/>
          <w:lang w:val="fr-FR"/>
        </w:rPr>
        <w:t xml:space="preserve"> partie à renforcer les capacités de l’inspection générale du travail, en lui allouant les ressources financières et humaines nécessaires pour qu’elle puisse s’acquitter de sa mission. </w:t>
      </w:r>
      <w:r w:rsidR="00130BB4" w:rsidRPr="002207DF">
        <w:rPr>
          <w:b/>
          <w:lang w:val="fr-FR"/>
        </w:rPr>
        <w:t>I</w:t>
      </w:r>
      <w:r w:rsidR="00466E15" w:rsidRPr="002207DF">
        <w:rPr>
          <w:b/>
          <w:lang w:val="fr-FR"/>
        </w:rPr>
        <w:t>l recommande à l’</w:t>
      </w:r>
      <w:r w:rsidR="00B143CD">
        <w:rPr>
          <w:b/>
          <w:lang w:val="fr-FR"/>
        </w:rPr>
        <w:t>État</w:t>
      </w:r>
      <w:r w:rsidR="00466E15" w:rsidRPr="002207DF">
        <w:rPr>
          <w:b/>
          <w:lang w:val="fr-FR"/>
        </w:rPr>
        <w:t xml:space="preserve"> partie d’adopter les mesures </w:t>
      </w:r>
      <w:r w:rsidR="009F65BD">
        <w:rPr>
          <w:b/>
          <w:lang w:val="fr-FR"/>
        </w:rPr>
        <w:t>requises</w:t>
      </w:r>
      <w:r w:rsidR="009F65BD" w:rsidRPr="002207DF">
        <w:rPr>
          <w:b/>
          <w:lang w:val="fr-FR"/>
        </w:rPr>
        <w:t xml:space="preserve"> </w:t>
      </w:r>
      <w:r w:rsidR="00466E15" w:rsidRPr="002207DF">
        <w:rPr>
          <w:b/>
          <w:lang w:val="fr-FR"/>
        </w:rPr>
        <w:t xml:space="preserve">pour que toutes les </w:t>
      </w:r>
      <w:r w:rsidR="002207DF" w:rsidRPr="002207DF">
        <w:rPr>
          <w:b/>
          <w:lang w:val="fr-FR"/>
        </w:rPr>
        <w:t>allégations de</w:t>
      </w:r>
      <w:r w:rsidR="00130BB4" w:rsidRPr="002207DF">
        <w:rPr>
          <w:b/>
          <w:lang w:val="fr-FR"/>
        </w:rPr>
        <w:t xml:space="preserve"> </w:t>
      </w:r>
      <w:r w:rsidR="00466E15" w:rsidRPr="002207DF">
        <w:rPr>
          <w:b/>
          <w:lang w:val="fr-FR"/>
        </w:rPr>
        <w:t>violations du droit du travail commises par des employeurs fassent dûment l’objet d’enquêtes et, s</w:t>
      </w:r>
      <w:r w:rsidR="009F65BD" w:rsidRPr="009F65BD">
        <w:rPr>
          <w:b/>
          <w:lang w:val="fr-FR"/>
        </w:rPr>
        <w:t>’</w:t>
      </w:r>
      <w:r w:rsidR="00466E15" w:rsidRPr="002207DF">
        <w:rPr>
          <w:b/>
          <w:lang w:val="fr-FR"/>
        </w:rPr>
        <w:t>il y a lieu, de sanctions.</w:t>
      </w:r>
      <w:r w:rsidR="00F91520" w:rsidRPr="002207DF">
        <w:rPr>
          <w:b/>
          <w:lang w:val="fr-FR"/>
        </w:rPr>
        <w:t xml:space="preserve"> </w:t>
      </w:r>
      <w:r w:rsidR="002207DF" w:rsidRPr="002207DF">
        <w:rPr>
          <w:b/>
          <w:lang w:val="fr-FR"/>
        </w:rPr>
        <w:t>Le Comité recommande à l’</w:t>
      </w:r>
      <w:r w:rsidR="00B143CD">
        <w:rPr>
          <w:b/>
          <w:lang w:val="fr-FR"/>
        </w:rPr>
        <w:t>État</w:t>
      </w:r>
      <w:r w:rsidR="002207DF" w:rsidRPr="002207DF">
        <w:rPr>
          <w:b/>
          <w:lang w:val="fr-FR"/>
        </w:rPr>
        <w:t xml:space="preserve"> partie d’étendre les services de l’inspection du travail au secteur informel</w:t>
      </w:r>
      <w:r w:rsidR="00C351BE">
        <w:rPr>
          <w:b/>
          <w:lang w:val="fr-FR"/>
        </w:rPr>
        <w:t>,</w:t>
      </w:r>
      <w:r w:rsidR="002207DF" w:rsidRPr="002207DF">
        <w:rPr>
          <w:b/>
          <w:lang w:val="fr-FR"/>
        </w:rPr>
        <w:t xml:space="preserve"> afin de garantir le droit à des conditions de travail justes et favorables pour tous. Il </w:t>
      </w:r>
      <w:r w:rsidR="009E0211" w:rsidRPr="002207DF">
        <w:rPr>
          <w:b/>
          <w:lang w:val="fr-FR"/>
        </w:rPr>
        <w:t>renvoie l’État partie à son observation général</w:t>
      </w:r>
      <w:r w:rsidR="00314047">
        <w:rPr>
          <w:b/>
          <w:lang w:val="fr-FR"/>
        </w:rPr>
        <w:t>e</w:t>
      </w:r>
      <w:r w:rsidR="009E0211" w:rsidRPr="002207DF">
        <w:rPr>
          <w:b/>
          <w:lang w:val="fr-FR"/>
        </w:rPr>
        <w:t xml:space="preserve"> </w:t>
      </w:r>
      <w:r w:rsidR="005A2135" w:rsidRPr="002207DF">
        <w:rPr>
          <w:b/>
          <w:lang w:val="fr-FR"/>
        </w:rPr>
        <w:t>n</w:t>
      </w:r>
      <w:r w:rsidR="005A2135" w:rsidRPr="00C61517">
        <w:rPr>
          <w:b/>
          <w:vertAlign w:val="superscript"/>
          <w:lang w:val="fr-FR"/>
        </w:rPr>
        <w:t>o</w:t>
      </w:r>
      <w:r w:rsidR="005A2135">
        <w:rPr>
          <w:b/>
          <w:lang w:val="fr-FR"/>
        </w:rPr>
        <w:t> </w:t>
      </w:r>
      <w:r w:rsidR="009E0211" w:rsidRPr="002207DF">
        <w:rPr>
          <w:b/>
          <w:lang w:val="fr-FR"/>
        </w:rPr>
        <w:t>23 (201</w:t>
      </w:r>
      <w:r w:rsidR="00F91520" w:rsidRPr="002207DF">
        <w:rPr>
          <w:b/>
          <w:lang w:val="fr-FR"/>
        </w:rPr>
        <w:t>6</w:t>
      </w:r>
      <w:r w:rsidR="009E0211" w:rsidRPr="002207DF">
        <w:rPr>
          <w:b/>
          <w:lang w:val="fr-FR"/>
        </w:rPr>
        <w:t>) sur le droit à des conditions de travail justes et favorables.</w:t>
      </w:r>
    </w:p>
    <w:p w14:paraId="30BDC25C" w14:textId="77777777" w:rsidR="009C5F0F" w:rsidRPr="009C5F0F" w:rsidRDefault="009E0211" w:rsidP="003E022E">
      <w:pPr>
        <w:pStyle w:val="H23G"/>
        <w:rPr>
          <w:lang w:val="fr-FR"/>
        </w:rPr>
      </w:pPr>
      <w:r w:rsidRPr="00337FA5">
        <w:tab/>
      </w:r>
      <w:r w:rsidRPr="00337FA5">
        <w:tab/>
      </w:r>
      <w:r w:rsidR="00466E15">
        <w:rPr>
          <w:lang w:val="fr-FR"/>
        </w:rPr>
        <w:t>D</w:t>
      </w:r>
      <w:r w:rsidR="00247E26" w:rsidRPr="000241A7">
        <w:rPr>
          <w:lang w:val="fr-FR"/>
        </w:rPr>
        <w:t>roit à la sécurité sociale</w:t>
      </w:r>
    </w:p>
    <w:p w14:paraId="7AD61395" w14:textId="27BBAF9F" w:rsidR="00466E15" w:rsidRDefault="00C61517" w:rsidP="00C61517">
      <w:pPr>
        <w:pStyle w:val="SingleTxtG"/>
        <w:rPr>
          <w:lang w:val="fr-FR"/>
        </w:rPr>
      </w:pPr>
      <w:r>
        <w:rPr>
          <w:lang w:val="fr-FR"/>
        </w:rPr>
        <w:t>36.</w:t>
      </w:r>
      <w:r>
        <w:rPr>
          <w:lang w:val="fr-FR"/>
        </w:rPr>
        <w:tab/>
      </w:r>
      <w:r w:rsidR="00466E15">
        <w:rPr>
          <w:lang w:val="fr-FR"/>
        </w:rPr>
        <w:t>L</w:t>
      </w:r>
      <w:r w:rsidR="00C20594">
        <w:rPr>
          <w:lang w:val="fr-FR"/>
        </w:rPr>
        <w:t xml:space="preserve">e Comité </w:t>
      </w:r>
      <w:r w:rsidR="00276C7C">
        <w:rPr>
          <w:lang w:val="fr-FR"/>
        </w:rPr>
        <w:t xml:space="preserve">relève avec préoccupation </w:t>
      </w:r>
      <w:r w:rsidR="00466E15">
        <w:rPr>
          <w:lang w:val="fr-FR"/>
        </w:rPr>
        <w:t>que p</w:t>
      </w:r>
      <w:r w:rsidR="00466E15" w:rsidRPr="00466E15">
        <w:rPr>
          <w:lang w:val="fr-FR"/>
        </w:rPr>
        <w:t>lus de 50</w:t>
      </w:r>
      <w:r w:rsidR="00701243">
        <w:rPr>
          <w:lang w:val="fr-FR"/>
        </w:rPr>
        <w:t> </w:t>
      </w:r>
      <w:r w:rsidR="00466E15" w:rsidRPr="00466E15">
        <w:rPr>
          <w:lang w:val="fr-FR"/>
        </w:rPr>
        <w:t>% de la main-d</w:t>
      </w:r>
      <w:r w:rsidR="00F73852" w:rsidRPr="00F73852">
        <w:rPr>
          <w:lang w:val="fr-FR"/>
        </w:rPr>
        <w:t>’</w:t>
      </w:r>
      <w:r w:rsidR="00466E15" w:rsidRPr="00466E15">
        <w:rPr>
          <w:lang w:val="fr-FR"/>
        </w:rPr>
        <w:t>œuvre ne bénéf</w:t>
      </w:r>
      <w:r w:rsidR="00466E15">
        <w:rPr>
          <w:lang w:val="fr-FR"/>
        </w:rPr>
        <w:t>icie pas de couverture sociale. En outre, 37</w:t>
      </w:r>
      <w:r w:rsidR="00701243">
        <w:rPr>
          <w:lang w:val="fr-FR"/>
        </w:rPr>
        <w:t> </w:t>
      </w:r>
      <w:r w:rsidR="00466E15">
        <w:rPr>
          <w:lang w:val="fr-FR"/>
        </w:rPr>
        <w:t xml:space="preserve">% </w:t>
      </w:r>
      <w:r w:rsidR="00276C7C">
        <w:rPr>
          <w:lang w:val="fr-FR"/>
        </w:rPr>
        <w:t>des travailleurs sont</w:t>
      </w:r>
      <w:r w:rsidR="00466E15" w:rsidRPr="00466E15">
        <w:rPr>
          <w:lang w:val="fr-FR"/>
        </w:rPr>
        <w:t xml:space="preserve"> employé</w:t>
      </w:r>
      <w:r w:rsidR="00276C7C">
        <w:rPr>
          <w:lang w:val="fr-FR"/>
        </w:rPr>
        <w:t>s</w:t>
      </w:r>
      <w:r w:rsidR="00466E15" w:rsidRPr="00466E15">
        <w:rPr>
          <w:lang w:val="fr-FR"/>
        </w:rPr>
        <w:t xml:space="preserve"> dans le secteur informel</w:t>
      </w:r>
      <w:r w:rsidR="000263FF">
        <w:rPr>
          <w:lang w:val="fr-FR"/>
        </w:rPr>
        <w:t xml:space="preserve"> et</w:t>
      </w:r>
      <w:r w:rsidR="00466E15" w:rsidRPr="00466E15">
        <w:rPr>
          <w:lang w:val="fr-FR"/>
        </w:rPr>
        <w:t xml:space="preserve"> ne dispose</w:t>
      </w:r>
      <w:r w:rsidR="000263FF">
        <w:rPr>
          <w:lang w:val="fr-FR"/>
        </w:rPr>
        <w:t>nt aujourd</w:t>
      </w:r>
      <w:r w:rsidR="00F73852" w:rsidRPr="00F73852">
        <w:rPr>
          <w:lang w:val="fr-FR"/>
        </w:rPr>
        <w:t>’</w:t>
      </w:r>
      <w:r w:rsidR="000263FF">
        <w:rPr>
          <w:lang w:val="fr-FR"/>
        </w:rPr>
        <w:t>hui</w:t>
      </w:r>
      <w:r w:rsidR="00466E15" w:rsidRPr="00466E15">
        <w:rPr>
          <w:lang w:val="fr-FR"/>
        </w:rPr>
        <w:t xml:space="preserve"> d’aucune garantie en ce qui concerne les salaires, les heures de travail, la santé</w:t>
      </w:r>
      <w:r w:rsidR="00197A8B">
        <w:rPr>
          <w:lang w:val="fr-FR"/>
        </w:rPr>
        <w:t>,</w:t>
      </w:r>
      <w:r w:rsidR="00466E15" w:rsidRPr="00466E15">
        <w:rPr>
          <w:lang w:val="fr-FR"/>
        </w:rPr>
        <w:t xml:space="preserve"> la sécurité </w:t>
      </w:r>
      <w:r w:rsidR="00197A8B">
        <w:rPr>
          <w:lang w:val="fr-FR"/>
        </w:rPr>
        <w:t>et</w:t>
      </w:r>
      <w:r w:rsidR="00466E15" w:rsidRPr="00466E15">
        <w:rPr>
          <w:lang w:val="fr-FR"/>
        </w:rPr>
        <w:t xml:space="preserve"> les prestations sociales </w:t>
      </w:r>
      <w:r w:rsidR="00337FA5">
        <w:rPr>
          <w:lang w:val="fr-FR"/>
        </w:rPr>
        <w:t>(art.</w:t>
      </w:r>
      <w:r w:rsidR="00E94607">
        <w:rPr>
          <w:lang w:val="fr-FR"/>
        </w:rPr>
        <w:t xml:space="preserve"> </w:t>
      </w:r>
      <w:r w:rsidR="000263FF">
        <w:rPr>
          <w:lang w:val="fr-FR"/>
        </w:rPr>
        <w:t xml:space="preserve">7 et </w:t>
      </w:r>
      <w:r w:rsidR="00E94607">
        <w:rPr>
          <w:lang w:val="fr-FR"/>
        </w:rPr>
        <w:t>9)</w:t>
      </w:r>
      <w:r w:rsidR="000263FF">
        <w:rPr>
          <w:lang w:val="fr-FR"/>
        </w:rPr>
        <w:t>.</w:t>
      </w:r>
    </w:p>
    <w:p w14:paraId="01BA39B9" w14:textId="5612BBCE" w:rsidR="00247E26" w:rsidRDefault="00C61517" w:rsidP="00C61517">
      <w:pPr>
        <w:pStyle w:val="SingleTxtG"/>
        <w:rPr>
          <w:b/>
          <w:lang w:val="fr-FR"/>
        </w:rPr>
      </w:pPr>
      <w:r>
        <w:rPr>
          <w:lang w:val="fr-FR"/>
        </w:rPr>
        <w:t>37.</w:t>
      </w:r>
      <w:r>
        <w:rPr>
          <w:lang w:val="fr-FR"/>
        </w:rPr>
        <w:tab/>
      </w:r>
      <w:r w:rsidR="002207DF">
        <w:rPr>
          <w:b/>
          <w:lang w:val="fr-FR"/>
        </w:rPr>
        <w:t>L</w:t>
      </w:r>
      <w:r w:rsidR="00466E15" w:rsidRPr="00C15E29">
        <w:rPr>
          <w:b/>
          <w:lang w:val="fr-FR"/>
        </w:rPr>
        <w:t>e Comité engage instamment l’</w:t>
      </w:r>
      <w:r w:rsidR="00B143CD">
        <w:rPr>
          <w:b/>
          <w:lang w:val="fr-FR"/>
        </w:rPr>
        <w:t>État</w:t>
      </w:r>
      <w:r w:rsidR="00466E15" w:rsidRPr="00C15E29">
        <w:rPr>
          <w:b/>
          <w:lang w:val="fr-FR"/>
        </w:rPr>
        <w:t xml:space="preserve"> partie à poursuivre ses efforts en vue d’élaborer un système de sécurité sociale qui garantisse une couverture sociale étendue assurant des prestations suffisantes à tous les travailleurs et à toutes les personnes et familles défavorisées, afin de </w:t>
      </w:r>
      <w:r w:rsidR="0047618A">
        <w:rPr>
          <w:b/>
          <w:lang w:val="fr-FR"/>
        </w:rPr>
        <w:t>garantir</w:t>
      </w:r>
      <w:r w:rsidR="00466E15" w:rsidRPr="00C15E29">
        <w:rPr>
          <w:b/>
          <w:lang w:val="fr-FR"/>
        </w:rPr>
        <w:t xml:space="preserve"> </w:t>
      </w:r>
      <w:r w:rsidR="0047618A">
        <w:rPr>
          <w:b/>
          <w:lang w:val="fr-FR"/>
        </w:rPr>
        <w:t>un niveau de vie adéquat</w:t>
      </w:r>
      <w:r w:rsidR="00C15E29" w:rsidRPr="00C15E29">
        <w:rPr>
          <w:b/>
          <w:lang w:val="fr-FR"/>
        </w:rPr>
        <w:t xml:space="preserve">. </w:t>
      </w:r>
      <w:r w:rsidR="009D01F3">
        <w:rPr>
          <w:b/>
          <w:lang w:val="fr-FR"/>
        </w:rPr>
        <w:t>Le Comité se réfère à cet égard à son o</w:t>
      </w:r>
      <w:r w:rsidR="00E46530" w:rsidRPr="00C15E29">
        <w:rPr>
          <w:b/>
          <w:lang w:val="fr-FR"/>
        </w:rPr>
        <w:t>bservation générale n</w:t>
      </w:r>
      <w:r w:rsidR="005A2135" w:rsidRPr="00C61517">
        <w:rPr>
          <w:b/>
          <w:vertAlign w:val="superscript"/>
          <w:lang w:val="fr-FR"/>
        </w:rPr>
        <w:t>o</w:t>
      </w:r>
      <w:r w:rsidR="005A2135">
        <w:rPr>
          <w:b/>
          <w:lang w:val="fr-FR"/>
        </w:rPr>
        <w:t> </w:t>
      </w:r>
      <w:r w:rsidR="00E46530" w:rsidRPr="00C15E29">
        <w:rPr>
          <w:b/>
          <w:lang w:val="fr-FR"/>
        </w:rPr>
        <w:t>19 (</w:t>
      </w:r>
      <w:r w:rsidR="00F73852" w:rsidRPr="00C15E29">
        <w:rPr>
          <w:b/>
          <w:lang w:val="fr-FR"/>
        </w:rPr>
        <w:t>200</w:t>
      </w:r>
      <w:r w:rsidR="00F73852">
        <w:rPr>
          <w:b/>
          <w:lang w:val="fr-FR"/>
        </w:rPr>
        <w:t>7</w:t>
      </w:r>
      <w:r w:rsidR="00E46530" w:rsidRPr="00C15E29">
        <w:rPr>
          <w:b/>
          <w:lang w:val="fr-FR"/>
        </w:rPr>
        <w:t>) sur le droit à la sécurité sociale (art. 9)</w:t>
      </w:r>
      <w:r w:rsidR="009D01F3">
        <w:rPr>
          <w:b/>
          <w:lang w:val="fr-FR"/>
        </w:rPr>
        <w:t>.</w:t>
      </w:r>
    </w:p>
    <w:p w14:paraId="6045305E" w14:textId="77777777" w:rsidR="00E94607" w:rsidRPr="005454CA" w:rsidRDefault="00F91520" w:rsidP="005B742F">
      <w:pPr>
        <w:pStyle w:val="H23G"/>
        <w:rPr>
          <w:b w:val="0"/>
        </w:rPr>
      </w:pPr>
      <w:r>
        <w:tab/>
      </w:r>
      <w:r>
        <w:tab/>
      </w:r>
      <w:r w:rsidR="00E94607" w:rsidRPr="005454CA">
        <w:t>Violence à l’égard des femmes</w:t>
      </w:r>
    </w:p>
    <w:p w14:paraId="595D6EE6" w14:textId="4803D517" w:rsidR="00E94607" w:rsidRDefault="00C61517" w:rsidP="00C61517">
      <w:pPr>
        <w:pStyle w:val="SingleTxtG"/>
      </w:pPr>
      <w:r>
        <w:t>38.</w:t>
      </w:r>
      <w:r>
        <w:tab/>
      </w:r>
      <w:r w:rsidR="00E94607">
        <w:t xml:space="preserve">Le Comité </w:t>
      </w:r>
      <w:r w:rsidR="00CA6B83">
        <w:t>se réjouit de l</w:t>
      </w:r>
      <w:r w:rsidR="00EC14A4" w:rsidRPr="00926DC8">
        <w:t>’</w:t>
      </w:r>
      <w:r w:rsidR="00CA6B83">
        <w:t>engagement pris par l</w:t>
      </w:r>
      <w:r w:rsidR="00EC14A4" w:rsidRPr="00926DC8">
        <w:t>’</w:t>
      </w:r>
      <w:r w:rsidR="00B143CD">
        <w:t>État</w:t>
      </w:r>
      <w:r w:rsidR="00CA6B83">
        <w:t xml:space="preserve"> partie </w:t>
      </w:r>
      <w:r w:rsidR="007C7AC8">
        <w:t>d</w:t>
      </w:r>
      <w:r w:rsidR="007C7AC8" w:rsidRPr="00926DC8">
        <w:t>’</w:t>
      </w:r>
      <w:r w:rsidR="00CA6B83">
        <w:t>accélérer l</w:t>
      </w:r>
      <w:r w:rsidR="00EC14A4" w:rsidRPr="00926DC8">
        <w:t>’</w:t>
      </w:r>
      <w:r w:rsidR="00CA6B83">
        <w:t xml:space="preserve">adoption du projet de </w:t>
      </w:r>
      <w:r w:rsidR="000628C5">
        <w:t>loi générale visant à éliminer toutes les formes de violence à l</w:t>
      </w:r>
      <w:r w:rsidR="00EC14A4" w:rsidRPr="00926DC8">
        <w:t>’</w:t>
      </w:r>
      <w:r w:rsidR="000628C5">
        <w:t>égard des femmes et des filles</w:t>
      </w:r>
      <w:r w:rsidR="00A02D07">
        <w:t xml:space="preserve">, qui </w:t>
      </w:r>
      <w:r w:rsidR="00762C6C">
        <w:t>permettra</w:t>
      </w:r>
      <w:r w:rsidR="00A02D07">
        <w:t xml:space="preserve"> notamment de faire bénéficier l</w:t>
      </w:r>
      <w:r w:rsidR="007C7AC8">
        <w:t>es</w:t>
      </w:r>
      <w:r w:rsidR="00A02D07">
        <w:t xml:space="preserve"> victime</w:t>
      </w:r>
      <w:r w:rsidR="007C7AC8">
        <w:t>s</w:t>
      </w:r>
      <w:r w:rsidR="00A02D07">
        <w:t xml:space="preserve"> de violences de mesures de protection</w:t>
      </w:r>
      <w:r w:rsidR="000628C5">
        <w:t>. Il exprime l</w:t>
      </w:r>
      <w:r w:rsidR="00EC14A4" w:rsidRPr="00926DC8">
        <w:t>’</w:t>
      </w:r>
      <w:r w:rsidR="000628C5">
        <w:t xml:space="preserve">espoir que </w:t>
      </w:r>
      <w:r w:rsidR="00FB285A">
        <w:t>la loi inclura l</w:t>
      </w:r>
      <w:r w:rsidR="00EC14A4" w:rsidRPr="00926DC8">
        <w:t>’</w:t>
      </w:r>
      <w:r w:rsidR="00FB285A">
        <w:t xml:space="preserve">abolition des articles 218 et 319 du Code pénal, qui prévoient que les poursuites pour viol </w:t>
      </w:r>
      <w:r w:rsidR="007C1588">
        <w:t xml:space="preserve">peuvent être </w:t>
      </w:r>
      <w:r w:rsidR="00FB285A">
        <w:t>abandonnées si la victime retire sa plainte contre l</w:t>
      </w:r>
      <w:r w:rsidR="00C925A9" w:rsidRPr="00926DC8">
        <w:t>’</w:t>
      </w:r>
      <w:r w:rsidR="00FB285A">
        <w:t>époux ou le parent</w:t>
      </w:r>
      <w:r w:rsidR="00C925A9">
        <w:t> </w:t>
      </w:r>
      <w:r w:rsidR="00FB285A">
        <w:t xml:space="preserve">; </w:t>
      </w:r>
      <w:r w:rsidR="00B63B7F">
        <w:t>de l</w:t>
      </w:r>
      <w:r w:rsidR="007C7AC8" w:rsidRPr="00926DC8">
        <w:t>’</w:t>
      </w:r>
      <w:r w:rsidR="00B63B7F">
        <w:t>article 239 du Code pénal, qui prévoit que l</w:t>
      </w:r>
      <w:r w:rsidR="00EC14A4" w:rsidRPr="00926DC8">
        <w:t>’</w:t>
      </w:r>
      <w:r w:rsidR="00B63B7F">
        <w:t>auteur d</w:t>
      </w:r>
      <w:r w:rsidR="00EC14A4" w:rsidRPr="00926DC8">
        <w:t>’</w:t>
      </w:r>
      <w:r w:rsidR="00B63B7F">
        <w:t xml:space="preserve">un </w:t>
      </w:r>
      <w:r w:rsidR="007C1588">
        <w:t xml:space="preserve">enlèvement </w:t>
      </w:r>
      <w:r w:rsidR="00B63B7F">
        <w:t>peut échapper aux poursuites pénales s</w:t>
      </w:r>
      <w:r w:rsidR="00EC14A4" w:rsidRPr="00926DC8">
        <w:t>’</w:t>
      </w:r>
      <w:r w:rsidR="00B63B7F">
        <w:t>il épouse la victime</w:t>
      </w:r>
      <w:r w:rsidR="00286156">
        <w:t> </w:t>
      </w:r>
      <w:r w:rsidR="007C1588">
        <w:t>; ainsi que de l</w:t>
      </w:r>
      <w:r w:rsidR="00C925A9" w:rsidRPr="00926DC8">
        <w:t>’</w:t>
      </w:r>
      <w:r w:rsidR="007C1588">
        <w:t>article 227</w:t>
      </w:r>
      <w:r w:rsidR="00C925A9">
        <w:t xml:space="preserve"> </w:t>
      </w:r>
      <w:r w:rsidR="007C1588" w:rsidRPr="00C61517">
        <w:rPr>
          <w:i/>
          <w:iCs/>
        </w:rPr>
        <w:t>bis</w:t>
      </w:r>
      <w:r w:rsidR="007C1588">
        <w:t xml:space="preserve"> du Code pénal, qui prévoit que le mariage de l</w:t>
      </w:r>
      <w:r w:rsidR="00C925A9" w:rsidRPr="00926DC8">
        <w:t>’</w:t>
      </w:r>
      <w:r w:rsidR="007C1588">
        <w:t>auteur d</w:t>
      </w:r>
      <w:r w:rsidR="00C925A9" w:rsidRPr="00926DC8">
        <w:t>’</w:t>
      </w:r>
      <w:r w:rsidR="007C1588">
        <w:t>un viol légal peut (y compris si la victime a moins de quinze ans) échapper aux poursuites s</w:t>
      </w:r>
      <w:r w:rsidR="00EC14A4" w:rsidRPr="00926DC8">
        <w:t>’</w:t>
      </w:r>
      <w:r w:rsidR="007C1588">
        <w:t>il épouse la victime</w:t>
      </w:r>
      <w:r w:rsidR="00551879">
        <w:t xml:space="preserve">. </w:t>
      </w:r>
      <w:r w:rsidR="00E94607">
        <w:t xml:space="preserve">Le Comité </w:t>
      </w:r>
      <w:r w:rsidR="00BF5605">
        <w:t xml:space="preserve">regrette cependant </w:t>
      </w:r>
      <w:r w:rsidR="00E94607">
        <w:t>l’absence de données statistiques, ventilées par type d’infraction, sur la proportion de plaintes déposées qui ont donné lieu à des poursuites et des condamnations dans des cas de violence liées au genre, ainsi que sur les mesures de réparation</w:t>
      </w:r>
      <w:r w:rsidR="00551879">
        <w:t xml:space="preserve"> appliquées </w:t>
      </w:r>
      <w:r w:rsidR="00762C6C">
        <w:t xml:space="preserve">(art. 2 et </w:t>
      </w:r>
      <w:r w:rsidR="00BE5EB9">
        <w:t>10</w:t>
      </w:r>
      <w:r w:rsidR="00E94607">
        <w:t>).</w:t>
      </w:r>
    </w:p>
    <w:p w14:paraId="3AF47C0F" w14:textId="1452D00A" w:rsidR="00E94607" w:rsidRPr="0012126E" w:rsidRDefault="00C61517" w:rsidP="00C61517">
      <w:pPr>
        <w:pStyle w:val="SingleTxtG"/>
        <w:rPr>
          <w:b/>
        </w:rPr>
      </w:pPr>
      <w:r w:rsidRPr="0012126E">
        <w:t>39.</w:t>
      </w:r>
      <w:r w:rsidRPr="0012126E">
        <w:tab/>
      </w:r>
      <w:r w:rsidR="00E94607" w:rsidRPr="0012126E">
        <w:rPr>
          <w:b/>
        </w:rPr>
        <w:t>L</w:t>
      </w:r>
      <w:r w:rsidR="00E94607">
        <w:rPr>
          <w:b/>
        </w:rPr>
        <w:t xml:space="preserve">e Comité recommande </w:t>
      </w:r>
      <w:r w:rsidR="00551879">
        <w:rPr>
          <w:b/>
        </w:rPr>
        <w:t>à</w:t>
      </w:r>
      <w:r w:rsidR="00E94607">
        <w:rPr>
          <w:b/>
        </w:rPr>
        <w:t xml:space="preserve"> l</w:t>
      </w:r>
      <w:r w:rsidR="00E94607" w:rsidRPr="0012126E">
        <w:rPr>
          <w:b/>
        </w:rPr>
        <w:t>’État partie</w:t>
      </w:r>
      <w:r w:rsidR="00282A16">
        <w:rPr>
          <w:b/>
        </w:rPr>
        <w:t xml:space="preserve"> de</w:t>
      </w:r>
      <w:r w:rsidR="00462A5C">
        <w:rPr>
          <w:b/>
        </w:rPr>
        <w:t> </w:t>
      </w:r>
      <w:r w:rsidR="00E94607" w:rsidRPr="0012126E">
        <w:rPr>
          <w:b/>
        </w:rPr>
        <w:t>:</w:t>
      </w:r>
    </w:p>
    <w:p w14:paraId="50481866" w14:textId="0B07AA58" w:rsidR="009D01F3" w:rsidRDefault="00A31D1F" w:rsidP="00C61517">
      <w:pPr>
        <w:pStyle w:val="SingleTxtG"/>
        <w:ind w:firstLine="567"/>
        <w:rPr>
          <w:b/>
        </w:rPr>
      </w:pPr>
      <w:r w:rsidRPr="00C61517">
        <w:rPr>
          <w:bCs/>
        </w:rPr>
        <w:t>a)</w:t>
      </w:r>
      <w:r>
        <w:rPr>
          <w:b/>
        </w:rPr>
        <w:tab/>
      </w:r>
      <w:r w:rsidR="00282A16">
        <w:rPr>
          <w:b/>
        </w:rPr>
        <w:t>Hâter</w:t>
      </w:r>
      <w:r w:rsidR="00EC14A4" w:rsidRPr="0012126E">
        <w:rPr>
          <w:b/>
        </w:rPr>
        <w:t xml:space="preserve"> </w:t>
      </w:r>
      <w:r w:rsidR="00E94607" w:rsidRPr="0012126E">
        <w:rPr>
          <w:b/>
        </w:rPr>
        <w:t xml:space="preserve">l’adoption de la loi contre la violence à l’égard des femmes et </w:t>
      </w:r>
      <w:r w:rsidR="008A4632">
        <w:rPr>
          <w:b/>
        </w:rPr>
        <w:t xml:space="preserve">de </w:t>
      </w:r>
      <w:r w:rsidR="00E94607" w:rsidRPr="0012126E">
        <w:rPr>
          <w:b/>
        </w:rPr>
        <w:t>s’assurer que celle-ci érige en infraction pénale toutes les formes de violence à l’égard des femm</w:t>
      </w:r>
      <w:r w:rsidR="009D01F3">
        <w:rPr>
          <w:b/>
        </w:rPr>
        <w:t>es</w:t>
      </w:r>
      <w:r w:rsidR="00462A5C">
        <w:rPr>
          <w:b/>
        </w:rPr>
        <w:t> </w:t>
      </w:r>
      <w:r w:rsidR="009D01F3">
        <w:rPr>
          <w:b/>
        </w:rPr>
        <w:t>;</w:t>
      </w:r>
    </w:p>
    <w:p w14:paraId="4EE850C8" w14:textId="09F76E69" w:rsidR="00E94607" w:rsidRPr="0012126E" w:rsidRDefault="00A31D1F" w:rsidP="00C61517">
      <w:pPr>
        <w:pStyle w:val="SingleTxtG"/>
        <w:ind w:firstLine="567"/>
        <w:rPr>
          <w:b/>
        </w:rPr>
      </w:pPr>
      <w:r w:rsidRPr="00C61517">
        <w:rPr>
          <w:bCs/>
        </w:rPr>
        <w:t>b)</w:t>
      </w:r>
      <w:r>
        <w:rPr>
          <w:b/>
        </w:rPr>
        <w:tab/>
      </w:r>
      <w:r w:rsidR="00282A16">
        <w:rPr>
          <w:b/>
        </w:rPr>
        <w:t>V</w:t>
      </w:r>
      <w:r w:rsidR="008128C6" w:rsidRPr="0012126E">
        <w:rPr>
          <w:b/>
        </w:rPr>
        <w:t xml:space="preserve">eiller </w:t>
      </w:r>
      <w:r w:rsidR="00E94607" w:rsidRPr="0012126E">
        <w:rPr>
          <w:b/>
        </w:rPr>
        <w:t xml:space="preserve">à ce que les cas de violence envers les femmes fassent l’objet de poursuites diligentes et impartiales, que les auteurs soient poursuivis et punis </w:t>
      </w:r>
      <w:r w:rsidR="00030B20">
        <w:rPr>
          <w:b/>
        </w:rPr>
        <w:t>proportion</w:t>
      </w:r>
      <w:r w:rsidR="00246BF9">
        <w:rPr>
          <w:b/>
        </w:rPr>
        <w:t>nellement à</w:t>
      </w:r>
      <w:r w:rsidR="00E94607" w:rsidRPr="0012126E">
        <w:rPr>
          <w:b/>
        </w:rPr>
        <w:t xml:space="preserve"> la gravité de leurs actes et que les victimes </w:t>
      </w:r>
      <w:r w:rsidR="006B133D">
        <w:rPr>
          <w:b/>
        </w:rPr>
        <w:t>bénéficient d</w:t>
      </w:r>
      <w:r w:rsidR="00246BF9" w:rsidRPr="00246BF9">
        <w:rPr>
          <w:b/>
        </w:rPr>
        <w:t>’</w:t>
      </w:r>
      <w:r w:rsidR="006B133D">
        <w:rPr>
          <w:b/>
        </w:rPr>
        <w:t xml:space="preserve">une protection et </w:t>
      </w:r>
      <w:r w:rsidR="00E94607" w:rsidRPr="0012126E">
        <w:rPr>
          <w:b/>
        </w:rPr>
        <w:t>obtiennent réparation</w:t>
      </w:r>
      <w:r w:rsidR="00462A5C">
        <w:rPr>
          <w:b/>
        </w:rPr>
        <w:t> </w:t>
      </w:r>
      <w:r w:rsidR="00E94607" w:rsidRPr="0012126E">
        <w:rPr>
          <w:b/>
        </w:rPr>
        <w:t>;</w:t>
      </w:r>
    </w:p>
    <w:p w14:paraId="416FE33F" w14:textId="3D350488" w:rsidR="00E94607" w:rsidRDefault="00A31D1F" w:rsidP="00C61517">
      <w:pPr>
        <w:pStyle w:val="SingleTxtG"/>
        <w:ind w:firstLine="567"/>
        <w:rPr>
          <w:b/>
        </w:rPr>
      </w:pPr>
      <w:r w:rsidRPr="00C61517">
        <w:rPr>
          <w:bCs/>
        </w:rPr>
        <w:t>c)</w:t>
      </w:r>
      <w:r>
        <w:rPr>
          <w:b/>
        </w:rPr>
        <w:tab/>
      </w:r>
      <w:r w:rsidR="00282A16">
        <w:rPr>
          <w:b/>
        </w:rPr>
        <w:t>S</w:t>
      </w:r>
      <w:r w:rsidR="00E94607" w:rsidRPr="0012126E">
        <w:rPr>
          <w:b/>
        </w:rPr>
        <w:t xml:space="preserve">ensibiliser et former le corps judiciaire et les membres des forces de l’ordre au sujet de toutes les violences à l’égard des femmes et </w:t>
      </w:r>
      <w:r w:rsidR="00817793">
        <w:rPr>
          <w:b/>
        </w:rPr>
        <w:t xml:space="preserve">de </w:t>
      </w:r>
      <w:r w:rsidR="00E94607" w:rsidRPr="0012126E">
        <w:rPr>
          <w:b/>
        </w:rPr>
        <w:t>renforcer les campagnes de sensibilisation de l’opinion publique.</w:t>
      </w:r>
    </w:p>
    <w:p w14:paraId="7C6DB283" w14:textId="77777777" w:rsidR="00496971" w:rsidRPr="00943C28" w:rsidRDefault="00505145" w:rsidP="00933AE9">
      <w:pPr>
        <w:pStyle w:val="H23G"/>
        <w:spacing w:after="200"/>
        <w:jc w:val="both"/>
      </w:pPr>
      <w:r w:rsidRPr="00FD2DA4">
        <w:lastRenderedPageBreak/>
        <w:tab/>
      </w:r>
      <w:r w:rsidR="00FD2DA4">
        <w:tab/>
      </w:r>
      <w:r w:rsidR="00496971" w:rsidRPr="00943C28">
        <w:t>Pauvreté</w:t>
      </w:r>
    </w:p>
    <w:p w14:paraId="41C430AF" w14:textId="52514F0F" w:rsidR="005E6007" w:rsidRPr="005E6007" w:rsidRDefault="00C61517" w:rsidP="00C61517">
      <w:pPr>
        <w:pStyle w:val="SingleTxtG"/>
        <w:rPr>
          <w:lang w:val="fr-FR"/>
        </w:rPr>
      </w:pPr>
      <w:r w:rsidRPr="005E6007">
        <w:rPr>
          <w:lang w:val="fr-FR"/>
        </w:rPr>
        <w:t>40.</w:t>
      </w:r>
      <w:r w:rsidRPr="005E6007">
        <w:rPr>
          <w:lang w:val="fr-FR"/>
        </w:rPr>
        <w:tab/>
      </w:r>
      <w:r w:rsidR="00E5402A" w:rsidRPr="00551879">
        <w:t xml:space="preserve">Le Comité est préoccupé par </w:t>
      </w:r>
      <w:r w:rsidR="009E0211" w:rsidRPr="00551879">
        <w:t>les taux de pauvreté</w:t>
      </w:r>
      <w:r w:rsidR="00817793">
        <w:t xml:space="preserve"> enregistrés notamment</w:t>
      </w:r>
      <w:r w:rsidR="009E0211" w:rsidRPr="00551879">
        <w:t xml:space="preserve"> dans les zones rurales et dans la région Centre-Ouest.</w:t>
      </w:r>
      <w:r w:rsidR="00C54A10" w:rsidRPr="005B742F">
        <w:t xml:space="preserve"> </w:t>
      </w:r>
      <w:r w:rsidR="00817793">
        <w:t>Il</w:t>
      </w:r>
      <w:r w:rsidR="00C54A10" w:rsidRPr="005B742F">
        <w:t xml:space="preserve"> </w:t>
      </w:r>
      <w:r w:rsidR="006D69E4">
        <w:t>relève qu</w:t>
      </w:r>
      <w:r w:rsidR="003F19C0" w:rsidRPr="00926DC8">
        <w:t>’</w:t>
      </w:r>
      <w:r w:rsidR="003F19C0">
        <w:t>il manque</w:t>
      </w:r>
      <w:r w:rsidR="006D69E4">
        <w:t xml:space="preserve"> encore une</w:t>
      </w:r>
      <w:r w:rsidR="00C54A10" w:rsidRPr="005B742F">
        <w:t xml:space="preserve"> stratégie </w:t>
      </w:r>
      <w:r w:rsidR="006D69E4">
        <w:t>intégrée</w:t>
      </w:r>
      <w:r w:rsidR="006D69E4" w:rsidRPr="005B742F">
        <w:t xml:space="preserve"> </w:t>
      </w:r>
      <w:r w:rsidR="00C54A10" w:rsidRPr="00551879">
        <w:t>permettant de surveiller le</w:t>
      </w:r>
      <w:r w:rsidR="00817793">
        <w:t>s</w:t>
      </w:r>
      <w:r w:rsidR="00C54A10" w:rsidRPr="00551879">
        <w:t xml:space="preserve"> progrès accomplis dans la lutte contre la pauvreté par des mécanismes de contrôle indépendants, </w:t>
      </w:r>
      <w:r w:rsidR="00D40E0B">
        <w:t>et</w:t>
      </w:r>
      <w:r w:rsidR="00C54A10" w:rsidRPr="00551879">
        <w:t xml:space="preserve"> que plusieurs programmes de développement n</w:t>
      </w:r>
      <w:r w:rsidR="00817793" w:rsidRPr="00926DC8">
        <w:t>’</w:t>
      </w:r>
      <w:r w:rsidR="00C54A10" w:rsidRPr="00551879">
        <w:t>atteignent pas leurs objectifs</w:t>
      </w:r>
      <w:r w:rsidR="008C264E">
        <w:t>,</w:t>
      </w:r>
      <w:r w:rsidR="00C54A10" w:rsidRPr="00551879">
        <w:t xml:space="preserve"> notamment à cause d’une mauvaise coordination</w:t>
      </w:r>
      <w:r w:rsidR="00D40E0B">
        <w:t xml:space="preserve"> entre différents départements</w:t>
      </w:r>
      <w:r w:rsidR="00C54A10" w:rsidRPr="00551879">
        <w:t xml:space="preserve">, </w:t>
      </w:r>
      <w:r w:rsidR="00D40E0B">
        <w:t>d</w:t>
      </w:r>
      <w:r w:rsidR="00D40E0B" w:rsidRPr="00551879">
        <w:t xml:space="preserve">e </w:t>
      </w:r>
      <w:r w:rsidR="00C54A10" w:rsidRPr="00551879">
        <w:t xml:space="preserve">capacités de mise en </w:t>
      </w:r>
      <w:r w:rsidR="00762C6C" w:rsidRPr="00551879">
        <w:t>œuvre</w:t>
      </w:r>
      <w:r w:rsidR="00D40E0B">
        <w:t xml:space="preserve"> insuffisantes</w:t>
      </w:r>
      <w:r w:rsidR="009F1E9C" w:rsidRPr="00551879">
        <w:t xml:space="preserve"> et </w:t>
      </w:r>
      <w:r w:rsidR="009F41CE">
        <w:t>d</w:t>
      </w:r>
      <w:r w:rsidR="009F41CE" w:rsidRPr="00926DC8">
        <w:t>’</w:t>
      </w:r>
      <w:r w:rsidR="00D40E0B">
        <w:t xml:space="preserve">une </w:t>
      </w:r>
      <w:r w:rsidR="009F1E9C" w:rsidRPr="00551879">
        <w:t>absence d</w:t>
      </w:r>
      <w:r w:rsidR="00817793" w:rsidRPr="00926DC8">
        <w:t>’</w:t>
      </w:r>
      <w:r w:rsidR="009F1E9C" w:rsidRPr="00551879">
        <w:t>évaluation</w:t>
      </w:r>
      <w:r w:rsidR="0021679F">
        <w:t xml:space="preserve">. Compte tenu du </w:t>
      </w:r>
      <w:r w:rsidR="005D21EA">
        <w:t xml:space="preserve">taux de pauvreté dans la population, le Comité est préoccupé par les conséquences pour les </w:t>
      </w:r>
      <w:r w:rsidR="00E27E03">
        <w:t>ménages les plus pauvres q</w:t>
      </w:r>
      <w:r w:rsidR="005D21EA">
        <w:t>u</w:t>
      </w:r>
      <w:r w:rsidR="009F41CE">
        <w:t>e pourrait avoir</w:t>
      </w:r>
      <w:r w:rsidR="005D21EA">
        <w:t xml:space="preserve"> la réforme de la Caisse de compensation, qui permet de garantir </w:t>
      </w:r>
      <w:r w:rsidR="00E27E03">
        <w:t>l</w:t>
      </w:r>
      <w:r w:rsidR="00817793" w:rsidRPr="00926DC8">
        <w:t>’</w:t>
      </w:r>
      <w:r w:rsidR="00E27E03">
        <w:t xml:space="preserve">accès </w:t>
      </w:r>
      <w:r w:rsidR="00817793">
        <w:t xml:space="preserve">à </w:t>
      </w:r>
      <w:r w:rsidR="00E27E03">
        <w:t>certaines denrées alimentaires de base</w:t>
      </w:r>
      <w:r w:rsidR="009F1E9C" w:rsidRPr="00551879">
        <w:t xml:space="preserve"> </w:t>
      </w:r>
      <w:r w:rsidR="00100752">
        <w:t xml:space="preserve">à un prix abordable </w:t>
      </w:r>
      <w:r w:rsidR="009F1E9C" w:rsidRPr="00551879">
        <w:t>(art.</w:t>
      </w:r>
      <w:r w:rsidR="00474A52">
        <w:t> </w:t>
      </w:r>
      <w:r w:rsidR="009F1E9C" w:rsidRPr="00551879">
        <w:t>11).</w:t>
      </w:r>
    </w:p>
    <w:p w14:paraId="4A789AF1" w14:textId="02FA2B07" w:rsidR="00C3571F" w:rsidRPr="005E6007" w:rsidRDefault="00C61517" w:rsidP="00C61517">
      <w:pPr>
        <w:pStyle w:val="SingleTxtG"/>
        <w:rPr>
          <w:lang w:val="fr-FR"/>
        </w:rPr>
      </w:pPr>
      <w:r w:rsidRPr="005E6007">
        <w:rPr>
          <w:lang w:val="fr-FR"/>
        </w:rPr>
        <w:t>41.</w:t>
      </w:r>
      <w:r w:rsidRPr="005E6007">
        <w:rPr>
          <w:lang w:val="fr-FR"/>
        </w:rPr>
        <w:tab/>
      </w:r>
      <w:r w:rsidR="009E0211" w:rsidRPr="005E6007">
        <w:rPr>
          <w:b/>
        </w:rPr>
        <w:t>Le Comité engage l’État partie à prendre toutes les mesures nécessaires pour réduire la pauvreté et l’extrême pauvreté, en particulier dans les zones rurales</w:t>
      </w:r>
      <w:r w:rsidR="00F5087E" w:rsidRPr="005E6007">
        <w:rPr>
          <w:b/>
        </w:rPr>
        <w:t xml:space="preserve"> et dans les gouvernorats de l</w:t>
      </w:r>
      <w:r w:rsidR="0026190B" w:rsidRPr="0026190B">
        <w:rPr>
          <w:b/>
        </w:rPr>
        <w:t>’</w:t>
      </w:r>
      <w:r w:rsidR="00F5087E" w:rsidRPr="005E6007">
        <w:rPr>
          <w:b/>
        </w:rPr>
        <w:t>intérieur</w:t>
      </w:r>
      <w:r w:rsidR="009E0211" w:rsidRPr="005E6007">
        <w:rPr>
          <w:b/>
        </w:rPr>
        <w:t xml:space="preserve">. </w:t>
      </w:r>
      <w:r w:rsidR="00A41CC3" w:rsidRPr="005E6007">
        <w:rPr>
          <w:b/>
        </w:rPr>
        <w:t>Des efforts spécifiques devraient être consentis afin de s</w:t>
      </w:r>
      <w:r w:rsidR="0026190B" w:rsidRPr="0026190B">
        <w:rPr>
          <w:b/>
        </w:rPr>
        <w:t>’</w:t>
      </w:r>
      <w:r w:rsidR="00A41CC3" w:rsidRPr="005E6007">
        <w:rPr>
          <w:b/>
        </w:rPr>
        <w:t>assurer que les per</w:t>
      </w:r>
      <w:r w:rsidR="00F6038F" w:rsidRPr="005E6007">
        <w:rPr>
          <w:b/>
        </w:rPr>
        <w:t>sonnes sans domicile fixe sont couvertes par ces initiatives et ne rencontrent pas d</w:t>
      </w:r>
      <w:r w:rsidR="0026190B" w:rsidRPr="0026190B">
        <w:rPr>
          <w:b/>
        </w:rPr>
        <w:t>’</w:t>
      </w:r>
      <w:r w:rsidR="00F6038F" w:rsidRPr="005E6007">
        <w:rPr>
          <w:b/>
        </w:rPr>
        <w:t>obstacles d</w:t>
      </w:r>
      <w:r w:rsidR="0026190B" w:rsidRPr="0026190B">
        <w:rPr>
          <w:b/>
        </w:rPr>
        <w:t>’</w:t>
      </w:r>
      <w:r w:rsidR="00F6038F" w:rsidRPr="005E6007">
        <w:rPr>
          <w:b/>
        </w:rPr>
        <w:t xml:space="preserve">ordre administratif </w:t>
      </w:r>
      <w:r w:rsidR="0026190B">
        <w:rPr>
          <w:b/>
        </w:rPr>
        <w:t xml:space="preserve">pour </w:t>
      </w:r>
      <w:r w:rsidR="00F058D2">
        <w:rPr>
          <w:b/>
        </w:rPr>
        <w:t xml:space="preserve">avoir </w:t>
      </w:r>
      <w:r w:rsidR="00F6038F" w:rsidRPr="005E6007">
        <w:rPr>
          <w:b/>
        </w:rPr>
        <w:t xml:space="preserve">accès aux </w:t>
      </w:r>
      <w:r w:rsidR="00B362F2" w:rsidRPr="005E6007">
        <w:rPr>
          <w:b/>
        </w:rPr>
        <w:t>aides publiques. Le Comité</w:t>
      </w:r>
      <w:r w:rsidR="008D56B2" w:rsidRPr="005E6007">
        <w:rPr>
          <w:b/>
        </w:rPr>
        <w:t xml:space="preserve"> rappelle qu</w:t>
      </w:r>
      <w:r w:rsidR="0026190B" w:rsidRPr="0026190B">
        <w:rPr>
          <w:b/>
        </w:rPr>
        <w:t>’</w:t>
      </w:r>
      <w:r w:rsidR="008D56B2" w:rsidRPr="005E6007">
        <w:rPr>
          <w:b/>
        </w:rPr>
        <w:t>afin d</w:t>
      </w:r>
      <w:r w:rsidR="0026190B" w:rsidRPr="0026190B">
        <w:rPr>
          <w:b/>
        </w:rPr>
        <w:t>’</w:t>
      </w:r>
      <w:r w:rsidR="008D56B2" w:rsidRPr="005E6007">
        <w:rPr>
          <w:b/>
        </w:rPr>
        <w:t xml:space="preserve">être compatibles avec le Pacte, les programmes de lutte contre la pauvreté devraient reconnaître les bénéficiaires </w:t>
      </w:r>
      <w:r w:rsidR="00193BB6" w:rsidRPr="005E6007">
        <w:rPr>
          <w:b/>
        </w:rPr>
        <w:t>comme titulaires de droits, les informer des droits qu</w:t>
      </w:r>
      <w:r w:rsidR="0026190B" w:rsidRPr="0026190B">
        <w:rPr>
          <w:b/>
        </w:rPr>
        <w:t>’</w:t>
      </w:r>
      <w:r w:rsidR="00193BB6" w:rsidRPr="005E6007">
        <w:rPr>
          <w:b/>
        </w:rPr>
        <w:t>ils peuvent revendiquer et prévoir des mécanismes de recours efficaces et indépendants permettant de contester les cas d</w:t>
      </w:r>
      <w:r w:rsidR="0026190B" w:rsidRPr="0026190B">
        <w:rPr>
          <w:b/>
        </w:rPr>
        <w:t>’</w:t>
      </w:r>
      <w:r w:rsidR="00193BB6" w:rsidRPr="005E6007">
        <w:rPr>
          <w:b/>
        </w:rPr>
        <w:t xml:space="preserve">exclusion. </w:t>
      </w:r>
      <w:r w:rsidR="009E0211" w:rsidRPr="005E6007">
        <w:rPr>
          <w:b/>
        </w:rPr>
        <w:t>Le Comité appelle l’attention de l’</w:t>
      </w:r>
      <w:r w:rsidR="00B143CD">
        <w:rPr>
          <w:b/>
        </w:rPr>
        <w:t>État</w:t>
      </w:r>
      <w:r w:rsidR="009E0211" w:rsidRPr="005E6007">
        <w:rPr>
          <w:b/>
        </w:rPr>
        <w:t xml:space="preserve"> partie sur sa déclaration sur la pauvreté et le </w:t>
      </w:r>
      <w:r w:rsidR="00FD6FF1">
        <w:rPr>
          <w:b/>
        </w:rPr>
        <w:t>P</w:t>
      </w:r>
      <w:r w:rsidR="00FD6FF1" w:rsidRPr="005E6007">
        <w:rPr>
          <w:b/>
        </w:rPr>
        <w:t xml:space="preserve">acte </w:t>
      </w:r>
      <w:r w:rsidR="009E0211" w:rsidRPr="005E6007">
        <w:rPr>
          <w:b/>
        </w:rPr>
        <w:t>international relatif aux droits économiques, sociaux et culturels</w:t>
      </w:r>
      <w:r w:rsidR="00A164C0">
        <w:rPr>
          <w:b/>
        </w:rPr>
        <w:t xml:space="preserve"> </w:t>
      </w:r>
      <w:r w:rsidR="00A164C0" w:rsidRPr="005E6007">
        <w:rPr>
          <w:b/>
        </w:rPr>
        <w:t>(</w:t>
      </w:r>
      <w:r w:rsidR="00A164C0">
        <w:rPr>
          <w:b/>
        </w:rPr>
        <w:t xml:space="preserve">voir </w:t>
      </w:r>
      <w:r w:rsidR="00A164C0" w:rsidRPr="005E6007">
        <w:rPr>
          <w:b/>
        </w:rPr>
        <w:t>E/2002/22-E/C.12/2001/17, annexe VII)</w:t>
      </w:r>
      <w:r w:rsidR="009E0211" w:rsidRPr="005E6007">
        <w:rPr>
          <w:b/>
        </w:rPr>
        <w:t>, adoptée le 4 mai 2001</w:t>
      </w:r>
      <w:r w:rsidR="00193BB6" w:rsidRPr="005E6007">
        <w:rPr>
          <w:b/>
        </w:rPr>
        <w:t>, ainsi que s</w:t>
      </w:r>
      <w:r w:rsidR="00F03873" w:rsidRPr="005E6007">
        <w:rPr>
          <w:b/>
        </w:rPr>
        <w:t>ur s</w:t>
      </w:r>
      <w:r w:rsidR="00193BB6" w:rsidRPr="005E6007">
        <w:rPr>
          <w:b/>
        </w:rPr>
        <w:t xml:space="preserve">a déclaration </w:t>
      </w:r>
      <w:r w:rsidR="00954646" w:rsidRPr="005E6007">
        <w:rPr>
          <w:b/>
        </w:rPr>
        <w:t xml:space="preserve">sur les </w:t>
      </w:r>
      <w:r w:rsidR="00084EC0">
        <w:rPr>
          <w:b/>
        </w:rPr>
        <w:t>socles</w:t>
      </w:r>
      <w:r w:rsidR="00084EC0" w:rsidRPr="005E6007">
        <w:rPr>
          <w:b/>
        </w:rPr>
        <w:t xml:space="preserve"> </w:t>
      </w:r>
      <w:r w:rsidR="00954646" w:rsidRPr="005E6007">
        <w:rPr>
          <w:b/>
        </w:rPr>
        <w:t>de protection sociale</w:t>
      </w:r>
      <w:r w:rsidR="00084EC0">
        <w:rPr>
          <w:b/>
        </w:rPr>
        <w:t> : un élément</w:t>
      </w:r>
      <w:r w:rsidR="00954646" w:rsidRPr="005E6007">
        <w:rPr>
          <w:b/>
        </w:rPr>
        <w:t xml:space="preserve"> essentiel du droit à la sécurité sociale et des objectifs de développement durable</w:t>
      </w:r>
      <w:r w:rsidR="00A164C0">
        <w:rPr>
          <w:b/>
        </w:rPr>
        <w:t xml:space="preserve"> </w:t>
      </w:r>
      <w:r w:rsidR="00954646" w:rsidRPr="005E6007">
        <w:rPr>
          <w:b/>
        </w:rPr>
        <w:t>(E/C.12/</w:t>
      </w:r>
      <w:r w:rsidR="00B10559">
        <w:rPr>
          <w:b/>
        </w:rPr>
        <w:t>2015</w:t>
      </w:r>
      <w:r w:rsidR="00954646" w:rsidRPr="005E6007">
        <w:rPr>
          <w:b/>
        </w:rPr>
        <w:t>/</w:t>
      </w:r>
      <w:r w:rsidR="00B10559">
        <w:rPr>
          <w:b/>
        </w:rPr>
        <w:t>1</w:t>
      </w:r>
      <w:r w:rsidR="00954646" w:rsidRPr="005E6007">
        <w:rPr>
          <w:b/>
        </w:rPr>
        <w:t>)</w:t>
      </w:r>
      <w:r w:rsidR="00A164C0" w:rsidRPr="005E6007">
        <w:rPr>
          <w:b/>
        </w:rPr>
        <w:t>, adoptée le 6 mars 2015</w:t>
      </w:r>
      <w:r w:rsidR="00954646" w:rsidRPr="005E6007">
        <w:rPr>
          <w:b/>
        </w:rPr>
        <w:t>.</w:t>
      </w:r>
      <w:r w:rsidR="00E43B79" w:rsidRPr="005E6007">
        <w:rPr>
          <w:b/>
        </w:rPr>
        <w:t xml:space="preserve"> S</w:t>
      </w:r>
      <w:r w:rsidR="0026190B" w:rsidRPr="0026190B">
        <w:rPr>
          <w:b/>
        </w:rPr>
        <w:t>’</w:t>
      </w:r>
      <w:r w:rsidR="00E43B79" w:rsidRPr="005E6007">
        <w:rPr>
          <w:b/>
        </w:rPr>
        <w:t>agissant enfin de la réforme de la Caisse de compens</w:t>
      </w:r>
      <w:r w:rsidR="0026190B">
        <w:rPr>
          <w:b/>
        </w:rPr>
        <w:t>at</w:t>
      </w:r>
      <w:r w:rsidR="00E43B79" w:rsidRPr="005E6007">
        <w:rPr>
          <w:b/>
        </w:rPr>
        <w:t>ion, le Comité attire l</w:t>
      </w:r>
      <w:r w:rsidR="0026190B" w:rsidRPr="0026190B">
        <w:rPr>
          <w:b/>
        </w:rPr>
        <w:t>’</w:t>
      </w:r>
      <w:r w:rsidR="00E43B79" w:rsidRPr="005E6007">
        <w:rPr>
          <w:b/>
        </w:rPr>
        <w:t>attention de l</w:t>
      </w:r>
      <w:r w:rsidR="0026190B" w:rsidRPr="0026190B">
        <w:rPr>
          <w:b/>
        </w:rPr>
        <w:t>’</w:t>
      </w:r>
      <w:r w:rsidR="00B143CD">
        <w:rPr>
          <w:b/>
        </w:rPr>
        <w:t>État</w:t>
      </w:r>
      <w:r w:rsidR="00E43B79" w:rsidRPr="005E6007">
        <w:rPr>
          <w:b/>
        </w:rPr>
        <w:t xml:space="preserve"> </w:t>
      </w:r>
      <w:r w:rsidR="005464C8">
        <w:rPr>
          <w:b/>
        </w:rPr>
        <w:t xml:space="preserve">partie </w:t>
      </w:r>
      <w:r w:rsidR="00E43B79" w:rsidRPr="005E6007">
        <w:rPr>
          <w:b/>
        </w:rPr>
        <w:t>sur les risques que comporte un ciblage plus grand des subsides favorisant l</w:t>
      </w:r>
      <w:r w:rsidR="0026190B" w:rsidRPr="0026190B">
        <w:rPr>
          <w:b/>
        </w:rPr>
        <w:t>’</w:t>
      </w:r>
      <w:r w:rsidR="00E43B79" w:rsidRPr="005E6007">
        <w:rPr>
          <w:b/>
        </w:rPr>
        <w:t xml:space="preserve">accès aux produits alimentaires de base pour les familles mal informées quant à leurs droits ou </w:t>
      </w:r>
      <w:r w:rsidR="00B93C36" w:rsidRPr="005E6007">
        <w:rPr>
          <w:b/>
        </w:rPr>
        <w:t>dans l</w:t>
      </w:r>
      <w:r w:rsidR="0026190B" w:rsidRPr="0026190B">
        <w:rPr>
          <w:b/>
        </w:rPr>
        <w:t>’</w:t>
      </w:r>
      <w:r w:rsidR="00B93C36" w:rsidRPr="005E6007">
        <w:rPr>
          <w:b/>
        </w:rPr>
        <w:t xml:space="preserve">incapacité de surmonter les obstacles administratifs à leur enregistrement </w:t>
      </w:r>
      <w:r w:rsidR="00775FFA">
        <w:rPr>
          <w:b/>
        </w:rPr>
        <w:t>comme</w:t>
      </w:r>
      <w:r w:rsidR="00B93C36" w:rsidRPr="005E6007">
        <w:rPr>
          <w:b/>
        </w:rPr>
        <w:t xml:space="preserve"> bénéficiaires. </w:t>
      </w:r>
    </w:p>
    <w:p w14:paraId="0FDCEF8A" w14:textId="03C2282B" w:rsidR="00C3571F" w:rsidRPr="00C3571F" w:rsidRDefault="00933AE9" w:rsidP="00933AE9">
      <w:pPr>
        <w:pStyle w:val="H23G"/>
        <w:spacing w:after="200"/>
        <w:rPr>
          <w:lang w:val="fr-FR"/>
        </w:rPr>
      </w:pPr>
      <w:r>
        <w:rPr>
          <w:lang w:val="fr-FR"/>
        </w:rPr>
        <w:tab/>
      </w:r>
      <w:r>
        <w:rPr>
          <w:lang w:val="fr-FR"/>
        </w:rPr>
        <w:tab/>
      </w:r>
      <w:r w:rsidR="00551879">
        <w:rPr>
          <w:lang w:val="fr-FR"/>
        </w:rPr>
        <w:t>Droit à l’eau potable et à l’assainissement</w:t>
      </w:r>
    </w:p>
    <w:p w14:paraId="29DE2866" w14:textId="237963E6" w:rsidR="00C3571F" w:rsidRDefault="00C61517" w:rsidP="00C61517">
      <w:pPr>
        <w:pStyle w:val="SingleTxtG"/>
        <w:rPr>
          <w:lang w:val="fr-FR"/>
        </w:rPr>
      </w:pPr>
      <w:r>
        <w:rPr>
          <w:lang w:val="fr-FR"/>
        </w:rPr>
        <w:t>42.</w:t>
      </w:r>
      <w:r>
        <w:rPr>
          <w:lang w:val="fr-FR"/>
        </w:rPr>
        <w:tab/>
      </w:r>
      <w:r w:rsidR="009E0211" w:rsidRPr="009E0211">
        <w:rPr>
          <w:lang w:val="fr-FR"/>
        </w:rPr>
        <w:t xml:space="preserve">Le </w:t>
      </w:r>
      <w:r w:rsidR="00C3571F">
        <w:rPr>
          <w:lang w:val="fr-FR"/>
        </w:rPr>
        <w:t>Comité se déclare préoccupé par</w:t>
      </w:r>
      <w:r w:rsidR="00551879">
        <w:rPr>
          <w:lang w:val="fr-FR"/>
        </w:rPr>
        <w:t xml:space="preserve"> </w:t>
      </w:r>
      <w:r w:rsidR="00C3571F">
        <w:rPr>
          <w:lang w:val="fr-FR"/>
        </w:rPr>
        <w:t xml:space="preserve">le </w:t>
      </w:r>
      <w:r w:rsidR="009E0211" w:rsidRPr="009E0211">
        <w:rPr>
          <w:lang w:val="fr-FR"/>
        </w:rPr>
        <w:t>déficit en eau</w:t>
      </w:r>
      <w:r w:rsidR="00C3571F">
        <w:rPr>
          <w:lang w:val="fr-FR"/>
        </w:rPr>
        <w:t>,</w:t>
      </w:r>
      <w:r w:rsidR="009E0211" w:rsidRPr="009E0211">
        <w:rPr>
          <w:lang w:val="fr-FR"/>
        </w:rPr>
        <w:t xml:space="preserve"> </w:t>
      </w:r>
      <w:r w:rsidR="00C3571F">
        <w:rPr>
          <w:lang w:val="fr-FR"/>
        </w:rPr>
        <w:t xml:space="preserve">l’insuffisance de </w:t>
      </w:r>
      <w:r w:rsidR="009E0211" w:rsidRPr="009E0211">
        <w:rPr>
          <w:lang w:val="fr-FR"/>
        </w:rPr>
        <w:t>la mise à disposition du public de l</w:t>
      </w:r>
      <w:r w:rsidR="00383388" w:rsidRPr="00383388">
        <w:rPr>
          <w:lang w:val="fr-FR"/>
        </w:rPr>
        <w:t>’</w:t>
      </w:r>
      <w:r w:rsidR="009E0211" w:rsidRPr="009E0211">
        <w:rPr>
          <w:lang w:val="fr-FR"/>
        </w:rPr>
        <w:t>eau potable</w:t>
      </w:r>
      <w:r w:rsidR="00383388">
        <w:rPr>
          <w:lang w:val="fr-FR"/>
        </w:rPr>
        <w:t>,</w:t>
      </w:r>
      <w:r w:rsidR="005C7916">
        <w:rPr>
          <w:lang w:val="fr-FR"/>
        </w:rPr>
        <w:t xml:space="preserve"> en particulier</w:t>
      </w:r>
      <w:r w:rsidR="009E0211" w:rsidRPr="009E0211">
        <w:rPr>
          <w:lang w:val="fr-FR"/>
        </w:rPr>
        <w:t xml:space="preserve"> dans les zones rurales</w:t>
      </w:r>
      <w:r w:rsidR="00C3571F">
        <w:rPr>
          <w:lang w:val="fr-FR"/>
        </w:rPr>
        <w:t xml:space="preserve">, ainsi que </w:t>
      </w:r>
      <w:r w:rsidR="0084504B">
        <w:rPr>
          <w:lang w:val="fr-FR"/>
        </w:rPr>
        <w:t xml:space="preserve">les </w:t>
      </w:r>
      <w:r w:rsidR="009E0211" w:rsidRPr="009E0211">
        <w:rPr>
          <w:lang w:val="fr-FR"/>
        </w:rPr>
        <w:t xml:space="preserve">coupures </w:t>
      </w:r>
      <w:r w:rsidR="00C3571F">
        <w:rPr>
          <w:lang w:val="fr-FR"/>
        </w:rPr>
        <w:t xml:space="preserve">fréquentes et prolongées </w:t>
      </w:r>
      <w:r w:rsidR="009E0211" w:rsidRPr="009E0211">
        <w:rPr>
          <w:lang w:val="fr-FR"/>
        </w:rPr>
        <w:t>d</w:t>
      </w:r>
      <w:r w:rsidR="0084504B" w:rsidRPr="0084504B">
        <w:rPr>
          <w:lang w:val="fr-FR"/>
        </w:rPr>
        <w:t>’</w:t>
      </w:r>
      <w:r w:rsidR="009E0211" w:rsidRPr="009E0211">
        <w:rPr>
          <w:lang w:val="fr-FR"/>
        </w:rPr>
        <w:t>eau dans les zones touchées</w:t>
      </w:r>
      <w:r w:rsidR="00551879">
        <w:rPr>
          <w:lang w:val="fr-FR"/>
        </w:rPr>
        <w:t>. Il note avec préoccupation que</w:t>
      </w:r>
      <w:r w:rsidR="00C3571F">
        <w:rPr>
          <w:lang w:val="fr-FR"/>
        </w:rPr>
        <w:t xml:space="preserve"> le traitement d</w:t>
      </w:r>
      <w:r w:rsidR="00066B3E" w:rsidRPr="00066B3E">
        <w:rPr>
          <w:lang w:val="fr-FR"/>
        </w:rPr>
        <w:t>’</w:t>
      </w:r>
      <w:r w:rsidR="00066B3E">
        <w:rPr>
          <w:lang w:val="fr-FR"/>
        </w:rPr>
        <w:t>une</w:t>
      </w:r>
      <w:r w:rsidR="00C3571F">
        <w:rPr>
          <w:lang w:val="fr-FR"/>
        </w:rPr>
        <w:t xml:space="preserve"> grande partie des </w:t>
      </w:r>
      <w:r w:rsidR="009E0211" w:rsidRPr="009E0211">
        <w:rPr>
          <w:lang w:val="fr-FR"/>
        </w:rPr>
        <w:t>eaux usées</w:t>
      </w:r>
      <w:r w:rsidR="00C3571F">
        <w:rPr>
          <w:lang w:val="fr-FR"/>
        </w:rPr>
        <w:t xml:space="preserve"> (</w:t>
      </w:r>
      <w:r w:rsidR="00F76371">
        <w:rPr>
          <w:lang w:val="fr-FR"/>
        </w:rPr>
        <w:t>jusqu</w:t>
      </w:r>
      <w:r w:rsidR="0084504B" w:rsidRPr="0084504B">
        <w:rPr>
          <w:lang w:val="fr-FR"/>
        </w:rPr>
        <w:t>’</w:t>
      </w:r>
      <w:r w:rsidR="00F76371">
        <w:rPr>
          <w:lang w:val="fr-FR"/>
        </w:rPr>
        <w:t xml:space="preserve">à </w:t>
      </w:r>
      <w:r w:rsidR="00C3571F">
        <w:rPr>
          <w:lang w:val="fr-FR"/>
        </w:rPr>
        <w:t>61</w:t>
      </w:r>
      <w:r w:rsidR="00701243">
        <w:rPr>
          <w:lang w:val="fr-FR"/>
        </w:rPr>
        <w:t> </w:t>
      </w:r>
      <w:r w:rsidR="00C3571F">
        <w:rPr>
          <w:lang w:val="fr-FR"/>
        </w:rPr>
        <w:t>%</w:t>
      </w:r>
      <w:r w:rsidR="00F76371">
        <w:rPr>
          <w:lang w:val="fr-FR"/>
        </w:rPr>
        <w:t xml:space="preserve"> selon </w:t>
      </w:r>
      <w:r w:rsidR="00D632EF">
        <w:rPr>
          <w:lang w:val="fr-FR"/>
        </w:rPr>
        <w:t>la Cour des comptes</w:t>
      </w:r>
      <w:r w:rsidR="00C3571F">
        <w:rPr>
          <w:lang w:val="fr-FR"/>
        </w:rPr>
        <w:t>)</w:t>
      </w:r>
      <w:r w:rsidR="009E0211" w:rsidRPr="009E0211">
        <w:rPr>
          <w:lang w:val="fr-FR"/>
        </w:rPr>
        <w:t xml:space="preserve"> ne répond</w:t>
      </w:r>
      <w:r w:rsidR="00C3571F">
        <w:rPr>
          <w:lang w:val="fr-FR"/>
        </w:rPr>
        <w:t xml:space="preserve"> pas aux normes minimales</w:t>
      </w:r>
      <w:r w:rsidR="004E6D5D">
        <w:rPr>
          <w:lang w:val="fr-FR"/>
        </w:rPr>
        <w:t xml:space="preserve">, </w:t>
      </w:r>
      <w:r w:rsidR="00C3571F">
        <w:rPr>
          <w:lang w:val="fr-FR"/>
        </w:rPr>
        <w:t>ce qui représente un danger</w:t>
      </w:r>
      <w:r w:rsidR="009E0211" w:rsidRPr="009E0211">
        <w:rPr>
          <w:lang w:val="fr-FR"/>
        </w:rPr>
        <w:t xml:space="preserve"> pour la santé </w:t>
      </w:r>
      <w:r w:rsidR="00C3571F">
        <w:rPr>
          <w:lang w:val="fr-FR"/>
        </w:rPr>
        <w:t xml:space="preserve">et </w:t>
      </w:r>
      <w:r w:rsidR="00551879">
        <w:rPr>
          <w:lang w:val="fr-FR"/>
        </w:rPr>
        <w:t>l</w:t>
      </w:r>
      <w:r w:rsidR="0084504B" w:rsidRPr="0084504B">
        <w:rPr>
          <w:lang w:val="fr-FR"/>
        </w:rPr>
        <w:t>’</w:t>
      </w:r>
      <w:r w:rsidR="00551879">
        <w:rPr>
          <w:lang w:val="fr-FR"/>
        </w:rPr>
        <w:t>environnement</w:t>
      </w:r>
      <w:r w:rsidR="00D632EF">
        <w:rPr>
          <w:lang w:val="fr-FR"/>
        </w:rPr>
        <w:t>, d</w:t>
      </w:r>
      <w:r w:rsidR="0084504B" w:rsidRPr="0084504B">
        <w:rPr>
          <w:lang w:val="fr-FR"/>
        </w:rPr>
        <w:t>’</w:t>
      </w:r>
      <w:r w:rsidR="00D632EF">
        <w:rPr>
          <w:lang w:val="fr-FR"/>
        </w:rPr>
        <w:t>autant que 25</w:t>
      </w:r>
      <w:r w:rsidR="00701243">
        <w:rPr>
          <w:lang w:val="fr-FR"/>
        </w:rPr>
        <w:t> </w:t>
      </w:r>
      <w:r w:rsidR="00D632EF">
        <w:rPr>
          <w:lang w:val="fr-FR"/>
        </w:rPr>
        <w:t>% de ces eaux usées sont utilisées pour l</w:t>
      </w:r>
      <w:r w:rsidR="0084504B" w:rsidRPr="0084504B">
        <w:rPr>
          <w:lang w:val="fr-FR"/>
        </w:rPr>
        <w:t>’</w:t>
      </w:r>
      <w:r w:rsidR="00D632EF">
        <w:rPr>
          <w:lang w:val="fr-FR"/>
        </w:rPr>
        <w:t>irrigation</w:t>
      </w:r>
      <w:r w:rsidR="00551879">
        <w:rPr>
          <w:lang w:val="fr-FR"/>
        </w:rPr>
        <w:t xml:space="preserve"> (art.</w:t>
      </w:r>
      <w:r w:rsidR="00474A52">
        <w:rPr>
          <w:lang w:val="fr-FR"/>
        </w:rPr>
        <w:t> </w:t>
      </w:r>
      <w:r w:rsidR="00551879">
        <w:rPr>
          <w:lang w:val="fr-FR"/>
        </w:rPr>
        <w:t>11).</w:t>
      </w:r>
    </w:p>
    <w:p w14:paraId="4AC08B6C" w14:textId="74B6CA3C" w:rsidR="00C3571F" w:rsidRPr="00D374F7" w:rsidRDefault="00C61517" w:rsidP="00C61517">
      <w:pPr>
        <w:pStyle w:val="SingleTxtG"/>
        <w:rPr>
          <w:b/>
          <w:lang w:val="fr-FR"/>
        </w:rPr>
      </w:pPr>
      <w:r w:rsidRPr="00D374F7">
        <w:rPr>
          <w:lang w:val="fr-FR"/>
        </w:rPr>
        <w:t>43.</w:t>
      </w:r>
      <w:r w:rsidRPr="00D374F7">
        <w:rPr>
          <w:lang w:val="fr-FR"/>
        </w:rPr>
        <w:tab/>
      </w:r>
      <w:r w:rsidR="00C3571F" w:rsidRPr="00D374F7">
        <w:rPr>
          <w:b/>
          <w:lang w:val="fr-FR"/>
        </w:rPr>
        <w:t>Le Comit</w:t>
      </w:r>
      <w:r w:rsidR="00D374F7" w:rsidRPr="00D374F7">
        <w:rPr>
          <w:b/>
          <w:lang w:val="fr-FR"/>
        </w:rPr>
        <w:t>é demande instamment à l’</w:t>
      </w:r>
      <w:r w:rsidR="00B143CD">
        <w:rPr>
          <w:b/>
          <w:lang w:val="fr-FR"/>
        </w:rPr>
        <w:t>État</w:t>
      </w:r>
      <w:r w:rsidR="00C3571F" w:rsidRPr="00D374F7">
        <w:rPr>
          <w:b/>
          <w:lang w:val="fr-FR"/>
        </w:rPr>
        <w:t xml:space="preserve"> partie d’investir davantage de ressources dans l’amélioration de l’approvisionnement en eau potable et des systèmes d’assainissement, en particulier dans les zones rurales, et de prendre promptement des dispositions pour protéger l’eau, le sol et l’air contre la contamination. </w:t>
      </w:r>
      <w:r w:rsidR="00D374F7" w:rsidRPr="00D374F7">
        <w:rPr>
          <w:b/>
          <w:lang w:val="fr-FR"/>
        </w:rPr>
        <w:t>I</w:t>
      </w:r>
      <w:r w:rsidR="00C3571F" w:rsidRPr="00D374F7">
        <w:rPr>
          <w:b/>
          <w:lang w:val="fr-FR"/>
        </w:rPr>
        <w:t>l renvoie l’</w:t>
      </w:r>
      <w:r w:rsidR="00B143CD">
        <w:rPr>
          <w:b/>
          <w:lang w:val="fr-FR"/>
        </w:rPr>
        <w:t>État</w:t>
      </w:r>
      <w:r w:rsidR="00C3571F" w:rsidRPr="00D374F7">
        <w:rPr>
          <w:b/>
          <w:lang w:val="fr-FR"/>
        </w:rPr>
        <w:t xml:space="preserve"> part</w:t>
      </w:r>
      <w:r w:rsidR="00BD04BE">
        <w:rPr>
          <w:b/>
          <w:lang w:val="fr-FR"/>
        </w:rPr>
        <w:t>ie à son observation générale n</w:t>
      </w:r>
      <w:r w:rsidR="005A2135" w:rsidRPr="00C61517">
        <w:rPr>
          <w:b/>
          <w:vertAlign w:val="superscript"/>
          <w:lang w:val="fr-FR"/>
        </w:rPr>
        <w:t>o</w:t>
      </w:r>
      <w:r w:rsidR="005A2135">
        <w:rPr>
          <w:b/>
          <w:lang w:val="fr-FR"/>
        </w:rPr>
        <w:t> </w:t>
      </w:r>
      <w:r w:rsidR="00C3571F" w:rsidRPr="00D374F7">
        <w:rPr>
          <w:b/>
          <w:lang w:val="fr-FR"/>
        </w:rPr>
        <w:t>15 (</w:t>
      </w:r>
      <w:r w:rsidR="00877BEE" w:rsidRPr="00D374F7">
        <w:rPr>
          <w:b/>
          <w:lang w:val="fr-FR"/>
        </w:rPr>
        <w:t>200</w:t>
      </w:r>
      <w:r w:rsidR="00877BEE">
        <w:rPr>
          <w:b/>
          <w:lang w:val="fr-FR"/>
        </w:rPr>
        <w:t>2</w:t>
      </w:r>
      <w:r w:rsidR="00C3571F" w:rsidRPr="00D374F7">
        <w:rPr>
          <w:b/>
          <w:lang w:val="fr-FR"/>
        </w:rPr>
        <w:t>) sur le droit à l’eau et à sa déclaration sur le droit à l’assainissement</w:t>
      </w:r>
      <w:r w:rsidR="002541E1">
        <w:rPr>
          <w:b/>
          <w:lang w:val="fr-FR"/>
        </w:rPr>
        <w:t xml:space="preserve"> </w:t>
      </w:r>
      <w:r w:rsidR="00E46530">
        <w:rPr>
          <w:b/>
          <w:lang w:val="fr-FR"/>
        </w:rPr>
        <w:t>(</w:t>
      </w:r>
      <w:r w:rsidR="008E43FA">
        <w:rPr>
          <w:b/>
          <w:lang w:val="fr-FR"/>
        </w:rPr>
        <w:t>E/C.12/</w:t>
      </w:r>
      <w:r w:rsidR="00FD2DA4">
        <w:rPr>
          <w:b/>
          <w:lang w:val="fr-FR"/>
        </w:rPr>
        <w:t>2010</w:t>
      </w:r>
      <w:r w:rsidR="008E43FA">
        <w:rPr>
          <w:b/>
          <w:lang w:val="fr-FR"/>
        </w:rPr>
        <w:t>/1</w:t>
      </w:r>
      <w:r w:rsidR="00E46530">
        <w:rPr>
          <w:b/>
          <w:lang w:val="fr-FR"/>
        </w:rPr>
        <w:t>)</w:t>
      </w:r>
      <w:r w:rsidR="002541E1">
        <w:rPr>
          <w:b/>
          <w:lang w:val="fr-FR"/>
        </w:rPr>
        <w:t>, adoptée le 19 novembre 2010</w:t>
      </w:r>
      <w:r w:rsidR="00C3571F" w:rsidRPr="00D374F7">
        <w:rPr>
          <w:b/>
          <w:lang w:val="fr-FR"/>
        </w:rPr>
        <w:t>.</w:t>
      </w:r>
    </w:p>
    <w:p w14:paraId="57B19B2E" w14:textId="77777777" w:rsidR="0039252D" w:rsidRPr="0039252D" w:rsidRDefault="0039252D" w:rsidP="00014F84">
      <w:pPr>
        <w:pStyle w:val="H23G"/>
        <w:rPr>
          <w:lang w:val="fr-FR"/>
        </w:rPr>
      </w:pPr>
      <w:r>
        <w:rPr>
          <w:b w:val="0"/>
          <w:lang w:val="fr-FR"/>
        </w:rPr>
        <w:lastRenderedPageBreak/>
        <w:tab/>
      </w:r>
      <w:r>
        <w:rPr>
          <w:b w:val="0"/>
          <w:lang w:val="fr-FR"/>
        </w:rPr>
        <w:tab/>
      </w:r>
      <w:r>
        <w:rPr>
          <w:lang w:val="fr-FR"/>
        </w:rPr>
        <w:t xml:space="preserve">Droit </w:t>
      </w:r>
      <w:r w:rsidR="00551879">
        <w:rPr>
          <w:lang w:val="fr-FR"/>
        </w:rPr>
        <w:t>à un logement adéquat et abordable</w:t>
      </w:r>
    </w:p>
    <w:p w14:paraId="539B1198" w14:textId="7D31A5E9" w:rsidR="0039252D" w:rsidRPr="0039252D" w:rsidRDefault="00C61517" w:rsidP="00014F84">
      <w:pPr>
        <w:pStyle w:val="SingleTxtG"/>
        <w:keepNext/>
        <w:keepLines/>
        <w:rPr>
          <w:lang w:val="fr-FR"/>
        </w:rPr>
      </w:pPr>
      <w:r w:rsidRPr="0039252D">
        <w:rPr>
          <w:lang w:val="fr-FR"/>
        </w:rPr>
        <w:t>44.</w:t>
      </w:r>
      <w:r w:rsidRPr="0039252D">
        <w:rPr>
          <w:lang w:val="fr-FR"/>
        </w:rPr>
        <w:tab/>
      </w:r>
      <w:r w:rsidR="00BC695D">
        <w:rPr>
          <w:lang w:val="fr-FR"/>
        </w:rPr>
        <w:t xml:space="preserve">Le Comité </w:t>
      </w:r>
      <w:r w:rsidR="00D374F7">
        <w:rPr>
          <w:lang w:val="fr-FR"/>
        </w:rPr>
        <w:t xml:space="preserve">note l’existence du </w:t>
      </w:r>
      <w:r w:rsidR="00D374F7" w:rsidRPr="009E0211">
        <w:rPr>
          <w:lang w:val="fr-FR"/>
        </w:rPr>
        <w:t xml:space="preserve">programme public </w:t>
      </w:r>
      <w:r w:rsidR="00D374F7">
        <w:rPr>
          <w:lang w:val="fr-FR"/>
        </w:rPr>
        <w:t xml:space="preserve">du logement social, </w:t>
      </w:r>
      <w:r w:rsidR="00D374F7" w:rsidRPr="009E0211">
        <w:rPr>
          <w:lang w:val="fr-FR"/>
        </w:rPr>
        <w:t>mis en place en 2012 pour assurer l</w:t>
      </w:r>
      <w:r w:rsidR="00E96F55" w:rsidRPr="00E96F55">
        <w:rPr>
          <w:lang w:val="fr-FR"/>
        </w:rPr>
        <w:t>’</w:t>
      </w:r>
      <w:r w:rsidR="00D374F7" w:rsidRPr="009E0211">
        <w:rPr>
          <w:lang w:val="fr-FR"/>
        </w:rPr>
        <w:t>accès à un logement convenable et abordable</w:t>
      </w:r>
      <w:r w:rsidR="008E43FA">
        <w:rPr>
          <w:lang w:val="fr-FR"/>
        </w:rPr>
        <w:t>. Il</w:t>
      </w:r>
      <w:r w:rsidR="00D374F7">
        <w:rPr>
          <w:lang w:val="fr-FR"/>
        </w:rPr>
        <w:t xml:space="preserve"> déplore</w:t>
      </w:r>
      <w:r w:rsidR="00BC695D">
        <w:rPr>
          <w:lang w:val="fr-FR"/>
        </w:rPr>
        <w:t xml:space="preserve"> </w:t>
      </w:r>
      <w:r w:rsidR="008E43FA">
        <w:rPr>
          <w:lang w:val="fr-FR"/>
        </w:rPr>
        <w:t xml:space="preserve">cependant </w:t>
      </w:r>
      <w:r w:rsidR="00BC695D">
        <w:rPr>
          <w:lang w:val="fr-FR"/>
        </w:rPr>
        <w:t xml:space="preserve">l’insuffisance des </w:t>
      </w:r>
      <w:r w:rsidR="004F320D">
        <w:rPr>
          <w:lang w:val="fr-FR"/>
        </w:rPr>
        <w:t>moyens investi</w:t>
      </w:r>
      <w:r w:rsidR="00BC695D">
        <w:rPr>
          <w:lang w:val="fr-FR"/>
        </w:rPr>
        <w:t xml:space="preserve">s pour soutenir les politiques </w:t>
      </w:r>
      <w:r w:rsidR="000F31CB">
        <w:rPr>
          <w:lang w:val="fr-FR"/>
        </w:rPr>
        <w:t>publiques</w:t>
      </w:r>
      <w:r w:rsidR="00BC695D">
        <w:rPr>
          <w:lang w:val="fr-FR"/>
        </w:rPr>
        <w:t xml:space="preserve"> visant à réaliser l</w:t>
      </w:r>
      <w:r w:rsidR="00551879">
        <w:rPr>
          <w:lang w:val="fr-FR"/>
        </w:rPr>
        <w:t>e droit à un logement suffisant (art.</w:t>
      </w:r>
      <w:r w:rsidR="00474A52">
        <w:rPr>
          <w:lang w:val="fr-FR"/>
        </w:rPr>
        <w:t> </w:t>
      </w:r>
      <w:r w:rsidR="00551879">
        <w:rPr>
          <w:lang w:val="fr-FR"/>
        </w:rPr>
        <w:t>11).</w:t>
      </w:r>
    </w:p>
    <w:p w14:paraId="7EFEE4E8" w14:textId="68721F8F" w:rsidR="00551879" w:rsidRDefault="00C61517" w:rsidP="00C61517">
      <w:pPr>
        <w:pStyle w:val="SingleTxtG"/>
        <w:rPr>
          <w:b/>
          <w:lang w:val="fr-FR"/>
        </w:rPr>
      </w:pPr>
      <w:r>
        <w:rPr>
          <w:lang w:val="fr-FR"/>
        </w:rPr>
        <w:t>45.</w:t>
      </w:r>
      <w:r>
        <w:rPr>
          <w:lang w:val="fr-FR"/>
        </w:rPr>
        <w:tab/>
      </w:r>
      <w:r w:rsidR="001B5A0E">
        <w:rPr>
          <w:b/>
          <w:lang w:val="fr-FR"/>
        </w:rPr>
        <w:t xml:space="preserve">Attirant l’attention de l’État partie </w:t>
      </w:r>
      <w:r w:rsidR="00AB62B9">
        <w:rPr>
          <w:b/>
          <w:lang w:val="fr-FR"/>
        </w:rPr>
        <w:t xml:space="preserve">sur </w:t>
      </w:r>
      <w:r w:rsidR="001B5A0E">
        <w:rPr>
          <w:b/>
          <w:lang w:val="fr-FR"/>
        </w:rPr>
        <w:t xml:space="preserve">son observation générale </w:t>
      </w:r>
      <w:r w:rsidR="00474A52">
        <w:rPr>
          <w:b/>
          <w:lang w:val="fr-FR"/>
        </w:rPr>
        <w:t>n</w:t>
      </w:r>
      <w:r w:rsidR="00474A52" w:rsidRPr="00C61517">
        <w:rPr>
          <w:b/>
          <w:vertAlign w:val="superscript"/>
          <w:lang w:val="fr-FR"/>
        </w:rPr>
        <w:t>o</w:t>
      </w:r>
      <w:r w:rsidR="00474A52">
        <w:rPr>
          <w:b/>
          <w:lang w:val="fr-FR"/>
        </w:rPr>
        <w:t> </w:t>
      </w:r>
      <w:r w:rsidR="001B5A0E">
        <w:rPr>
          <w:b/>
          <w:lang w:val="fr-FR"/>
        </w:rPr>
        <w:t>4 (1991) sur le droit à un logement suffisant, l</w:t>
      </w:r>
      <w:r w:rsidR="0039252D">
        <w:rPr>
          <w:b/>
          <w:lang w:val="fr-FR"/>
        </w:rPr>
        <w:t>e Comité</w:t>
      </w:r>
      <w:r w:rsidR="00BC695D">
        <w:rPr>
          <w:b/>
          <w:lang w:val="fr-FR"/>
        </w:rPr>
        <w:t xml:space="preserve"> exhorte l’État partie</w:t>
      </w:r>
      <w:r w:rsidR="00BC2C3B">
        <w:rPr>
          <w:b/>
          <w:lang w:val="fr-FR"/>
        </w:rPr>
        <w:t xml:space="preserve"> </w:t>
      </w:r>
      <w:r w:rsidR="00551879">
        <w:rPr>
          <w:b/>
          <w:lang w:val="fr-FR"/>
        </w:rPr>
        <w:t>à i</w:t>
      </w:r>
      <w:r w:rsidR="00BC695D" w:rsidRPr="00C1320B">
        <w:rPr>
          <w:b/>
          <w:lang w:val="fr-FR"/>
        </w:rPr>
        <w:t>nvestir</w:t>
      </w:r>
      <w:r w:rsidR="00CD584F" w:rsidRPr="00C1320B">
        <w:rPr>
          <w:b/>
          <w:lang w:val="fr-FR"/>
        </w:rPr>
        <w:t xml:space="preserve">, sur la base </w:t>
      </w:r>
      <w:r w:rsidR="005E1985">
        <w:rPr>
          <w:b/>
          <w:lang w:val="fr-FR"/>
        </w:rPr>
        <w:t>d</w:t>
      </w:r>
      <w:r w:rsidR="00E96F55" w:rsidRPr="00E96F55">
        <w:rPr>
          <w:b/>
          <w:lang w:val="fr-FR"/>
        </w:rPr>
        <w:t>’</w:t>
      </w:r>
      <w:r w:rsidR="005E1985">
        <w:rPr>
          <w:b/>
          <w:lang w:val="fr-FR"/>
        </w:rPr>
        <w:t>un ciblage</w:t>
      </w:r>
      <w:r w:rsidR="00CD584F" w:rsidRPr="00C1320B">
        <w:rPr>
          <w:b/>
          <w:lang w:val="fr-FR"/>
        </w:rPr>
        <w:t xml:space="preserve"> géographique</w:t>
      </w:r>
      <w:r w:rsidR="005E1985">
        <w:rPr>
          <w:b/>
          <w:lang w:val="fr-FR"/>
        </w:rPr>
        <w:t xml:space="preserve"> approprié</w:t>
      </w:r>
      <w:r w:rsidR="00CD584F" w:rsidRPr="00C1320B">
        <w:rPr>
          <w:b/>
          <w:lang w:val="fr-FR"/>
        </w:rPr>
        <w:t>,</w:t>
      </w:r>
      <w:r w:rsidR="00BC695D" w:rsidRPr="00C1320B">
        <w:rPr>
          <w:b/>
          <w:lang w:val="fr-FR"/>
        </w:rPr>
        <w:t xml:space="preserve"> des ressources proportionnelles à l’ampleur </w:t>
      </w:r>
      <w:r w:rsidR="005E1985">
        <w:rPr>
          <w:b/>
          <w:lang w:val="fr-FR"/>
        </w:rPr>
        <w:t>des besoins en matière</w:t>
      </w:r>
      <w:r w:rsidR="00BC695D" w:rsidRPr="00C1320B">
        <w:rPr>
          <w:b/>
          <w:lang w:val="fr-FR"/>
        </w:rPr>
        <w:t xml:space="preserve"> de logement</w:t>
      </w:r>
      <w:r w:rsidR="00551879">
        <w:rPr>
          <w:b/>
          <w:lang w:val="fr-FR"/>
        </w:rPr>
        <w:t>.</w:t>
      </w:r>
    </w:p>
    <w:p w14:paraId="7B0737FD" w14:textId="279679FE" w:rsidR="00C70923" w:rsidRDefault="00D374F7" w:rsidP="005E6007">
      <w:pPr>
        <w:pStyle w:val="H23G"/>
        <w:rPr>
          <w:lang w:val="fr-FR"/>
        </w:rPr>
      </w:pPr>
      <w:r>
        <w:rPr>
          <w:lang w:val="fr-FR"/>
        </w:rPr>
        <w:tab/>
      </w:r>
      <w:r w:rsidR="00F91520">
        <w:rPr>
          <w:lang w:val="fr-FR"/>
        </w:rPr>
        <w:tab/>
      </w:r>
      <w:r w:rsidR="000F5C21">
        <w:rPr>
          <w:lang w:val="fr-FR"/>
        </w:rPr>
        <w:t>L</w:t>
      </w:r>
      <w:r w:rsidR="000F5C21" w:rsidRPr="000F5C21">
        <w:rPr>
          <w:lang w:val="fr-FR"/>
        </w:rPr>
        <w:t xml:space="preserve">ogements </w:t>
      </w:r>
      <w:r w:rsidR="00253C5E" w:rsidRPr="000F5C21">
        <w:rPr>
          <w:lang w:val="fr-FR"/>
        </w:rPr>
        <w:t>précaires</w:t>
      </w:r>
      <w:r w:rsidR="004D6E03">
        <w:rPr>
          <w:lang w:val="fr-FR"/>
        </w:rPr>
        <w:t xml:space="preserve">, </w:t>
      </w:r>
      <w:r w:rsidR="00BE7606">
        <w:rPr>
          <w:lang w:val="fr-FR"/>
        </w:rPr>
        <w:t>expuls</w:t>
      </w:r>
      <w:r w:rsidR="004D6E03">
        <w:rPr>
          <w:lang w:val="fr-FR"/>
        </w:rPr>
        <w:t>ions forcées et sans-</w:t>
      </w:r>
      <w:proofErr w:type="spellStart"/>
      <w:r w:rsidR="004D6E03">
        <w:rPr>
          <w:lang w:val="fr-FR"/>
        </w:rPr>
        <w:t>abrisme</w:t>
      </w:r>
      <w:proofErr w:type="spellEnd"/>
    </w:p>
    <w:p w14:paraId="45DEC5BF" w14:textId="1FFDD8C7" w:rsidR="00253C5E" w:rsidRDefault="00C61517" w:rsidP="00C61517">
      <w:pPr>
        <w:pStyle w:val="SingleTxtG"/>
        <w:keepNext/>
      </w:pPr>
      <w:r>
        <w:t>46.</w:t>
      </w:r>
      <w:r>
        <w:tab/>
      </w:r>
      <w:r w:rsidR="00541AB0" w:rsidRPr="00C61517">
        <w:rPr>
          <w:lang w:val="fr-FR"/>
        </w:rPr>
        <w:t>Le</w:t>
      </w:r>
      <w:r w:rsidR="00541AB0">
        <w:t xml:space="preserve"> Comité regrette le manque d</w:t>
      </w:r>
      <w:r w:rsidR="00E96F55" w:rsidRPr="00926DC8">
        <w:t>’</w:t>
      </w:r>
      <w:r w:rsidR="00541AB0">
        <w:t>information</w:t>
      </w:r>
      <w:r w:rsidR="00253C5E">
        <w:t>s</w:t>
      </w:r>
      <w:r w:rsidR="00541AB0">
        <w:t xml:space="preserve"> concernant</w:t>
      </w:r>
      <w:r w:rsidR="00E96F55">
        <w:t> :</w:t>
      </w:r>
      <w:r w:rsidR="00541AB0">
        <w:t xml:space="preserve"> </w:t>
      </w:r>
    </w:p>
    <w:p w14:paraId="571CB450" w14:textId="7F24EFD1" w:rsidR="00253C5E" w:rsidRDefault="00A31D1F" w:rsidP="00C61517">
      <w:pPr>
        <w:pStyle w:val="SingleTxtG"/>
        <w:ind w:firstLine="567"/>
      </w:pPr>
      <w:r>
        <w:t>a)</w:t>
      </w:r>
      <w:r>
        <w:tab/>
      </w:r>
      <w:r w:rsidR="00C925A9">
        <w:t>L</w:t>
      </w:r>
      <w:r w:rsidR="00726409">
        <w:t xml:space="preserve">e nombre important de personnes, en particulier de groupes désavantagés et vulnérables, vivant dans des </w:t>
      </w:r>
      <w:r w:rsidR="000F5C21" w:rsidRPr="000F5C21">
        <w:t xml:space="preserve">logements précaires </w:t>
      </w:r>
      <w:r w:rsidR="00047136">
        <w:t>et susceptibles de faire l</w:t>
      </w:r>
      <w:r w:rsidR="00E96F55" w:rsidRPr="00926DC8">
        <w:t>’</w:t>
      </w:r>
      <w:r w:rsidR="00047136">
        <w:t>objet d</w:t>
      </w:r>
      <w:r w:rsidR="00E96F55" w:rsidRPr="00926DC8">
        <w:t>’</w:t>
      </w:r>
      <w:r w:rsidR="00102542">
        <w:t>expulsions</w:t>
      </w:r>
      <w:r w:rsidR="00047136">
        <w:t xml:space="preserve"> forcées et de se </w:t>
      </w:r>
      <w:r w:rsidR="00E96F55">
        <w:t>re</w:t>
      </w:r>
      <w:r w:rsidR="00047136">
        <w:t>trouver sans abri</w:t>
      </w:r>
      <w:r w:rsidR="00C925A9">
        <w:t> </w:t>
      </w:r>
      <w:r w:rsidR="00047136">
        <w:t>;</w:t>
      </w:r>
    </w:p>
    <w:p w14:paraId="72B95134" w14:textId="1B2A619E" w:rsidR="00253C5E" w:rsidRDefault="00A31D1F" w:rsidP="00C61517">
      <w:pPr>
        <w:pStyle w:val="SingleTxtG"/>
        <w:ind w:firstLine="567"/>
      </w:pPr>
      <w:r>
        <w:t>b)</w:t>
      </w:r>
      <w:r>
        <w:tab/>
      </w:r>
      <w:r w:rsidR="00C925A9">
        <w:t>L</w:t>
      </w:r>
      <w:r w:rsidR="00047136">
        <w:t xml:space="preserve">es garanties juridiques </w:t>
      </w:r>
      <w:r w:rsidR="009B76EA">
        <w:t xml:space="preserve">contre les </w:t>
      </w:r>
      <w:r w:rsidR="00253C5E">
        <w:t>expulsions forcées et les expulsions entraînant le phénomène des sans</w:t>
      </w:r>
      <w:r w:rsidR="00E96F55">
        <w:t>-</w:t>
      </w:r>
      <w:r w:rsidR="00253C5E">
        <w:t>abri et les voies de recours pour les victimes de ces expulsions, ainsi que le nombre d’expulsions forcées</w:t>
      </w:r>
      <w:r w:rsidR="00C925A9">
        <w:t> </w:t>
      </w:r>
      <w:r w:rsidR="00253C5E">
        <w:t>;</w:t>
      </w:r>
    </w:p>
    <w:p w14:paraId="3B79CD05" w14:textId="309AF6A9" w:rsidR="00253C5E" w:rsidRPr="00C61517" w:rsidRDefault="00A31D1F" w:rsidP="00C61517">
      <w:pPr>
        <w:pStyle w:val="SingleTxtG"/>
        <w:ind w:firstLine="567"/>
      </w:pPr>
      <w:r>
        <w:t>c)</w:t>
      </w:r>
      <w:r>
        <w:tab/>
      </w:r>
      <w:r w:rsidR="00C925A9">
        <w:t>L</w:t>
      </w:r>
      <w:r w:rsidR="00253C5E">
        <w:t>a portée et l’ampleur du phénomène des sans</w:t>
      </w:r>
      <w:r w:rsidR="00E96F55">
        <w:t>-</w:t>
      </w:r>
      <w:r w:rsidR="00253C5E">
        <w:t>abri.</w:t>
      </w:r>
    </w:p>
    <w:p w14:paraId="4253E4CC" w14:textId="3F86587F" w:rsidR="000F5C21" w:rsidRPr="00C61517" w:rsidRDefault="00C61517" w:rsidP="00C61517">
      <w:pPr>
        <w:pStyle w:val="SingleTxtG"/>
      </w:pPr>
      <w:r w:rsidRPr="00C61517">
        <w:t>47.</w:t>
      </w:r>
      <w:r w:rsidRPr="00C61517">
        <w:tab/>
      </w:r>
      <w:r w:rsidR="00253C5E" w:rsidRPr="00253C5E">
        <w:rPr>
          <w:b/>
        </w:rPr>
        <w:t>Le Comité recommande à l</w:t>
      </w:r>
      <w:r w:rsidR="00F523CF" w:rsidRPr="00F523CF">
        <w:rPr>
          <w:b/>
        </w:rPr>
        <w:t>’</w:t>
      </w:r>
      <w:r w:rsidR="00253C5E" w:rsidRPr="00253C5E">
        <w:rPr>
          <w:b/>
        </w:rPr>
        <w:t xml:space="preserve">État partie de prendre toutes les mesures nécessaires, législatives ou autres, </w:t>
      </w:r>
      <w:r w:rsidR="00B10554">
        <w:rPr>
          <w:b/>
        </w:rPr>
        <w:t>pour s</w:t>
      </w:r>
      <w:r w:rsidR="00B10554" w:rsidRPr="00B10554">
        <w:rPr>
          <w:b/>
        </w:rPr>
        <w:t>’</w:t>
      </w:r>
      <w:r w:rsidR="00253C5E" w:rsidRPr="00253C5E">
        <w:rPr>
          <w:b/>
        </w:rPr>
        <w:t xml:space="preserve">assurer que les personnes qui sont expulsées de force reçoivent un </w:t>
      </w:r>
      <w:r w:rsidR="00253C5E">
        <w:rPr>
          <w:b/>
        </w:rPr>
        <w:t>logement</w:t>
      </w:r>
      <w:r w:rsidR="00253C5E" w:rsidRPr="00253C5E">
        <w:rPr>
          <w:b/>
        </w:rPr>
        <w:t xml:space="preserve"> de </w:t>
      </w:r>
      <w:r w:rsidR="00253C5E">
        <w:rPr>
          <w:b/>
        </w:rPr>
        <w:t>substitution</w:t>
      </w:r>
      <w:r w:rsidR="00253C5E" w:rsidRPr="00253C5E">
        <w:rPr>
          <w:b/>
        </w:rPr>
        <w:t xml:space="preserve"> ou</w:t>
      </w:r>
      <w:r w:rsidR="00B10554">
        <w:rPr>
          <w:b/>
        </w:rPr>
        <w:t xml:space="preserve"> une</w:t>
      </w:r>
      <w:r w:rsidR="00253C5E" w:rsidRPr="00253C5E">
        <w:rPr>
          <w:b/>
        </w:rPr>
        <w:t xml:space="preserve"> </w:t>
      </w:r>
      <w:r w:rsidR="00B01763">
        <w:rPr>
          <w:b/>
        </w:rPr>
        <w:t>indemnisation</w:t>
      </w:r>
      <w:r w:rsidR="00253C5E" w:rsidRPr="00253C5E">
        <w:rPr>
          <w:b/>
        </w:rPr>
        <w:t xml:space="preserve">, conformément aux lignes directrices adoptées par le Comité </w:t>
      </w:r>
      <w:r w:rsidR="00B01763">
        <w:rPr>
          <w:b/>
        </w:rPr>
        <w:t xml:space="preserve">dans son </w:t>
      </w:r>
      <w:r w:rsidR="005A2135">
        <w:rPr>
          <w:b/>
        </w:rPr>
        <w:t>o</w:t>
      </w:r>
      <w:r w:rsidR="00B01763">
        <w:rPr>
          <w:b/>
        </w:rPr>
        <w:t>bservation générale n</w:t>
      </w:r>
      <w:r w:rsidR="005A2135" w:rsidRPr="00C61517">
        <w:rPr>
          <w:b/>
          <w:vertAlign w:val="superscript"/>
        </w:rPr>
        <w:t>o</w:t>
      </w:r>
      <w:r w:rsidR="005A2135">
        <w:rPr>
          <w:b/>
        </w:rPr>
        <w:t> </w:t>
      </w:r>
      <w:r w:rsidR="00253C5E" w:rsidRPr="00253C5E">
        <w:rPr>
          <w:b/>
        </w:rPr>
        <w:t xml:space="preserve">7 </w:t>
      </w:r>
      <w:r w:rsidR="002C26AA">
        <w:rPr>
          <w:b/>
        </w:rPr>
        <w:t xml:space="preserve">(1997) </w:t>
      </w:r>
      <w:r w:rsidR="00253C5E" w:rsidRPr="00253C5E">
        <w:rPr>
          <w:b/>
        </w:rPr>
        <w:t xml:space="preserve">sur les </w:t>
      </w:r>
      <w:r w:rsidR="00B01763">
        <w:rPr>
          <w:b/>
        </w:rPr>
        <w:t xml:space="preserve">expulsions forcées. Le Comité </w:t>
      </w:r>
      <w:r w:rsidR="00253C5E" w:rsidRPr="00253C5E">
        <w:rPr>
          <w:b/>
        </w:rPr>
        <w:t>engage également l</w:t>
      </w:r>
      <w:r w:rsidR="00B10554" w:rsidRPr="00B10554">
        <w:rPr>
          <w:b/>
        </w:rPr>
        <w:t>’</w:t>
      </w:r>
      <w:r w:rsidR="00253C5E" w:rsidRPr="00253C5E">
        <w:rPr>
          <w:b/>
        </w:rPr>
        <w:t>État partie à fournir</w:t>
      </w:r>
      <w:r w:rsidR="00CD34C9">
        <w:rPr>
          <w:b/>
        </w:rPr>
        <w:t>,</w:t>
      </w:r>
      <w:r w:rsidR="00253C5E" w:rsidRPr="00253C5E">
        <w:rPr>
          <w:b/>
        </w:rPr>
        <w:t xml:space="preserve"> dans son prochain rapport périodique</w:t>
      </w:r>
      <w:r w:rsidR="00CD34C9">
        <w:rPr>
          <w:b/>
        </w:rPr>
        <w:t>,</w:t>
      </w:r>
      <w:r w:rsidR="00253C5E" w:rsidRPr="00253C5E">
        <w:rPr>
          <w:b/>
        </w:rPr>
        <w:t xml:space="preserve"> des informations sur l</w:t>
      </w:r>
      <w:r w:rsidR="00B10554" w:rsidRPr="00B10554">
        <w:rPr>
          <w:b/>
        </w:rPr>
        <w:t>’</w:t>
      </w:r>
      <w:r w:rsidR="00253C5E" w:rsidRPr="00253C5E">
        <w:rPr>
          <w:b/>
        </w:rPr>
        <w:t>amp</w:t>
      </w:r>
      <w:r w:rsidR="00B01763">
        <w:rPr>
          <w:b/>
        </w:rPr>
        <w:t>leur du phénomène des sans</w:t>
      </w:r>
      <w:r w:rsidR="00E96F55">
        <w:rPr>
          <w:b/>
        </w:rPr>
        <w:t>-</w:t>
      </w:r>
      <w:r w:rsidR="00B01763">
        <w:rPr>
          <w:b/>
        </w:rPr>
        <w:t>abri</w:t>
      </w:r>
      <w:r w:rsidR="00253C5E" w:rsidRPr="00253C5E">
        <w:rPr>
          <w:b/>
        </w:rPr>
        <w:t xml:space="preserve"> et des données ventilées par âge, sexe et autres critères pertinents, ainsi qu’à établir des </w:t>
      </w:r>
      <w:r w:rsidR="006E796D" w:rsidRPr="00253C5E">
        <w:rPr>
          <w:b/>
        </w:rPr>
        <w:t>m</w:t>
      </w:r>
      <w:r w:rsidR="006E796D">
        <w:rPr>
          <w:b/>
        </w:rPr>
        <w:t>écanismes</w:t>
      </w:r>
      <w:r w:rsidR="00253C5E" w:rsidRPr="00253C5E">
        <w:rPr>
          <w:b/>
        </w:rPr>
        <w:t xml:space="preserve"> efficaces </w:t>
      </w:r>
      <w:r w:rsidR="006E796D">
        <w:rPr>
          <w:b/>
        </w:rPr>
        <w:t>pour</w:t>
      </w:r>
      <w:r w:rsidR="00253C5E" w:rsidRPr="00253C5E">
        <w:rPr>
          <w:b/>
        </w:rPr>
        <w:t xml:space="preserve"> </w:t>
      </w:r>
      <w:r w:rsidR="006E796D">
        <w:rPr>
          <w:b/>
        </w:rPr>
        <w:t xml:space="preserve">mesurer </w:t>
      </w:r>
      <w:r w:rsidR="00253C5E" w:rsidRPr="00253C5E">
        <w:rPr>
          <w:b/>
        </w:rPr>
        <w:t>les progrès accomplis.</w:t>
      </w:r>
    </w:p>
    <w:p w14:paraId="141A9262" w14:textId="7DDAA314" w:rsidR="00FA3048" w:rsidRDefault="00C70923" w:rsidP="005E6007">
      <w:pPr>
        <w:pStyle w:val="H23G"/>
        <w:rPr>
          <w:lang w:val="fr-FR"/>
        </w:rPr>
      </w:pPr>
      <w:r w:rsidRPr="00C61517">
        <w:tab/>
      </w:r>
      <w:r w:rsidR="002C26AA">
        <w:tab/>
      </w:r>
      <w:r w:rsidR="00551879">
        <w:rPr>
          <w:lang w:val="fr-FR"/>
        </w:rPr>
        <w:t>D</w:t>
      </w:r>
      <w:r w:rsidR="00FA3048">
        <w:rPr>
          <w:lang w:val="fr-FR"/>
        </w:rPr>
        <w:t>roit à la santé</w:t>
      </w:r>
    </w:p>
    <w:p w14:paraId="58899361" w14:textId="5A81C599" w:rsidR="00AD380B" w:rsidRDefault="00C61517" w:rsidP="00C61517">
      <w:pPr>
        <w:pStyle w:val="SingleTxtG"/>
        <w:rPr>
          <w:lang w:val="fr-FR"/>
        </w:rPr>
      </w:pPr>
      <w:r>
        <w:rPr>
          <w:lang w:val="fr-FR"/>
        </w:rPr>
        <w:t>48.</w:t>
      </w:r>
      <w:r>
        <w:rPr>
          <w:lang w:val="fr-FR"/>
        </w:rPr>
        <w:tab/>
      </w:r>
      <w:r w:rsidR="00FA3048" w:rsidRPr="00FA3048">
        <w:rPr>
          <w:lang w:val="fr-FR"/>
        </w:rPr>
        <w:t>Le Comité</w:t>
      </w:r>
      <w:r w:rsidR="00DE5FF7">
        <w:rPr>
          <w:lang w:val="fr-FR"/>
        </w:rPr>
        <w:t xml:space="preserve"> </w:t>
      </w:r>
      <w:r w:rsidR="007D5C22">
        <w:rPr>
          <w:lang w:val="fr-FR"/>
        </w:rPr>
        <w:t>note l’existence dans l’</w:t>
      </w:r>
      <w:r w:rsidR="00B143CD">
        <w:rPr>
          <w:lang w:val="fr-FR"/>
        </w:rPr>
        <w:t>État</w:t>
      </w:r>
      <w:r w:rsidR="007D5C22">
        <w:rPr>
          <w:lang w:val="fr-FR"/>
        </w:rPr>
        <w:t xml:space="preserve"> partie de la stratégie nationale de santé. Toutefois, il </w:t>
      </w:r>
      <w:r w:rsidR="00DE5FF7">
        <w:rPr>
          <w:lang w:val="fr-FR"/>
        </w:rPr>
        <w:t>relève avec préoccupation les</w:t>
      </w:r>
      <w:r w:rsidR="00742589">
        <w:rPr>
          <w:lang w:val="fr-FR"/>
        </w:rPr>
        <w:t xml:space="preserve"> situations défavorables</w:t>
      </w:r>
      <w:r w:rsidR="00524923">
        <w:rPr>
          <w:lang w:val="fr-FR"/>
        </w:rPr>
        <w:t xml:space="preserve"> d’accès aux services de santé dan</w:t>
      </w:r>
      <w:r w:rsidR="00742589">
        <w:rPr>
          <w:lang w:val="fr-FR"/>
        </w:rPr>
        <w:t xml:space="preserve">s </w:t>
      </w:r>
      <w:r w:rsidR="00F83E27">
        <w:rPr>
          <w:lang w:val="fr-FR"/>
        </w:rPr>
        <w:t xml:space="preserve">les </w:t>
      </w:r>
      <w:r w:rsidR="00742589">
        <w:rPr>
          <w:lang w:val="fr-FR"/>
        </w:rPr>
        <w:t xml:space="preserve">zones </w:t>
      </w:r>
      <w:r w:rsidR="00524923">
        <w:rPr>
          <w:lang w:val="fr-FR"/>
        </w:rPr>
        <w:t>rurales</w:t>
      </w:r>
      <w:r w:rsidR="00AD380B">
        <w:rPr>
          <w:lang w:val="fr-FR"/>
        </w:rPr>
        <w:t xml:space="preserve"> </w:t>
      </w:r>
      <w:r w:rsidR="00CD34C9">
        <w:rPr>
          <w:lang w:val="fr-FR"/>
        </w:rPr>
        <w:t xml:space="preserve">touchées </w:t>
      </w:r>
      <w:r w:rsidR="00AD2D5F">
        <w:rPr>
          <w:lang w:val="fr-FR"/>
        </w:rPr>
        <w:t>par la désertification médicale</w:t>
      </w:r>
      <w:r w:rsidR="00204E91">
        <w:rPr>
          <w:lang w:val="fr-FR"/>
        </w:rPr>
        <w:t xml:space="preserve">. Il note également la perception de la population </w:t>
      </w:r>
      <w:r w:rsidR="00CA7D22">
        <w:rPr>
          <w:lang w:val="fr-FR"/>
        </w:rPr>
        <w:t>selon</w:t>
      </w:r>
      <w:r w:rsidR="00204E91">
        <w:rPr>
          <w:lang w:val="fr-FR"/>
        </w:rPr>
        <w:t xml:space="preserve"> laquelle l</w:t>
      </w:r>
      <w:r w:rsidR="006C43AC" w:rsidRPr="006C43AC">
        <w:rPr>
          <w:lang w:val="fr-FR"/>
        </w:rPr>
        <w:t>’</w:t>
      </w:r>
      <w:r w:rsidR="00204E91">
        <w:rPr>
          <w:lang w:val="fr-FR"/>
        </w:rPr>
        <w:t xml:space="preserve">accès aux soins de santé est souvent entravé par </w:t>
      </w:r>
      <w:r w:rsidR="00E17710">
        <w:rPr>
          <w:lang w:val="fr-FR"/>
        </w:rPr>
        <w:t>la corruption, et les difficultés qu</w:t>
      </w:r>
      <w:r w:rsidR="006C43AC" w:rsidRPr="006C43AC">
        <w:rPr>
          <w:lang w:val="fr-FR"/>
        </w:rPr>
        <w:t>’</w:t>
      </w:r>
      <w:r w:rsidR="00E17710">
        <w:rPr>
          <w:lang w:val="fr-FR"/>
        </w:rPr>
        <w:t xml:space="preserve">éprouvent les groupes les plus défavorisés </w:t>
      </w:r>
      <w:r w:rsidR="009E0759">
        <w:rPr>
          <w:lang w:val="fr-FR"/>
        </w:rPr>
        <w:t xml:space="preserve">pour </w:t>
      </w:r>
      <w:r w:rsidR="004179D3">
        <w:rPr>
          <w:lang w:val="fr-FR"/>
        </w:rPr>
        <w:t>a</w:t>
      </w:r>
      <w:r w:rsidR="009E0759">
        <w:rPr>
          <w:lang w:val="fr-FR"/>
        </w:rPr>
        <w:t>cheter des</w:t>
      </w:r>
      <w:r w:rsidR="004179D3">
        <w:rPr>
          <w:lang w:val="fr-FR"/>
        </w:rPr>
        <w:t xml:space="preserve"> médicaments </w:t>
      </w:r>
      <w:r w:rsidR="0033742B">
        <w:rPr>
          <w:lang w:val="fr-FR"/>
        </w:rPr>
        <w:t>à un prix abordable</w:t>
      </w:r>
      <w:r w:rsidR="00E17710">
        <w:rPr>
          <w:lang w:val="fr-FR"/>
        </w:rPr>
        <w:t xml:space="preserve"> </w:t>
      </w:r>
      <w:r w:rsidR="00AD380B">
        <w:rPr>
          <w:lang w:val="fr-FR"/>
        </w:rPr>
        <w:t xml:space="preserve">(art. 12, </w:t>
      </w:r>
      <w:r w:rsidR="005F0E95">
        <w:rPr>
          <w:lang w:val="fr-FR"/>
        </w:rPr>
        <w:t>par. 2</w:t>
      </w:r>
      <w:r w:rsidR="00AD380B">
        <w:rPr>
          <w:lang w:val="fr-FR"/>
        </w:rPr>
        <w:t>)</w:t>
      </w:r>
      <w:r w:rsidR="00AD2D5F">
        <w:rPr>
          <w:lang w:val="fr-FR"/>
        </w:rPr>
        <w:t>.</w:t>
      </w:r>
    </w:p>
    <w:p w14:paraId="4276B84F" w14:textId="61F3A159" w:rsidR="0033742B" w:rsidRPr="00825518" w:rsidRDefault="00C61517" w:rsidP="00C61517">
      <w:pPr>
        <w:pStyle w:val="SingleTxtG"/>
        <w:rPr>
          <w:b/>
          <w:lang w:val="fr-FR"/>
        </w:rPr>
      </w:pPr>
      <w:r w:rsidRPr="00825518">
        <w:rPr>
          <w:lang w:val="fr-FR"/>
        </w:rPr>
        <w:t>49.</w:t>
      </w:r>
      <w:r w:rsidRPr="00825518">
        <w:rPr>
          <w:lang w:val="fr-FR"/>
        </w:rPr>
        <w:tab/>
      </w:r>
      <w:r w:rsidR="00AD380B">
        <w:rPr>
          <w:b/>
          <w:lang w:val="fr-FR"/>
        </w:rPr>
        <w:t xml:space="preserve">Le Comité demande à l’État </w:t>
      </w:r>
      <w:r w:rsidR="00674C83">
        <w:rPr>
          <w:b/>
          <w:lang w:val="fr-FR"/>
        </w:rPr>
        <w:t xml:space="preserve">partie </w:t>
      </w:r>
      <w:r w:rsidR="00AD380B">
        <w:rPr>
          <w:b/>
          <w:lang w:val="fr-FR"/>
        </w:rPr>
        <w:t xml:space="preserve">de surveiller </w:t>
      </w:r>
      <w:r w:rsidR="00524923">
        <w:rPr>
          <w:b/>
          <w:lang w:val="fr-FR"/>
        </w:rPr>
        <w:t>de manière régulière</w:t>
      </w:r>
      <w:r w:rsidR="0096085C">
        <w:rPr>
          <w:b/>
          <w:lang w:val="fr-FR"/>
        </w:rPr>
        <w:t xml:space="preserve"> </w:t>
      </w:r>
      <w:r w:rsidR="00AE0ACD">
        <w:rPr>
          <w:b/>
          <w:lang w:val="fr-FR"/>
        </w:rPr>
        <w:t>l</w:t>
      </w:r>
      <w:r w:rsidR="0096085C">
        <w:rPr>
          <w:b/>
          <w:lang w:val="fr-FR"/>
        </w:rPr>
        <w:t>a mise en œuvre de la stratégie nationale de santé</w:t>
      </w:r>
      <w:r w:rsidR="00524923">
        <w:rPr>
          <w:b/>
          <w:lang w:val="fr-FR"/>
        </w:rPr>
        <w:t xml:space="preserve"> </w:t>
      </w:r>
      <w:r w:rsidR="007D5C22">
        <w:rPr>
          <w:b/>
          <w:lang w:val="fr-FR"/>
        </w:rPr>
        <w:t xml:space="preserve">et </w:t>
      </w:r>
      <w:r w:rsidR="00AD380B">
        <w:rPr>
          <w:b/>
          <w:lang w:val="fr-FR"/>
        </w:rPr>
        <w:t>l’efficacité des dispositifs mis en place</w:t>
      </w:r>
      <w:r w:rsidR="00524923">
        <w:rPr>
          <w:b/>
          <w:lang w:val="fr-FR"/>
        </w:rPr>
        <w:t xml:space="preserve"> pour améliorer l’accès aux services de santé dans les zones rurales </w:t>
      </w:r>
      <w:r w:rsidR="00BA23D6">
        <w:rPr>
          <w:b/>
          <w:lang w:val="fr-FR"/>
        </w:rPr>
        <w:t xml:space="preserve">touchées </w:t>
      </w:r>
      <w:r w:rsidR="00524923">
        <w:rPr>
          <w:b/>
          <w:lang w:val="fr-FR"/>
        </w:rPr>
        <w:t xml:space="preserve">par la désertification médicale, de mesurer les retombées </w:t>
      </w:r>
      <w:r w:rsidR="003408CC">
        <w:rPr>
          <w:b/>
          <w:lang w:val="fr-FR"/>
        </w:rPr>
        <w:t xml:space="preserve">de ces dispositifs </w:t>
      </w:r>
      <w:r w:rsidR="00524923">
        <w:rPr>
          <w:b/>
          <w:lang w:val="fr-FR"/>
        </w:rPr>
        <w:t>sur la jouissance du droit à la santé, et de prendre des mesures correctives si nécessaire.</w:t>
      </w:r>
      <w:r w:rsidR="007D5C22">
        <w:rPr>
          <w:b/>
          <w:lang w:val="fr-FR"/>
        </w:rPr>
        <w:t xml:space="preserve"> </w:t>
      </w:r>
      <w:r w:rsidR="0033742B" w:rsidRPr="00825518">
        <w:rPr>
          <w:b/>
          <w:lang w:val="fr-FR"/>
        </w:rPr>
        <w:t>Il recommande qu</w:t>
      </w:r>
      <w:r w:rsidR="00BB3EA3" w:rsidRPr="00BB3EA3">
        <w:rPr>
          <w:b/>
          <w:lang w:val="fr-FR"/>
        </w:rPr>
        <w:t>’</w:t>
      </w:r>
      <w:r w:rsidR="0033742B" w:rsidRPr="00825518">
        <w:rPr>
          <w:b/>
          <w:lang w:val="fr-FR"/>
        </w:rPr>
        <w:t>afin de lutter contre la corruption dans le système de soins de santé, les patients soient informés de leurs droits par la remise d</w:t>
      </w:r>
      <w:r w:rsidR="00BB3EA3" w:rsidRPr="00BB3EA3">
        <w:rPr>
          <w:b/>
          <w:lang w:val="fr-FR"/>
        </w:rPr>
        <w:t>’</w:t>
      </w:r>
      <w:r w:rsidR="0033742B" w:rsidRPr="00825518">
        <w:rPr>
          <w:b/>
          <w:lang w:val="fr-FR"/>
        </w:rPr>
        <w:t xml:space="preserve">une </w:t>
      </w:r>
      <w:r w:rsidR="00CD34C9">
        <w:rPr>
          <w:b/>
          <w:lang w:val="fr-FR"/>
        </w:rPr>
        <w:t>« </w:t>
      </w:r>
      <w:r w:rsidR="0033742B" w:rsidRPr="00825518">
        <w:rPr>
          <w:b/>
          <w:lang w:val="fr-FR"/>
        </w:rPr>
        <w:t>charte de</w:t>
      </w:r>
      <w:r w:rsidR="00BB3EA3">
        <w:rPr>
          <w:b/>
          <w:lang w:val="fr-FR"/>
        </w:rPr>
        <w:t>s</w:t>
      </w:r>
      <w:r w:rsidR="0033742B" w:rsidRPr="00825518">
        <w:rPr>
          <w:b/>
          <w:lang w:val="fr-FR"/>
        </w:rPr>
        <w:t xml:space="preserve"> </w:t>
      </w:r>
      <w:r w:rsidR="003D6635" w:rsidRPr="00825518">
        <w:rPr>
          <w:b/>
          <w:lang w:val="fr-FR"/>
        </w:rPr>
        <w:t>droits du patient</w:t>
      </w:r>
      <w:r w:rsidR="00CD34C9">
        <w:rPr>
          <w:b/>
          <w:lang w:val="fr-FR"/>
        </w:rPr>
        <w:t> »</w:t>
      </w:r>
      <w:r w:rsidR="003D6635" w:rsidRPr="00825518">
        <w:rPr>
          <w:b/>
          <w:lang w:val="fr-FR"/>
        </w:rPr>
        <w:t xml:space="preserve"> précisant les canaux par lesquels, confrontés à une tentative de corruption, il leur est loisible de porter plainte. Il attend enfin de l</w:t>
      </w:r>
      <w:r w:rsidR="00BB3EA3" w:rsidRPr="00BB3EA3">
        <w:rPr>
          <w:b/>
          <w:lang w:val="fr-FR"/>
        </w:rPr>
        <w:t>’</w:t>
      </w:r>
      <w:r w:rsidR="00B143CD">
        <w:rPr>
          <w:b/>
          <w:lang w:val="fr-FR"/>
        </w:rPr>
        <w:t>État</w:t>
      </w:r>
      <w:r w:rsidR="003D6635" w:rsidRPr="00825518">
        <w:rPr>
          <w:b/>
          <w:lang w:val="fr-FR"/>
        </w:rPr>
        <w:t xml:space="preserve"> partie qu</w:t>
      </w:r>
      <w:r w:rsidR="00BB3EA3" w:rsidRPr="00BB3EA3">
        <w:rPr>
          <w:b/>
          <w:lang w:val="fr-FR"/>
        </w:rPr>
        <w:t>’</w:t>
      </w:r>
      <w:r w:rsidR="003D6635" w:rsidRPr="00825518">
        <w:rPr>
          <w:b/>
          <w:lang w:val="fr-FR"/>
        </w:rPr>
        <w:t xml:space="preserve">il </w:t>
      </w:r>
      <w:r w:rsidR="00EC007E" w:rsidRPr="00825518">
        <w:rPr>
          <w:b/>
          <w:lang w:val="fr-FR"/>
        </w:rPr>
        <w:t>garantisse l</w:t>
      </w:r>
      <w:r w:rsidR="00BB3EA3" w:rsidRPr="00BB3EA3">
        <w:rPr>
          <w:b/>
          <w:lang w:val="fr-FR"/>
        </w:rPr>
        <w:t>’</w:t>
      </w:r>
      <w:r w:rsidR="00EC007E" w:rsidRPr="00825518">
        <w:rPr>
          <w:b/>
          <w:lang w:val="fr-FR"/>
        </w:rPr>
        <w:t xml:space="preserve">accès de tous, sans discrimination, à des médicaments à un prix abordable. </w:t>
      </w:r>
    </w:p>
    <w:p w14:paraId="30E7C38F" w14:textId="549E8F7D" w:rsidR="00895F71" w:rsidRDefault="00C61517" w:rsidP="00C61517">
      <w:pPr>
        <w:pStyle w:val="SingleTxtG"/>
        <w:rPr>
          <w:b/>
          <w:lang w:val="fr-FR"/>
        </w:rPr>
      </w:pPr>
      <w:r>
        <w:rPr>
          <w:lang w:val="fr-FR"/>
        </w:rPr>
        <w:t>50.</w:t>
      </w:r>
      <w:r>
        <w:rPr>
          <w:lang w:val="fr-FR"/>
        </w:rPr>
        <w:tab/>
      </w:r>
      <w:r w:rsidR="00895F71" w:rsidRPr="00895F71">
        <w:rPr>
          <w:b/>
          <w:lang w:val="fr-FR"/>
        </w:rPr>
        <w:t xml:space="preserve">Le Comité renvoie l’État partie à son observation générale </w:t>
      </w:r>
      <w:r w:rsidR="005A2135" w:rsidRPr="00895F71">
        <w:rPr>
          <w:b/>
          <w:lang w:val="fr-FR"/>
        </w:rPr>
        <w:t>n</w:t>
      </w:r>
      <w:r w:rsidR="005A2135" w:rsidRPr="00C61517">
        <w:rPr>
          <w:b/>
          <w:vertAlign w:val="superscript"/>
          <w:lang w:val="fr-FR"/>
        </w:rPr>
        <w:t>o</w:t>
      </w:r>
      <w:r w:rsidR="005A2135">
        <w:rPr>
          <w:b/>
          <w:lang w:val="fr-FR"/>
        </w:rPr>
        <w:t> </w:t>
      </w:r>
      <w:r w:rsidR="00895F71" w:rsidRPr="00895F71">
        <w:rPr>
          <w:b/>
          <w:lang w:val="fr-FR"/>
        </w:rPr>
        <w:t>14 (2000) sur le droit au meilleur état de santé susceptible d’être atteint.</w:t>
      </w:r>
    </w:p>
    <w:p w14:paraId="46461E30" w14:textId="77777777" w:rsidR="00021819" w:rsidRPr="00021819" w:rsidRDefault="00021819" w:rsidP="003E022E">
      <w:pPr>
        <w:pStyle w:val="H23G"/>
        <w:rPr>
          <w:lang w:val="fr-FR"/>
        </w:rPr>
      </w:pPr>
      <w:r w:rsidRPr="00825518">
        <w:rPr>
          <w:b w:val="0"/>
        </w:rPr>
        <w:lastRenderedPageBreak/>
        <w:tab/>
      </w:r>
      <w:r w:rsidRPr="00825518">
        <w:rPr>
          <w:b w:val="0"/>
        </w:rPr>
        <w:tab/>
      </w:r>
      <w:r>
        <w:rPr>
          <w:lang w:val="fr-FR"/>
        </w:rPr>
        <w:t>Droit à l’éducation</w:t>
      </w:r>
    </w:p>
    <w:p w14:paraId="0B00FE18" w14:textId="57E70458" w:rsidR="0016305C" w:rsidRDefault="00C61517" w:rsidP="00C61517">
      <w:pPr>
        <w:pStyle w:val="SingleTxtG"/>
        <w:rPr>
          <w:lang w:val="fr-FR"/>
        </w:rPr>
      </w:pPr>
      <w:r>
        <w:rPr>
          <w:lang w:val="fr-FR"/>
        </w:rPr>
        <w:t>51.</w:t>
      </w:r>
      <w:r>
        <w:rPr>
          <w:lang w:val="fr-FR"/>
        </w:rPr>
        <w:tab/>
      </w:r>
      <w:r w:rsidR="00D374F7" w:rsidRPr="00E51514">
        <w:rPr>
          <w:lang w:val="fr-FR"/>
        </w:rPr>
        <w:t xml:space="preserve">Le Comité félicite l’État partie </w:t>
      </w:r>
      <w:r w:rsidR="0003465E">
        <w:rPr>
          <w:lang w:val="fr-FR"/>
        </w:rPr>
        <w:t>pour les</w:t>
      </w:r>
      <w:r w:rsidR="0003465E" w:rsidRPr="00E51514">
        <w:rPr>
          <w:lang w:val="fr-FR"/>
        </w:rPr>
        <w:t xml:space="preserve"> </w:t>
      </w:r>
      <w:r w:rsidR="00D374F7" w:rsidRPr="00E51514">
        <w:rPr>
          <w:lang w:val="fr-FR"/>
        </w:rPr>
        <w:t xml:space="preserve">progrès </w:t>
      </w:r>
      <w:r w:rsidR="005A0B2D">
        <w:rPr>
          <w:lang w:val="fr-FR"/>
        </w:rPr>
        <w:t xml:space="preserve">considérables </w:t>
      </w:r>
      <w:r w:rsidR="00D374F7" w:rsidRPr="00E51514">
        <w:rPr>
          <w:lang w:val="fr-FR"/>
        </w:rPr>
        <w:t xml:space="preserve">accomplis pour ce qui est </w:t>
      </w:r>
      <w:r w:rsidR="00140E7F">
        <w:rPr>
          <w:lang w:val="fr-FR"/>
        </w:rPr>
        <w:t xml:space="preserve">de </w:t>
      </w:r>
      <w:r w:rsidR="00D374F7" w:rsidRPr="00E51514">
        <w:rPr>
          <w:lang w:val="fr-FR"/>
        </w:rPr>
        <w:t>l’égalité entre filles et garçons dans l’éducation, comme en témoigne le taux de scolarisation dans l’enseignement secondaire et supérieur.</w:t>
      </w:r>
      <w:r w:rsidR="0016305C">
        <w:rPr>
          <w:lang w:val="fr-FR"/>
        </w:rPr>
        <w:t xml:space="preserve"> </w:t>
      </w:r>
      <w:r w:rsidR="00767034">
        <w:rPr>
          <w:lang w:val="fr-FR"/>
        </w:rPr>
        <w:t>Toutefois, l</w:t>
      </w:r>
      <w:r w:rsidR="0016305C">
        <w:rPr>
          <w:lang w:val="fr-FR"/>
        </w:rPr>
        <w:t>e Comité regrette :</w:t>
      </w:r>
    </w:p>
    <w:p w14:paraId="40208C5A" w14:textId="2BA4729B" w:rsidR="00021819" w:rsidRDefault="00E036C2" w:rsidP="00C61517">
      <w:pPr>
        <w:pStyle w:val="SingleTxtG"/>
        <w:ind w:firstLine="567"/>
        <w:rPr>
          <w:lang w:val="fr-FR"/>
        </w:rPr>
      </w:pPr>
      <w:r>
        <w:rPr>
          <w:lang w:val="fr-FR"/>
        </w:rPr>
        <w:t>a)</w:t>
      </w:r>
      <w:r>
        <w:rPr>
          <w:lang w:val="fr-FR"/>
        </w:rPr>
        <w:tab/>
      </w:r>
      <w:r w:rsidR="00140E7F">
        <w:rPr>
          <w:lang w:val="fr-FR"/>
        </w:rPr>
        <w:t xml:space="preserve">Le </w:t>
      </w:r>
      <w:r w:rsidR="00051817">
        <w:rPr>
          <w:lang w:val="fr-FR"/>
        </w:rPr>
        <w:t>faible taux</w:t>
      </w:r>
      <w:r w:rsidR="004A2E3A">
        <w:rPr>
          <w:lang w:val="fr-FR"/>
        </w:rPr>
        <w:t xml:space="preserve"> </w:t>
      </w:r>
      <w:r w:rsidR="003B48A6">
        <w:rPr>
          <w:lang w:val="fr-FR"/>
        </w:rPr>
        <w:t>de réussite scolaire parmi</w:t>
      </w:r>
      <w:r w:rsidR="00021819" w:rsidRPr="00021819">
        <w:rPr>
          <w:lang w:val="fr-FR"/>
        </w:rPr>
        <w:t xml:space="preserve"> </w:t>
      </w:r>
      <w:r w:rsidR="004B2EA5">
        <w:rPr>
          <w:lang w:val="fr-FR"/>
        </w:rPr>
        <w:t xml:space="preserve">les personnes </w:t>
      </w:r>
      <w:r w:rsidR="003B48A6">
        <w:rPr>
          <w:lang w:val="fr-FR"/>
        </w:rPr>
        <w:t xml:space="preserve">issues de groupes </w:t>
      </w:r>
      <w:r w:rsidR="004B2EA5">
        <w:rPr>
          <w:lang w:val="fr-FR"/>
        </w:rPr>
        <w:t>sociale</w:t>
      </w:r>
      <w:r w:rsidR="003B48A6">
        <w:rPr>
          <w:lang w:val="fr-FR"/>
        </w:rPr>
        <w:t>ment</w:t>
      </w:r>
      <w:r w:rsidR="004B2EA5">
        <w:rPr>
          <w:lang w:val="fr-FR"/>
        </w:rPr>
        <w:t xml:space="preserve"> et économique</w:t>
      </w:r>
      <w:r w:rsidR="003B48A6">
        <w:rPr>
          <w:lang w:val="fr-FR"/>
        </w:rPr>
        <w:t>ment défavorisés</w:t>
      </w:r>
      <w:r w:rsidR="00AA30F9">
        <w:rPr>
          <w:lang w:val="fr-FR"/>
        </w:rPr>
        <w:t> ;</w:t>
      </w:r>
    </w:p>
    <w:p w14:paraId="3BB523ED" w14:textId="0583169C" w:rsidR="00AA30F9" w:rsidRDefault="00E036C2" w:rsidP="00C61517">
      <w:pPr>
        <w:pStyle w:val="SingleTxtG"/>
        <w:ind w:firstLine="567"/>
        <w:rPr>
          <w:lang w:val="fr-FR"/>
        </w:rPr>
      </w:pPr>
      <w:r>
        <w:rPr>
          <w:lang w:val="fr-FR"/>
        </w:rPr>
        <w:t>b)</w:t>
      </w:r>
      <w:r>
        <w:rPr>
          <w:lang w:val="fr-FR"/>
        </w:rPr>
        <w:tab/>
      </w:r>
      <w:r w:rsidR="009E7A0E">
        <w:rPr>
          <w:lang w:val="fr-FR"/>
        </w:rPr>
        <w:t>L</w:t>
      </w:r>
      <w:r w:rsidR="009E7A0E" w:rsidRPr="00E51514">
        <w:rPr>
          <w:lang w:val="fr-FR"/>
        </w:rPr>
        <w:t xml:space="preserve">es </w:t>
      </w:r>
      <w:r w:rsidR="00D374F7" w:rsidRPr="00E51514">
        <w:rPr>
          <w:lang w:val="fr-FR"/>
        </w:rPr>
        <w:t xml:space="preserve">disparités régionales </w:t>
      </w:r>
      <w:r w:rsidR="004E6D6D">
        <w:rPr>
          <w:lang w:val="fr-FR"/>
        </w:rPr>
        <w:t xml:space="preserve">entre zones urbaines et </w:t>
      </w:r>
      <w:r w:rsidR="00DE07B5">
        <w:rPr>
          <w:lang w:val="fr-FR"/>
        </w:rPr>
        <w:t xml:space="preserve">zones </w:t>
      </w:r>
      <w:r w:rsidR="00D374F7" w:rsidRPr="00E51514">
        <w:rPr>
          <w:lang w:val="fr-FR"/>
        </w:rPr>
        <w:t>rurales que révèlent les taux d’analphabétisme</w:t>
      </w:r>
      <w:r w:rsidR="0016305C">
        <w:rPr>
          <w:lang w:val="fr-FR"/>
        </w:rPr>
        <w:t xml:space="preserve"> et u</w:t>
      </w:r>
      <w:r w:rsidR="0016305C" w:rsidRPr="0016305C">
        <w:rPr>
          <w:lang w:val="fr-FR"/>
        </w:rPr>
        <w:t xml:space="preserve">n écart </w:t>
      </w:r>
      <w:r w:rsidR="00DE07B5">
        <w:rPr>
          <w:lang w:val="fr-FR"/>
        </w:rPr>
        <w:t xml:space="preserve">important </w:t>
      </w:r>
      <w:r w:rsidR="0016305C" w:rsidRPr="0016305C">
        <w:rPr>
          <w:lang w:val="fr-FR"/>
        </w:rPr>
        <w:t>dans l</w:t>
      </w:r>
      <w:r w:rsidR="00DE07B5" w:rsidRPr="00DE07B5">
        <w:rPr>
          <w:lang w:val="fr-FR"/>
        </w:rPr>
        <w:t>’</w:t>
      </w:r>
      <w:r w:rsidR="00AA30F9">
        <w:rPr>
          <w:lang w:val="fr-FR"/>
        </w:rPr>
        <w:t>accès à l</w:t>
      </w:r>
      <w:r w:rsidR="00DE07B5" w:rsidRPr="00DE07B5">
        <w:rPr>
          <w:lang w:val="fr-FR"/>
        </w:rPr>
        <w:t>’</w:t>
      </w:r>
      <w:r w:rsidR="00AA30F9">
        <w:rPr>
          <w:lang w:val="fr-FR"/>
        </w:rPr>
        <w:t>éducation préscolaire ;</w:t>
      </w:r>
    </w:p>
    <w:p w14:paraId="2F2FFCA9" w14:textId="6EEC75EF" w:rsidR="00D374F7" w:rsidRDefault="00E036C2" w:rsidP="00C61517">
      <w:pPr>
        <w:pStyle w:val="SingleTxtG"/>
        <w:ind w:firstLine="567"/>
        <w:rPr>
          <w:lang w:val="fr-FR"/>
        </w:rPr>
      </w:pPr>
      <w:r>
        <w:rPr>
          <w:lang w:val="fr-FR"/>
        </w:rPr>
        <w:t>c)</w:t>
      </w:r>
      <w:r>
        <w:rPr>
          <w:lang w:val="fr-FR"/>
        </w:rPr>
        <w:tab/>
      </w:r>
      <w:r w:rsidR="009E7A0E">
        <w:rPr>
          <w:lang w:val="fr-FR"/>
        </w:rPr>
        <w:t xml:space="preserve">La </w:t>
      </w:r>
      <w:r w:rsidR="0016305C">
        <w:rPr>
          <w:lang w:val="fr-FR"/>
        </w:rPr>
        <w:t>f</w:t>
      </w:r>
      <w:r w:rsidR="0016305C" w:rsidRPr="0016305C">
        <w:rPr>
          <w:lang w:val="fr-FR"/>
        </w:rPr>
        <w:t>aible qualité de l</w:t>
      </w:r>
      <w:r w:rsidR="00DE07B5" w:rsidRPr="00DE07B5">
        <w:rPr>
          <w:lang w:val="fr-FR"/>
        </w:rPr>
        <w:t>’</w:t>
      </w:r>
      <w:r w:rsidR="00B22DF6">
        <w:rPr>
          <w:lang w:val="fr-FR"/>
        </w:rPr>
        <w:t>enseignement</w:t>
      </w:r>
      <w:r w:rsidR="0016305C">
        <w:rPr>
          <w:lang w:val="fr-FR"/>
        </w:rPr>
        <w:t xml:space="preserve"> publi</w:t>
      </w:r>
      <w:r w:rsidR="00B22DF6">
        <w:rPr>
          <w:lang w:val="fr-FR"/>
        </w:rPr>
        <w:t>c</w:t>
      </w:r>
      <w:r w:rsidR="0016305C">
        <w:rPr>
          <w:lang w:val="fr-FR"/>
        </w:rPr>
        <w:t xml:space="preserve">, en particulier en mathématiques et </w:t>
      </w:r>
      <w:r w:rsidR="0016305C" w:rsidRPr="0016305C">
        <w:rPr>
          <w:lang w:val="fr-FR"/>
        </w:rPr>
        <w:t>en sciences</w:t>
      </w:r>
      <w:r w:rsidR="00DE07B5">
        <w:rPr>
          <w:lang w:val="fr-FR"/>
        </w:rPr>
        <w:t>,</w:t>
      </w:r>
      <w:r w:rsidR="0016305C">
        <w:rPr>
          <w:lang w:val="fr-FR"/>
        </w:rPr>
        <w:t xml:space="preserve"> </w:t>
      </w:r>
      <w:r w:rsidR="009F39BE">
        <w:rPr>
          <w:lang w:val="fr-FR"/>
        </w:rPr>
        <w:t>ce qui peut contribuer à expliquer la</w:t>
      </w:r>
      <w:r w:rsidR="0016305C" w:rsidRPr="0016305C">
        <w:rPr>
          <w:lang w:val="fr-FR"/>
        </w:rPr>
        <w:t xml:space="preserve"> forte demande pour les écoles privées</w:t>
      </w:r>
      <w:r w:rsidR="008477A9">
        <w:rPr>
          <w:lang w:val="fr-FR"/>
        </w:rPr>
        <w:t> ;</w:t>
      </w:r>
    </w:p>
    <w:p w14:paraId="5EFCB6C2" w14:textId="665B3F27" w:rsidR="008477A9" w:rsidRDefault="00E036C2" w:rsidP="00C61517">
      <w:pPr>
        <w:pStyle w:val="SingleTxtG"/>
        <w:ind w:firstLine="567"/>
        <w:rPr>
          <w:lang w:val="fr-FR"/>
        </w:rPr>
      </w:pPr>
      <w:r>
        <w:rPr>
          <w:lang w:val="fr-FR"/>
        </w:rPr>
        <w:t>d)</w:t>
      </w:r>
      <w:r>
        <w:rPr>
          <w:lang w:val="fr-FR"/>
        </w:rPr>
        <w:tab/>
      </w:r>
      <w:r w:rsidR="009E7A0E">
        <w:rPr>
          <w:lang w:val="fr-FR"/>
        </w:rPr>
        <w:t xml:space="preserve">Le </w:t>
      </w:r>
      <w:r w:rsidR="008477A9">
        <w:rPr>
          <w:lang w:val="fr-FR"/>
        </w:rPr>
        <w:t>taux élevé d’abandon scolaire</w:t>
      </w:r>
      <w:r w:rsidR="006064BE">
        <w:rPr>
          <w:lang w:val="fr-FR"/>
        </w:rPr>
        <w:t xml:space="preserve"> </w:t>
      </w:r>
      <w:r w:rsidR="008477A9">
        <w:rPr>
          <w:lang w:val="fr-FR"/>
        </w:rPr>
        <w:t>et d’analphabétisme</w:t>
      </w:r>
      <w:r w:rsidR="009F39BE">
        <w:rPr>
          <w:lang w:val="fr-FR"/>
        </w:rPr>
        <w:t xml:space="preserve"> (art. 13, 14 et 11)</w:t>
      </w:r>
      <w:r w:rsidR="008477A9">
        <w:rPr>
          <w:lang w:val="fr-FR"/>
        </w:rPr>
        <w:t>.</w:t>
      </w:r>
    </w:p>
    <w:p w14:paraId="1FFC28BD" w14:textId="2562BC85" w:rsidR="0016305C" w:rsidRDefault="00C61517" w:rsidP="00C61517">
      <w:pPr>
        <w:pStyle w:val="SingleTxtG"/>
        <w:rPr>
          <w:b/>
          <w:lang w:val="fr-FR"/>
        </w:rPr>
      </w:pPr>
      <w:r>
        <w:rPr>
          <w:lang w:val="fr-FR"/>
        </w:rPr>
        <w:t>52.</w:t>
      </w:r>
      <w:r>
        <w:rPr>
          <w:lang w:val="fr-FR"/>
        </w:rPr>
        <w:tab/>
      </w:r>
      <w:r w:rsidR="00021819">
        <w:rPr>
          <w:b/>
          <w:lang w:val="fr-FR"/>
        </w:rPr>
        <w:t>Le Comité en</w:t>
      </w:r>
      <w:r w:rsidR="009F39BE">
        <w:rPr>
          <w:b/>
          <w:lang w:val="fr-FR"/>
        </w:rPr>
        <w:t>coura</w:t>
      </w:r>
      <w:r w:rsidR="00021819">
        <w:rPr>
          <w:b/>
          <w:lang w:val="fr-FR"/>
        </w:rPr>
        <w:t>ge l’Éta</w:t>
      </w:r>
      <w:r w:rsidR="005A126C">
        <w:rPr>
          <w:b/>
          <w:lang w:val="fr-FR"/>
        </w:rPr>
        <w:t>t partie</w:t>
      </w:r>
      <w:r w:rsidR="009F39BE">
        <w:rPr>
          <w:b/>
          <w:lang w:val="fr-FR"/>
        </w:rPr>
        <w:t xml:space="preserve"> à poursuivre ses efforts visant</w:t>
      </w:r>
      <w:r w:rsidR="006578E2" w:rsidRPr="005F5F6D">
        <w:rPr>
          <w:b/>
          <w:lang w:val="fr-FR"/>
        </w:rPr>
        <w:t xml:space="preserve"> à</w:t>
      </w:r>
      <w:r w:rsidR="00462A5C">
        <w:rPr>
          <w:b/>
          <w:lang w:val="fr-FR"/>
        </w:rPr>
        <w:t> </w:t>
      </w:r>
      <w:r w:rsidR="009F39BE">
        <w:rPr>
          <w:b/>
          <w:lang w:val="fr-FR"/>
        </w:rPr>
        <w:t>:</w:t>
      </w:r>
      <w:r w:rsidR="00A30B3E" w:rsidRPr="005F5F6D">
        <w:rPr>
          <w:b/>
          <w:lang w:val="fr-FR"/>
        </w:rPr>
        <w:t xml:space="preserve"> </w:t>
      </w:r>
    </w:p>
    <w:p w14:paraId="27B3A298" w14:textId="76034185" w:rsidR="0016305C" w:rsidRPr="0016305C" w:rsidRDefault="00E036C2" w:rsidP="00C61517">
      <w:pPr>
        <w:pStyle w:val="SingleTxtG"/>
        <w:ind w:firstLine="567"/>
        <w:rPr>
          <w:b/>
          <w:lang w:val="fr-FR"/>
        </w:rPr>
      </w:pPr>
      <w:r w:rsidRPr="00C61517">
        <w:rPr>
          <w:bCs/>
        </w:rPr>
        <w:t>a)</w:t>
      </w:r>
      <w:r>
        <w:rPr>
          <w:b/>
        </w:rPr>
        <w:tab/>
      </w:r>
      <w:r w:rsidR="00462A5C">
        <w:rPr>
          <w:b/>
        </w:rPr>
        <w:t>C</w:t>
      </w:r>
      <w:r w:rsidR="00462A5C" w:rsidRPr="0016305C">
        <w:rPr>
          <w:b/>
        </w:rPr>
        <w:t xml:space="preserve">orriger </w:t>
      </w:r>
      <w:r w:rsidR="008477A9">
        <w:rPr>
          <w:b/>
        </w:rPr>
        <w:t>les inég</w:t>
      </w:r>
      <w:r w:rsidR="006578E2" w:rsidRPr="0016305C">
        <w:rPr>
          <w:b/>
        </w:rPr>
        <w:t xml:space="preserve">alités sociales et économiques </w:t>
      </w:r>
      <w:r w:rsidR="008477A9">
        <w:rPr>
          <w:b/>
        </w:rPr>
        <w:t xml:space="preserve">qui influencent </w:t>
      </w:r>
      <w:r w:rsidR="006578E2" w:rsidRPr="0016305C">
        <w:rPr>
          <w:b/>
        </w:rPr>
        <w:t>la réussite scolaire</w:t>
      </w:r>
      <w:r w:rsidR="0016305C" w:rsidRPr="0016305C">
        <w:rPr>
          <w:b/>
        </w:rPr>
        <w:t> ;</w:t>
      </w:r>
    </w:p>
    <w:p w14:paraId="31716315" w14:textId="68F6137A" w:rsidR="0016305C" w:rsidRPr="00A20902" w:rsidRDefault="00E036C2" w:rsidP="00C61517">
      <w:pPr>
        <w:pStyle w:val="SingleTxtG"/>
        <w:ind w:firstLine="567"/>
        <w:rPr>
          <w:b/>
          <w:lang w:val="fr-FR"/>
        </w:rPr>
      </w:pPr>
      <w:r w:rsidRPr="00C61517">
        <w:rPr>
          <w:bCs/>
          <w:lang w:val="fr-FR"/>
        </w:rPr>
        <w:t>b)</w:t>
      </w:r>
      <w:r w:rsidRPr="00C61517">
        <w:rPr>
          <w:bCs/>
          <w:lang w:val="fr-FR"/>
        </w:rPr>
        <w:tab/>
      </w:r>
      <w:r w:rsidR="00462A5C">
        <w:rPr>
          <w:b/>
          <w:lang w:val="fr-FR"/>
        </w:rPr>
        <w:t>I</w:t>
      </w:r>
      <w:r w:rsidR="00462A5C" w:rsidRPr="00A20902">
        <w:rPr>
          <w:b/>
          <w:lang w:val="fr-FR"/>
        </w:rPr>
        <w:t xml:space="preserve">nvestir </w:t>
      </w:r>
      <w:r w:rsidR="0016305C" w:rsidRPr="00A20902">
        <w:rPr>
          <w:b/>
          <w:lang w:val="fr-FR"/>
        </w:rPr>
        <w:t xml:space="preserve">davantage de ressources </w:t>
      </w:r>
      <w:r w:rsidR="002147A0" w:rsidRPr="00A20902">
        <w:rPr>
          <w:b/>
          <w:lang w:val="fr-FR"/>
        </w:rPr>
        <w:t>dans</w:t>
      </w:r>
      <w:r w:rsidR="0016305C" w:rsidRPr="00A20902">
        <w:rPr>
          <w:b/>
          <w:lang w:val="fr-FR"/>
        </w:rPr>
        <w:t xml:space="preserve"> l’</w:t>
      </w:r>
      <w:r w:rsidR="002147A0" w:rsidRPr="00A20902">
        <w:rPr>
          <w:b/>
          <w:lang w:val="fr-FR"/>
        </w:rPr>
        <w:t>éducation</w:t>
      </w:r>
      <w:r w:rsidR="0016305C" w:rsidRPr="00A20902">
        <w:rPr>
          <w:b/>
          <w:lang w:val="fr-FR"/>
        </w:rPr>
        <w:t xml:space="preserve"> dans les zones rurales, afin de corriger </w:t>
      </w:r>
      <w:r w:rsidR="009F39BE">
        <w:rPr>
          <w:b/>
          <w:lang w:val="fr-FR"/>
        </w:rPr>
        <w:t>les écarts</w:t>
      </w:r>
      <w:r w:rsidR="0016305C" w:rsidRPr="00A20902">
        <w:rPr>
          <w:b/>
          <w:lang w:val="fr-FR"/>
        </w:rPr>
        <w:t xml:space="preserve"> existant</w:t>
      </w:r>
      <w:r w:rsidR="009F39BE">
        <w:rPr>
          <w:b/>
          <w:lang w:val="fr-FR"/>
        </w:rPr>
        <w:t>s</w:t>
      </w:r>
      <w:r w:rsidR="002C26AA">
        <w:rPr>
          <w:b/>
          <w:lang w:val="fr-FR"/>
        </w:rPr>
        <w:t xml:space="preserve">, notamment en </w:t>
      </w:r>
      <w:r w:rsidR="0042188A">
        <w:rPr>
          <w:b/>
          <w:lang w:val="fr-FR"/>
        </w:rPr>
        <w:t>menant</w:t>
      </w:r>
      <w:r w:rsidR="002C26AA">
        <w:rPr>
          <w:b/>
          <w:lang w:val="fr-FR"/>
        </w:rPr>
        <w:t xml:space="preserve"> tous les efforts possibles pour élargir l’accès à l’éducation préscolaire</w:t>
      </w:r>
      <w:r w:rsidR="0016305C" w:rsidRPr="00A20902">
        <w:rPr>
          <w:b/>
          <w:lang w:val="fr-FR"/>
        </w:rPr>
        <w:t> ;</w:t>
      </w:r>
    </w:p>
    <w:p w14:paraId="65F2E981" w14:textId="59229F1D" w:rsidR="00A20902" w:rsidRDefault="00E036C2" w:rsidP="00C61517">
      <w:pPr>
        <w:pStyle w:val="SingleTxtG"/>
        <w:ind w:firstLine="567"/>
        <w:rPr>
          <w:b/>
          <w:lang w:val="fr-FR"/>
        </w:rPr>
      </w:pPr>
      <w:r w:rsidRPr="00C61517">
        <w:rPr>
          <w:bCs/>
          <w:lang w:val="fr-FR"/>
        </w:rPr>
        <w:t>c)</w:t>
      </w:r>
      <w:r>
        <w:rPr>
          <w:b/>
          <w:lang w:val="fr-FR"/>
        </w:rPr>
        <w:tab/>
      </w:r>
      <w:r w:rsidR="00462A5C">
        <w:rPr>
          <w:b/>
          <w:lang w:val="fr-FR"/>
        </w:rPr>
        <w:t>P</w:t>
      </w:r>
      <w:r w:rsidR="00462A5C" w:rsidRPr="00A20902">
        <w:rPr>
          <w:b/>
          <w:lang w:val="fr-FR"/>
        </w:rPr>
        <w:t xml:space="preserve">rendre </w:t>
      </w:r>
      <w:r w:rsidR="00A20902" w:rsidRPr="00A20902">
        <w:rPr>
          <w:b/>
          <w:lang w:val="fr-FR"/>
        </w:rPr>
        <w:t xml:space="preserve">toutes les mesures nécessaires pour augmenter, en </w:t>
      </w:r>
      <w:r w:rsidR="002147A0" w:rsidRPr="00A20902">
        <w:rPr>
          <w:b/>
          <w:lang w:val="fr-FR"/>
        </w:rPr>
        <w:t>particulier</w:t>
      </w:r>
      <w:r w:rsidR="00A20902" w:rsidRPr="00A20902">
        <w:rPr>
          <w:b/>
          <w:lang w:val="fr-FR"/>
        </w:rPr>
        <w:t xml:space="preserve"> dans les zones rurales et reculées, le nombre d</w:t>
      </w:r>
      <w:r w:rsidR="006378C2" w:rsidRPr="006378C2">
        <w:rPr>
          <w:b/>
          <w:lang w:val="fr-FR"/>
        </w:rPr>
        <w:t>’</w:t>
      </w:r>
      <w:r w:rsidR="00A20902" w:rsidRPr="00A20902">
        <w:rPr>
          <w:b/>
          <w:lang w:val="fr-FR"/>
        </w:rPr>
        <w:t>enseignants qualifiés et les infras</w:t>
      </w:r>
      <w:r w:rsidR="008477A9">
        <w:rPr>
          <w:b/>
          <w:lang w:val="fr-FR"/>
        </w:rPr>
        <w:t>tructures éducatives adéquates ;</w:t>
      </w:r>
    </w:p>
    <w:p w14:paraId="32F4E1A4" w14:textId="203F0303" w:rsidR="008477A9" w:rsidRPr="00A20902" w:rsidRDefault="00E036C2" w:rsidP="00C61517">
      <w:pPr>
        <w:pStyle w:val="SingleTxtG"/>
        <w:ind w:firstLine="567"/>
        <w:rPr>
          <w:b/>
          <w:lang w:val="fr-FR"/>
        </w:rPr>
      </w:pPr>
      <w:r w:rsidRPr="00C61517">
        <w:rPr>
          <w:bCs/>
          <w:lang w:val="fr-FR"/>
        </w:rPr>
        <w:t>d)</w:t>
      </w:r>
      <w:r>
        <w:rPr>
          <w:b/>
          <w:lang w:val="fr-FR"/>
        </w:rPr>
        <w:tab/>
      </w:r>
      <w:r w:rsidR="00462A5C">
        <w:rPr>
          <w:b/>
          <w:lang w:val="fr-FR"/>
        </w:rPr>
        <w:t xml:space="preserve">Remédier </w:t>
      </w:r>
      <w:r w:rsidR="008477A9">
        <w:rPr>
          <w:b/>
          <w:lang w:val="fr-FR"/>
        </w:rPr>
        <w:t>d’urgence au taux élevé d’abandon scolaire et d’analphabétisme.</w:t>
      </w:r>
    </w:p>
    <w:p w14:paraId="77811A01" w14:textId="2B1A274F" w:rsidR="00052D66" w:rsidRPr="00C61517" w:rsidRDefault="00C61517" w:rsidP="00C61517">
      <w:pPr>
        <w:pStyle w:val="SingleTxtG"/>
        <w:rPr>
          <w:b/>
          <w:lang w:val="fr-FR"/>
        </w:rPr>
      </w:pPr>
      <w:r w:rsidRPr="00C61517">
        <w:rPr>
          <w:lang w:val="fr-FR"/>
        </w:rPr>
        <w:t>53.</w:t>
      </w:r>
      <w:r w:rsidRPr="00C61517">
        <w:rPr>
          <w:lang w:val="fr-FR"/>
        </w:rPr>
        <w:tab/>
      </w:r>
      <w:r w:rsidR="00052D66" w:rsidRPr="00C61517">
        <w:rPr>
          <w:b/>
          <w:lang w:val="fr-FR"/>
        </w:rPr>
        <w:t xml:space="preserve">Le Comité renvoie l’État partie à son observation générale </w:t>
      </w:r>
      <w:r w:rsidR="005A2135" w:rsidRPr="00C61517">
        <w:rPr>
          <w:b/>
          <w:lang w:val="fr-FR"/>
        </w:rPr>
        <w:t>n</w:t>
      </w:r>
      <w:r w:rsidR="005A2135" w:rsidRPr="00C61517">
        <w:rPr>
          <w:b/>
          <w:vertAlign w:val="superscript"/>
          <w:lang w:val="fr-FR"/>
        </w:rPr>
        <w:t>o</w:t>
      </w:r>
      <w:r w:rsidR="005A2135">
        <w:rPr>
          <w:b/>
          <w:lang w:val="fr-FR"/>
        </w:rPr>
        <w:t> </w:t>
      </w:r>
      <w:r w:rsidR="00052D66" w:rsidRPr="00C61517">
        <w:rPr>
          <w:b/>
          <w:lang w:val="fr-FR"/>
        </w:rPr>
        <w:t>13 (1999) sur le droit à l’éducation.</w:t>
      </w:r>
    </w:p>
    <w:p w14:paraId="2ECF98DE" w14:textId="2B334337" w:rsidR="00021819" w:rsidRDefault="005E6007" w:rsidP="003E022E">
      <w:pPr>
        <w:pStyle w:val="H23G"/>
        <w:rPr>
          <w:lang w:val="fr-FR"/>
        </w:rPr>
      </w:pPr>
      <w:r>
        <w:rPr>
          <w:lang w:val="fr-FR"/>
        </w:rPr>
        <w:tab/>
      </w:r>
      <w:r>
        <w:rPr>
          <w:lang w:val="fr-FR"/>
        </w:rPr>
        <w:tab/>
        <w:t>Droits culturels</w:t>
      </w:r>
    </w:p>
    <w:p w14:paraId="76672948" w14:textId="721BAF1F" w:rsidR="0016305C" w:rsidRPr="00A20902" w:rsidRDefault="00C61517" w:rsidP="00C61517">
      <w:pPr>
        <w:pStyle w:val="SingleTxtG"/>
      </w:pPr>
      <w:r w:rsidRPr="00A20902">
        <w:t>54.</w:t>
      </w:r>
      <w:r w:rsidRPr="00A20902">
        <w:tab/>
      </w:r>
      <w:r w:rsidR="005B742F" w:rsidRPr="005B742F">
        <w:t xml:space="preserve">Le Comité exprime sa préoccupation </w:t>
      </w:r>
      <w:r w:rsidR="00554566">
        <w:t>quant aux</w:t>
      </w:r>
      <w:r w:rsidR="002C26AA">
        <w:t xml:space="preserve"> </w:t>
      </w:r>
      <w:r w:rsidR="005B742F" w:rsidRPr="005B742F">
        <w:t>information</w:t>
      </w:r>
      <w:r w:rsidR="002C26AA">
        <w:t>s</w:t>
      </w:r>
      <w:r w:rsidR="005B742F" w:rsidRPr="005B742F">
        <w:t xml:space="preserve"> reçue</w:t>
      </w:r>
      <w:r w:rsidR="002C26AA">
        <w:t>s</w:t>
      </w:r>
      <w:r w:rsidR="005B742F" w:rsidRPr="005B742F">
        <w:t xml:space="preserve"> sur la discrimination que subirait la minorité amazigh, en particulier dans l’exercice des droits culturels</w:t>
      </w:r>
      <w:r w:rsidR="002C26AA">
        <w:t xml:space="preserve">, et </w:t>
      </w:r>
      <w:r w:rsidR="00554566">
        <w:t>quant au</w:t>
      </w:r>
      <w:r w:rsidR="002C26AA">
        <w:t xml:space="preserve"> manque de données ventilées par appartenance ethnique et culturelle </w:t>
      </w:r>
      <w:r w:rsidR="00554566">
        <w:t>qui empêche</w:t>
      </w:r>
      <w:r w:rsidR="002C26AA">
        <w:t xml:space="preserve"> d’évaluer la situation réelle des </w:t>
      </w:r>
      <w:r w:rsidR="0017670C">
        <w:t>A</w:t>
      </w:r>
      <w:r w:rsidR="002C26AA">
        <w:t xml:space="preserve">mazighs </w:t>
      </w:r>
      <w:r w:rsidR="005B742F" w:rsidRPr="005B742F">
        <w:t>(art. 2</w:t>
      </w:r>
      <w:r w:rsidR="00D878B4">
        <w:t xml:space="preserve">, par. </w:t>
      </w:r>
      <w:r w:rsidR="005B742F" w:rsidRPr="005B742F">
        <w:t>2</w:t>
      </w:r>
      <w:r w:rsidR="00A403B3">
        <w:t>,</w:t>
      </w:r>
      <w:r w:rsidR="005B742F">
        <w:t xml:space="preserve"> et 15</w:t>
      </w:r>
      <w:r w:rsidR="005B742F" w:rsidRPr="005B742F">
        <w:t>).</w:t>
      </w:r>
      <w:r w:rsidR="00666F43">
        <w:t xml:space="preserve"> </w:t>
      </w:r>
      <w:r w:rsidR="00434EB1">
        <w:t>L</w:t>
      </w:r>
      <w:r w:rsidR="002C26AA">
        <w:t xml:space="preserve">e Comité </w:t>
      </w:r>
      <w:r w:rsidR="00666F43">
        <w:t>constate</w:t>
      </w:r>
      <w:r w:rsidR="00000705">
        <w:t xml:space="preserve"> que la définition de l</w:t>
      </w:r>
      <w:r w:rsidR="00951078" w:rsidRPr="00926DC8">
        <w:t>’</w:t>
      </w:r>
      <w:r w:rsidR="00000705">
        <w:t>identité arabe et musulmane de l</w:t>
      </w:r>
      <w:r w:rsidR="00951078" w:rsidRPr="00926DC8">
        <w:t>’</w:t>
      </w:r>
      <w:r w:rsidR="00B143CD">
        <w:t>État</w:t>
      </w:r>
      <w:r w:rsidR="00000705">
        <w:t xml:space="preserve"> partie pourrait </w:t>
      </w:r>
      <w:r w:rsidR="00E3767F">
        <w:t xml:space="preserve">conduire à des </w:t>
      </w:r>
      <w:r w:rsidR="00E3767F" w:rsidRPr="00A20902">
        <w:t>violations des droits linguistiques et culturels de la minorité amazigh</w:t>
      </w:r>
      <w:r w:rsidR="00AC34A2">
        <w:t>, notamment en imposant l</w:t>
      </w:r>
      <w:r w:rsidR="00951078" w:rsidRPr="00926DC8">
        <w:t>’</w:t>
      </w:r>
      <w:r w:rsidR="00AC34A2">
        <w:t>arabe comme langue exclusive dans l</w:t>
      </w:r>
      <w:r w:rsidR="00951078" w:rsidRPr="00926DC8">
        <w:t>’</w:t>
      </w:r>
      <w:r w:rsidR="00AC34A2">
        <w:t>enseignement public</w:t>
      </w:r>
      <w:r w:rsidR="00E3767F" w:rsidRPr="00A20902">
        <w:t>.</w:t>
      </w:r>
      <w:r w:rsidR="00666F43">
        <w:t xml:space="preserve"> </w:t>
      </w:r>
      <w:r w:rsidR="005F2C73">
        <w:t xml:space="preserve">Il constate enfin, </w:t>
      </w:r>
      <w:r w:rsidR="002747A2">
        <w:t>et</w:t>
      </w:r>
      <w:r w:rsidR="005F2C73">
        <w:t xml:space="preserve"> regrette, la faiblesse des moyens</w:t>
      </w:r>
      <w:r w:rsidR="00A20902" w:rsidRPr="00A20902">
        <w:t xml:space="preserve"> </w:t>
      </w:r>
      <w:r w:rsidR="0016305C" w:rsidRPr="00A20902">
        <w:t xml:space="preserve">budgétaires </w:t>
      </w:r>
      <w:r w:rsidR="005F2C73">
        <w:t>alloués à</w:t>
      </w:r>
      <w:r w:rsidR="005F2C73" w:rsidRPr="00A20902">
        <w:t xml:space="preserve"> </w:t>
      </w:r>
      <w:r w:rsidR="0016305C" w:rsidRPr="00A20902">
        <w:t xml:space="preserve">la culture et </w:t>
      </w:r>
      <w:r w:rsidR="002747A2">
        <w:t xml:space="preserve">à </w:t>
      </w:r>
      <w:r w:rsidR="0016305C" w:rsidRPr="00A20902">
        <w:t>la protection du patrimoine culturel</w:t>
      </w:r>
      <w:r w:rsidR="005F2C73">
        <w:t xml:space="preserve"> de la population amazigh.</w:t>
      </w:r>
    </w:p>
    <w:p w14:paraId="6EA7A17F" w14:textId="43D233D8" w:rsidR="003E553D" w:rsidRPr="003E553D" w:rsidRDefault="00C61517" w:rsidP="00C61517">
      <w:pPr>
        <w:pStyle w:val="SingleTxtG"/>
        <w:rPr>
          <w:b/>
        </w:rPr>
      </w:pPr>
      <w:r w:rsidRPr="003E553D">
        <w:t>55.</w:t>
      </w:r>
      <w:r w:rsidRPr="003E553D">
        <w:tab/>
      </w:r>
      <w:r w:rsidR="00A20902" w:rsidRPr="00A20902">
        <w:rPr>
          <w:b/>
        </w:rPr>
        <w:t xml:space="preserve">Le Comité recommande </w:t>
      </w:r>
      <w:r w:rsidR="003E553D" w:rsidRPr="003E553D">
        <w:rPr>
          <w:b/>
        </w:rPr>
        <w:t>à l</w:t>
      </w:r>
      <w:r w:rsidR="00951078" w:rsidRPr="00951078">
        <w:rPr>
          <w:b/>
        </w:rPr>
        <w:t>’</w:t>
      </w:r>
      <w:r w:rsidR="003E553D" w:rsidRPr="003E553D">
        <w:rPr>
          <w:b/>
        </w:rPr>
        <w:t xml:space="preserve">État partie de reconnaître la langue et la culture du peuple autochtone amazigh et </w:t>
      </w:r>
      <w:r w:rsidR="00F66050">
        <w:rPr>
          <w:b/>
        </w:rPr>
        <w:t>d</w:t>
      </w:r>
      <w:r w:rsidR="00F66050" w:rsidRPr="00F66050">
        <w:rPr>
          <w:b/>
        </w:rPr>
        <w:t>’</w:t>
      </w:r>
      <w:r w:rsidR="003E553D" w:rsidRPr="003E553D">
        <w:rPr>
          <w:b/>
        </w:rPr>
        <w:t xml:space="preserve">en assurer la protection et la promotion comme l’a demandé le Comité </w:t>
      </w:r>
      <w:r w:rsidR="004758B1">
        <w:rPr>
          <w:b/>
        </w:rPr>
        <w:t>pour l</w:t>
      </w:r>
      <w:r w:rsidR="004758B1" w:rsidRPr="004758B1">
        <w:rPr>
          <w:b/>
        </w:rPr>
        <w:t>’</w:t>
      </w:r>
      <w:r w:rsidR="004758B1">
        <w:rPr>
          <w:b/>
        </w:rPr>
        <w:t>élimination de</w:t>
      </w:r>
      <w:r w:rsidR="003E553D" w:rsidRPr="003E553D">
        <w:rPr>
          <w:b/>
        </w:rPr>
        <w:t xml:space="preserve"> l</w:t>
      </w:r>
      <w:r w:rsidR="00666F43">
        <w:rPr>
          <w:b/>
        </w:rPr>
        <w:t>a</w:t>
      </w:r>
      <w:r w:rsidR="003E553D" w:rsidRPr="003E553D">
        <w:rPr>
          <w:b/>
        </w:rPr>
        <w:t xml:space="preserve"> discrimination raciale en 2009. Par ailleurs, l’</w:t>
      </w:r>
      <w:r w:rsidR="00B143CD">
        <w:rPr>
          <w:b/>
        </w:rPr>
        <w:t>État</w:t>
      </w:r>
      <w:r w:rsidR="003E553D" w:rsidRPr="003E553D">
        <w:rPr>
          <w:b/>
        </w:rPr>
        <w:t xml:space="preserve"> partie devrait</w:t>
      </w:r>
      <w:r w:rsidR="00462A5C">
        <w:rPr>
          <w:b/>
        </w:rPr>
        <w:t> </w:t>
      </w:r>
      <w:r w:rsidR="003E553D" w:rsidRPr="003E553D">
        <w:rPr>
          <w:b/>
        </w:rPr>
        <w:t xml:space="preserve">: </w:t>
      </w:r>
    </w:p>
    <w:p w14:paraId="44ED6307" w14:textId="0E40046C" w:rsidR="00FF16F9" w:rsidRDefault="007D5FBD" w:rsidP="00C61517">
      <w:pPr>
        <w:pStyle w:val="SingleTxtG"/>
        <w:ind w:firstLine="567"/>
        <w:rPr>
          <w:b/>
        </w:rPr>
      </w:pPr>
      <w:r w:rsidRPr="00C61517">
        <w:rPr>
          <w:bCs/>
        </w:rPr>
        <w:t>a)</w:t>
      </w:r>
      <w:r>
        <w:rPr>
          <w:b/>
        </w:rPr>
        <w:tab/>
      </w:r>
      <w:r w:rsidR="004C3B14">
        <w:rPr>
          <w:b/>
        </w:rPr>
        <w:t>C</w:t>
      </w:r>
      <w:r w:rsidR="00FF16F9">
        <w:rPr>
          <w:b/>
        </w:rPr>
        <w:t>ollecter, à partir de l’auto-identification, des statistiques ventilées par appartenance ethnique et culturelle ;</w:t>
      </w:r>
    </w:p>
    <w:p w14:paraId="2FEB662C" w14:textId="7888288B" w:rsidR="003E553D" w:rsidRPr="003E553D" w:rsidRDefault="007D5FBD" w:rsidP="00C61517">
      <w:pPr>
        <w:pStyle w:val="SingleTxtG"/>
        <w:ind w:firstLine="567"/>
        <w:rPr>
          <w:b/>
        </w:rPr>
      </w:pPr>
      <w:r w:rsidRPr="00C61517">
        <w:rPr>
          <w:bCs/>
        </w:rPr>
        <w:t>b)</w:t>
      </w:r>
      <w:r>
        <w:rPr>
          <w:b/>
        </w:rPr>
        <w:tab/>
      </w:r>
      <w:r w:rsidR="004C3B14">
        <w:rPr>
          <w:b/>
        </w:rPr>
        <w:t>P</w:t>
      </w:r>
      <w:r w:rsidR="003E553D" w:rsidRPr="003E553D">
        <w:rPr>
          <w:b/>
        </w:rPr>
        <w:t>rendre des mesures législatives et administratives afin d’assurer l’enseignement de la langue amazigh à tous les niveaux scolaires et encourager la connaissance de l’hi</w:t>
      </w:r>
      <w:r w:rsidR="00762C6C">
        <w:rPr>
          <w:b/>
        </w:rPr>
        <w:t>stoire et de la culture amazigh</w:t>
      </w:r>
      <w:r w:rsidR="004758B1">
        <w:rPr>
          <w:b/>
        </w:rPr>
        <w:t>s</w:t>
      </w:r>
      <w:r w:rsidR="004C3B14">
        <w:rPr>
          <w:b/>
        </w:rPr>
        <w:t> </w:t>
      </w:r>
      <w:r w:rsidR="003E553D" w:rsidRPr="003E553D">
        <w:rPr>
          <w:b/>
        </w:rPr>
        <w:t>;</w:t>
      </w:r>
    </w:p>
    <w:p w14:paraId="74BB6226" w14:textId="3A5B45D3" w:rsidR="003E553D" w:rsidRPr="003E553D" w:rsidRDefault="007D5FBD" w:rsidP="00C61517">
      <w:pPr>
        <w:pStyle w:val="SingleTxtG"/>
        <w:ind w:firstLine="567"/>
        <w:rPr>
          <w:b/>
        </w:rPr>
      </w:pPr>
      <w:r w:rsidRPr="00C61517">
        <w:rPr>
          <w:bCs/>
        </w:rPr>
        <w:lastRenderedPageBreak/>
        <w:t>c)</w:t>
      </w:r>
      <w:r>
        <w:rPr>
          <w:b/>
        </w:rPr>
        <w:tab/>
      </w:r>
      <w:r w:rsidR="003E553D" w:rsidRPr="003E553D">
        <w:rPr>
          <w:b/>
        </w:rPr>
        <w:t>Abroger le décret n</w:t>
      </w:r>
      <w:r w:rsidR="00474A52" w:rsidRPr="00C61517">
        <w:rPr>
          <w:b/>
          <w:vertAlign w:val="superscript"/>
        </w:rPr>
        <w:t>o</w:t>
      </w:r>
      <w:r w:rsidR="00474A52">
        <w:rPr>
          <w:b/>
        </w:rPr>
        <w:t> </w:t>
      </w:r>
      <w:r w:rsidR="003E553D" w:rsidRPr="003E553D">
        <w:rPr>
          <w:b/>
        </w:rPr>
        <w:t>85 du 12</w:t>
      </w:r>
      <w:r w:rsidR="004758B1">
        <w:rPr>
          <w:b/>
        </w:rPr>
        <w:t xml:space="preserve"> décembre </w:t>
      </w:r>
      <w:r w:rsidR="003E553D" w:rsidRPr="003E553D">
        <w:rPr>
          <w:b/>
        </w:rPr>
        <w:t>1962 et permettre l’enregistrement des prénoms amazighs dans les registres de l</w:t>
      </w:r>
      <w:r w:rsidR="00EF1A0E" w:rsidRPr="00EF1A0E">
        <w:rPr>
          <w:b/>
        </w:rPr>
        <w:t>’</w:t>
      </w:r>
      <w:r w:rsidR="00750689">
        <w:rPr>
          <w:b/>
        </w:rPr>
        <w:t>é</w:t>
      </w:r>
      <w:r w:rsidR="003E553D" w:rsidRPr="003E553D">
        <w:rPr>
          <w:b/>
        </w:rPr>
        <w:t>tat civil</w:t>
      </w:r>
      <w:r w:rsidR="004C3B14">
        <w:rPr>
          <w:b/>
        </w:rPr>
        <w:t> </w:t>
      </w:r>
      <w:r w:rsidR="003E553D" w:rsidRPr="003E553D">
        <w:rPr>
          <w:b/>
        </w:rPr>
        <w:t>;</w:t>
      </w:r>
    </w:p>
    <w:p w14:paraId="53B14689" w14:textId="415E47B5" w:rsidR="003E553D" w:rsidRDefault="007D5FBD" w:rsidP="00C61517">
      <w:pPr>
        <w:pStyle w:val="SingleTxtG"/>
        <w:ind w:firstLine="567"/>
        <w:rPr>
          <w:b/>
        </w:rPr>
      </w:pPr>
      <w:r w:rsidRPr="00C61517">
        <w:rPr>
          <w:bCs/>
        </w:rPr>
        <w:t>d)</w:t>
      </w:r>
      <w:r>
        <w:rPr>
          <w:b/>
        </w:rPr>
        <w:tab/>
      </w:r>
      <w:r w:rsidR="001B12E0">
        <w:rPr>
          <w:b/>
        </w:rPr>
        <w:t xml:space="preserve">Faciliter </w:t>
      </w:r>
      <w:r w:rsidR="004758B1">
        <w:rPr>
          <w:b/>
        </w:rPr>
        <w:t>le</w:t>
      </w:r>
      <w:r w:rsidR="004758B1" w:rsidRPr="003E553D">
        <w:rPr>
          <w:b/>
        </w:rPr>
        <w:t xml:space="preserve"> </w:t>
      </w:r>
      <w:r w:rsidR="003E553D" w:rsidRPr="003E553D">
        <w:rPr>
          <w:b/>
        </w:rPr>
        <w:t>déroulement des activités culturelles organisées par les ass</w:t>
      </w:r>
      <w:r w:rsidR="001B12E0">
        <w:rPr>
          <w:b/>
        </w:rPr>
        <w:t>o</w:t>
      </w:r>
      <w:r w:rsidR="005E6007">
        <w:rPr>
          <w:b/>
        </w:rPr>
        <w:t>ciations culturelles amazighs.</w:t>
      </w:r>
    </w:p>
    <w:p w14:paraId="52EBE3FD" w14:textId="77777777" w:rsidR="00D16679" w:rsidRDefault="00D16679" w:rsidP="00C61517">
      <w:pPr>
        <w:pStyle w:val="H1G"/>
      </w:pPr>
      <w:r>
        <w:tab/>
        <w:t>D.</w:t>
      </w:r>
      <w:r>
        <w:tab/>
        <w:t>Autres recommandations</w:t>
      </w:r>
    </w:p>
    <w:p w14:paraId="3E96422B" w14:textId="1EEB4C13" w:rsidR="00F41EBF" w:rsidRDefault="00C61517" w:rsidP="00C61517">
      <w:pPr>
        <w:pStyle w:val="SingleTxtG"/>
        <w:rPr>
          <w:b/>
        </w:rPr>
      </w:pPr>
      <w:r>
        <w:t>56.</w:t>
      </w:r>
      <w:r>
        <w:tab/>
      </w:r>
      <w:r w:rsidR="00F41EBF" w:rsidRPr="00F91520">
        <w:rPr>
          <w:b/>
        </w:rPr>
        <w:t xml:space="preserve">Le Comité invite l’État partie à </w:t>
      </w:r>
      <w:r w:rsidR="00D5486A" w:rsidRPr="00F91520">
        <w:rPr>
          <w:b/>
        </w:rPr>
        <w:t>ratifier le Protocole facultatif se rapportant au Pacte international relatif aux droits économiques, sociaux et culturels</w:t>
      </w:r>
      <w:r w:rsidR="00F41EBF" w:rsidRPr="00F91520">
        <w:rPr>
          <w:b/>
        </w:rPr>
        <w:t>.</w:t>
      </w:r>
    </w:p>
    <w:p w14:paraId="25753C9F" w14:textId="4047D60B" w:rsidR="00D16679" w:rsidRPr="005C451C" w:rsidRDefault="00C61517" w:rsidP="00C61517">
      <w:pPr>
        <w:pStyle w:val="SingleTxtG"/>
        <w:rPr>
          <w:b/>
        </w:rPr>
      </w:pPr>
      <w:r w:rsidRPr="005C451C">
        <w:t>57.</w:t>
      </w:r>
      <w:r w:rsidRPr="005C451C">
        <w:tab/>
      </w:r>
      <w:r w:rsidR="00D16679" w:rsidRPr="00E11B62">
        <w:rPr>
          <w:b/>
        </w:rPr>
        <w:t xml:space="preserve">Le Comité encourage l’État partie </w:t>
      </w:r>
      <w:r w:rsidR="00981A94">
        <w:rPr>
          <w:b/>
        </w:rPr>
        <w:t>à adhérer à</w:t>
      </w:r>
      <w:r w:rsidR="00382EF0" w:rsidRPr="00E11B62">
        <w:rPr>
          <w:b/>
        </w:rPr>
        <w:t xml:space="preserve"> la Convention international</w:t>
      </w:r>
      <w:r w:rsidR="0096085C" w:rsidRPr="00E11B62">
        <w:rPr>
          <w:b/>
        </w:rPr>
        <w:t>e</w:t>
      </w:r>
      <w:r w:rsidR="00382EF0" w:rsidRPr="00E11B62">
        <w:rPr>
          <w:b/>
        </w:rPr>
        <w:t xml:space="preserve"> sur la protection des droits de tous les travailleurs migrants et des membres de leur famille.</w:t>
      </w:r>
    </w:p>
    <w:p w14:paraId="6BB8CEB1" w14:textId="24DCA8E3" w:rsidR="00A018EF" w:rsidRDefault="00C61517" w:rsidP="00C61517">
      <w:pPr>
        <w:pStyle w:val="SingleTxtG"/>
        <w:rPr>
          <w:b/>
        </w:rPr>
      </w:pPr>
      <w:r>
        <w:t>58.</w:t>
      </w:r>
      <w:r>
        <w:tab/>
      </w:r>
      <w:r w:rsidR="00A018EF" w:rsidRPr="00A018EF">
        <w:rPr>
          <w:b/>
        </w:rPr>
        <w:t>Le Comité recommande à l</w:t>
      </w:r>
      <w:r w:rsidR="00A321D7" w:rsidRPr="00A321D7">
        <w:rPr>
          <w:b/>
        </w:rPr>
        <w:t>’</w:t>
      </w:r>
      <w:r w:rsidR="00A018EF" w:rsidRPr="00A018EF">
        <w:rPr>
          <w:b/>
        </w:rPr>
        <w:t>État partie de prendre pleinement en compte ses obligations en vertu du Pacte et d</w:t>
      </w:r>
      <w:r w:rsidR="00674C83" w:rsidRPr="00674C83">
        <w:rPr>
          <w:b/>
        </w:rPr>
        <w:t>’</w:t>
      </w:r>
      <w:r w:rsidR="00A018EF" w:rsidRPr="00A018EF">
        <w:rPr>
          <w:b/>
        </w:rPr>
        <w:t>assurer la pleine jouissance de ces droits dans la mise en œuvre du Programme de développement durable à l</w:t>
      </w:r>
      <w:r w:rsidR="00674C83" w:rsidRPr="00674C83">
        <w:rPr>
          <w:b/>
        </w:rPr>
        <w:t>’</w:t>
      </w:r>
      <w:r w:rsidR="00A018EF" w:rsidRPr="00A018EF">
        <w:rPr>
          <w:b/>
        </w:rPr>
        <w:t>horizon 2030 au niveau national, avec l</w:t>
      </w:r>
      <w:r w:rsidR="00674C83" w:rsidRPr="00674C83">
        <w:rPr>
          <w:b/>
        </w:rPr>
        <w:t>’</w:t>
      </w:r>
      <w:r w:rsidR="00A018EF" w:rsidRPr="00A018EF">
        <w:rPr>
          <w:b/>
        </w:rPr>
        <w:t>appui de l</w:t>
      </w:r>
      <w:r w:rsidR="00674C83" w:rsidRPr="00674C83">
        <w:rPr>
          <w:b/>
        </w:rPr>
        <w:t>’</w:t>
      </w:r>
      <w:r w:rsidR="00A018EF" w:rsidRPr="00A018EF">
        <w:rPr>
          <w:b/>
        </w:rPr>
        <w:t xml:space="preserve">aide et </w:t>
      </w:r>
      <w:r w:rsidR="006B0A4D">
        <w:rPr>
          <w:b/>
        </w:rPr>
        <w:t xml:space="preserve">de </w:t>
      </w:r>
      <w:r w:rsidR="00A018EF" w:rsidRPr="00A018EF">
        <w:rPr>
          <w:b/>
        </w:rPr>
        <w:t>la coopération internationales, le cas échéant. La réalisation des Objectifs de développement durable sera amplement facilitée par la mise en place par l</w:t>
      </w:r>
      <w:r w:rsidR="00674C83" w:rsidRPr="00674C83">
        <w:rPr>
          <w:b/>
        </w:rPr>
        <w:t>’</w:t>
      </w:r>
      <w:r w:rsidR="00A018EF" w:rsidRPr="00A018EF">
        <w:rPr>
          <w:b/>
        </w:rPr>
        <w:t xml:space="preserve">État partie de mécanismes indépendants de suivi des progrès, et en traitant les bénéficiaires des programmes publics comme des titulaires de droits, capables de les faire valoir. Fonder la mise en œuvre des </w:t>
      </w:r>
      <w:r w:rsidR="006B0A4D" w:rsidRPr="00A018EF">
        <w:rPr>
          <w:b/>
        </w:rPr>
        <w:t>Objectifs de développement durable</w:t>
      </w:r>
      <w:r w:rsidR="00A018EF" w:rsidRPr="00A018EF">
        <w:rPr>
          <w:b/>
        </w:rPr>
        <w:t xml:space="preserve"> sur la base de la participation, </w:t>
      </w:r>
      <w:r w:rsidR="006B0A4D">
        <w:rPr>
          <w:b/>
        </w:rPr>
        <w:t xml:space="preserve">de </w:t>
      </w:r>
      <w:r w:rsidR="00A018EF" w:rsidRPr="00A018EF">
        <w:rPr>
          <w:b/>
        </w:rPr>
        <w:t xml:space="preserve">la responsabilité et </w:t>
      </w:r>
      <w:r w:rsidR="006B0A4D">
        <w:rPr>
          <w:b/>
        </w:rPr>
        <w:t xml:space="preserve">de </w:t>
      </w:r>
      <w:r w:rsidR="00A018EF" w:rsidRPr="00A018EF">
        <w:rPr>
          <w:b/>
        </w:rPr>
        <w:t xml:space="preserve">la non-discrimination garantira que personne ne sera </w:t>
      </w:r>
      <w:r w:rsidR="00DF50FF" w:rsidRPr="00A018EF">
        <w:rPr>
          <w:b/>
        </w:rPr>
        <w:t>laissé</w:t>
      </w:r>
      <w:r w:rsidR="00A018EF" w:rsidRPr="00A018EF">
        <w:rPr>
          <w:b/>
        </w:rPr>
        <w:t xml:space="preserve"> pour compte dans ce processus.</w:t>
      </w:r>
    </w:p>
    <w:p w14:paraId="1DA360CD" w14:textId="5178DDAA" w:rsidR="00382EF0" w:rsidRDefault="00C61517" w:rsidP="00C61517">
      <w:pPr>
        <w:pStyle w:val="SingleTxtG"/>
        <w:rPr>
          <w:b/>
        </w:rPr>
      </w:pPr>
      <w:r>
        <w:t>59.</w:t>
      </w:r>
      <w:r>
        <w:tab/>
      </w:r>
      <w:r w:rsidR="005716DF" w:rsidRPr="00B31B20">
        <w:rPr>
          <w:b/>
        </w:rPr>
        <w:t>Le Comité incite l’</w:t>
      </w:r>
      <w:r w:rsidR="005716DF">
        <w:rPr>
          <w:b/>
        </w:rPr>
        <w:t>État</w:t>
      </w:r>
      <w:r w:rsidR="005716DF" w:rsidRPr="00B31B20">
        <w:rPr>
          <w:b/>
        </w:rPr>
        <w:t xml:space="preserve"> partie à mettre en place un système complet de collecte de données recouvrant tous les domaines visés par le Pacte, et </w:t>
      </w:r>
      <w:r w:rsidR="005716DF">
        <w:rPr>
          <w:b/>
        </w:rPr>
        <w:t xml:space="preserve">lui </w:t>
      </w:r>
      <w:r w:rsidR="005716DF" w:rsidRPr="00B31B20">
        <w:rPr>
          <w:b/>
        </w:rPr>
        <w:t xml:space="preserve">demande d’inclure dans son prochain rapport périodique des données statistiques annuelles comparatives sur l’exercice de chaque droit consacré par la Convention, ventilées par âge, sexe, </w:t>
      </w:r>
      <w:r w:rsidR="005716DF">
        <w:rPr>
          <w:b/>
        </w:rPr>
        <w:t>région, populations urbaines et rurales</w:t>
      </w:r>
      <w:r w:rsidR="005716DF" w:rsidRPr="00B31B20">
        <w:rPr>
          <w:b/>
        </w:rPr>
        <w:t xml:space="preserve">, ethnicité et autres critères pertinents. Le Comité recommande </w:t>
      </w:r>
      <w:r w:rsidR="005716DF">
        <w:rPr>
          <w:b/>
        </w:rPr>
        <w:t>à l</w:t>
      </w:r>
      <w:r w:rsidR="005716DF" w:rsidRPr="00566014">
        <w:rPr>
          <w:b/>
        </w:rPr>
        <w:t>’</w:t>
      </w:r>
      <w:r w:rsidR="005716DF">
        <w:rPr>
          <w:b/>
        </w:rPr>
        <w:t xml:space="preserve">État partie </w:t>
      </w:r>
      <w:r w:rsidR="005716DF" w:rsidRPr="00B31B20">
        <w:rPr>
          <w:b/>
        </w:rPr>
        <w:t xml:space="preserve">de prendre en considération le cadre méthodologique concernant les indicateurs des droits de l’homme </w:t>
      </w:r>
      <w:r w:rsidR="005716DF">
        <w:rPr>
          <w:b/>
        </w:rPr>
        <w:t>élaboré</w:t>
      </w:r>
      <w:r w:rsidR="005716DF" w:rsidRPr="00B31B20">
        <w:rPr>
          <w:b/>
        </w:rPr>
        <w:t xml:space="preserve"> par le Haut-</w:t>
      </w:r>
      <w:r w:rsidR="00E17598" w:rsidRPr="00B31B20">
        <w:rPr>
          <w:b/>
        </w:rPr>
        <w:t>C</w:t>
      </w:r>
      <w:r w:rsidR="005716DF" w:rsidRPr="00B31B20">
        <w:rPr>
          <w:b/>
        </w:rPr>
        <w:t>ommissariat des Nations Unies aux droits de l’homme (HRI/MC</w:t>
      </w:r>
      <w:r w:rsidR="005716DF">
        <w:rPr>
          <w:b/>
        </w:rPr>
        <w:t>/2008/3)</w:t>
      </w:r>
      <w:r w:rsidR="005716DF" w:rsidRPr="00B31B20">
        <w:rPr>
          <w:b/>
        </w:rPr>
        <w:t>.</w:t>
      </w:r>
      <w:r w:rsidR="005716DF">
        <w:rPr>
          <w:b/>
        </w:rPr>
        <w:t xml:space="preserve"> </w:t>
      </w:r>
    </w:p>
    <w:p w14:paraId="1FC5656D" w14:textId="19D9BEC9" w:rsidR="00753457" w:rsidRDefault="00C61517" w:rsidP="00C61517">
      <w:pPr>
        <w:pStyle w:val="SingleTxtG"/>
      </w:pPr>
      <w:r>
        <w:t>60.</w:t>
      </w:r>
      <w:r>
        <w:tab/>
      </w:r>
      <w:r w:rsidR="005716DF" w:rsidRPr="00382EF0">
        <w:rPr>
          <w:b/>
        </w:rPr>
        <w:t>Le Comité demande à l’État partie de diffuser largement les présentes observations finales dans tous les secteurs de la société, en particulier auprès des parlementaires</w:t>
      </w:r>
      <w:r w:rsidR="005716DF">
        <w:rPr>
          <w:b/>
        </w:rPr>
        <w:t>,</w:t>
      </w:r>
      <w:r w:rsidR="005716DF" w:rsidRPr="00382EF0">
        <w:rPr>
          <w:b/>
        </w:rPr>
        <w:t xml:space="preserve"> des agents de l’État</w:t>
      </w:r>
      <w:r w:rsidR="005716DF">
        <w:rPr>
          <w:b/>
        </w:rPr>
        <w:t xml:space="preserve"> et</w:t>
      </w:r>
      <w:r w:rsidR="005716DF" w:rsidRPr="00382EF0">
        <w:rPr>
          <w:b/>
        </w:rPr>
        <w:t xml:space="preserve"> des autorités judiciaires, et de l’informer, dans son prochain rapport périodique, des mesures qu’il aura prises pour les mettre en œuvre. Il encourage aussi l’État partie à associer les organisations de la société civile aux discussions menées au niveau national avant la présentation de son prochain </w:t>
      </w:r>
      <w:r w:rsidR="005716DF" w:rsidRPr="00F91520">
        <w:rPr>
          <w:b/>
        </w:rPr>
        <w:t>rapport périodique.</w:t>
      </w:r>
    </w:p>
    <w:p w14:paraId="72D0CEFA" w14:textId="09B5ADD0" w:rsidR="00382EF0" w:rsidRPr="00382EF0" w:rsidRDefault="00C61517" w:rsidP="00C61517">
      <w:pPr>
        <w:pStyle w:val="SingleTxtG"/>
        <w:rPr>
          <w:b/>
        </w:rPr>
      </w:pPr>
      <w:r w:rsidRPr="00382EF0">
        <w:t>61.</w:t>
      </w:r>
      <w:r w:rsidRPr="00382EF0">
        <w:tab/>
      </w:r>
      <w:r w:rsidR="00382EF0" w:rsidRPr="00F91520">
        <w:rPr>
          <w:b/>
        </w:rPr>
        <w:t xml:space="preserve">Le Comité prie l’État partie de soumettre son </w:t>
      </w:r>
      <w:r w:rsidR="00B91A8A" w:rsidRPr="00F91520">
        <w:rPr>
          <w:b/>
        </w:rPr>
        <w:t xml:space="preserve">quatrième </w:t>
      </w:r>
      <w:r w:rsidR="00382EF0" w:rsidRPr="00F91520">
        <w:rPr>
          <w:b/>
        </w:rPr>
        <w:t xml:space="preserve">rapport périodique </w:t>
      </w:r>
      <w:r w:rsidR="00382EF0" w:rsidRPr="00762C6C">
        <w:rPr>
          <w:b/>
        </w:rPr>
        <w:t>d’ici au</w:t>
      </w:r>
      <w:r w:rsidR="00762C6C">
        <w:rPr>
          <w:b/>
        </w:rPr>
        <w:t xml:space="preserve"> </w:t>
      </w:r>
      <w:r w:rsidR="00535F5E">
        <w:rPr>
          <w:b/>
        </w:rPr>
        <w:t xml:space="preserve">31 octobre </w:t>
      </w:r>
      <w:r w:rsidR="00D56464" w:rsidRPr="00762C6C">
        <w:rPr>
          <w:b/>
        </w:rPr>
        <w:t>20</w:t>
      </w:r>
      <w:r w:rsidR="00B91A8A" w:rsidRPr="00762C6C">
        <w:rPr>
          <w:b/>
        </w:rPr>
        <w:t>2</w:t>
      </w:r>
      <w:r w:rsidR="00535F5E">
        <w:rPr>
          <w:b/>
        </w:rPr>
        <w:t>1</w:t>
      </w:r>
      <w:r w:rsidR="00382EF0" w:rsidRPr="00762C6C">
        <w:rPr>
          <w:b/>
        </w:rPr>
        <w:t xml:space="preserve"> </w:t>
      </w:r>
      <w:r w:rsidR="00382EF0" w:rsidRPr="00F91520">
        <w:rPr>
          <w:b/>
        </w:rPr>
        <w:t xml:space="preserve">et l’invite à présenter </w:t>
      </w:r>
      <w:r w:rsidR="00051817" w:rsidRPr="00F91520">
        <w:rPr>
          <w:b/>
        </w:rPr>
        <w:t xml:space="preserve">dans les meilleurs délais </w:t>
      </w:r>
      <w:r w:rsidR="00382EF0" w:rsidRPr="00F91520">
        <w:rPr>
          <w:b/>
        </w:rPr>
        <w:t xml:space="preserve">un document de base commun conformément aux directives harmonisées </w:t>
      </w:r>
      <w:r w:rsidR="00FD6FF1">
        <w:rPr>
          <w:b/>
        </w:rPr>
        <w:t>concernant</w:t>
      </w:r>
      <w:r w:rsidR="00FD6FF1" w:rsidRPr="00F91520">
        <w:rPr>
          <w:b/>
        </w:rPr>
        <w:t xml:space="preserve"> </w:t>
      </w:r>
      <w:r w:rsidR="00382EF0" w:rsidRPr="00F91520">
        <w:rPr>
          <w:b/>
        </w:rPr>
        <w:t>l’établissement de</w:t>
      </w:r>
      <w:r w:rsidR="00FD6FF1">
        <w:rPr>
          <w:b/>
        </w:rPr>
        <w:t>s</w:t>
      </w:r>
      <w:r w:rsidR="00382EF0" w:rsidRPr="00F91520">
        <w:rPr>
          <w:b/>
        </w:rPr>
        <w:t xml:space="preserve"> rapports </w:t>
      </w:r>
      <w:r w:rsidR="00FD6FF1">
        <w:rPr>
          <w:b/>
        </w:rPr>
        <w:t>destinés aux organes créés en vertu d</w:t>
      </w:r>
      <w:r w:rsidR="00FD6FF1" w:rsidRPr="00FD6FF1">
        <w:rPr>
          <w:b/>
        </w:rPr>
        <w:t>’</w:t>
      </w:r>
      <w:r w:rsidR="00382EF0" w:rsidRPr="00F91520">
        <w:rPr>
          <w:b/>
        </w:rPr>
        <w:t xml:space="preserve">instruments internationaux relatifs aux droits </w:t>
      </w:r>
      <w:r w:rsidR="00F8039A" w:rsidRPr="00F91520">
        <w:rPr>
          <w:b/>
        </w:rPr>
        <w:t>de l’h</w:t>
      </w:r>
      <w:r w:rsidR="00903393" w:rsidRPr="00F91520">
        <w:rPr>
          <w:b/>
        </w:rPr>
        <w:t>omme</w:t>
      </w:r>
      <w:r w:rsidR="00FD6FF1">
        <w:rPr>
          <w:b/>
        </w:rPr>
        <w:t xml:space="preserve"> (voir HRI/GEN/2/Rev.6, chap. I)</w:t>
      </w:r>
      <w:r w:rsidR="00382EF0" w:rsidRPr="00F91520">
        <w:rPr>
          <w:b/>
        </w:rPr>
        <w:t>.</w:t>
      </w:r>
    </w:p>
    <w:p w14:paraId="7958A36A" w14:textId="36DCEDBE" w:rsidR="00007711" w:rsidRPr="00812CE4" w:rsidRDefault="006F625D" w:rsidP="007C272A">
      <w:pPr>
        <w:pStyle w:val="SingleTxtG"/>
        <w:spacing w:before="240" w:after="0"/>
        <w:jc w:val="center"/>
        <w:rPr>
          <w:u w:val="single"/>
        </w:rPr>
      </w:pPr>
      <w:r w:rsidRPr="00EC1F05">
        <w:rPr>
          <w:u w:val="single"/>
        </w:rPr>
        <w:tab/>
      </w:r>
      <w:r w:rsidRPr="00EC1F05">
        <w:rPr>
          <w:u w:val="single"/>
        </w:rPr>
        <w:tab/>
      </w:r>
      <w:r w:rsidRPr="00EC1F05">
        <w:rPr>
          <w:u w:val="single"/>
        </w:rPr>
        <w:tab/>
      </w:r>
    </w:p>
    <w:sectPr w:rsidR="00007711" w:rsidRPr="00812CE4" w:rsidSect="00846B5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4BCBB" w14:textId="77777777" w:rsidR="00785723" w:rsidRDefault="00785723"/>
  </w:endnote>
  <w:endnote w:type="continuationSeparator" w:id="0">
    <w:p w14:paraId="627AC586" w14:textId="77777777" w:rsidR="00785723" w:rsidRDefault="00785723"/>
  </w:endnote>
  <w:endnote w:type="continuationNotice" w:id="1">
    <w:p w14:paraId="4C8E287A" w14:textId="77777777" w:rsidR="00785723" w:rsidRDefault="0078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F559" w14:textId="105201D7" w:rsidR="00434EB1" w:rsidRPr="00C61517" w:rsidRDefault="00434EB1" w:rsidP="0047154B">
    <w:pPr>
      <w:pStyle w:val="Pieddepage"/>
      <w:tabs>
        <w:tab w:val="right" w:pos="9638"/>
      </w:tabs>
      <w:rPr>
        <w:b/>
        <w:bCs/>
        <w:sz w:val="18"/>
      </w:rPr>
    </w:pPr>
    <w:r w:rsidRPr="00C61517">
      <w:rPr>
        <w:b/>
        <w:bCs/>
        <w:sz w:val="18"/>
      </w:rPr>
      <w:fldChar w:fldCharType="begin"/>
    </w:r>
    <w:r w:rsidRPr="00C61517">
      <w:rPr>
        <w:b/>
        <w:bCs/>
        <w:sz w:val="18"/>
      </w:rPr>
      <w:instrText xml:space="preserve"> PAGE  \* MERGEFORMAT </w:instrText>
    </w:r>
    <w:r w:rsidRPr="00C61517">
      <w:rPr>
        <w:b/>
        <w:bCs/>
        <w:sz w:val="18"/>
      </w:rPr>
      <w:fldChar w:fldCharType="separate"/>
    </w:r>
    <w:r w:rsidR="0098180E">
      <w:rPr>
        <w:b/>
        <w:bCs/>
        <w:noProof/>
        <w:sz w:val="18"/>
      </w:rPr>
      <w:t>10</w:t>
    </w:r>
    <w:r w:rsidRPr="00C61517">
      <w:rPr>
        <w:b/>
        <w:bCs/>
        <w:sz w:val="18"/>
      </w:rPr>
      <w:fldChar w:fldCharType="end"/>
    </w:r>
    <w:r w:rsidR="00812CE4" w:rsidRPr="00C61517">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96FE" w14:textId="7D73E220" w:rsidR="00434EB1" w:rsidRPr="00C61517" w:rsidRDefault="00434EB1" w:rsidP="0047154B">
    <w:pPr>
      <w:pStyle w:val="Pieddepage"/>
      <w:tabs>
        <w:tab w:val="right" w:pos="9638"/>
      </w:tabs>
      <w:rPr>
        <w:b/>
        <w:bCs/>
        <w:sz w:val="18"/>
      </w:rPr>
    </w:pPr>
    <w:r w:rsidRPr="006F625D">
      <w:tab/>
    </w:r>
    <w:r w:rsidRPr="00C61517">
      <w:rPr>
        <w:b/>
        <w:bCs/>
        <w:sz w:val="18"/>
      </w:rPr>
      <w:fldChar w:fldCharType="begin"/>
    </w:r>
    <w:r w:rsidRPr="00C61517">
      <w:rPr>
        <w:b/>
        <w:bCs/>
        <w:sz w:val="18"/>
      </w:rPr>
      <w:instrText xml:space="preserve"> PAGE  \* MERGEFORMAT </w:instrText>
    </w:r>
    <w:r w:rsidRPr="00C61517">
      <w:rPr>
        <w:b/>
        <w:bCs/>
        <w:sz w:val="18"/>
      </w:rPr>
      <w:fldChar w:fldCharType="separate"/>
    </w:r>
    <w:r w:rsidR="0098180E">
      <w:rPr>
        <w:b/>
        <w:bCs/>
        <w:noProof/>
        <w:sz w:val="18"/>
      </w:rPr>
      <w:t>9</w:t>
    </w:r>
    <w:r w:rsidRPr="00C6151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2AA6" w14:textId="4251FAB0" w:rsidR="00434EB1" w:rsidRPr="00432FBA" w:rsidRDefault="00A57A22" w:rsidP="00416591">
    <w:pPr>
      <w:pStyle w:val="Pieddepage"/>
      <w:spacing w:before="120"/>
      <w:rPr>
        <w:rFonts w:ascii="C39T30Lfz" w:hAnsi="C39T30Lfz"/>
        <w:sz w:val="56"/>
      </w:rPr>
    </w:pPr>
    <w:r>
      <w:rPr>
        <w:rFonts w:ascii="C39T30Lfz" w:hAnsi="C39T30Lfz"/>
        <w:noProof/>
        <w:sz w:val="56"/>
        <w:lang w:eastAsia="fr-CH"/>
      </w:rPr>
      <w:drawing>
        <wp:anchor distT="0" distB="0" distL="114300" distR="114300" simplePos="0" relativeHeight="251661312" behindDoc="0" locked="0" layoutInCell="1" allowOverlap="1" wp14:anchorId="653896FF" wp14:editId="6B778865">
          <wp:simplePos x="0" y="0"/>
          <wp:positionH relativeFrom="column">
            <wp:posOffset>5467350</wp:posOffset>
          </wp:positionH>
          <wp:positionV relativeFrom="paragraph">
            <wp:posOffset>66675</wp:posOffset>
          </wp:positionV>
          <wp:extent cx="638175" cy="638175"/>
          <wp:effectExtent l="0" t="0" r="9525" b="9525"/>
          <wp:wrapNone/>
          <wp:docPr id="3" name="Image 2" descr="http://undocs.org/m2/QRCode.ashx?DS=E/C.12/TUN/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12/TUN/CO/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BA">
      <w:rPr>
        <w:sz w:val="20"/>
      </w:rPr>
      <w:t>GE.16-20066  (F)</w:t>
    </w:r>
    <w:r w:rsidR="00432FBA">
      <w:rPr>
        <w:noProof/>
        <w:lang w:eastAsia="fr-CH"/>
      </w:rPr>
      <w:drawing>
        <wp:anchor distT="0" distB="0" distL="114300" distR="114300" simplePos="0" relativeHeight="251660288" behindDoc="0" locked="0" layoutInCell="1" allowOverlap="0" wp14:anchorId="351DEF0D" wp14:editId="54179A31">
          <wp:simplePos x="0" y="0"/>
          <wp:positionH relativeFrom="margin">
            <wp:posOffset>4320540</wp:posOffset>
          </wp:positionH>
          <wp:positionV relativeFrom="margin">
            <wp:posOffset>8281035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BA">
      <w:rPr>
        <w:sz w:val="20"/>
      </w:rPr>
      <w:br/>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r w:rsidR="00432FBA" w:rsidRPr="00432FB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76E10" w14:textId="77777777" w:rsidR="00785723" w:rsidRPr="00D27D5E" w:rsidRDefault="00785723" w:rsidP="00D27D5E">
      <w:pPr>
        <w:tabs>
          <w:tab w:val="right" w:pos="2155"/>
        </w:tabs>
        <w:spacing w:after="80"/>
        <w:ind w:left="680"/>
        <w:rPr>
          <w:u w:val="single"/>
        </w:rPr>
      </w:pPr>
      <w:r>
        <w:rPr>
          <w:u w:val="single"/>
        </w:rPr>
        <w:tab/>
      </w:r>
    </w:p>
  </w:footnote>
  <w:footnote w:type="continuationSeparator" w:id="0">
    <w:p w14:paraId="785E66FD" w14:textId="77777777" w:rsidR="00785723" w:rsidRPr="005B09DD" w:rsidRDefault="00785723" w:rsidP="005B09DD">
      <w:pPr>
        <w:tabs>
          <w:tab w:val="right" w:pos="2155"/>
        </w:tabs>
        <w:spacing w:after="80"/>
        <w:ind w:left="680"/>
        <w:rPr>
          <w:u w:val="single"/>
        </w:rPr>
      </w:pPr>
      <w:r w:rsidRPr="005B09DD">
        <w:rPr>
          <w:u w:val="single"/>
        </w:rPr>
        <w:tab/>
      </w:r>
    </w:p>
  </w:footnote>
  <w:footnote w:type="continuationNotice" w:id="1">
    <w:p w14:paraId="5834083B" w14:textId="77777777" w:rsidR="00785723" w:rsidRDefault="00785723"/>
  </w:footnote>
  <w:footnote w:id="2">
    <w:p w14:paraId="45ECA696" w14:textId="6EF77D2E" w:rsidR="00434EB1" w:rsidRPr="000D2D65" w:rsidRDefault="00434EB1" w:rsidP="00C90A28">
      <w:pPr>
        <w:pStyle w:val="Notedebasdepage"/>
      </w:pPr>
      <w:r>
        <w:tab/>
      </w:r>
      <w:r w:rsidRPr="00A93E12">
        <w:rPr>
          <w:rStyle w:val="Appelnotedebasdep"/>
          <w:sz w:val="20"/>
          <w:vertAlign w:val="baseline"/>
        </w:rPr>
        <w:t>*</w:t>
      </w:r>
      <w:r>
        <w:rPr>
          <w:sz w:val="20"/>
        </w:rPr>
        <w:tab/>
      </w:r>
      <w:proofErr w:type="spellStart"/>
      <w:r w:rsidR="00812CE4">
        <w:t>Adoptées</w:t>
      </w:r>
      <w:proofErr w:type="spellEnd"/>
      <w:r w:rsidR="00812CE4">
        <w:t xml:space="preserve"> par le </w:t>
      </w:r>
      <w:proofErr w:type="spellStart"/>
      <w:r w:rsidR="00812CE4" w:rsidRPr="00851D04">
        <w:t>Comité</w:t>
      </w:r>
      <w:proofErr w:type="spellEnd"/>
      <w:r w:rsidR="00812CE4" w:rsidRPr="00851D04">
        <w:t xml:space="preserve"> à </w:t>
      </w:r>
      <w:proofErr w:type="spellStart"/>
      <w:r w:rsidR="00812CE4" w:rsidRPr="00851D04">
        <w:t>sa</w:t>
      </w:r>
      <w:proofErr w:type="spellEnd"/>
      <w:r w:rsidR="00812CE4" w:rsidRPr="00851D04">
        <w:t xml:space="preserve"> </w:t>
      </w:r>
      <w:proofErr w:type="spellStart"/>
      <w:r w:rsidR="00812CE4" w:rsidRPr="00851D04">
        <w:t>cinquante-neuvième</w:t>
      </w:r>
      <w:proofErr w:type="spellEnd"/>
      <w:r w:rsidR="00812CE4" w:rsidRPr="00851D04">
        <w:t xml:space="preserve"> session (</w:t>
      </w:r>
      <w:r w:rsidR="00812CE4">
        <w:t>19 septembre</w:t>
      </w:r>
      <w:r w:rsidR="00C90A28">
        <w:t>-</w:t>
      </w:r>
      <w:r w:rsidR="00812CE4">
        <w:t xml:space="preserve">7 </w:t>
      </w:r>
      <w:proofErr w:type="spellStart"/>
      <w:r w:rsidR="00812CE4">
        <w:t>octobre</w:t>
      </w:r>
      <w:proofErr w:type="spellEnd"/>
      <w:r w:rsidR="00812CE4" w:rsidRPr="00EC1F05">
        <w:t xml:space="preserve"> 2016</w:t>
      </w:r>
      <w:r w:rsidR="00812CE4">
        <w:t>)</w:t>
      </w:r>
      <w:r w:rsidR="00C90A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D63E" w14:textId="7C041252" w:rsidR="00434EB1" w:rsidRDefault="00812CE4" w:rsidP="007C272A">
    <w:pPr>
      <w:pStyle w:val="En-tte"/>
    </w:pPr>
    <w:r>
      <w:t>E/C.12/TUN/CO/3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0AAF" w14:textId="433FD15E" w:rsidR="00434EB1" w:rsidRPr="008F55BB" w:rsidRDefault="00812CE4" w:rsidP="008F55BB">
    <w:pPr>
      <w:pStyle w:val="En-tte"/>
      <w:jc w:val="right"/>
    </w:pPr>
    <w:r>
      <w:t>E/C.12/TUN/CO/3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E77"/>
    <w:multiLevelType w:val="hybridMultilevel"/>
    <w:tmpl w:val="345298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5815223"/>
    <w:multiLevelType w:val="hybridMultilevel"/>
    <w:tmpl w:val="B2F861C6"/>
    <w:lvl w:ilvl="0" w:tplc="B2E48A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81F2FDC"/>
    <w:multiLevelType w:val="hybridMultilevel"/>
    <w:tmpl w:val="ACA0E620"/>
    <w:lvl w:ilvl="0" w:tplc="133EACA2">
      <w:start w:val="1"/>
      <w:numFmt w:val="decimal"/>
      <w:lvlText w:val="%1."/>
      <w:lvlJc w:val="left"/>
      <w:pPr>
        <w:ind w:left="1656" w:hanging="576"/>
      </w:pPr>
      <w:rPr>
        <w:b w:val="0"/>
      </w:rPr>
    </w:lvl>
    <w:lvl w:ilvl="1" w:tplc="FBDCAFCC">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
    <w:nsid w:val="1567476D"/>
    <w:multiLevelType w:val="hybridMultilevel"/>
    <w:tmpl w:val="C0805F7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30A7192"/>
    <w:multiLevelType w:val="hybridMultilevel"/>
    <w:tmpl w:val="8A80B51E"/>
    <w:lvl w:ilvl="0" w:tplc="08090017">
      <w:start w:val="1"/>
      <w:numFmt w:val="lowerLetter"/>
      <w:lvlText w:val="%1)"/>
      <w:lvlJc w:val="left"/>
      <w:pPr>
        <w:ind w:left="2574" w:hanging="360"/>
      </w:pPr>
    </w:lvl>
    <w:lvl w:ilvl="1" w:tplc="08090017">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5">
    <w:nsid w:val="261A6093"/>
    <w:multiLevelType w:val="hybridMultilevel"/>
    <w:tmpl w:val="A4003944"/>
    <w:lvl w:ilvl="0" w:tplc="CE1C87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8691075"/>
    <w:multiLevelType w:val="hybridMultilevel"/>
    <w:tmpl w:val="E0D009FC"/>
    <w:lvl w:ilvl="0" w:tplc="133EACA2">
      <w:start w:val="1"/>
      <w:numFmt w:val="decimal"/>
      <w:lvlText w:val="%1."/>
      <w:lvlJc w:val="left"/>
      <w:pPr>
        <w:ind w:left="1656" w:hanging="576"/>
      </w:pPr>
      <w:rPr>
        <w:b w:val="0"/>
      </w:rPr>
    </w:lvl>
    <w:lvl w:ilvl="1" w:tplc="FD44ACCE">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7">
    <w:nsid w:val="2AFE7F85"/>
    <w:multiLevelType w:val="hybridMultilevel"/>
    <w:tmpl w:val="A7C24222"/>
    <w:lvl w:ilvl="0" w:tplc="89F4D194">
      <w:start w:val="1"/>
      <w:numFmt w:val="decimal"/>
      <w:lvlText w:val="%1."/>
      <w:lvlJc w:val="left"/>
      <w:pPr>
        <w:ind w:left="2574" w:hanging="360"/>
      </w:pPr>
      <w:rPr>
        <w:rFonts w:hint="default"/>
        <w:b w:val="0"/>
        <w:color w:val="auto"/>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8">
    <w:nsid w:val="2B481B3F"/>
    <w:multiLevelType w:val="hybridMultilevel"/>
    <w:tmpl w:val="F4B0CD56"/>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3C3C1B5A"/>
    <w:multiLevelType w:val="hybridMultilevel"/>
    <w:tmpl w:val="095A17DA"/>
    <w:lvl w:ilvl="0" w:tplc="F4CE4098">
      <w:start w:val="1"/>
      <w:numFmt w:val="decimal"/>
      <w:lvlText w:val="%1."/>
      <w:lvlJc w:val="left"/>
      <w:pPr>
        <w:ind w:left="1854" w:hanging="360"/>
      </w:pPr>
      <w:rPr>
        <w:b w:val="0"/>
      </w:rPr>
    </w:lvl>
    <w:lvl w:ilvl="1" w:tplc="4B6A9236">
      <w:start w:val="1"/>
      <w:numFmt w:val="lowerLetter"/>
      <w:lvlText w:val="%2)"/>
      <w:lvlJc w:val="left"/>
      <w:pPr>
        <w:ind w:left="3339" w:hanging="112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D937D91"/>
    <w:multiLevelType w:val="hybridMultilevel"/>
    <w:tmpl w:val="0292F39C"/>
    <w:lvl w:ilvl="0" w:tplc="FD44ACCE">
      <w:start w:val="1"/>
      <w:numFmt w:val="lowerLetter"/>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0B63D0A"/>
    <w:multiLevelType w:val="hybridMultilevel"/>
    <w:tmpl w:val="E6B0A9A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3097A26"/>
    <w:multiLevelType w:val="hybridMultilevel"/>
    <w:tmpl w:val="272C2ABA"/>
    <w:lvl w:ilvl="0" w:tplc="2D461E6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40F24A8"/>
    <w:multiLevelType w:val="hybridMultilevel"/>
    <w:tmpl w:val="2A26548E"/>
    <w:lvl w:ilvl="0" w:tplc="FB9ADE5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476171C"/>
    <w:multiLevelType w:val="hybridMultilevel"/>
    <w:tmpl w:val="84E6E3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96E39F4"/>
    <w:multiLevelType w:val="hybridMultilevel"/>
    <w:tmpl w:val="EEFCC2B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D7D7781"/>
    <w:multiLevelType w:val="hybridMultilevel"/>
    <w:tmpl w:val="BCE2D2A0"/>
    <w:lvl w:ilvl="0" w:tplc="FD44ACCE">
      <w:start w:val="1"/>
      <w:numFmt w:val="lowerLetter"/>
      <w:lvlText w:val="%1)"/>
      <w:lvlJc w:val="left"/>
      <w:pPr>
        <w:ind w:left="1854" w:hanging="360"/>
      </w:pPr>
      <w:rPr>
        <w:b w:val="0"/>
      </w:rPr>
    </w:lvl>
    <w:lvl w:ilvl="1" w:tplc="FD44ACCE">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F96623D"/>
    <w:multiLevelType w:val="hybridMultilevel"/>
    <w:tmpl w:val="FC0AA0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6E84278"/>
    <w:multiLevelType w:val="hybridMultilevel"/>
    <w:tmpl w:val="58D8D57E"/>
    <w:lvl w:ilvl="0" w:tplc="08090017">
      <w:start w:val="1"/>
      <w:numFmt w:val="lowerLetter"/>
      <w:lvlText w:val="%1)"/>
      <w:lvlJc w:val="left"/>
      <w:pPr>
        <w:ind w:left="2574" w:hanging="360"/>
      </w:p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0">
    <w:nsid w:val="59822C5A"/>
    <w:multiLevelType w:val="hybridMultilevel"/>
    <w:tmpl w:val="6638E952"/>
    <w:lvl w:ilvl="0" w:tplc="FD44ACCE">
      <w:start w:val="1"/>
      <w:numFmt w:val="lowerLetter"/>
      <w:lvlText w:val="%1)"/>
      <w:lvlJc w:val="left"/>
      <w:pPr>
        <w:ind w:left="221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94697C"/>
    <w:multiLevelType w:val="hybridMultilevel"/>
    <w:tmpl w:val="F59C2768"/>
    <w:lvl w:ilvl="0" w:tplc="EBF22A02">
      <w:numFmt w:val="bullet"/>
      <w:lvlText w:val="-"/>
      <w:lvlJc w:val="left"/>
      <w:pPr>
        <w:ind w:left="1494" w:hanging="360"/>
      </w:pPr>
      <w:rPr>
        <w:rFonts w:ascii="Times New Roman" w:eastAsia="Times New Roman" w:hAnsi="Times New Roman" w:cs="Times New Roman" w:hint="default"/>
        <w:b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626A35CE"/>
    <w:multiLevelType w:val="hybridMultilevel"/>
    <w:tmpl w:val="CDB64228"/>
    <w:lvl w:ilvl="0" w:tplc="89F4D194">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6B57052"/>
    <w:multiLevelType w:val="hybridMultilevel"/>
    <w:tmpl w:val="FCE2FAA4"/>
    <w:lvl w:ilvl="0" w:tplc="4D1CBBD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AB7384B"/>
    <w:multiLevelType w:val="hybridMultilevel"/>
    <w:tmpl w:val="E0D009FC"/>
    <w:lvl w:ilvl="0" w:tplc="133EACA2">
      <w:start w:val="1"/>
      <w:numFmt w:val="decimal"/>
      <w:lvlText w:val="%1."/>
      <w:lvlJc w:val="left"/>
      <w:pPr>
        <w:ind w:left="1656" w:hanging="576"/>
      </w:pPr>
      <w:rPr>
        <w:b w:val="0"/>
      </w:rPr>
    </w:lvl>
    <w:lvl w:ilvl="1" w:tplc="FD44ACCE">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6">
    <w:nsid w:val="6ABD25A1"/>
    <w:multiLevelType w:val="hybridMultilevel"/>
    <w:tmpl w:val="888840A0"/>
    <w:lvl w:ilvl="0" w:tplc="AD8C6D7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6D744527"/>
    <w:multiLevelType w:val="hybridMultilevel"/>
    <w:tmpl w:val="6ABC09B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E04526E"/>
    <w:multiLevelType w:val="hybridMultilevel"/>
    <w:tmpl w:val="FFF03F54"/>
    <w:lvl w:ilvl="0" w:tplc="FD44ACCE">
      <w:start w:val="1"/>
      <w:numFmt w:val="lowerLetter"/>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4"/>
  </w:num>
  <w:num w:numId="2">
    <w:abstractNumId w:val="9"/>
  </w:num>
  <w:num w:numId="3">
    <w:abstractNumId w:val="22"/>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25"/>
  </w:num>
  <w:num w:numId="9">
    <w:abstractNumId w:val="20"/>
  </w:num>
  <w:num w:numId="10">
    <w:abstractNumId w:val="18"/>
  </w:num>
  <w:num w:numId="11">
    <w:abstractNumId w:val="26"/>
  </w:num>
  <w:num w:numId="12">
    <w:abstractNumId w:val="12"/>
  </w:num>
  <w:num w:numId="13">
    <w:abstractNumId w:val="21"/>
  </w:num>
  <w:num w:numId="14">
    <w:abstractNumId w:val="10"/>
  </w:num>
  <w:num w:numId="15">
    <w:abstractNumId w:val="13"/>
  </w:num>
  <w:num w:numId="16">
    <w:abstractNumId w:val="3"/>
  </w:num>
  <w:num w:numId="17">
    <w:abstractNumId w:val="23"/>
  </w:num>
  <w:num w:numId="18">
    <w:abstractNumId w:val="15"/>
  </w:num>
  <w:num w:numId="19">
    <w:abstractNumId w:val="5"/>
  </w:num>
  <w:num w:numId="20">
    <w:abstractNumId w:val="27"/>
  </w:num>
  <w:num w:numId="21">
    <w:abstractNumId w:val="14"/>
  </w:num>
  <w:num w:numId="22">
    <w:abstractNumId w:val="0"/>
  </w:num>
  <w:num w:numId="23">
    <w:abstractNumId w:val="1"/>
  </w:num>
  <w:num w:numId="24">
    <w:abstractNumId w:val="19"/>
  </w:num>
  <w:num w:numId="25">
    <w:abstractNumId w:val="4"/>
  </w:num>
  <w:num w:numId="26">
    <w:abstractNumId w:val="16"/>
  </w:num>
  <w:num w:numId="27">
    <w:abstractNumId w:val="8"/>
  </w:num>
  <w:num w:numId="28">
    <w:abstractNumId w:val="28"/>
  </w:num>
  <w:num w:numId="29">
    <w:abstractNumId w:val="11"/>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00180"/>
    <w:rsid w:val="00000705"/>
    <w:rsid w:val="00001940"/>
    <w:rsid w:val="00003AC3"/>
    <w:rsid w:val="00004746"/>
    <w:rsid w:val="00004A24"/>
    <w:rsid w:val="00004B92"/>
    <w:rsid w:val="0000696F"/>
    <w:rsid w:val="00006ED4"/>
    <w:rsid w:val="00007711"/>
    <w:rsid w:val="00007DD7"/>
    <w:rsid w:val="000112D3"/>
    <w:rsid w:val="00011AE0"/>
    <w:rsid w:val="0001228C"/>
    <w:rsid w:val="00014F84"/>
    <w:rsid w:val="000154F2"/>
    <w:rsid w:val="00016675"/>
    <w:rsid w:val="00016AC5"/>
    <w:rsid w:val="00021664"/>
    <w:rsid w:val="00021819"/>
    <w:rsid w:val="0002316E"/>
    <w:rsid w:val="00023446"/>
    <w:rsid w:val="000241A7"/>
    <w:rsid w:val="00025487"/>
    <w:rsid w:val="000263FF"/>
    <w:rsid w:val="00026721"/>
    <w:rsid w:val="00030ADE"/>
    <w:rsid w:val="00030B20"/>
    <w:rsid w:val="000311B0"/>
    <w:rsid w:val="0003465E"/>
    <w:rsid w:val="00034857"/>
    <w:rsid w:val="00040DC7"/>
    <w:rsid w:val="00040E0F"/>
    <w:rsid w:val="0004411E"/>
    <w:rsid w:val="000462EE"/>
    <w:rsid w:val="00047136"/>
    <w:rsid w:val="00051817"/>
    <w:rsid w:val="00052D66"/>
    <w:rsid w:val="00055FA4"/>
    <w:rsid w:val="00056258"/>
    <w:rsid w:val="00056EE2"/>
    <w:rsid w:val="00057D3E"/>
    <w:rsid w:val="00060BD4"/>
    <w:rsid w:val="000628C5"/>
    <w:rsid w:val="0006637A"/>
    <w:rsid w:val="00066B3E"/>
    <w:rsid w:val="00070B2D"/>
    <w:rsid w:val="00075951"/>
    <w:rsid w:val="000768D1"/>
    <w:rsid w:val="00077B8E"/>
    <w:rsid w:val="0008040A"/>
    <w:rsid w:val="0008042B"/>
    <w:rsid w:val="000821AE"/>
    <w:rsid w:val="00082A73"/>
    <w:rsid w:val="000835E2"/>
    <w:rsid w:val="00083E58"/>
    <w:rsid w:val="00084EC0"/>
    <w:rsid w:val="00084F16"/>
    <w:rsid w:val="0008606E"/>
    <w:rsid w:val="00092305"/>
    <w:rsid w:val="000934A8"/>
    <w:rsid w:val="000938AC"/>
    <w:rsid w:val="00095148"/>
    <w:rsid w:val="000A4274"/>
    <w:rsid w:val="000A5B96"/>
    <w:rsid w:val="000A69A0"/>
    <w:rsid w:val="000B4250"/>
    <w:rsid w:val="000B4837"/>
    <w:rsid w:val="000B6203"/>
    <w:rsid w:val="000C4E37"/>
    <w:rsid w:val="000C592D"/>
    <w:rsid w:val="000C7868"/>
    <w:rsid w:val="000C7FA1"/>
    <w:rsid w:val="000D0053"/>
    <w:rsid w:val="000D3460"/>
    <w:rsid w:val="000D3F03"/>
    <w:rsid w:val="000D4FDB"/>
    <w:rsid w:val="000D58D8"/>
    <w:rsid w:val="000E32D8"/>
    <w:rsid w:val="000E3CA2"/>
    <w:rsid w:val="000E460A"/>
    <w:rsid w:val="000E77CA"/>
    <w:rsid w:val="000E7B21"/>
    <w:rsid w:val="000E7D3F"/>
    <w:rsid w:val="000F11C4"/>
    <w:rsid w:val="000F2BD8"/>
    <w:rsid w:val="000F31CB"/>
    <w:rsid w:val="000F41F2"/>
    <w:rsid w:val="000F4918"/>
    <w:rsid w:val="000F57A9"/>
    <w:rsid w:val="000F5C21"/>
    <w:rsid w:val="000F7D0A"/>
    <w:rsid w:val="00100752"/>
    <w:rsid w:val="00100B2B"/>
    <w:rsid w:val="00101593"/>
    <w:rsid w:val="00102542"/>
    <w:rsid w:val="00102853"/>
    <w:rsid w:val="00102EFA"/>
    <w:rsid w:val="00102F86"/>
    <w:rsid w:val="00103060"/>
    <w:rsid w:val="001074CE"/>
    <w:rsid w:val="00110D93"/>
    <w:rsid w:val="00111D60"/>
    <w:rsid w:val="0011289D"/>
    <w:rsid w:val="0012126E"/>
    <w:rsid w:val="001223B7"/>
    <w:rsid w:val="001254A6"/>
    <w:rsid w:val="00130BB4"/>
    <w:rsid w:val="00132BAE"/>
    <w:rsid w:val="00132D3A"/>
    <w:rsid w:val="00133C09"/>
    <w:rsid w:val="00135ACC"/>
    <w:rsid w:val="00135C0D"/>
    <w:rsid w:val="00136538"/>
    <w:rsid w:val="00136828"/>
    <w:rsid w:val="00136EB9"/>
    <w:rsid w:val="0013780B"/>
    <w:rsid w:val="001406CB"/>
    <w:rsid w:val="00140E7F"/>
    <w:rsid w:val="0014148C"/>
    <w:rsid w:val="00144109"/>
    <w:rsid w:val="00147CD9"/>
    <w:rsid w:val="001533AD"/>
    <w:rsid w:val="00155777"/>
    <w:rsid w:val="00156109"/>
    <w:rsid w:val="0015744C"/>
    <w:rsid w:val="00160540"/>
    <w:rsid w:val="00161E13"/>
    <w:rsid w:val="00163008"/>
    <w:rsid w:val="0016305C"/>
    <w:rsid w:val="00163536"/>
    <w:rsid w:val="001650F3"/>
    <w:rsid w:val="00165EAD"/>
    <w:rsid w:val="00170CEB"/>
    <w:rsid w:val="001716BA"/>
    <w:rsid w:val="00174149"/>
    <w:rsid w:val="0017670C"/>
    <w:rsid w:val="00177007"/>
    <w:rsid w:val="00180362"/>
    <w:rsid w:val="00180BC8"/>
    <w:rsid w:val="00186EE9"/>
    <w:rsid w:val="00191735"/>
    <w:rsid w:val="00192EEB"/>
    <w:rsid w:val="00193BB6"/>
    <w:rsid w:val="00194D21"/>
    <w:rsid w:val="00197A8B"/>
    <w:rsid w:val="001A1865"/>
    <w:rsid w:val="001A20FB"/>
    <w:rsid w:val="001A4E5B"/>
    <w:rsid w:val="001A55FE"/>
    <w:rsid w:val="001B12E0"/>
    <w:rsid w:val="001B1800"/>
    <w:rsid w:val="001B46B4"/>
    <w:rsid w:val="001B50FF"/>
    <w:rsid w:val="001B5A0E"/>
    <w:rsid w:val="001B6498"/>
    <w:rsid w:val="001B6638"/>
    <w:rsid w:val="001B6F40"/>
    <w:rsid w:val="001B71E1"/>
    <w:rsid w:val="001B72D8"/>
    <w:rsid w:val="001C67CB"/>
    <w:rsid w:val="001C7AC2"/>
    <w:rsid w:val="001D29A7"/>
    <w:rsid w:val="001D309D"/>
    <w:rsid w:val="001D42F7"/>
    <w:rsid w:val="001D7F8A"/>
    <w:rsid w:val="001E0263"/>
    <w:rsid w:val="001E2758"/>
    <w:rsid w:val="001E3FEB"/>
    <w:rsid w:val="001E4A02"/>
    <w:rsid w:val="001E4BF1"/>
    <w:rsid w:val="001E6AD4"/>
    <w:rsid w:val="001E7939"/>
    <w:rsid w:val="001F2F4C"/>
    <w:rsid w:val="00201D77"/>
    <w:rsid w:val="00203764"/>
    <w:rsid w:val="00204E91"/>
    <w:rsid w:val="00206EC0"/>
    <w:rsid w:val="00211B80"/>
    <w:rsid w:val="002147A0"/>
    <w:rsid w:val="00215C4F"/>
    <w:rsid w:val="0021679F"/>
    <w:rsid w:val="002207DF"/>
    <w:rsid w:val="00220976"/>
    <w:rsid w:val="00223916"/>
    <w:rsid w:val="00223B89"/>
    <w:rsid w:val="00225A8C"/>
    <w:rsid w:val="00227E82"/>
    <w:rsid w:val="00234F03"/>
    <w:rsid w:val="00235822"/>
    <w:rsid w:val="00236267"/>
    <w:rsid w:val="00237AA1"/>
    <w:rsid w:val="00244377"/>
    <w:rsid w:val="00246647"/>
    <w:rsid w:val="00246BF9"/>
    <w:rsid w:val="0024701A"/>
    <w:rsid w:val="00247E26"/>
    <w:rsid w:val="002502C4"/>
    <w:rsid w:val="00251CFA"/>
    <w:rsid w:val="00252A62"/>
    <w:rsid w:val="00253A4C"/>
    <w:rsid w:val="00253C5E"/>
    <w:rsid w:val="002541E1"/>
    <w:rsid w:val="00254A50"/>
    <w:rsid w:val="00254D2E"/>
    <w:rsid w:val="00256568"/>
    <w:rsid w:val="00256C26"/>
    <w:rsid w:val="00257A4A"/>
    <w:rsid w:val="00257F1D"/>
    <w:rsid w:val="00260ECA"/>
    <w:rsid w:val="00261449"/>
    <w:rsid w:val="0026190B"/>
    <w:rsid w:val="002659F1"/>
    <w:rsid w:val="00270CA0"/>
    <w:rsid w:val="00270F76"/>
    <w:rsid w:val="00273994"/>
    <w:rsid w:val="002747A2"/>
    <w:rsid w:val="002753F1"/>
    <w:rsid w:val="00276C7C"/>
    <w:rsid w:val="00277CC0"/>
    <w:rsid w:val="002807B4"/>
    <w:rsid w:val="00282A16"/>
    <w:rsid w:val="00283096"/>
    <w:rsid w:val="00283EE7"/>
    <w:rsid w:val="00285CAF"/>
    <w:rsid w:val="00286156"/>
    <w:rsid w:val="00287C67"/>
    <w:rsid w:val="00287E79"/>
    <w:rsid w:val="00292103"/>
    <w:rsid w:val="002928F9"/>
    <w:rsid w:val="00294C79"/>
    <w:rsid w:val="00294D6E"/>
    <w:rsid w:val="00295942"/>
    <w:rsid w:val="002979A4"/>
    <w:rsid w:val="00297B69"/>
    <w:rsid w:val="002A0A05"/>
    <w:rsid w:val="002A31FC"/>
    <w:rsid w:val="002A5D07"/>
    <w:rsid w:val="002A749D"/>
    <w:rsid w:val="002A76DD"/>
    <w:rsid w:val="002B10B1"/>
    <w:rsid w:val="002B163B"/>
    <w:rsid w:val="002C103E"/>
    <w:rsid w:val="002C26AA"/>
    <w:rsid w:val="002C2877"/>
    <w:rsid w:val="002C4886"/>
    <w:rsid w:val="002C4A24"/>
    <w:rsid w:val="002C58EE"/>
    <w:rsid w:val="002C5B88"/>
    <w:rsid w:val="002C5BF1"/>
    <w:rsid w:val="002C687D"/>
    <w:rsid w:val="002D2243"/>
    <w:rsid w:val="002D52B8"/>
    <w:rsid w:val="002D5E06"/>
    <w:rsid w:val="002D69AB"/>
    <w:rsid w:val="002D71FC"/>
    <w:rsid w:val="002E1975"/>
    <w:rsid w:val="002E2EC0"/>
    <w:rsid w:val="002E4208"/>
    <w:rsid w:val="002E5693"/>
    <w:rsid w:val="002E63F9"/>
    <w:rsid w:val="002E6EF8"/>
    <w:rsid w:val="002E6FCC"/>
    <w:rsid w:val="002F3023"/>
    <w:rsid w:val="002F48A8"/>
    <w:rsid w:val="002F4A3B"/>
    <w:rsid w:val="002F4E39"/>
    <w:rsid w:val="0030005B"/>
    <w:rsid w:val="003016B7"/>
    <w:rsid w:val="00301E3F"/>
    <w:rsid w:val="003027CE"/>
    <w:rsid w:val="003039C7"/>
    <w:rsid w:val="00304F46"/>
    <w:rsid w:val="00305B96"/>
    <w:rsid w:val="003072D1"/>
    <w:rsid w:val="00314047"/>
    <w:rsid w:val="00325203"/>
    <w:rsid w:val="00327C04"/>
    <w:rsid w:val="003325B4"/>
    <w:rsid w:val="003351BA"/>
    <w:rsid w:val="003368E3"/>
    <w:rsid w:val="0033742B"/>
    <w:rsid w:val="00337FA5"/>
    <w:rsid w:val="003408CC"/>
    <w:rsid w:val="00340C35"/>
    <w:rsid w:val="003437B5"/>
    <w:rsid w:val="00343E3B"/>
    <w:rsid w:val="00345C24"/>
    <w:rsid w:val="003515AA"/>
    <w:rsid w:val="00355F02"/>
    <w:rsid w:val="00360405"/>
    <w:rsid w:val="00364CF3"/>
    <w:rsid w:val="00365825"/>
    <w:rsid w:val="003660D0"/>
    <w:rsid w:val="0036685B"/>
    <w:rsid w:val="00370E0F"/>
    <w:rsid w:val="00371897"/>
    <w:rsid w:val="00372E0C"/>
    <w:rsid w:val="00374106"/>
    <w:rsid w:val="0038207A"/>
    <w:rsid w:val="003828BC"/>
    <w:rsid w:val="00382EF0"/>
    <w:rsid w:val="00383388"/>
    <w:rsid w:val="00383644"/>
    <w:rsid w:val="0038672F"/>
    <w:rsid w:val="00386881"/>
    <w:rsid w:val="003869CC"/>
    <w:rsid w:val="00386B78"/>
    <w:rsid w:val="0039252D"/>
    <w:rsid w:val="00395299"/>
    <w:rsid w:val="00396A49"/>
    <w:rsid w:val="003976D5"/>
    <w:rsid w:val="003A0384"/>
    <w:rsid w:val="003A1585"/>
    <w:rsid w:val="003A3B0D"/>
    <w:rsid w:val="003A41B7"/>
    <w:rsid w:val="003B38F6"/>
    <w:rsid w:val="003B48A6"/>
    <w:rsid w:val="003B74E0"/>
    <w:rsid w:val="003C09AE"/>
    <w:rsid w:val="003C0AE6"/>
    <w:rsid w:val="003C1862"/>
    <w:rsid w:val="003C3F66"/>
    <w:rsid w:val="003C4429"/>
    <w:rsid w:val="003C7DA8"/>
    <w:rsid w:val="003D1100"/>
    <w:rsid w:val="003D157A"/>
    <w:rsid w:val="003D1D32"/>
    <w:rsid w:val="003D1DF3"/>
    <w:rsid w:val="003D1F43"/>
    <w:rsid w:val="003D27D6"/>
    <w:rsid w:val="003D3BB5"/>
    <w:rsid w:val="003D3E27"/>
    <w:rsid w:val="003D4493"/>
    <w:rsid w:val="003D46A7"/>
    <w:rsid w:val="003D6635"/>
    <w:rsid w:val="003D6682"/>
    <w:rsid w:val="003D6C68"/>
    <w:rsid w:val="003E022E"/>
    <w:rsid w:val="003E105C"/>
    <w:rsid w:val="003E30CC"/>
    <w:rsid w:val="003E3DE0"/>
    <w:rsid w:val="003E4DB0"/>
    <w:rsid w:val="003E553D"/>
    <w:rsid w:val="003E6AB7"/>
    <w:rsid w:val="003E702C"/>
    <w:rsid w:val="003F13DE"/>
    <w:rsid w:val="003F19C0"/>
    <w:rsid w:val="003F3C04"/>
    <w:rsid w:val="003F4202"/>
    <w:rsid w:val="003F5C3C"/>
    <w:rsid w:val="003F7B59"/>
    <w:rsid w:val="004076BA"/>
    <w:rsid w:val="004159D0"/>
    <w:rsid w:val="00415A91"/>
    <w:rsid w:val="00416591"/>
    <w:rsid w:val="004171D7"/>
    <w:rsid w:val="004179D3"/>
    <w:rsid w:val="00420CC4"/>
    <w:rsid w:val="0042188A"/>
    <w:rsid w:val="00421C82"/>
    <w:rsid w:val="00421F7F"/>
    <w:rsid w:val="004249E7"/>
    <w:rsid w:val="00426B89"/>
    <w:rsid w:val="0042732C"/>
    <w:rsid w:val="0043062A"/>
    <w:rsid w:val="00432FBA"/>
    <w:rsid w:val="00434EB1"/>
    <w:rsid w:val="00436F2B"/>
    <w:rsid w:val="00436F9E"/>
    <w:rsid w:val="00441B84"/>
    <w:rsid w:val="004428C1"/>
    <w:rsid w:val="004434BA"/>
    <w:rsid w:val="00443F87"/>
    <w:rsid w:val="00445C36"/>
    <w:rsid w:val="00446561"/>
    <w:rsid w:val="00450D4B"/>
    <w:rsid w:val="00451B0A"/>
    <w:rsid w:val="00452185"/>
    <w:rsid w:val="004554DF"/>
    <w:rsid w:val="00455C30"/>
    <w:rsid w:val="004569C6"/>
    <w:rsid w:val="0045774B"/>
    <w:rsid w:val="00460F23"/>
    <w:rsid w:val="00460F89"/>
    <w:rsid w:val="00462A5C"/>
    <w:rsid w:val="00464D20"/>
    <w:rsid w:val="00466311"/>
    <w:rsid w:val="00466E15"/>
    <w:rsid w:val="0047154B"/>
    <w:rsid w:val="00474A52"/>
    <w:rsid w:val="00475391"/>
    <w:rsid w:val="004758B1"/>
    <w:rsid w:val="00475F0C"/>
    <w:rsid w:val="0047618A"/>
    <w:rsid w:val="0047639A"/>
    <w:rsid w:val="0047701D"/>
    <w:rsid w:val="00477675"/>
    <w:rsid w:val="004873A5"/>
    <w:rsid w:val="004927FF"/>
    <w:rsid w:val="0049287B"/>
    <w:rsid w:val="00493817"/>
    <w:rsid w:val="0049395B"/>
    <w:rsid w:val="00494234"/>
    <w:rsid w:val="00496971"/>
    <w:rsid w:val="004A24D7"/>
    <w:rsid w:val="004A2E3A"/>
    <w:rsid w:val="004A7FCC"/>
    <w:rsid w:val="004B15DB"/>
    <w:rsid w:val="004B25AC"/>
    <w:rsid w:val="004B2AFD"/>
    <w:rsid w:val="004B2B13"/>
    <w:rsid w:val="004B2EA5"/>
    <w:rsid w:val="004B2FE8"/>
    <w:rsid w:val="004B7BBD"/>
    <w:rsid w:val="004C1817"/>
    <w:rsid w:val="004C2AD4"/>
    <w:rsid w:val="004C3B14"/>
    <w:rsid w:val="004C5526"/>
    <w:rsid w:val="004C6E5D"/>
    <w:rsid w:val="004D178C"/>
    <w:rsid w:val="004D1C59"/>
    <w:rsid w:val="004D2CF8"/>
    <w:rsid w:val="004D6CFC"/>
    <w:rsid w:val="004D6E03"/>
    <w:rsid w:val="004D7ED3"/>
    <w:rsid w:val="004E12B7"/>
    <w:rsid w:val="004E3740"/>
    <w:rsid w:val="004E6D5D"/>
    <w:rsid w:val="004E6D6D"/>
    <w:rsid w:val="004E71AF"/>
    <w:rsid w:val="004E7C5C"/>
    <w:rsid w:val="004F003B"/>
    <w:rsid w:val="004F1D38"/>
    <w:rsid w:val="004F320D"/>
    <w:rsid w:val="004F3BB1"/>
    <w:rsid w:val="004F3E8B"/>
    <w:rsid w:val="004F7E7B"/>
    <w:rsid w:val="00500867"/>
    <w:rsid w:val="005015AD"/>
    <w:rsid w:val="005016B5"/>
    <w:rsid w:val="00501B6D"/>
    <w:rsid w:val="00502A26"/>
    <w:rsid w:val="00503B03"/>
    <w:rsid w:val="005046DB"/>
    <w:rsid w:val="00505145"/>
    <w:rsid w:val="0050582E"/>
    <w:rsid w:val="00513141"/>
    <w:rsid w:val="00517F15"/>
    <w:rsid w:val="0052154A"/>
    <w:rsid w:val="00524923"/>
    <w:rsid w:val="00526D0F"/>
    <w:rsid w:val="005273F9"/>
    <w:rsid w:val="00532223"/>
    <w:rsid w:val="005329CB"/>
    <w:rsid w:val="00535386"/>
    <w:rsid w:val="00535F5E"/>
    <w:rsid w:val="00537DD6"/>
    <w:rsid w:val="00541AB0"/>
    <w:rsid w:val="0054216C"/>
    <w:rsid w:val="00543D5E"/>
    <w:rsid w:val="005454CA"/>
    <w:rsid w:val="005464C8"/>
    <w:rsid w:val="00551879"/>
    <w:rsid w:val="00553744"/>
    <w:rsid w:val="005537BB"/>
    <w:rsid w:val="00554566"/>
    <w:rsid w:val="00555359"/>
    <w:rsid w:val="0055546A"/>
    <w:rsid w:val="00557D6C"/>
    <w:rsid w:val="00560AE7"/>
    <w:rsid w:val="00561863"/>
    <w:rsid w:val="00563A2B"/>
    <w:rsid w:val="00564B69"/>
    <w:rsid w:val="00565DEB"/>
    <w:rsid w:val="00566014"/>
    <w:rsid w:val="00566FD6"/>
    <w:rsid w:val="005716DF"/>
    <w:rsid w:val="00571F41"/>
    <w:rsid w:val="005723F6"/>
    <w:rsid w:val="0057497F"/>
    <w:rsid w:val="00575521"/>
    <w:rsid w:val="005760E8"/>
    <w:rsid w:val="00582EED"/>
    <w:rsid w:val="00586EC7"/>
    <w:rsid w:val="00586F36"/>
    <w:rsid w:val="005870FF"/>
    <w:rsid w:val="0059027F"/>
    <w:rsid w:val="005959AC"/>
    <w:rsid w:val="00597FD6"/>
    <w:rsid w:val="005A0A97"/>
    <w:rsid w:val="005A0B2D"/>
    <w:rsid w:val="005A126C"/>
    <w:rsid w:val="005A1B7B"/>
    <w:rsid w:val="005A2135"/>
    <w:rsid w:val="005A226E"/>
    <w:rsid w:val="005A38F4"/>
    <w:rsid w:val="005A477C"/>
    <w:rsid w:val="005A4E78"/>
    <w:rsid w:val="005A52DA"/>
    <w:rsid w:val="005A7D03"/>
    <w:rsid w:val="005B0925"/>
    <w:rsid w:val="005B09DD"/>
    <w:rsid w:val="005B3C6E"/>
    <w:rsid w:val="005B5CF1"/>
    <w:rsid w:val="005B5D21"/>
    <w:rsid w:val="005B742F"/>
    <w:rsid w:val="005C1A78"/>
    <w:rsid w:val="005C2ABB"/>
    <w:rsid w:val="005C2F44"/>
    <w:rsid w:val="005C3ACE"/>
    <w:rsid w:val="005C451C"/>
    <w:rsid w:val="005C7916"/>
    <w:rsid w:val="005C7CF5"/>
    <w:rsid w:val="005D181B"/>
    <w:rsid w:val="005D21EA"/>
    <w:rsid w:val="005D3E22"/>
    <w:rsid w:val="005D55AE"/>
    <w:rsid w:val="005D5799"/>
    <w:rsid w:val="005D5858"/>
    <w:rsid w:val="005D7A6C"/>
    <w:rsid w:val="005E093B"/>
    <w:rsid w:val="005E0ACF"/>
    <w:rsid w:val="005E1985"/>
    <w:rsid w:val="005E4CCD"/>
    <w:rsid w:val="005E5D1F"/>
    <w:rsid w:val="005E6007"/>
    <w:rsid w:val="005F0E95"/>
    <w:rsid w:val="005F188C"/>
    <w:rsid w:val="005F2C73"/>
    <w:rsid w:val="005F5F6D"/>
    <w:rsid w:val="00601398"/>
    <w:rsid w:val="00602705"/>
    <w:rsid w:val="00603391"/>
    <w:rsid w:val="00604BC8"/>
    <w:rsid w:val="00604DB9"/>
    <w:rsid w:val="006064BE"/>
    <w:rsid w:val="0060751D"/>
    <w:rsid w:val="00611D43"/>
    <w:rsid w:val="0061242D"/>
    <w:rsid w:val="00612D48"/>
    <w:rsid w:val="00614F80"/>
    <w:rsid w:val="00616B45"/>
    <w:rsid w:val="006226D3"/>
    <w:rsid w:val="00624F1F"/>
    <w:rsid w:val="00626A8A"/>
    <w:rsid w:val="00627E7F"/>
    <w:rsid w:val="00630200"/>
    <w:rsid w:val="00630916"/>
    <w:rsid w:val="00630BCF"/>
    <w:rsid w:val="00630D9B"/>
    <w:rsid w:val="006318AB"/>
    <w:rsid w:val="00631953"/>
    <w:rsid w:val="00632347"/>
    <w:rsid w:val="00633406"/>
    <w:rsid w:val="006340FD"/>
    <w:rsid w:val="00635F16"/>
    <w:rsid w:val="0063678B"/>
    <w:rsid w:val="006378C2"/>
    <w:rsid w:val="006439EC"/>
    <w:rsid w:val="0064507D"/>
    <w:rsid w:val="006469DD"/>
    <w:rsid w:val="00647567"/>
    <w:rsid w:val="00652353"/>
    <w:rsid w:val="006531BC"/>
    <w:rsid w:val="006578E2"/>
    <w:rsid w:val="0066049B"/>
    <w:rsid w:val="00661D8C"/>
    <w:rsid w:val="00661E44"/>
    <w:rsid w:val="006622D7"/>
    <w:rsid w:val="00664C68"/>
    <w:rsid w:val="00665A18"/>
    <w:rsid w:val="00666EDF"/>
    <w:rsid w:val="00666F43"/>
    <w:rsid w:val="0066770A"/>
    <w:rsid w:val="00670878"/>
    <w:rsid w:val="00673C8A"/>
    <w:rsid w:val="00674C83"/>
    <w:rsid w:val="00675281"/>
    <w:rsid w:val="00675E81"/>
    <w:rsid w:val="00676295"/>
    <w:rsid w:val="00677163"/>
    <w:rsid w:val="00680B10"/>
    <w:rsid w:val="00680B3C"/>
    <w:rsid w:val="00682967"/>
    <w:rsid w:val="006853C1"/>
    <w:rsid w:val="00685C4A"/>
    <w:rsid w:val="00687B63"/>
    <w:rsid w:val="006923E1"/>
    <w:rsid w:val="00692C8B"/>
    <w:rsid w:val="00695F18"/>
    <w:rsid w:val="00696364"/>
    <w:rsid w:val="006A3271"/>
    <w:rsid w:val="006A577A"/>
    <w:rsid w:val="006A6EE3"/>
    <w:rsid w:val="006B0A4D"/>
    <w:rsid w:val="006B0C91"/>
    <w:rsid w:val="006B133D"/>
    <w:rsid w:val="006B1A3E"/>
    <w:rsid w:val="006B2A92"/>
    <w:rsid w:val="006B4590"/>
    <w:rsid w:val="006B55AF"/>
    <w:rsid w:val="006C340C"/>
    <w:rsid w:val="006C43AC"/>
    <w:rsid w:val="006D1729"/>
    <w:rsid w:val="006D2D30"/>
    <w:rsid w:val="006D3131"/>
    <w:rsid w:val="006D32FF"/>
    <w:rsid w:val="006D366E"/>
    <w:rsid w:val="006D39BE"/>
    <w:rsid w:val="006D4E14"/>
    <w:rsid w:val="006D69E4"/>
    <w:rsid w:val="006D7F3D"/>
    <w:rsid w:val="006E1E8E"/>
    <w:rsid w:val="006E76FA"/>
    <w:rsid w:val="006E796D"/>
    <w:rsid w:val="006F1EB3"/>
    <w:rsid w:val="006F3732"/>
    <w:rsid w:val="006F625D"/>
    <w:rsid w:val="00701243"/>
    <w:rsid w:val="0070347C"/>
    <w:rsid w:val="007045E4"/>
    <w:rsid w:val="00705F9D"/>
    <w:rsid w:val="007076C3"/>
    <w:rsid w:val="00707DE7"/>
    <w:rsid w:val="00707FA9"/>
    <w:rsid w:val="00710D46"/>
    <w:rsid w:val="00711FCE"/>
    <w:rsid w:val="00714F3C"/>
    <w:rsid w:val="00715138"/>
    <w:rsid w:val="00715BF6"/>
    <w:rsid w:val="007176C1"/>
    <w:rsid w:val="0072129C"/>
    <w:rsid w:val="007222CB"/>
    <w:rsid w:val="00723711"/>
    <w:rsid w:val="00723BC2"/>
    <w:rsid w:val="00725C65"/>
    <w:rsid w:val="00726409"/>
    <w:rsid w:val="007272B5"/>
    <w:rsid w:val="00730EA2"/>
    <w:rsid w:val="007334D2"/>
    <w:rsid w:val="0073387C"/>
    <w:rsid w:val="0073472D"/>
    <w:rsid w:val="007349C9"/>
    <w:rsid w:val="00734E92"/>
    <w:rsid w:val="00737243"/>
    <w:rsid w:val="00742589"/>
    <w:rsid w:val="00742770"/>
    <w:rsid w:val="00744DDB"/>
    <w:rsid w:val="007452F4"/>
    <w:rsid w:val="00750689"/>
    <w:rsid w:val="00753457"/>
    <w:rsid w:val="007552FB"/>
    <w:rsid w:val="00757FC3"/>
    <w:rsid w:val="007600B5"/>
    <w:rsid w:val="007614CD"/>
    <w:rsid w:val="00761EED"/>
    <w:rsid w:val="007628D8"/>
    <w:rsid w:val="00762C6C"/>
    <w:rsid w:val="00765BAF"/>
    <w:rsid w:val="007667FB"/>
    <w:rsid w:val="00767034"/>
    <w:rsid w:val="00770EAE"/>
    <w:rsid w:val="00770F83"/>
    <w:rsid w:val="00773D4D"/>
    <w:rsid w:val="007757FC"/>
    <w:rsid w:val="00775FFA"/>
    <w:rsid w:val="0078536C"/>
    <w:rsid w:val="00785723"/>
    <w:rsid w:val="00787E92"/>
    <w:rsid w:val="0079280C"/>
    <w:rsid w:val="00795DC3"/>
    <w:rsid w:val="007A0C9A"/>
    <w:rsid w:val="007A166A"/>
    <w:rsid w:val="007A5684"/>
    <w:rsid w:val="007B390E"/>
    <w:rsid w:val="007B399E"/>
    <w:rsid w:val="007B4E21"/>
    <w:rsid w:val="007B5071"/>
    <w:rsid w:val="007B587E"/>
    <w:rsid w:val="007C04EF"/>
    <w:rsid w:val="007C0E8B"/>
    <w:rsid w:val="007C1588"/>
    <w:rsid w:val="007C1B7F"/>
    <w:rsid w:val="007C1CA3"/>
    <w:rsid w:val="007C272A"/>
    <w:rsid w:val="007C43F0"/>
    <w:rsid w:val="007C7AC8"/>
    <w:rsid w:val="007D1064"/>
    <w:rsid w:val="007D14A4"/>
    <w:rsid w:val="007D224C"/>
    <w:rsid w:val="007D25EA"/>
    <w:rsid w:val="007D334E"/>
    <w:rsid w:val="007D5C22"/>
    <w:rsid w:val="007D5FB7"/>
    <w:rsid w:val="007D5FBD"/>
    <w:rsid w:val="007D6436"/>
    <w:rsid w:val="007D653C"/>
    <w:rsid w:val="007D739B"/>
    <w:rsid w:val="007E42F2"/>
    <w:rsid w:val="007E4855"/>
    <w:rsid w:val="007E53BB"/>
    <w:rsid w:val="007E73B9"/>
    <w:rsid w:val="007F08DB"/>
    <w:rsid w:val="007F41A4"/>
    <w:rsid w:val="007F43CA"/>
    <w:rsid w:val="007F55CB"/>
    <w:rsid w:val="007F5686"/>
    <w:rsid w:val="007F6CFE"/>
    <w:rsid w:val="00800C68"/>
    <w:rsid w:val="00802D55"/>
    <w:rsid w:val="00812369"/>
    <w:rsid w:val="008128C6"/>
    <w:rsid w:val="00812CE4"/>
    <w:rsid w:val="00812FD3"/>
    <w:rsid w:val="00813709"/>
    <w:rsid w:val="00817793"/>
    <w:rsid w:val="00821824"/>
    <w:rsid w:val="0082387E"/>
    <w:rsid w:val="00825518"/>
    <w:rsid w:val="00825DB1"/>
    <w:rsid w:val="0082709D"/>
    <w:rsid w:val="008279CA"/>
    <w:rsid w:val="008317F6"/>
    <w:rsid w:val="00834BD9"/>
    <w:rsid w:val="0083618D"/>
    <w:rsid w:val="00843121"/>
    <w:rsid w:val="0084470D"/>
    <w:rsid w:val="00844750"/>
    <w:rsid w:val="0084504B"/>
    <w:rsid w:val="00845A36"/>
    <w:rsid w:val="00846B56"/>
    <w:rsid w:val="0084704C"/>
    <w:rsid w:val="008477A9"/>
    <w:rsid w:val="00851E70"/>
    <w:rsid w:val="00852AE1"/>
    <w:rsid w:val="0085418A"/>
    <w:rsid w:val="00855EF0"/>
    <w:rsid w:val="008560B9"/>
    <w:rsid w:val="00860EF1"/>
    <w:rsid w:val="0086587F"/>
    <w:rsid w:val="00865E54"/>
    <w:rsid w:val="00866A04"/>
    <w:rsid w:val="00871F18"/>
    <w:rsid w:val="00873E19"/>
    <w:rsid w:val="00876C61"/>
    <w:rsid w:val="00877BEE"/>
    <w:rsid w:val="0088284C"/>
    <w:rsid w:val="00882CC7"/>
    <w:rsid w:val="0088530F"/>
    <w:rsid w:val="00885B68"/>
    <w:rsid w:val="00886C09"/>
    <w:rsid w:val="008879E7"/>
    <w:rsid w:val="00891753"/>
    <w:rsid w:val="00891A19"/>
    <w:rsid w:val="00894141"/>
    <w:rsid w:val="008944CF"/>
    <w:rsid w:val="008948FF"/>
    <w:rsid w:val="00895F71"/>
    <w:rsid w:val="00897CA6"/>
    <w:rsid w:val="008A0024"/>
    <w:rsid w:val="008A05ED"/>
    <w:rsid w:val="008A0F23"/>
    <w:rsid w:val="008A22C0"/>
    <w:rsid w:val="008A3088"/>
    <w:rsid w:val="008A3C4D"/>
    <w:rsid w:val="008A4632"/>
    <w:rsid w:val="008A6EFC"/>
    <w:rsid w:val="008B0499"/>
    <w:rsid w:val="008B056D"/>
    <w:rsid w:val="008B44C4"/>
    <w:rsid w:val="008B4EAC"/>
    <w:rsid w:val="008B71D9"/>
    <w:rsid w:val="008B7879"/>
    <w:rsid w:val="008C0912"/>
    <w:rsid w:val="008C264E"/>
    <w:rsid w:val="008C2E6F"/>
    <w:rsid w:val="008C6C9A"/>
    <w:rsid w:val="008D2022"/>
    <w:rsid w:val="008D2692"/>
    <w:rsid w:val="008D33E3"/>
    <w:rsid w:val="008D3FDC"/>
    <w:rsid w:val="008D56B2"/>
    <w:rsid w:val="008D59E2"/>
    <w:rsid w:val="008D6F08"/>
    <w:rsid w:val="008E1314"/>
    <w:rsid w:val="008E171A"/>
    <w:rsid w:val="008E4318"/>
    <w:rsid w:val="008E43FA"/>
    <w:rsid w:val="008E4F20"/>
    <w:rsid w:val="008E4FA9"/>
    <w:rsid w:val="008E718D"/>
    <w:rsid w:val="008E7F08"/>
    <w:rsid w:val="008E7FAE"/>
    <w:rsid w:val="008F499A"/>
    <w:rsid w:val="008F52C4"/>
    <w:rsid w:val="008F5492"/>
    <w:rsid w:val="008F55BB"/>
    <w:rsid w:val="008F56C5"/>
    <w:rsid w:val="00903393"/>
    <w:rsid w:val="009039F1"/>
    <w:rsid w:val="009050A2"/>
    <w:rsid w:val="00910932"/>
    <w:rsid w:val="00911B1E"/>
    <w:rsid w:val="00911BF7"/>
    <w:rsid w:val="00913C91"/>
    <w:rsid w:val="00914C6F"/>
    <w:rsid w:val="00914E9D"/>
    <w:rsid w:val="009200EF"/>
    <w:rsid w:val="00920387"/>
    <w:rsid w:val="00921885"/>
    <w:rsid w:val="00923EB9"/>
    <w:rsid w:val="009248BE"/>
    <w:rsid w:val="00927318"/>
    <w:rsid w:val="0092735E"/>
    <w:rsid w:val="009279A0"/>
    <w:rsid w:val="00933AE9"/>
    <w:rsid w:val="0093411A"/>
    <w:rsid w:val="0093592C"/>
    <w:rsid w:val="00936814"/>
    <w:rsid w:val="0094029B"/>
    <w:rsid w:val="009422C4"/>
    <w:rsid w:val="00943C28"/>
    <w:rsid w:val="00945B11"/>
    <w:rsid w:val="009504AC"/>
    <w:rsid w:val="00951078"/>
    <w:rsid w:val="00953DEF"/>
    <w:rsid w:val="00954646"/>
    <w:rsid w:val="009567BF"/>
    <w:rsid w:val="009579A4"/>
    <w:rsid w:val="0096085C"/>
    <w:rsid w:val="00960E01"/>
    <w:rsid w:val="0096211B"/>
    <w:rsid w:val="0097524B"/>
    <w:rsid w:val="0097608E"/>
    <w:rsid w:val="00977EC8"/>
    <w:rsid w:val="0098180E"/>
    <w:rsid w:val="00981A94"/>
    <w:rsid w:val="009826DD"/>
    <w:rsid w:val="00983453"/>
    <w:rsid w:val="009835A9"/>
    <w:rsid w:val="00987843"/>
    <w:rsid w:val="00987BFA"/>
    <w:rsid w:val="00990768"/>
    <w:rsid w:val="00990D81"/>
    <w:rsid w:val="00991EB7"/>
    <w:rsid w:val="0099417D"/>
    <w:rsid w:val="00995C36"/>
    <w:rsid w:val="00995C94"/>
    <w:rsid w:val="009A2E9C"/>
    <w:rsid w:val="009A436C"/>
    <w:rsid w:val="009A5927"/>
    <w:rsid w:val="009A5DA9"/>
    <w:rsid w:val="009A6B22"/>
    <w:rsid w:val="009B1297"/>
    <w:rsid w:val="009B1CE0"/>
    <w:rsid w:val="009B3AAC"/>
    <w:rsid w:val="009B5C55"/>
    <w:rsid w:val="009B6C14"/>
    <w:rsid w:val="009B76EA"/>
    <w:rsid w:val="009C04D1"/>
    <w:rsid w:val="009C0DD7"/>
    <w:rsid w:val="009C30E0"/>
    <w:rsid w:val="009C5176"/>
    <w:rsid w:val="009C5F0F"/>
    <w:rsid w:val="009C605A"/>
    <w:rsid w:val="009C6166"/>
    <w:rsid w:val="009C79EE"/>
    <w:rsid w:val="009D01F3"/>
    <w:rsid w:val="009D1BFB"/>
    <w:rsid w:val="009D3815"/>
    <w:rsid w:val="009D3A8C"/>
    <w:rsid w:val="009D418D"/>
    <w:rsid w:val="009D49FF"/>
    <w:rsid w:val="009E0211"/>
    <w:rsid w:val="009E0734"/>
    <w:rsid w:val="009E0759"/>
    <w:rsid w:val="009E46D4"/>
    <w:rsid w:val="009E6C51"/>
    <w:rsid w:val="009E7956"/>
    <w:rsid w:val="009E7A0E"/>
    <w:rsid w:val="009E7FE8"/>
    <w:rsid w:val="009F1E9C"/>
    <w:rsid w:val="009F3082"/>
    <w:rsid w:val="009F39BE"/>
    <w:rsid w:val="009F41CE"/>
    <w:rsid w:val="009F5257"/>
    <w:rsid w:val="009F5730"/>
    <w:rsid w:val="009F65BD"/>
    <w:rsid w:val="009F759C"/>
    <w:rsid w:val="009F7C2A"/>
    <w:rsid w:val="00A018EF"/>
    <w:rsid w:val="00A02979"/>
    <w:rsid w:val="00A02D07"/>
    <w:rsid w:val="00A02E14"/>
    <w:rsid w:val="00A049A1"/>
    <w:rsid w:val="00A06A7A"/>
    <w:rsid w:val="00A14C77"/>
    <w:rsid w:val="00A151CD"/>
    <w:rsid w:val="00A15ACB"/>
    <w:rsid w:val="00A164C0"/>
    <w:rsid w:val="00A169C4"/>
    <w:rsid w:val="00A20902"/>
    <w:rsid w:val="00A2492E"/>
    <w:rsid w:val="00A24C58"/>
    <w:rsid w:val="00A25AEA"/>
    <w:rsid w:val="00A30B3E"/>
    <w:rsid w:val="00A31D1F"/>
    <w:rsid w:val="00A321D7"/>
    <w:rsid w:val="00A33BCD"/>
    <w:rsid w:val="00A37E0E"/>
    <w:rsid w:val="00A40314"/>
    <w:rsid w:val="00A403B3"/>
    <w:rsid w:val="00A4099B"/>
    <w:rsid w:val="00A41CC3"/>
    <w:rsid w:val="00A42DFE"/>
    <w:rsid w:val="00A44D30"/>
    <w:rsid w:val="00A47DD3"/>
    <w:rsid w:val="00A57A22"/>
    <w:rsid w:val="00A63EE5"/>
    <w:rsid w:val="00A67893"/>
    <w:rsid w:val="00A70163"/>
    <w:rsid w:val="00A70C15"/>
    <w:rsid w:val="00A716D7"/>
    <w:rsid w:val="00A737D1"/>
    <w:rsid w:val="00A772C9"/>
    <w:rsid w:val="00A77888"/>
    <w:rsid w:val="00A82E2E"/>
    <w:rsid w:val="00A830F3"/>
    <w:rsid w:val="00A83F40"/>
    <w:rsid w:val="00A84E57"/>
    <w:rsid w:val="00A84E5E"/>
    <w:rsid w:val="00A85A84"/>
    <w:rsid w:val="00A85FB1"/>
    <w:rsid w:val="00A862A1"/>
    <w:rsid w:val="00A867C0"/>
    <w:rsid w:val="00A90334"/>
    <w:rsid w:val="00A908B1"/>
    <w:rsid w:val="00A91535"/>
    <w:rsid w:val="00A93E12"/>
    <w:rsid w:val="00A93F42"/>
    <w:rsid w:val="00A9474B"/>
    <w:rsid w:val="00A9531A"/>
    <w:rsid w:val="00A956B8"/>
    <w:rsid w:val="00A958AD"/>
    <w:rsid w:val="00A96D8F"/>
    <w:rsid w:val="00A97E34"/>
    <w:rsid w:val="00AA01B6"/>
    <w:rsid w:val="00AA0E4C"/>
    <w:rsid w:val="00AA0EAC"/>
    <w:rsid w:val="00AA1712"/>
    <w:rsid w:val="00AA1997"/>
    <w:rsid w:val="00AA30F9"/>
    <w:rsid w:val="00AA4644"/>
    <w:rsid w:val="00AA50B9"/>
    <w:rsid w:val="00AB0389"/>
    <w:rsid w:val="00AB0897"/>
    <w:rsid w:val="00AB3F60"/>
    <w:rsid w:val="00AB5754"/>
    <w:rsid w:val="00AB602F"/>
    <w:rsid w:val="00AB62B9"/>
    <w:rsid w:val="00AB77DE"/>
    <w:rsid w:val="00AC34A2"/>
    <w:rsid w:val="00AC67A1"/>
    <w:rsid w:val="00AC7977"/>
    <w:rsid w:val="00AD2D5F"/>
    <w:rsid w:val="00AD380B"/>
    <w:rsid w:val="00AD3FD5"/>
    <w:rsid w:val="00AD4AFA"/>
    <w:rsid w:val="00AD79D3"/>
    <w:rsid w:val="00AD7CCD"/>
    <w:rsid w:val="00AE05E4"/>
    <w:rsid w:val="00AE0A7B"/>
    <w:rsid w:val="00AE0ACD"/>
    <w:rsid w:val="00AE3506"/>
    <w:rsid w:val="00AE352C"/>
    <w:rsid w:val="00AF1675"/>
    <w:rsid w:val="00AF203A"/>
    <w:rsid w:val="00AF3C8B"/>
    <w:rsid w:val="00B00522"/>
    <w:rsid w:val="00B00969"/>
    <w:rsid w:val="00B01763"/>
    <w:rsid w:val="00B05257"/>
    <w:rsid w:val="00B10554"/>
    <w:rsid w:val="00B10559"/>
    <w:rsid w:val="00B1116B"/>
    <w:rsid w:val="00B11593"/>
    <w:rsid w:val="00B1207E"/>
    <w:rsid w:val="00B143CD"/>
    <w:rsid w:val="00B1583E"/>
    <w:rsid w:val="00B161A1"/>
    <w:rsid w:val="00B16C99"/>
    <w:rsid w:val="00B218E2"/>
    <w:rsid w:val="00B22DF6"/>
    <w:rsid w:val="00B306AC"/>
    <w:rsid w:val="00B31B20"/>
    <w:rsid w:val="00B3250D"/>
    <w:rsid w:val="00B32B35"/>
    <w:rsid w:val="00B32DAF"/>
    <w:rsid w:val="00B32E2D"/>
    <w:rsid w:val="00B33E4D"/>
    <w:rsid w:val="00B3467E"/>
    <w:rsid w:val="00B3620A"/>
    <w:rsid w:val="00B362F2"/>
    <w:rsid w:val="00B36700"/>
    <w:rsid w:val="00B42BF7"/>
    <w:rsid w:val="00B4466B"/>
    <w:rsid w:val="00B45806"/>
    <w:rsid w:val="00B46867"/>
    <w:rsid w:val="00B51A6A"/>
    <w:rsid w:val="00B57EE9"/>
    <w:rsid w:val="00B61990"/>
    <w:rsid w:val="00B61B80"/>
    <w:rsid w:val="00B63B7F"/>
    <w:rsid w:val="00B660A0"/>
    <w:rsid w:val="00B71ACF"/>
    <w:rsid w:val="00B72647"/>
    <w:rsid w:val="00B72E89"/>
    <w:rsid w:val="00B75B2D"/>
    <w:rsid w:val="00B81714"/>
    <w:rsid w:val="00B82063"/>
    <w:rsid w:val="00B822E0"/>
    <w:rsid w:val="00B837E1"/>
    <w:rsid w:val="00B85198"/>
    <w:rsid w:val="00B85D99"/>
    <w:rsid w:val="00B860B3"/>
    <w:rsid w:val="00B91A8A"/>
    <w:rsid w:val="00B92296"/>
    <w:rsid w:val="00B9375D"/>
    <w:rsid w:val="00B93C36"/>
    <w:rsid w:val="00B94612"/>
    <w:rsid w:val="00B94FDD"/>
    <w:rsid w:val="00BA04C7"/>
    <w:rsid w:val="00BA1D30"/>
    <w:rsid w:val="00BA23D6"/>
    <w:rsid w:val="00BA2DEC"/>
    <w:rsid w:val="00BA3CE1"/>
    <w:rsid w:val="00BA4214"/>
    <w:rsid w:val="00BA71D9"/>
    <w:rsid w:val="00BB3EA3"/>
    <w:rsid w:val="00BB6D0D"/>
    <w:rsid w:val="00BB7F40"/>
    <w:rsid w:val="00BC2C3B"/>
    <w:rsid w:val="00BC572C"/>
    <w:rsid w:val="00BC695D"/>
    <w:rsid w:val="00BC7BC7"/>
    <w:rsid w:val="00BD04BE"/>
    <w:rsid w:val="00BD07AA"/>
    <w:rsid w:val="00BD1C38"/>
    <w:rsid w:val="00BD4966"/>
    <w:rsid w:val="00BD6912"/>
    <w:rsid w:val="00BE1357"/>
    <w:rsid w:val="00BE1A82"/>
    <w:rsid w:val="00BE5104"/>
    <w:rsid w:val="00BE561A"/>
    <w:rsid w:val="00BE5EB9"/>
    <w:rsid w:val="00BE7606"/>
    <w:rsid w:val="00BE785D"/>
    <w:rsid w:val="00BF0556"/>
    <w:rsid w:val="00BF0FC8"/>
    <w:rsid w:val="00BF1168"/>
    <w:rsid w:val="00BF2CAD"/>
    <w:rsid w:val="00BF38BB"/>
    <w:rsid w:val="00BF4731"/>
    <w:rsid w:val="00BF493F"/>
    <w:rsid w:val="00BF5605"/>
    <w:rsid w:val="00BF612B"/>
    <w:rsid w:val="00BF795A"/>
    <w:rsid w:val="00C015D0"/>
    <w:rsid w:val="00C01981"/>
    <w:rsid w:val="00C031F6"/>
    <w:rsid w:val="00C06528"/>
    <w:rsid w:val="00C06BDA"/>
    <w:rsid w:val="00C076BF"/>
    <w:rsid w:val="00C1320B"/>
    <w:rsid w:val="00C135F8"/>
    <w:rsid w:val="00C13EA1"/>
    <w:rsid w:val="00C13F9D"/>
    <w:rsid w:val="00C15E29"/>
    <w:rsid w:val="00C20075"/>
    <w:rsid w:val="00C20594"/>
    <w:rsid w:val="00C218CE"/>
    <w:rsid w:val="00C22839"/>
    <w:rsid w:val="00C24737"/>
    <w:rsid w:val="00C261F8"/>
    <w:rsid w:val="00C262C1"/>
    <w:rsid w:val="00C26DD1"/>
    <w:rsid w:val="00C30246"/>
    <w:rsid w:val="00C30813"/>
    <w:rsid w:val="00C3217E"/>
    <w:rsid w:val="00C3247E"/>
    <w:rsid w:val="00C33100"/>
    <w:rsid w:val="00C351BE"/>
    <w:rsid w:val="00C3571F"/>
    <w:rsid w:val="00C36416"/>
    <w:rsid w:val="00C42079"/>
    <w:rsid w:val="00C42165"/>
    <w:rsid w:val="00C460C3"/>
    <w:rsid w:val="00C47B38"/>
    <w:rsid w:val="00C47D07"/>
    <w:rsid w:val="00C5043A"/>
    <w:rsid w:val="00C50DDB"/>
    <w:rsid w:val="00C51291"/>
    <w:rsid w:val="00C51804"/>
    <w:rsid w:val="00C54A10"/>
    <w:rsid w:val="00C564A5"/>
    <w:rsid w:val="00C56868"/>
    <w:rsid w:val="00C61517"/>
    <w:rsid w:val="00C63E3B"/>
    <w:rsid w:val="00C7038A"/>
    <w:rsid w:val="00C70923"/>
    <w:rsid w:val="00C71232"/>
    <w:rsid w:val="00C71D7D"/>
    <w:rsid w:val="00C72078"/>
    <w:rsid w:val="00C73E59"/>
    <w:rsid w:val="00C74E71"/>
    <w:rsid w:val="00C754D8"/>
    <w:rsid w:val="00C75AC2"/>
    <w:rsid w:val="00C831DF"/>
    <w:rsid w:val="00C86AEF"/>
    <w:rsid w:val="00C86FED"/>
    <w:rsid w:val="00C902C7"/>
    <w:rsid w:val="00C90A14"/>
    <w:rsid w:val="00C90A28"/>
    <w:rsid w:val="00C91FB2"/>
    <w:rsid w:val="00C925A9"/>
    <w:rsid w:val="00C92D3B"/>
    <w:rsid w:val="00C932D2"/>
    <w:rsid w:val="00C940E9"/>
    <w:rsid w:val="00C950D9"/>
    <w:rsid w:val="00C95476"/>
    <w:rsid w:val="00C95D4F"/>
    <w:rsid w:val="00C965D8"/>
    <w:rsid w:val="00C97331"/>
    <w:rsid w:val="00C97727"/>
    <w:rsid w:val="00C97DE8"/>
    <w:rsid w:val="00CA1EE0"/>
    <w:rsid w:val="00CA6B83"/>
    <w:rsid w:val="00CA7D22"/>
    <w:rsid w:val="00CB09D8"/>
    <w:rsid w:val="00CB18ED"/>
    <w:rsid w:val="00CB25DD"/>
    <w:rsid w:val="00CB4AD9"/>
    <w:rsid w:val="00CB55BC"/>
    <w:rsid w:val="00CB59A5"/>
    <w:rsid w:val="00CB6591"/>
    <w:rsid w:val="00CB6A56"/>
    <w:rsid w:val="00CB6FF0"/>
    <w:rsid w:val="00CB7DF3"/>
    <w:rsid w:val="00CC484D"/>
    <w:rsid w:val="00CC4CF3"/>
    <w:rsid w:val="00CD0C1E"/>
    <w:rsid w:val="00CD12CB"/>
    <w:rsid w:val="00CD16F3"/>
    <w:rsid w:val="00CD1A71"/>
    <w:rsid w:val="00CD1FBB"/>
    <w:rsid w:val="00CD2457"/>
    <w:rsid w:val="00CD34C9"/>
    <w:rsid w:val="00CD584F"/>
    <w:rsid w:val="00CD5C9E"/>
    <w:rsid w:val="00CD631E"/>
    <w:rsid w:val="00CD7D59"/>
    <w:rsid w:val="00CE211C"/>
    <w:rsid w:val="00CE2CAD"/>
    <w:rsid w:val="00CE322B"/>
    <w:rsid w:val="00CE4B0A"/>
    <w:rsid w:val="00CE6368"/>
    <w:rsid w:val="00CE7811"/>
    <w:rsid w:val="00CF07E5"/>
    <w:rsid w:val="00CF104A"/>
    <w:rsid w:val="00CF2332"/>
    <w:rsid w:val="00CF6664"/>
    <w:rsid w:val="00D00CA9"/>
    <w:rsid w:val="00D016B5"/>
    <w:rsid w:val="00D0214D"/>
    <w:rsid w:val="00D0334F"/>
    <w:rsid w:val="00D034F1"/>
    <w:rsid w:val="00D07D5C"/>
    <w:rsid w:val="00D11B17"/>
    <w:rsid w:val="00D16679"/>
    <w:rsid w:val="00D21826"/>
    <w:rsid w:val="00D243E2"/>
    <w:rsid w:val="00D254AE"/>
    <w:rsid w:val="00D2563C"/>
    <w:rsid w:val="00D257B8"/>
    <w:rsid w:val="00D27D5E"/>
    <w:rsid w:val="00D32447"/>
    <w:rsid w:val="00D340B8"/>
    <w:rsid w:val="00D35610"/>
    <w:rsid w:val="00D371F4"/>
    <w:rsid w:val="00D374F7"/>
    <w:rsid w:val="00D4037E"/>
    <w:rsid w:val="00D4056A"/>
    <w:rsid w:val="00D40E0B"/>
    <w:rsid w:val="00D43878"/>
    <w:rsid w:val="00D4578B"/>
    <w:rsid w:val="00D45DCB"/>
    <w:rsid w:val="00D5486A"/>
    <w:rsid w:val="00D56464"/>
    <w:rsid w:val="00D601C5"/>
    <w:rsid w:val="00D605A8"/>
    <w:rsid w:val="00D617C0"/>
    <w:rsid w:val="00D6243A"/>
    <w:rsid w:val="00D632EF"/>
    <w:rsid w:val="00D65CA1"/>
    <w:rsid w:val="00D65F21"/>
    <w:rsid w:val="00D712DA"/>
    <w:rsid w:val="00D725F8"/>
    <w:rsid w:val="00D73194"/>
    <w:rsid w:val="00D73DCB"/>
    <w:rsid w:val="00D74AD6"/>
    <w:rsid w:val="00D74E7D"/>
    <w:rsid w:val="00D763A6"/>
    <w:rsid w:val="00D76E86"/>
    <w:rsid w:val="00D827C7"/>
    <w:rsid w:val="00D82B74"/>
    <w:rsid w:val="00D878B4"/>
    <w:rsid w:val="00D903CC"/>
    <w:rsid w:val="00D90710"/>
    <w:rsid w:val="00D911EE"/>
    <w:rsid w:val="00D92105"/>
    <w:rsid w:val="00D94D58"/>
    <w:rsid w:val="00D953BA"/>
    <w:rsid w:val="00DA1070"/>
    <w:rsid w:val="00DA12E3"/>
    <w:rsid w:val="00DA57D4"/>
    <w:rsid w:val="00DB0D39"/>
    <w:rsid w:val="00DB16CF"/>
    <w:rsid w:val="00DB1AA4"/>
    <w:rsid w:val="00DB4793"/>
    <w:rsid w:val="00DB6B78"/>
    <w:rsid w:val="00DB714E"/>
    <w:rsid w:val="00DC0A85"/>
    <w:rsid w:val="00DC4704"/>
    <w:rsid w:val="00DC613C"/>
    <w:rsid w:val="00DD4DBF"/>
    <w:rsid w:val="00DD7C1B"/>
    <w:rsid w:val="00DD7D82"/>
    <w:rsid w:val="00DE01E3"/>
    <w:rsid w:val="00DE07B5"/>
    <w:rsid w:val="00DE25C9"/>
    <w:rsid w:val="00DE5A46"/>
    <w:rsid w:val="00DE5FF7"/>
    <w:rsid w:val="00DE6D90"/>
    <w:rsid w:val="00DF002F"/>
    <w:rsid w:val="00DF06B1"/>
    <w:rsid w:val="00DF2B8A"/>
    <w:rsid w:val="00DF4EAF"/>
    <w:rsid w:val="00DF50FF"/>
    <w:rsid w:val="00DF561B"/>
    <w:rsid w:val="00E0244D"/>
    <w:rsid w:val="00E02568"/>
    <w:rsid w:val="00E02607"/>
    <w:rsid w:val="00E036C2"/>
    <w:rsid w:val="00E03D6B"/>
    <w:rsid w:val="00E0522C"/>
    <w:rsid w:val="00E06A85"/>
    <w:rsid w:val="00E07E1B"/>
    <w:rsid w:val="00E11B62"/>
    <w:rsid w:val="00E12992"/>
    <w:rsid w:val="00E13383"/>
    <w:rsid w:val="00E15230"/>
    <w:rsid w:val="00E1620C"/>
    <w:rsid w:val="00E16E31"/>
    <w:rsid w:val="00E17013"/>
    <w:rsid w:val="00E17598"/>
    <w:rsid w:val="00E17710"/>
    <w:rsid w:val="00E21D74"/>
    <w:rsid w:val="00E251DE"/>
    <w:rsid w:val="00E27E03"/>
    <w:rsid w:val="00E368CC"/>
    <w:rsid w:val="00E36917"/>
    <w:rsid w:val="00E3767F"/>
    <w:rsid w:val="00E40010"/>
    <w:rsid w:val="00E406BF"/>
    <w:rsid w:val="00E41986"/>
    <w:rsid w:val="00E4384B"/>
    <w:rsid w:val="00E43B79"/>
    <w:rsid w:val="00E43BAC"/>
    <w:rsid w:val="00E445DD"/>
    <w:rsid w:val="00E44DC0"/>
    <w:rsid w:val="00E45A33"/>
    <w:rsid w:val="00E46530"/>
    <w:rsid w:val="00E47487"/>
    <w:rsid w:val="00E50CDB"/>
    <w:rsid w:val="00E51514"/>
    <w:rsid w:val="00E538C4"/>
    <w:rsid w:val="00E5402A"/>
    <w:rsid w:val="00E55483"/>
    <w:rsid w:val="00E55D71"/>
    <w:rsid w:val="00E562C9"/>
    <w:rsid w:val="00E57799"/>
    <w:rsid w:val="00E57901"/>
    <w:rsid w:val="00E61A04"/>
    <w:rsid w:val="00E61C97"/>
    <w:rsid w:val="00E629C1"/>
    <w:rsid w:val="00E62DEE"/>
    <w:rsid w:val="00E6678F"/>
    <w:rsid w:val="00E66AF7"/>
    <w:rsid w:val="00E71BB7"/>
    <w:rsid w:val="00E7274C"/>
    <w:rsid w:val="00E730E2"/>
    <w:rsid w:val="00E7439C"/>
    <w:rsid w:val="00E743F1"/>
    <w:rsid w:val="00E77293"/>
    <w:rsid w:val="00E77B78"/>
    <w:rsid w:val="00E80563"/>
    <w:rsid w:val="00E815A1"/>
    <w:rsid w:val="00E81E94"/>
    <w:rsid w:val="00E82607"/>
    <w:rsid w:val="00E8298D"/>
    <w:rsid w:val="00E83EF8"/>
    <w:rsid w:val="00E85929"/>
    <w:rsid w:val="00E86A86"/>
    <w:rsid w:val="00E87EEE"/>
    <w:rsid w:val="00E87F34"/>
    <w:rsid w:val="00E90E76"/>
    <w:rsid w:val="00E94607"/>
    <w:rsid w:val="00E96F55"/>
    <w:rsid w:val="00E97C3C"/>
    <w:rsid w:val="00E97E74"/>
    <w:rsid w:val="00EA15A7"/>
    <w:rsid w:val="00EA2D08"/>
    <w:rsid w:val="00EA31C2"/>
    <w:rsid w:val="00EA7656"/>
    <w:rsid w:val="00EB0A6D"/>
    <w:rsid w:val="00EB0CA9"/>
    <w:rsid w:val="00EB324C"/>
    <w:rsid w:val="00EB37F7"/>
    <w:rsid w:val="00EB5759"/>
    <w:rsid w:val="00EB6420"/>
    <w:rsid w:val="00EB713A"/>
    <w:rsid w:val="00EB7BB1"/>
    <w:rsid w:val="00EC007E"/>
    <w:rsid w:val="00EC116E"/>
    <w:rsid w:val="00EC14A4"/>
    <w:rsid w:val="00EC1F05"/>
    <w:rsid w:val="00EC22E4"/>
    <w:rsid w:val="00EC4698"/>
    <w:rsid w:val="00EC6157"/>
    <w:rsid w:val="00ED0B39"/>
    <w:rsid w:val="00ED0D8C"/>
    <w:rsid w:val="00ED0FB0"/>
    <w:rsid w:val="00ED2314"/>
    <w:rsid w:val="00ED66F0"/>
    <w:rsid w:val="00ED6D56"/>
    <w:rsid w:val="00ED7C63"/>
    <w:rsid w:val="00EE2DF2"/>
    <w:rsid w:val="00EE2EA3"/>
    <w:rsid w:val="00EE3145"/>
    <w:rsid w:val="00EF16A4"/>
    <w:rsid w:val="00EF1A0E"/>
    <w:rsid w:val="00EF1B5E"/>
    <w:rsid w:val="00EF26E7"/>
    <w:rsid w:val="00EF45AB"/>
    <w:rsid w:val="00EF47B2"/>
    <w:rsid w:val="00EF4EBC"/>
    <w:rsid w:val="00EF7B58"/>
    <w:rsid w:val="00F01516"/>
    <w:rsid w:val="00F01B4B"/>
    <w:rsid w:val="00F03873"/>
    <w:rsid w:val="00F0407B"/>
    <w:rsid w:val="00F058D2"/>
    <w:rsid w:val="00F065C9"/>
    <w:rsid w:val="00F075F4"/>
    <w:rsid w:val="00F14445"/>
    <w:rsid w:val="00F216F6"/>
    <w:rsid w:val="00F2303A"/>
    <w:rsid w:val="00F23ECB"/>
    <w:rsid w:val="00F25EF7"/>
    <w:rsid w:val="00F26CCB"/>
    <w:rsid w:val="00F3025C"/>
    <w:rsid w:val="00F30578"/>
    <w:rsid w:val="00F3269A"/>
    <w:rsid w:val="00F33247"/>
    <w:rsid w:val="00F3543D"/>
    <w:rsid w:val="00F41EBF"/>
    <w:rsid w:val="00F42488"/>
    <w:rsid w:val="00F438FE"/>
    <w:rsid w:val="00F44C5D"/>
    <w:rsid w:val="00F50310"/>
    <w:rsid w:val="00F5087E"/>
    <w:rsid w:val="00F523CF"/>
    <w:rsid w:val="00F542E6"/>
    <w:rsid w:val="00F54785"/>
    <w:rsid w:val="00F601D2"/>
    <w:rsid w:val="00F60352"/>
    <w:rsid w:val="00F6038F"/>
    <w:rsid w:val="00F62EDD"/>
    <w:rsid w:val="00F63988"/>
    <w:rsid w:val="00F66050"/>
    <w:rsid w:val="00F67559"/>
    <w:rsid w:val="00F728E6"/>
    <w:rsid w:val="00F73852"/>
    <w:rsid w:val="00F74E42"/>
    <w:rsid w:val="00F76371"/>
    <w:rsid w:val="00F76A7A"/>
    <w:rsid w:val="00F8039A"/>
    <w:rsid w:val="00F810AD"/>
    <w:rsid w:val="00F83488"/>
    <w:rsid w:val="00F83E27"/>
    <w:rsid w:val="00F8459D"/>
    <w:rsid w:val="00F86BA3"/>
    <w:rsid w:val="00F87022"/>
    <w:rsid w:val="00F872B8"/>
    <w:rsid w:val="00F902A5"/>
    <w:rsid w:val="00F90F4B"/>
    <w:rsid w:val="00F91520"/>
    <w:rsid w:val="00F928C9"/>
    <w:rsid w:val="00F94DFA"/>
    <w:rsid w:val="00F96C5F"/>
    <w:rsid w:val="00FA3048"/>
    <w:rsid w:val="00FA309E"/>
    <w:rsid w:val="00FA4101"/>
    <w:rsid w:val="00FA5A79"/>
    <w:rsid w:val="00FA6714"/>
    <w:rsid w:val="00FB0BFE"/>
    <w:rsid w:val="00FB285A"/>
    <w:rsid w:val="00FB4C51"/>
    <w:rsid w:val="00FB5347"/>
    <w:rsid w:val="00FB612C"/>
    <w:rsid w:val="00FB7480"/>
    <w:rsid w:val="00FB7841"/>
    <w:rsid w:val="00FC00F2"/>
    <w:rsid w:val="00FC1DDA"/>
    <w:rsid w:val="00FC3425"/>
    <w:rsid w:val="00FC3C63"/>
    <w:rsid w:val="00FC4D01"/>
    <w:rsid w:val="00FC5C01"/>
    <w:rsid w:val="00FD244D"/>
    <w:rsid w:val="00FD2DA4"/>
    <w:rsid w:val="00FD37DC"/>
    <w:rsid w:val="00FD606A"/>
    <w:rsid w:val="00FD6495"/>
    <w:rsid w:val="00FD6FF1"/>
    <w:rsid w:val="00FD72A7"/>
    <w:rsid w:val="00FD792A"/>
    <w:rsid w:val="00FE1764"/>
    <w:rsid w:val="00FE1B68"/>
    <w:rsid w:val="00FE2856"/>
    <w:rsid w:val="00FE5F1B"/>
    <w:rsid w:val="00FE6CB3"/>
    <w:rsid w:val="00FF0107"/>
    <w:rsid w:val="00FF16F9"/>
    <w:rsid w:val="00FF1DBD"/>
    <w:rsid w:val="00FF53B9"/>
    <w:rsid w:val="00FF69E5"/>
    <w:rsid w:val="00FF77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oNotEmbedSmartTags/>
  <w:decimalSymbol w:val=","/>
  <w:listSeparator w:val=";"/>
  <w14:docId w14:val="6505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eastAsia="en-US"/>
    </w:rPr>
  </w:style>
  <w:style w:type="paragraph" w:styleId="Titre1">
    <w:name w:val="heading 1"/>
    <w:aliases w:val="Table_G"/>
    <w:basedOn w:val="HChG"/>
    <w:next w:val="SingleTxtG"/>
    <w:qFormat/>
    <w:rsid w:val="009E6C51"/>
    <w:pPr>
      <w:outlineLvl w:val="0"/>
    </w:pPr>
  </w:style>
  <w:style w:type="paragraph" w:styleId="Titre2">
    <w:name w:val="heading 2"/>
    <w:basedOn w:val="H23G"/>
    <w:next w:val="Normal"/>
    <w:qFormat/>
    <w:rsid w:val="009E6C51"/>
    <w:pPr>
      <w:outlineLvl w:val="1"/>
    </w:pPr>
  </w:style>
  <w:style w:type="paragraph" w:styleId="Titre3">
    <w:name w:val="heading 3"/>
    <w:basedOn w:val="Normal"/>
    <w:next w:val="Normal"/>
    <w:qFormat/>
    <w:rsid w:val="0000696F"/>
    <w:pPr>
      <w:outlineLvl w:val="2"/>
    </w:pPr>
  </w:style>
  <w:style w:type="paragraph" w:styleId="Titre4">
    <w:name w:val="heading 4"/>
    <w:basedOn w:val="Normal"/>
    <w:next w:val="Normal"/>
    <w:qFormat/>
    <w:rsid w:val="0000696F"/>
    <w:pPr>
      <w:outlineLvl w:val="3"/>
    </w:pPr>
  </w:style>
  <w:style w:type="paragraph" w:styleId="Titre5">
    <w:name w:val="heading 5"/>
    <w:basedOn w:val="Normal"/>
    <w:next w:val="Normal"/>
    <w:qFormat/>
    <w:rsid w:val="0000696F"/>
    <w:pPr>
      <w:outlineLvl w:val="4"/>
    </w:pPr>
  </w:style>
  <w:style w:type="paragraph" w:styleId="Titre6">
    <w:name w:val="heading 6"/>
    <w:basedOn w:val="Normal"/>
    <w:next w:val="Normal"/>
    <w:qFormat/>
    <w:rsid w:val="0000696F"/>
    <w:pPr>
      <w:outlineLvl w:val="5"/>
    </w:pPr>
  </w:style>
  <w:style w:type="paragraph" w:styleId="Titre7">
    <w:name w:val="heading 7"/>
    <w:basedOn w:val="Normal"/>
    <w:next w:val="Normal"/>
    <w:qFormat/>
    <w:rsid w:val="0000696F"/>
    <w:pPr>
      <w:outlineLvl w:val="6"/>
    </w:pPr>
  </w:style>
  <w:style w:type="paragraph" w:styleId="Titre8">
    <w:name w:val="heading 8"/>
    <w:basedOn w:val="Normal"/>
    <w:next w:val="Normal"/>
    <w:qFormat/>
    <w:rsid w:val="0000696F"/>
    <w:pPr>
      <w:outlineLvl w:val="7"/>
    </w:pPr>
  </w:style>
  <w:style w:type="paragraph" w:styleId="Titre9">
    <w:name w:val="heading 9"/>
    <w:basedOn w:val="Normal"/>
    <w:next w:val="Normal"/>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Appelnotedebasdep">
    <w:name w:val="footnote reference"/>
    <w:aliases w:val="4_G"/>
    <w:qFormat/>
    <w:rsid w:val="00DF561B"/>
    <w:rPr>
      <w:rFonts w:ascii="Times New Roman" w:hAnsi="Times New Roman"/>
      <w:sz w:val="18"/>
      <w:vertAlign w:val="superscript"/>
    </w:rPr>
  </w:style>
  <w:style w:type="character" w:styleId="Appeldenotedefin">
    <w:name w:val="endnote reference"/>
    <w:aliases w:val="1_G"/>
    <w:rsid w:val="0000696F"/>
    <w:rPr>
      <w:rFonts w:ascii="Times New Roman" w:hAnsi="Times New Roman"/>
      <w:sz w:val="18"/>
      <w:vertAlign w:val="superscript"/>
      <w:lang w:val="fr-CH"/>
    </w:rPr>
  </w:style>
  <w:style w:type="paragraph" w:styleId="En-tte">
    <w:name w:val="header"/>
    <w:aliases w:val="6_G"/>
    <w:basedOn w:val="Normal"/>
    <w:next w:val="Normal"/>
    <w:rsid w:val="0000696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DF561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00696F"/>
  </w:style>
  <w:style w:type="character" w:styleId="Numrodepage">
    <w:name w:val="page number"/>
    <w:aliases w:val="7_G"/>
    <w:rsid w:val="0000696F"/>
    <w:rPr>
      <w:rFonts w:ascii="Times New Roman" w:hAnsi="Times New Roman"/>
      <w:b/>
      <w:sz w:val="18"/>
      <w:lang w:val="fr-CH"/>
    </w:rPr>
  </w:style>
  <w:style w:type="paragraph" w:styleId="Pieddepage">
    <w:name w:val="footer"/>
    <w:aliases w:val="3_G"/>
    <w:basedOn w:val="Normal"/>
    <w:next w:val="Normal"/>
    <w:rsid w:val="0000696F"/>
    <w:pPr>
      <w:spacing w:line="240" w:lineRule="auto"/>
    </w:pPr>
    <w:rPr>
      <w:sz w:val="16"/>
    </w:rPr>
  </w:style>
  <w:style w:type="character" w:styleId="Lienhypertexte">
    <w:name w:val="Hyperlink"/>
    <w:semiHidden/>
    <w:rsid w:val="0000696F"/>
    <w:rPr>
      <w:color w:val="auto"/>
      <w:u w:val="none"/>
    </w:rPr>
  </w:style>
  <w:style w:type="character" w:styleId="Lienhypertextesuivivisit">
    <w:name w:val="FollowedHyperlink"/>
    <w:semiHidden/>
    <w:rsid w:val="0000696F"/>
    <w:rPr>
      <w:color w:val="auto"/>
      <w:u w:val="none"/>
    </w:rPr>
  </w:style>
  <w:style w:type="table" w:styleId="Grilledetableau1">
    <w:name w:val="Table Grid 1"/>
    <w:basedOn w:val="Tableau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47154B"/>
    <w:rPr>
      <w:b/>
      <w:sz w:val="24"/>
      <w:lang w:val="fr-CH" w:eastAsia="en-US"/>
    </w:rPr>
  </w:style>
  <w:style w:type="character" w:customStyle="1" w:styleId="HChGChar">
    <w:name w:val="_ H _Ch_G Char"/>
    <w:link w:val="HChG"/>
    <w:locked/>
    <w:rsid w:val="00FC00F2"/>
    <w:rPr>
      <w:b/>
      <w:sz w:val="28"/>
      <w:lang w:val="fr-CH" w:eastAsia="en-US"/>
    </w:rPr>
  </w:style>
  <w:style w:type="character" w:customStyle="1" w:styleId="SingleTxtGChar">
    <w:name w:val="_ Single Txt_G Char"/>
    <w:link w:val="SingleTxtG"/>
    <w:locked/>
    <w:rsid w:val="00E83EF8"/>
    <w:rPr>
      <w:lang w:val="fr-CH" w:eastAsia="en-US"/>
    </w:rPr>
  </w:style>
  <w:style w:type="paragraph" w:customStyle="1" w:styleId="Default">
    <w:name w:val="Default"/>
    <w:rsid w:val="00D16679"/>
    <w:pPr>
      <w:autoSpaceDE w:val="0"/>
      <w:autoSpaceDN w:val="0"/>
      <w:adjustRightInd w:val="0"/>
    </w:pPr>
    <w:rPr>
      <w:color w:val="000000"/>
      <w:sz w:val="24"/>
      <w:szCs w:val="24"/>
    </w:rPr>
  </w:style>
  <w:style w:type="character" w:customStyle="1" w:styleId="Normal1">
    <w:name w:val="Normal1"/>
    <w:rsid w:val="006D3131"/>
  </w:style>
  <w:style w:type="character" w:customStyle="1" w:styleId="Normal2">
    <w:name w:val="Normal2"/>
    <w:rsid w:val="003660D0"/>
  </w:style>
  <w:style w:type="paragraph" w:styleId="Textedebulles">
    <w:name w:val="Balloon Text"/>
    <w:basedOn w:val="Normal"/>
    <w:link w:val="TextedebullesCar"/>
    <w:rsid w:val="004A2E3A"/>
    <w:pPr>
      <w:spacing w:line="240" w:lineRule="auto"/>
    </w:pPr>
    <w:rPr>
      <w:rFonts w:ascii="Tahoma" w:hAnsi="Tahoma" w:cs="Tahoma"/>
      <w:sz w:val="16"/>
      <w:szCs w:val="16"/>
    </w:rPr>
  </w:style>
  <w:style w:type="character" w:customStyle="1" w:styleId="TextedebullesCar">
    <w:name w:val="Texte de bulles Car"/>
    <w:link w:val="Textedebulles"/>
    <w:rsid w:val="004A2E3A"/>
    <w:rPr>
      <w:rFonts w:ascii="Tahoma" w:hAnsi="Tahoma" w:cs="Tahoma"/>
      <w:sz w:val="16"/>
      <w:szCs w:val="16"/>
      <w:lang w:val="fr-CH" w:eastAsia="en-US"/>
    </w:rPr>
  </w:style>
  <w:style w:type="character" w:styleId="Marquedecommentaire">
    <w:name w:val="annotation reference"/>
    <w:rsid w:val="00051817"/>
    <w:rPr>
      <w:sz w:val="18"/>
      <w:szCs w:val="18"/>
    </w:rPr>
  </w:style>
  <w:style w:type="paragraph" w:styleId="Commentaire">
    <w:name w:val="annotation text"/>
    <w:basedOn w:val="Normal"/>
    <w:link w:val="CommentaireCar"/>
    <w:rsid w:val="00051817"/>
    <w:rPr>
      <w:sz w:val="24"/>
      <w:szCs w:val="24"/>
    </w:rPr>
  </w:style>
  <w:style w:type="character" w:customStyle="1" w:styleId="CommentaireCar">
    <w:name w:val="Commentaire Car"/>
    <w:link w:val="Commentaire"/>
    <w:rsid w:val="00051817"/>
    <w:rPr>
      <w:sz w:val="24"/>
      <w:szCs w:val="24"/>
      <w:lang w:val="fr-CH" w:eastAsia="en-US"/>
    </w:rPr>
  </w:style>
  <w:style w:type="character" w:customStyle="1" w:styleId="NotedebasdepageCar">
    <w:name w:val="Note de bas de page Car"/>
    <w:aliases w:val="5_G Car"/>
    <w:basedOn w:val="Policepardfaut"/>
    <w:link w:val="Notedebasdepage"/>
    <w:locked/>
    <w:rsid w:val="00E06A85"/>
    <w:rPr>
      <w:rFonts w:eastAsia="SimSun"/>
      <w:sz w:val="18"/>
      <w:lang w:eastAsia="zh-CN"/>
    </w:rPr>
  </w:style>
  <w:style w:type="paragraph" w:styleId="Paragraphedeliste">
    <w:name w:val="List Paragraph"/>
    <w:basedOn w:val="Normal"/>
    <w:uiPriority w:val="34"/>
    <w:qFormat/>
    <w:rsid w:val="00E06A85"/>
    <w:pPr>
      <w:suppressAutoHyphens w:val="0"/>
      <w:spacing w:after="120" w:line="240" w:lineRule="auto"/>
      <w:ind w:left="720" w:hanging="357"/>
      <w:contextualSpacing/>
    </w:pPr>
    <w:rPr>
      <w:rFonts w:eastAsia="Calibri"/>
      <w:sz w:val="22"/>
      <w:szCs w:val="22"/>
      <w:lang w:val="en-GB" w:eastAsia="en-GB"/>
    </w:rPr>
  </w:style>
  <w:style w:type="paragraph" w:styleId="Objetducommentaire">
    <w:name w:val="annotation subject"/>
    <w:basedOn w:val="Commentaire"/>
    <w:next w:val="Commentaire"/>
    <w:link w:val="ObjetducommentaireCar"/>
    <w:rsid w:val="006D4E14"/>
    <w:pPr>
      <w:spacing w:line="240" w:lineRule="auto"/>
    </w:pPr>
    <w:rPr>
      <w:b/>
      <w:bCs/>
      <w:sz w:val="20"/>
      <w:szCs w:val="20"/>
    </w:rPr>
  </w:style>
  <w:style w:type="character" w:customStyle="1" w:styleId="ObjetducommentaireCar">
    <w:name w:val="Objet du commentaire Car"/>
    <w:basedOn w:val="CommentaireCar"/>
    <w:link w:val="Objetducommentaire"/>
    <w:rsid w:val="006D4E14"/>
    <w:rPr>
      <w:b/>
      <w:bCs/>
      <w:sz w:val="24"/>
      <w:szCs w:val="24"/>
      <w:lang w:val="fr-CH" w:eastAsia="en-US"/>
    </w:rPr>
  </w:style>
  <w:style w:type="character" w:styleId="lev">
    <w:name w:val="Strong"/>
    <w:basedOn w:val="Policepardfaut"/>
    <w:uiPriority w:val="22"/>
    <w:qFormat/>
    <w:rsid w:val="00F21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eastAsia="en-US"/>
    </w:rPr>
  </w:style>
  <w:style w:type="paragraph" w:styleId="Titre1">
    <w:name w:val="heading 1"/>
    <w:aliases w:val="Table_G"/>
    <w:basedOn w:val="HChG"/>
    <w:next w:val="SingleTxtG"/>
    <w:qFormat/>
    <w:rsid w:val="009E6C51"/>
    <w:pPr>
      <w:outlineLvl w:val="0"/>
    </w:pPr>
  </w:style>
  <w:style w:type="paragraph" w:styleId="Titre2">
    <w:name w:val="heading 2"/>
    <w:basedOn w:val="H23G"/>
    <w:next w:val="Normal"/>
    <w:qFormat/>
    <w:rsid w:val="009E6C51"/>
    <w:pPr>
      <w:outlineLvl w:val="1"/>
    </w:pPr>
  </w:style>
  <w:style w:type="paragraph" w:styleId="Titre3">
    <w:name w:val="heading 3"/>
    <w:basedOn w:val="Normal"/>
    <w:next w:val="Normal"/>
    <w:qFormat/>
    <w:rsid w:val="0000696F"/>
    <w:pPr>
      <w:outlineLvl w:val="2"/>
    </w:pPr>
  </w:style>
  <w:style w:type="paragraph" w:styleId="Titre4">
    <w:name w:val="heading 4"/>
    <w:basedOn w:val="Normal"/>
    <w:next w:val="Normal"/>
    <w:qFormat/>
    <w:rsid w:val="0000696F"/>
    <w:pPr>
      <w:outlineLvl w:val="3"/>
    </w:pPr>
  </w:style>
  <w:style w:type="paragraph" w:styleId="Titre5">
    <w:name w:val="heading 5"/>
    <w:basedOn w:val="Normal"/>
    <w:next w:val="Normal"/>
    <w:qFormat/>
    <w:rsid w:val="0000696F"/>
    <w:pPr>
      <w:outlineLvl w:val="4"/>
    </w:pPr>
  </w:style>
  <w:style w:type="paragraph" w:styleId="Titre6">
    <w:name w:val="heading 6"/>
    <w:basedOn w:val="Normal"/>
    <w:next w:val="Normal"/>
    <w:qFormat/>
    <w:rsid w:val="0000696F"/>
    <w:pPr>
      <w:outlineLvl w:val="5"/>
    </w:pPr>
  </w:style>
  <w:style w:type="paragraph" w:styleId="Titre7">
    <w:name w:val="heading 7"/>
    <w:basedOn w:val="Normal"/>
    <w:next w:val="Normal"/>
    <w:qFormat/>
    <w:rsid w:val="0000696F"/>
    <w:pPr>
      <w:outlineLvl w:val="6"/>
    </w:pPr>
  </w:style>
  <w:style w:type="paragraph" w:styleId="Titre8">
    <w:name w:val="heading 8"/>
    <w:basedOn w:val="Normal"/>
    <w:next w:val="Normal"/>
    <w:qFormat/>
    <w:rsid w:val="0000696F"/>
    <w:pPr>
      <w:outlineLvl w:val="7"/>
    </w:pPr>
  </w:style>
  <w:style w:type="paragraph" w:styleId="Titre9">
    <w:name w:val="heading 9"/>
    <w:basedOn w:val="Normal"/>
    <w:next w:val="Normal"/>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Appelnotedebasdep">
    <w:name w:val="footnote reference"/>
    <w:aliases w:val="4_G"/>
    <w:qFormat/>
    <w:rsid w:val="00DF561B"/>
    <w:rPr>
      <w:rFonts w:ascii="Times New Roman" w:hAnsi="Times New Roman"/>
      <w:sz w:val="18"/>
      <w:vertAlign w:val="superscript"/>
    </w:rPr>
  </w:style>
  <w:style w:type="character" w:styleId="Appeldenotedefin">
    <w:name w:val="endnote reference"/>
    <w:aliases w:val="1_G"/>
    <w:rsid w:val="0000696F"/>
    <w:rPr>
      <w:rFonts w:ascii="Times New Roman" w:hAnsi="Times New Roman"/>
      <w:sz w:val="18"/>
      <w:vertAlign w:val="superscript"/>
      <w:lang w:val="fr-CH"/>
    </w:rPr>
  </w:style>
  <w:style w:type="paragraph" w:styleId="En-tte">
    <w:name w:val="header"/>
    <w:aliases w:val="6_G"/>
    <w:basedOn w:val="Normal"/>
    <w:next w:val="Normal"/>
    <w:rsid w:val="0000696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DF561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00696F"/>
  </w:style>
  <w:style w:type="character" w:styleId="Numrodepage">
    <w:name w:val="page number"/>
    <w:aliases w:val="7_G"/>
    <w:rsid w:val="0000696F"/>
    <w:rPr>
      <w:rFonts w:ascii="Times New Roman" w:hAnsi="Times New Roman"/>
      <w:b/>
      <w:sz w:val="18"/>
      <w:lang w:val="fr-CH"/>
    </w:rPr>
  </w:style>
  <w:style w:type="paragraph" w:styleId="Pieddepage">
    <w:name w:val="footer"/>
    <w:aliases w:val="3_G"/>
    <w:basedOn w:val="Normal"/>
    <w:next w:val="Normal"/>
    <w:rsid w:val="0000696F"/>
    <w:pPr>
      <w:spacing w:line="240" w:lineRule="auto"/>
    </w:pPr>
    <w:rPr>
      <w:sz w:val="16"/>
    </w:rPr>
  </w:style>
  <w:style w:type="character" w:styleId="Lienhypertexte">
    <w:name w:val="Hyperlink"/>
    <w:semiHidden/>
    <w:rsid w:val="0000696F"/>
    <w:rPr>
      <w:color w:val="auto"/>
      <w:u w:val="none"/>
    </w:rPr>
  </w:style>
  <w:style w:type="character" w:styleId="Lienhypertextesuivivisit">
    <w:name w:val="FollowedHyperlink"/>
    <w:semiHidden/>
    <w:rsid w:val="0000696F"/>
    <w:rPr>
      <w:color w:val="auto"/>
      <w:u w:val="none"/>
    </w:rPr>
  </w:style>
  <w:style w:type="table" w:styleId="Grilledetableau1">
    <w:name w:val="Table Grid 1"/>
    <w:basedOn w:val="Tableau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47154B"/>
    <w:rPr>
      <w:b/>
      <w:sz w:val="24"/>
      <w:lang w:val="fr-CH" w:eastAsia="en-US"/>
    </w:rPr>
  </w:style>
  <w:style w:type="character" w:customStyle="1" w:styleId="HChGChar">
    <w:name w:val="_ H _Ch_G Char"/>
    <w:link w:val="HChG"/>
    <w:locked/>
    <w:rsid w:val="00FC00F2"/>
    <w:rPr>
      <w:b/>
      <w:sz w:val="28"/>
      <w:lang w:val="fr-CH" w:eastAsia="en-US"/>
    </w:rPr>
  </w:style>
  <w:style w:type="character" w:customStyle="1" w:styleId="SingleTxtGChar">
    <w:name w:val="_ Single Txt_G Char"/>
    <w:link w:val="SingleTxtG"/>
    <w:locked/>
    <w:rsid w:val="00E83EF8"/>
    <w:rPr>
      <w:lang w:val="fr-CH" w:eastAsia="en-US"/>
    </w:rPr>
  </w:style>
  <w:style w:type="paragraph" w:customStyle="1" w:styleId="Default">
    <w:name w:val="Default"/>
    <w:rsid w:val="00D16679"/>
    <w:pPr>
      <w:autoSpaceDE w:val="0"/>
      <w:autoSpaceDN w:val="0"/>
      <w:adjustRightInd w:val="0"/>
    </w:pPr>
    <w:rPr>
      <w:color w:val="000000"/>
      <w:sz w:val="24"/>
      <w:szCs w:val="24"/>
    </w:rPr>
  </w:style>
  <w:style w:type="character" w:customStyle="1" w:styleId="Normal1">
    <w:name w:val="Normal1"/>
    <w:rsid w:val="006D3131"/>
  </w:style>
  <w:style w:type="character" w:customStyle="1" w:styleId="Normal2">
    <w:name w:val="Normal2"/>
    <w:rsid w:val="003660D0"/>
  </w:style>
  <w:style w:type="paragraph" w:styleId="Textedebulles">
    <w:name w:val="Balloon Text"/>
    <w:basedOn w:val="Normal"/>
    <w:link w:val="TextedebullesCar"/>
    <w:rsid w:val="004A2E3A"/>
    <w:pPr>
      <w:spacing w:line="240" w:lineRule="auto"/>
    </w:pPr>
    <w:rPr>
      <w:rFonts w:ascii="Tahoma" w:hAnsi="Tahoma" w:cs="Tahoma"/>
      <w:sz w:val="16"/>
      <w:szCs w:val="16"/>
    </w:rPr>
  </w:style>
  <w:style w:type="character" w:customStyle="1" w:styleId="TextedebullesCar">
    <w:name w:val="Texte de bulles Car"/>
    <w:link w:val="Textedebulles"/>
    <w:rsid w:val="004A2E3A"/>
    <w:rPr>
      <w:rFonts w:ascii="Tahoma" w:hAnsi="Tahoma" w:cs="Tahoma"/>
      <w:sz w:val="16"/>
      <w:szCs w:val="16"/>
      <w:lang w:val="fr-CH" w:eastAsia="en-US"/>
    </w:rPr>
  </w:style>
  <w:style w:type="character" w:styleId="Marquedecommentaire">
    <w:name w:val="annotation reference"/>
    <w:rsid w:val="00051817"/>
    <w:rPr>
      <w:sz w:val="18"/>
      <w:szCs w:val="18"/>
    </w:rPr>
  </w:style>
  <w:style w:type="paragraph" w:styleId="Commentaire">
    <w:name w:val="annotation text"/>
    <w:basedOn w:val="Normal"/>
    <w:link w:val="CommentaireCar"/>
    <w:rsid w:val="00051817"/>
    <w:rPr>
      <w:sz w:val="24"/>
      <w:szCs w:val="24"/>
    </w:rPr>
  </w:style>
  <w:style w:type="character" w:customStyle="1" w:styleId="CommentaireCar">
    <w:name w:val="Commentaire Car"/>
    <w:link w:val="Commentaire"/>
    <w:rsid w:val="00051817"/>
    <w:rPr>
      <w:sz w:val="24"/>
      <w:szCs w:val="24"/>
      <w:lang w:val="fr-CH" w:eastAsia="en-US"/>
    </w:rPr>
  </w:style>
  <w:style w:type="character" w:customStyle="1" w:styleId="NotedebasdepageCar">
    <w:name w:val="Note de bas de page Car"/>
    <w:aliases w:val="5_G Car"/>
    <w:basedOn w:val="Policepardfaut"/>
    <w:link w:val="Notedebasdepage"/>
    <w:locked/>
    <w:rsid w:val="00E06A85"/>
    <w:rPr>
      <w:rFonts w:eastAsia="SimSun"/>
      <w:sz w:val="18"/>
      <w:lang w:eastAsia="zh-CN"/>
    </w:rPr>
  </w:style>
  <w:style w:type="paragraph" w:styleId="Paragraphedeliste">
    <w:name w:val="List Paragraph"/>
    <w:basedOn w:val="Normal"/>
    <w:uiPriority w:val="34"/>
    <w:qFormat/>
    <w:rsid w:val="00E06A85"/>
    <w:pPr>
      <w:suppressAutoHyphens w:val="0"/>
      <w:spacing w:after="120" w:line="240" w:lineRule="auto"/>
      <w:ind w:left="720" w:hanging="357"/>
      <w:contextualSpacing/>
    </w:pPr>
    <w:rPr>
      <w:rFonts w:eastAsia="Calibri"/>
      <w:sz w:val="22"/>
      <w:szCs w:val="22"/>
      <w:lang w:val="en-GB" w:eastAsia="en-GB"/>
    </w:rPr>
  </w:style>
  <w:style w:type="paragraph" w:styleId="Objetducommentaire">
    <w:name w:val="annotation subject"/>
    <w:basedOn w:val="Commentaire"/>
    <w:next w:val="Commentaire"/>
    <w:link w:val="ObjetducommentaireCar"/>
    <w:rsid w:val="006D4E14"/>
    <w:pPr>
      <w:spacing w:line="240" w:lineRule="auto"/>
    </w:pPr>
    <w:rPr>
      <w:b/>
      <w:bCs/>
      <w:sz w:val="20"/>
      <w:szCs w:val="20"/>
    </w:rPr>
  </w:style>
  <w:style w:type="character" w:customStyle="1" w:styleId="ObjetducommentaireCar">
    <w:name w:val="Objet du commentaire Car"/>
    <w:basedOn w:val="CommentaireCar"/>
    <w:link w:val="Objetducommentaire"/>
    <w:rsid w:val="006D4E14"/>
    <w:rPr>
      <w:b/>
      <w:bCs/>
      <w:sz w:val="24"/>
      <w:szCs w:val="24"/>
      <w:lang w:val="fr-CH" w:eastAsia="en-US"/>
    </w:rPr>
  </w:style>
  <w:style w:type="character" w:styleId="lev">
    <w:name w:val="Strong"/>
    <w:basedOn w:val="Policepardfaut"/>
    <w:uiPriority w:val="22"/>
    <w:qFormat/>
    <w:rsid w:val="00F2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996">
      <w:bodyDiv w:val="1"/>
      <w:marLeft w:val="0"/>
      <w:marRight w:val="0"/>
      <w:marTop w:val="0"/>
      <w:marBottom w:val="0"/>
      <w:divBdr>
        <w:top w:val="none" w:sz="0" w:space="0" w:color="auto"/>
        <w:left w:val="none" w:sz="0" w:space="0" w:color="auto"/>
        <w:bottom w:val="none" w:sz="0" w:space="0" w:color="auto"/>
        <w:right w:val="none" w:sz="0" w:space="0" w:color="auto"/>
      </w:divBdr>
      <w:divsChild>
        <w:div w:id="179702381">
          <w:marLeft w:val="0"/>
          <w:marRight w:val="0"/>
          <w:marTop w:val="0"/>
          <w:marBottom w:val="0"/>
          <w:divBdr>
            <w:top w:val="none" w:sz="0" w:space="0" w:color="auto"/>
            <w:left w:val="none" w:sz="0" w:space="0" w:color="auto"/>
            <w:bottom w:val="none" w:sz="0" w:space="0" w:color="auto"/>
            <w:right w:val="none" w:sz="0" w:space="0" w:color="auto"/>
          </w:divBdr>
          <w:divsChild>
            <w:div w:id="1234392097">
              <w:marLeft w:val="0"/>
              <w:marRight w:val="0"/>
              <w:marTop w:val="0"/>
              <w:marBottom w:val="0"/>
              <w:divBdr>
                <w:top w:val="none" w:sz="0" w:space="0" w:color="auto"/>
                <w:left w:val="none" w:sz="0" w:space="0" w:color="auto"/>
                <w:bottom w:val="none" w:sz="0" w:space="0" w:color="auto"/>
                <w:right w:val="none" w:sz="0" w:space="0" w:color="auto"/>
              </w:divBdr>
            </w:div>
            <w:div w:id="1875649718">
              <w:marLeft w:val="0"/>
              <w:marRight w:val="0"/>
              <w:marTop w:val="0"/>
              <w:marBottom w:val="0"/>
              <w:divBdr>
                <w:top w:val="none" w:sz="0" w:space="0" w:color="auto"/>
                <w:left w:val="none" w:sz="0" w:space="0" w:color="auto"/>
                <w:bottom w:val="none" w:sz="0" w:space="0" w:color="auto"/>
                <w:right w:val="none" w:sz="0" w:space="0" w:color="auto"/>
              </w:divBdr>
            </w:div>
            <w:div w:id="20940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0719">
      <w:bodyDiv w:val="1"/>
      <w:marLeft w:val="0"/>
      <w:marRight w:val="0"/>
      <w:marTop w:val="0"/>
      <w:marBottom w:val="0"/>
      <w:divBdr>
        <w:top w:val="none" w:sz="0" w:space="0" w:color="auto"/>
        <w:left w:val="none" w:sz="0" w:space="0" w:color="auto"/>
        <w:bottom w:val="none" w:sz="0" w:space="0" w:color="auto"/>
        <w:right w:val="none" w:sz="0" w:space="0" w:color="auto"/>
      </w:divBdr>
      <w:divsChild>
        <w:div w:id="279190247">
          <w:marLeft w:val="0"/>
          <w:marRight w:val="0"/>
          <w:marTop w:val="0"/>
          <w:marBottom w:val="0"/>
          <w:divBdr>
            <w:top w:val="none" w:sz="0" w:space="0" w:color="auto"/>
            <w:left w:val="none" w:sz="0" w:space="0" w:color="auto"/>
            <w:bottom w:val="none" w:sz="0" w:space="0" w:color="auto"/>
            <w:right w:val="none" w:sz="0" w:space="0" w:color="auto"/>
          </w:divBdr>
        </w:div>
        <w:div w:id="609241233">
          <w:marLeft w:val="0"/>
          <w:marRight w:val="0"/>
          <w:marTop w:val="0"/>
          <w:marBottom w:val="0"/>
          <w:divBdr>
            <w:top w:val="none" w:sz="0" w:space="0" w:color="auto"/>
            <w:left w:val="none" w:sz="0" w:space="0" w:color="auto"/>
            <w:bottom w:val="none" w:sz="0" w:space="0" w:color="auto"/>
            <w:right w:val="none" w:sz="0" w:space="0" w:color="auto"/>
          </w:divBdr>
        </w:div>
        <w:div w:id="1111584679">
          <w:marLeft w:val="0"/>
          <w:marRight w:val="0"/>
          <w:marTop w:val="0"/>
          <w:marBottom w:val="0"/>
          <w:divBdr>
            <w:top w:val="none" w:sz="0" w:space="0" w:color="auto"/>
            <w:left w:val="none" w:sz="0" w:space="0" w:color="auto"/>
            <w:bottom w:val="none" w:sz="0" w:space="0" w:color="auto"/>
            <w:right w:val="none" w:sz="0" w:space="0" w:color="auto"/>
          </w:divBdr>
        </w:div>
        <w:div w:id="2134713965">
          <w:marLeft w:val="0"/>
          <w:marRight w:val="0"/>
          <w:marTop w:val="0"/>
          <w:marBottom w:val="0"/>
          <w:divBdr>
            <w:top w:val="none" w:sz="0" w:space="0" w:color="auto"/>
            <w:left w:val="none" w:sz="0" w:space="0" w:color="auto"/>
            <w:bottom w:val="none" w:sz="0" w:space="0" w:color="auto"/>
            <w:right w:val="none" w:sz="0" w:space="0" w:color="auto"/>
          </w:divBdr>
        </w:div>
      </w:divsChild>
    </w:div>
    <w:div w:id="296910381">
      <w:bodyDiv w:val="1"/>
      <w:marLeft w:val="0"/>
      <w:marRight w:val="0"/>
      <w:marTop w:val="0"/>
      <w:marBottom w:val="0"/>
      <w:divBdr>
        <w:top w:val="none" w:sz="0" w:space="0" w:color="auto"/>
        <w:left w:val="none" w:sz="0" w:space="0" w:color="auto"/>
        <w:bottom w:val="none" w:sz="0" w:space="0" w:color="auto"/>
        <w:right w:val="none" w:sz="0" w:space="0" w:color="auto"/>
      </w:divBdr>
      <w:divsChild>
        <w:div w:id="442963932">
          <w:marLeft w:val="0"/>
          <w:marRight w:val="0"/>
          <w:marTop w:val="0"/>
          <w:marBottom w:val="0"/>
          <w:divBdr>
            <w:top w:val="none" w:sz="0" w:space="0" w:color="auto"/>
            <w:left w:val="none" w:sz="0" w:space="0" w:color="auto"/>
            <w:bottom w:val="none" w:sz="0" w:space="0" w:color="auto"/>
            <w:right w:val="none" w:sz="0" w:space="0" w:color="auto"/>
          </w:divBdr>
        </w:div>
        <w:div w:id="1312829462">
          <w:marLeft w:val="0"/>
          <w:marRight w:val="0"/>
          <w:marTop w:val="0"/>
          <w:marBottom w:val="0"/>
          <w:divBdr>
            <w:top w:val="none" w:sz="0" w:space="0" w:color="auto"/>
            <w:left w:val="none" w:sz="0" w:space="0" w:color="auto"/>
            <w:bottom w:val="none" w:sz="0" w:space="0" w:color="auto"/>
            <w:right w:val="none" w:sz="0" w:space="0" w:color="auto"/>
          </w:divBdr>
        </w:div>
        <w:div w:id="1369835024">
          <w:marLeft w:val="0"/>
          <w:marRight w:val="0"/>
          <w:marTop w:val="0"/>
          <w:marBottom w:val="0"/>
          <w:divBdr>
            <w:top w:val="none" w:sz="0" w:space="0" w:color="auto"/>
            <w:left w:val="none" w:sz="0" w:space="0" w:color="auto"/>
            <w:bottom w:val="none" w:sz="0" w:space="0" w:color="auto"/>
            <w:right w:val="none" w:sz="0" w:space="0" w:color="auto"/>
          </w:divBdr>
        </w:div>
        <w:div w:id="1390034150">
          <w:marLeft w:val="0"/>
          <w:marRight w:val="0"/>
          <w:marTop w:val="0"/>
          <w:marBottom w:val="0"/>
          <w:divBdr>
            <w:top w:val="none" w:sz="0" w:space="0" w:color="auto"/>
            <w:left w:val="none" w:sz="0" w:space="0" w:color="auto"/>
            <w:bottom w:val="none" w:sz="0" w:space="0" w:color="auto"/>
            <w:right w:val="none" w:sz="0" w:space="0" w:color="auto"/>
          </w:divBdr>
        </w:div>
        <w:div w:id="1615870028">
          <w:marLeft w:val="0"/>
          <w:marRight w:val="0"/>
          <w:marTop w:val="0"/>
          <w:marBottom w:val="0"/>
          <w:divBdr>
            <w:top w:val="none" w:sz="0" w:space="0" w:color="auto"/>
            <w:left w:val="none" w:sz="0" w:space="0" w:color="auto"/>
            <w:bottom w:val="none" w:sz="0" w:space="0" w:color="auto"/>
            <w:right w:val="none" w:sz="0" w:space="0" w:color="auto"/>
          </w:divBdr>
        </w:div>
        <w:div w:id="1810397513">
          <w:marLeft w:val="0"/>
          <w:marRight w:val="0"/>
          <w:marTop w:val="0"/>
          <w:marBottom w:val="0"/>
          <w:divBdr>
            <w:top w:val="none" w:sz="0" w:space="0" w:color="auto"/>
            <w:left w:val="none" w:sz="0" w:space="0" w:color="auto"/>
            <w:bottom w:val="none" w:sz="0" w:space="0" w:color="auto"/>
            <w:right w:val="none" w:sz="0" w:space="0" w:color="auto"/>
          </w:divBdr>
        </w:div>
      </w:divsChild>
    </w:div>
    <w:div w:id="324824092">
      <w:bodyDiv w:val="1"/>
      <w:marLeft w:val="0"/>
      <w:marRight w:val="0"/>
      <w:marTop w:val="0"/>
      <w:marBottom w:val="0"/>
      <w:divBdr>
        <w:top w:val="none" w:sz="0" w:space="0" w:color="auto"/>
        <w:left w:val="none" w:sz="0" w:space="0" w:color="auto"/>
        <w:bottom w:val="none" w:sz="0" w:space="0" w:color="auto"/>
        <w:right w:val="none" w:sz="0" w:space="0" w:color="auto"/>
      </w:divBdr>
      <w:divsChild>
        <w:div w:id="154690558">
          <w:marLeft w:val="0"/>
          <w:marRight w:val="0"/>
          <w:marTop w:val="0"/>
          <w:marBottom w:val="0"/>
          <w:divBdr>
            <w:top w:val="none" w:sz="0" w:space="0" w:color="auto"/>
            <w:left w:val="none" w:sz="0" w:space="0" w:color="auto"/>
            <w:bottom w:val="none" w:sz="0" w:space="0" w:color="auto"/>
            <w:right w:val="none" w:sz="0" w:space="0" w:color="auto"/>
          </w:divBdr>
        </w:div>
        <w:div w:id="426731601">
          <w:marLeft w:val="0"/>
          <w:marRight w:val="0"/>
          <w:marTop w:val="0"/>
          <w:marBottom w:val="0"/>
          <w:divBdr>
            <w:top w:val="none" w:sz="0" w:space="0" w:color="auto"/>
            <w:left w:val="none" w:sz="0" w:space="0" w:color="auto"/>
            <w:bottom w:val="none" w:sz="0" w:space="0" w:color="auto"/>
            <w:right w:val="none" w:sz="0" w:space="0" w:color="auto"/>
          </w:divBdr>
        </w:div>
        <w:div w:id="844520137">
          <w:marLeft w:val="0"/>
          <w:marRight w:val="0"/>
          <w:marTop w:val="0"/>
          <w:marBottom w:val="0"/>
          <w:divBdr>
            <w:top w:val="none" w:sz="0" w:space="0" w:color="auto"/>
            <w:left w:val="none" w:sz="0" w:space="0" w:color="auto"/>
            <w:bottom w:val="none" w:sz="0" w:space="0" w:color="auto"/>
            <w:right w:val="none" w:sz="0" w:space="0" w:color="auto"/>
          </w:divBdr>
        </w:div>
        <w:div w:id="1884780876">
          <w:marLeft w:val="0"/>
          <w:marRight w:val="0"/>
          <w:marTop w:val="0"/>
          <w:marBottom w:val="0"/>
          <w:divBdr>
            <w:top w:val="none" w:sz="0" w:space="0" w:color="auto"/>
            <w:left w:val="none" w:sz="0" w:space="0" w:color="auto"/>
            <w:bottom w:val="none" w:sz="0" w:space="0" w:color="auto"/>
            <w:right w:val="none" w:sz="0" w:space="0" w:color="auto"/>
          </w:divBdr>
        </w:div>
      </w:divsChild>
    </w:div>
    <w:div w:id="444889259">
      <w:bodyDiv w:val="1"/>
      <w:marLeft w:val="0"/>
      <w:marRight w:val="0"/>
      <w:marTop w:val="0"/>
      <w:marBottom w:val="0"/>
      <w:divBdr>
        <w:top w:val="none" w:sz="0" w:space="0" w:color="auto"/>
        <w:left w:val="none" w:sz="0" w:space="0" w:color="auto"/>
        <w:bottom w:val="none" w:sz="0" w:space="0" w:color="auto"/>
        <w:right w:val="none" w:sz="0" w:space="0" w:color="auto"/>
      </w:divBdr>
    </w:div>
    <w:div w:id="785856607">
      <w:bodyDiv w:val="1"/>
      <w:marLeft w:val="0"/>
      <w:marRight w:val="0"/>
      <w:marTop w:val="0"/>
      <w:marBottom w:val="0"/>
      <w:divBdr>
        <w:top w:val="none" w:sz="0" w:space="0" w:color="auto"/>
        <w:left w:val="none" w:sz="0" w:space="0" w:color="auto"/>
        <w:bottom w:val="none" w:sz="0" w:space="0" w:color="auto"/>
        <w:right w:val="none" w:sz="0" w:space="0" w:color="auto"/>
      </w:divBdr>
      <w:divsChild>
        <w:div w:id="442579947">
          <w:marLeft w:val="0"/>
          <w:marRight w:val="0"/>
          <w:marTop w:val="0"/>
          <w:marBottom w:val="0"/>
          <w:divBdr>
            <w:top w:val="none" w:sz="0" w:space="0" w:color="auto"/>
            <w:left w:val="none" w:sz="0" w:space="0" w:color="auto"/>
            <w:bottom w:val="none" w:sz="0" w:space="0" w:color="auto"/>
            <w:right w:val="none" w:sz="0" w:space="0" w:color="auto"/>
          </w:divBdr>
          <w:divsChild>
            <w:div w:id="91165242">
              <w:marLeft w:val="0"/>
              <w:marRight w:val="0"/>
              <w:marTop w:val="0"/>
              <w:marBottom w:val="0"/>
              <w:divBdr>
                <w:top w:val="none" w:sz="0" w:space="0" w:color="auto"/>
                <w:left w:val="none" w:sz="0" w:space="0" w:color="auto"/>
                <w:bottom w:val="none" w:sz="0" w:space="0" w:color="auto"/>
                <w:right w:val="none" w:sz="0" w:space="0" w:color="auto"/>
              </w:divBdr>
            </w:div>
            <w:div w:id="195394939">
              <w:marLeft w:val="0"/>
              <w:marRight w:val="0"/>
              <w:marTop w:val="0"/>
              <w:marBottom w:val="0"/>
              <w:divBdr>
                <w:top w:val="none" w:sz="0" w:space="0" w:color="auto"/>
                <w:left w:val="none" w:sz="0" w:space="0" w:color="auto"/>
                <w:bottom w:val="none" w:sz="0" w:space="0" w:color="auto"/>
                <w:right w:val="none" w:sz="0" w:space="0" w:color="auto"/>
              </w:divBdr>
            </w:div>
            <w:div w:id="1026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7806">
      <w:bodyDiv w:val="1"/>
      <w:marLeft w:val="0"/>
      <w:marRight w:val="0"/>
      <w:marTop w:val="0"/>
      <w:marBottom w:val="0"/>
      <w:divBdr>
        <w:top w:val="none" w:sz="0" w:space="0" w:color="auto"/>
        <w:left w:val="none" w:sz="0" w:space="0" w:color="auto"/>
        <w:bottom w:val="none" w:sz="0" w:space="0" w:color="auto"/>
        <w:right w:val="none" w:sz="0" w:space="0" w:color="auto"/>
      </w:divBdr>
    </w:div>
    <w:div w:id="1255281834">
      <w:bodyDiv w:val="1"/>
      <w:marLeft w:val="0"/>
      <w:marRight w:val="0"/>
      <w:marTop w:val="0"/>
      <w:marBottom w:val="0"/>
      <w:divBdr>
        <w:top w:val="none" w:sz="0" w:space="0" w:color="auto"/>
        <w:left w:val="none" w:sz="0" w:space="0" w:color="auto"/>
        <w:bottom w:val="none" w:sz="0" w:space="0" w:color="auto"/>
        <w:right w:val="none" w:sz="0" w:space="0" w:color="auto"/>
      </w:divBdr>
    </w:div>
    <w:div w:id="1285766116">
      <w:bodyDiv w:val="1"/>
      <w:marLeft w:val="0"/>
      <w:marRight w:val="0"/>
      <w:marTop w:val="0"/>
      <w:marBottom w:val="0"/>
      <w:divBdr>
        <w:top w:val="none" w:sz="0" w:space="0" w:color="auto"/>
        <w:left w:val="none" w:sz="0" w:space="0" w:color="auto"/>
        <w:bottom w:val="none" w:sz="0" w:space="0" w:color="auto"/>
        <w:right w:val="none" w:sz="0" w:space="0" w:color="auto"/>
      </w:divBdr>
    </w:div>
    <w:div w:id="1444114646">
      <w:bodyDiv w:val="1"/>
      <w:marLeft w:val="0"/>
      <w:marRight w:val="0"/>
      <w:marTop w:val="0"/>
      <w:marBottom w:val="0"/>
      <w:divBdr>
        <w:top w:val="none" w:sz="0" w:space="0" w:color="auto"/>
        <w:left w:val="none" w:sz="0" w:space="0" w:color="auto"/>
        <w:bottom w:val="none" w:sz="0" w:space="0" w:color="auto"/>
        <w:right w:val="none" w:sz="0" w:space="0" w:color="auto"/>
      </w:divBdr>
    </w:div>
    <w:div w:id="1535272076">
      <w:bodyDiv w:val="1"/>
      <w:marLeft w:val="0"/>
      <w:marRight w:val="0"/>
      <w:marTop w:val="0"/>
      <w:marBottom w:val="0"/>
      <w:divBdr>
        <w:top w:val="none" w:sz="0" w:space="0" w:color="auto"/>
        <w:left w:val="none" w:sz="0" w:space="0" w:color="auto"/>
        <w:bottom w:val="none" w:sz="0" w:space="0" w:color="auto"/>
        <w:right w:val="none" w:sz="0" w:space="0" w:color="auto"/>
      </w:divBdr>
    </w:div>
    <w:div w:id="1587955146">
      <w:bodyDiv w:val="1"/>
      <w:marLeft w:val="0"/>
      <w:marRight w:val="0"/>
      <w:marTop w:val="0"/>
      <w:marBottom w:val="0"/>
      <w:divBdr>
        <w:top w:val="none" w:sz="0" w:space="0" w:color="auto"/>
        <w:left w:val="none" w:sz="0" w:space="0" w:color="auto"/>
        <w:bottom w:val="none" w:sz="0" w:space="0" w:color="auto"/>
        <w:right w:val="none" w:sz="0" w:space="0" w:color="auto"/>
      </w:divBdr>
    </w:div>
    <w:div w:id="1698383391">
      <w:bodyDiv w:val="1"/>
      <w:marLeft w:val="0"/>
      <w:marRight w:val="0"/>
      <w:marTop w:val="0"/>
      <w:marBottom w:val="0"/>
      <w:divBdr>
        <w:top w:val="none" w:sz="0" w:space="0" w:color="auto"/>
        <w:left w:val="none" w:sz="0" w:space="0" w:color="auto"/>
        <w:bottom w:val="none" w:sz="0" w:space="0" w:color="auto"/>
        <w:right w:val="none" w:sz="0" w:space="0" w:color="auto"/>
      </w:divBdr>
    </w:div>
    <w:div w:id="1990211649">
      <w:bodyDiv w:val="1"/>
      <w:marLeft w:val="0"/>
      <w:marRight w:val="0"/>
      <w:marTop w:val="0"/>
      <w:marBottom w:val="0"/>
      <w:divBdr>
        <w:top w:val="none" w:sz="0" w:space="0" w:color="auto"/>
        <w:left w:val="none" w:sz="0" w:space="0" w:color="auto"/>
        <w:bottom w:val="none" w:sz="0" w:space="0" w:color="auto"/>
        <w:right w:val="none" w:sz="0" w:space="0" w:color="auto"/>
      </w:divBdr>
    </w:div>
    <w:div w:id="1990935695">
      <w:bodyDiv w:val="1"/>
      <w:marLeft w:val="0"/>
      <w:marRight w:val="0"/>
      <w:marTop w:val="0"/>
      <w:marBottom w:val="0"/>
      <w:divBdr>
        <w:top w:val="none" w:sz="0" w:space="0" w:color="auto"/>
        <w:left w:val="none" w:sz="0" w:space="0" w:color="auto"/>
        <w:bottom w:val="none" w:sz="0" w:space="0" w:color="auto"/>
        <w:right w:val="none" w:sz="0" w:space="0" w:color="auto"/>
      </w:divBdr>
      <w:divsChild>
        <w:div w:id="408233329">
          <w:marLeft w:val="0"/>
          <w:marRight w:val="0"/>
          <w:marTop w:val="0"/>
          <w:marBottom w:val="0"/>
          <w:divBdr>
            <w:top w:val="none" w:sz="0" w:space="0" w:color="auto"/>
            <w:left w:val="none" w:sz="0" w:space="0" w:color="auto"/>
            <w:bottom w:val="none" w:sz="0" w:space="0" w:color="auto"/>
            <w:right w:val="none" w:sz="0" w:space="0" w:color="auto"/>
          </w:divBdr>
        </w:div>
        <w:div w:id="476192520">
          <w:marLeft w:val="0"/>
          <w:marRight w:val="0"/>
          <w:marTop w:val="0"/>
          <w:marBottom w:val="0"/>
          <w:divBdr>
            <w:top w:val="none" w:sz="0" w:space="0" w:color="auto"/>
            <w:left w:val="none" w:sz="0" w:space="0" w:color="auto"/>
            <w:bottom w:val="none" w:sz="0" w:space="0" w:color="auto"/>
            <w:right w:val="none" w:sz="0" w:space="0" w:color="auto"/>
          </w:divBdr>
        </w:div>
        <w:div w:id="503517409">
          <w:marLeft w:val="0"/>
          <w:marRight w:val="0"/>
          <w:marTop w:val="0"/>
          <w:marBottom w:val="0"/>
          <w:divBdr>
            <w:top w:val="none" w:sz="0" w:space="0" w:color="auto"/>
            <w:left w:val="none" w:sz="0" w:space="0" w:color="auto"/>
            <w:bottom w:val="none" w:sz="0" w:space="0" w:color="auto"/>
            <w:right w:val="none" w:sz="0" w:space="0" w:color="auto"/>
          </w:divBdr>
        </w:div>
        <w:div w:id="521863285">
          <w:marLeft w:val="0"/>
          <w:marRight w:val="0"/>
          <w:marTop w:val="0"/>
          <w:marBottom w:val="0"/>
          <w:divBdr>
            <w:top w:val="none" w:sz="0" w:space="0" w:color="auto"/>
            <w:left w:val="none" w:sz="0" w:space="0" w:color="auto"/>
            <w:bottom w:val="none" w:sz="0" w:space="0" w:color="auto"/>
            <w:right w:val="none" w:sz="0" w:space="0" w:color="auto"/>
          </w:divBdr>
        </w:div>
        <w:div w:id="828324599">
          <w:marLeft w:val="0"/>
          <w:marRight w:val="0"/>
          <w:marTop w:val="0"/>
          <w:marBottom w:val="0"/>
          <w:divBdr>
            <w:top w:val="none" w:sz="0" w:space="0" w:color="auto"/>
            <w:left w:val="none" w:sz="0" w:space="0" w:color="auto"/>
            <w:bottom w:val="none" w:sz="0" w:space="0" w:color="auto"/>
            <w:right w:val="none" w:sz="0" w:space="0" w:color="auto"/>
          </w:divBdr>
        </w:div>
        <w:div w:id="201268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AF3C-AA96-4833-A512-5681041B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E_F.dotm</Template>
  <TotalTime>2</TotalTime>
  <Pages>10</Pages>
  <Words>4855</Words>
  <Characters>26551</Characters>
  <Application>Microsoft Office Word</Application>
  <DocSecurity>0</DocSecurity>
  <Lines>432</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E/C.12/TUN/CO/3</vt:lpstr>
      <vt:lpstr>E/C.12/TUN/CO/R.3</vt:lpstr>
    </vt:vector>
  </TitlesOfParts>
  <Company>Corinne</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E/C.12/TUN/CO/3</dc:title>
  <dc:subject>QR codes</dc:subject>
  <dc:creator>Moret-Var</dc:creator>
  <cp:keywords/>
  <dc:description/>
  <cp:lastModifiedBy>Moret</cp:lastModifiedBy>
  <cp:revision>3</cp:revision>
  <cp:lastPrinted>2016-11-14T12:16:00Z</cp:lastPrinted>
  <dcterms:created xsi:type="dcterms:W3CDTF">2016-11-14T12:16:00Z</dcterms:created>
  <dcterms:modified xsi:type="dcterms:W3CDTF">2016-11-14T12:18:00Z</dcterms:modified>
</cp:coreProperties>
</file>