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4963"/>
        <w:gridCol w:w="3402"/>
      </w:tblGrid>
      <w:tr w:rsidR="006B3E27" w:rsidRPr="00ED7442" w:rsidTr="004C2374">
        <w:trPr>
          <w:trHeight w:hRule="exact" w:val="851"/>
        </w:trPr>
        <w:tc>
          <w:tcPr>
            <w:tcW w:w="1274" w:type="dxa"/>
            <w:tcBorders>
              <w:bottom w:val="single" w:sz="4" w:space="0" w:color="auto"/>
            </w:tcBorders>
            <w:shd w:val="clear" w:color="auto" w:fill="auto"/>
          </w:tcPr>
          <w:p w:rsidR="006B3E27" w:rsidRPr="004C2374" w:rsidRDefault="006B3E27" w:rsidP="004C2374">
            <w:pPr>
              <w:bidi w:val="0"/>
              <w:jc w:val="right"/>
              <w:rPr>
                <w:szCs w:val="20"/>
              </w:rPr>
            </w:pPr>
          </w:p>
        </w:tc>
        <w:tc>
          <w:tcPr>
            <w:tcW w:w="4963" w:type="dxa"/>
            <w:tcBorders>
              <w:bottom w:val="single" w:sz="4" w:space="0" w:color="auto"/>
            </w:tcBorders>
            <w:shd w:val="clear" w:color="auto" w:fill="auto"/>
            <w:vAlign w:val="bottom"/>
          </w:tcPr>
          <w:p w:rsidR="006B3E27" w:rsidRPr="004C2374" w:rsidRDefault="006B3E27" w:rsidP="004C2374">
            <w:pPr>
              <w:spacing w:after="80" w:line="480" w:lineRule="exact"/>
              <w:jc w:val="left"/>
              <w:rPr>
                <w:sz w:val="40"/>
                <w:szCs w:val="40"/>
                <w:rtl/>
              </w:rPr>
            </w:pPr>
            <w:r w:rsidRPr="004C2374">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4C2374" w:rsidRDefault="000B01A4" w:rsidP="000B01A4">
            <w:pPr>
              <w:bidi w:val="0"/>
              <w:spacing w:after="20"/>
              <w:jc w:val="left"/>
              <w:rPr>
                <w:szCs w:val="20"/>
              </w:rPr>
            </w:pPr>
            <w:r w:rsidRPr="000B01A4">
              <w:rPr>
                <w:sz w:val="40"/>
                <w:szCs w:val="20"/>
              </w:rPr>
              <w:t>E</w:t>
            </w:r>
            <w:r>
              <w:rPr>
                <w:szCs w:val="20"/>
              </w:rPr>
              <w:t>/C.12/ROU/CO/3-5</w:t>
            </w:r>
          </w:p>
        </w:tc>
      </w:tr>
      <w:tr w:rsidR="006B3E27" w:rsidRPr="00ED7442" w:rsidTr="004C2374">
        <w:trPr>
          <w:trHeight w:hRule="exact" w:val="2835"/>
        </w:trPr>
        <w:tc>
          <w:tcPr>
            <w:tcW w:w="1274" w:type="dxa"/>
            <w:tcBorders>
              <w:top w:val="single" w:sz="4" w:space="0" w:color="auto"/>
              <w:bottom w:val="single" w:sz="12" w:space="0" w:color="auto"/>
            </w:tcBorders>
            <w:shd w:val="clear" w:color="auto" w:fill="auto"/>
          </w:tcPr>
          <w:p w:rsidR="006B3E27" w:rsidRPr="004C2374" w:rsidRDefault="004C2374" w:rsidP="004C2374">
            <w:pPr>
              <w:jc w:val="center"/>
              <w:rPr>
                <w:sz w:val="56"/>
                <w:szCs w:val="56"/>
                <w:rtl/>
              </w:rPr>
            </w:pPr>
            <w:r w:rsidRPr="004C2374">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963" w:type="dxa"/>
            <w:tcBorders>
              <w:top w:val="single" w:sz="4" w:space="0" w:color="auto"/>
              <w:bottom w:val="single" w:sz="12" w:space="0" w:color="auto"/>
            </w:tcBorders>
            <w:shd w:val="clear" w:color="auto" w:fill="auto"/>
          </w:tcPr>
          <w:p w:rsidR="006B3E27" w:rsidRPr="004C2374" w:rsidRDefault="00606EDF" w:rsidP="004C2374">
            <w:pPr>
              <w:spacing w:before="120" w:after="40" w:line="640" w:lineRule="exact"/>
              <w:jc w:val="left"/>
              <w:rPr>
                <w:b/>
                <w:bCs/>
                <w:sz w:val="56"/>
                <w:szCs w:val="56"/>
              </w:rPr>
            </w:pPr>
            <w:r w:rsidRPr="004C2374">
              <w:rPr>
                <w:rFonts w:hint="cs"/>
                <w:b/>
                <w:bCs/>
                <w:sz w:val="56"/>
                <w:szCs w:val="56"/>
                <w:rtl/>
              </w:rPr>
              <w:t>ا</w:t>
            </w:r>
            <w:r w:rsidR="008930DB" w:rsidRPr="004C2374">
              <w:rPr>
                <w:rFonts w:hint="cs"/>
                <w:b/>
                <w:bCs/>
                <w:sz w:val="56"/>
                <w:szCs w:val="56"/>
                <w:rtl/>
              </w:rPr>
              <w:t>لمجلس الاقتصادي والاجتماعي</w:t>
            </w:r>
          </w:p>
        </w:tc>
        <w:tc>
          <w:tcPr>
            <w:tcW w:w="3402" w:type="dxa"/>
            <w:tcBorders>
              <w:top w:val="single" w:sz="4" w:space="0" w:color="auto"/>
              <w:bottom w:val="single" w:sz="12" w:space="0" w:color="auto"/>
            </w:tcBorders>
            <w:shd w:val="clear" w:color="auto" w:fill="auto"/>
          </w:tcPr>
          <w:p w:rsidR="006B3E27" w:rsidRDefault="000B01A4" w:rsidP="000B01A4">
            <w:pPr>
              <w:bidi w:val="0"/>
              <w:spacing w:before="240"/>
              <w:jc w:val="left"/>
              <w:rPr>
                <w:szCs w:val="20"/>
              </w:rPr>
            </w:pPr>
            <w:r>
              <w:rPr>
                <w:szCs w:val="20"/>
              </w:rPr>
              <w:t>Distr.: General</w:t>
            </w:r>
          </w:p>
          <w:p w:rsidR="000B01A4" w:rsidRDefault="000B01A4" w:rsidP="000B01A4">
            <w:pPr>
              <w:bidi w:val="0"/>
              <w:jc w:val="left"/>
              <w:rPr>
                <w:szCs w:val="20"/>
              </w:rPr>
            </w:pPr>
            <w:r>
              <w:rPr>
                <w:szCs w:val="20"/>
              </w:rPr>
              <w:t>9 December 2014</w:t>
            </w:r>
          </w:p>
          <w:p w:rsidR="000B01A4" w:rsidRDefault="000B01A4" w:rsidP="000B01A4">
            <w:pPr>
              <w:bidi w:val="0"/>
              <w:jc w:val="left"/>
              <w:rPr>
                <w:szCs w:val="20"/>
              </w:rPr>
            </w:pPr>
            <w:r>
              <w:rPr>
                <w:szCs w:val="20"/>
              </w:rPr>
              <w:t>Arabic</w:t>
            </w:r>
          </w:p>
          <w:p w:rsidR="000B01A4" w:rsidRPr="004C2374" w:rsidRDefault="000B01A4" w:rsidP="000B01A4">
            <w:pPr>
              <w:bidi w:val="0"/>
              <w:jc w:val="left"/>
              <w:rPr>
                <w:szCs w:val="20"/>
              </w:rPr>
            </w:pPr>
            <w:r>
              <w:rPr>
                <w:szCs w:val="20"/>
              </w:rPr>
              <w:t>Original: English</w:t>
            </w:r>
          </w:p>
        </w:tc>
      </w:tr>
    </w:tbl>
    <w:p w:rsidR="000B01A4" w:rsidRPr="00323B8B" w:rsidRDefault="000B01A4" w:rsidP="00323B8B">
      <w:pPr>
        <w:spacing w:before="120" w:after="240" w:line="380" w:lineRule="exact"/>
        <w:rPr>
          <w:rFonts w:hint="cs"/>
          <w:b/>
          <w:bCs/>
          <w:sz w:val="36"/>
          <w:szCs w:val="36"/>
          <w:rtl/>
          <w:lang w:val="fr-CH"/>
        </w:rPr>
      </w:pPr>
      <w:r w:rsidRPr="00323B8B">
        <w:rPr>
          <w:rFonts w:hint="cs"/>
          <w:b/>
          <w:bCs/>
          <w:sz w:val="36"/>
          <w:szCs w:val="36"/>
          <w:rtl/>
          <w:lang w:val="fr-CH"/>
        </w:rPr>
        <w:t>اللجنة المعنية بالحقوق الاقتصادية</w:t>
      </w:r>
      <w:r w:rsidR="00450087">
        <w:rPr>
          <w:rFonts w:hint="cs"/>
          <w:b/>
          <w:bCs/>
          <w:sz w:val="36"/>
          <w:szCs w:val="36"/>
          <w:rtl/>
          <w:lang w:val="fr-CH"/>
        </w:rPr>
        <w:t>،</w:t>
      </w:r>
      <w:r w:rsidRPr="00323B8B">
        <w:rPr>
          <w:rFonts w:hint="cs"/>
          <w:b/>
          <w:bCs/>
          <w:sz w:val="36"/>
          <w:szCs w:val="36"/>
          <w:rtl/>
          <w:lang w:val="fr-CH"/>
        </w:rPr>
        <w:t xml:space="preserve"> والاجتماعية والثقافية</w:t>
      </w:r>
    </w:p>
    <w:p w:rsidR="000B01A4" w:rsidRPr="00E86138" w:rsidRDefault="000B01A4" w:rsidP="000B01A4">
      <w:pPr>
        <w:pStyle w:val="HChGA"/>
        <w:rPr>
          <w:rFonts w:hint="cs"/>
          <w:rtl/>
          <w:lang w:val="fr-CH"/>
        </w:rPr>
      </w:pPr>
      <w:r w:rsidRPr="00E86138">
        <w:rPr>
          <w:rFonts w:hint="cs"/>
          <w:rtl/>
          <w:lang w:val="fr-CH"/>
        </w:rPr>
        <w:tab/>
      </w:r>
      <w:r w:rsidRPr="00E86138">
        <w:rPr>
          <w:rFonts w:hint="cs"/>
          <w:rtl/>
          <w:lang w:val="fr-CH"/>
        </w:rPr>
        <w:tab/>
        <w:t>الملاحظات الختامية بشأن التقرير الجامع للتقارير الدورية من الثالث إلى الخامس لرومانيا</w:t>
      </w:r>
      <w:r w:rsidRPr="000B01A4">
        <w:rPr>
          <w:rStyle w:val="FootnoteReference"/>
          <w:bCs w:val="0"/>
          <w:sz w:val="20"/>
          <w:vertAlign w:val="baseline"/>
          <w:rtl/>
          <w:lang w:val="fr-CH"/>
        </w:rPr>
        <w:footnoteReference w:customMarkFollows="1" w:id="1"/>
        <w:t>*</w:t>
      </w:r>
    </w:p>
    <w:p w:rsidR="000B01A4" w:rsidRPr="000B01A4" w:rsidRDefault="000B01A4" w:rsidP="00450087">
      <w:pPr>
        <w:pStyle w:val="SingleTxtGA"/>
        <w:rPr>
          <w:rFonts w:hint="cs"/>
          <w:sz w:val="18"/>
          <w:rtl/>
        </w:rPr>
      </w:pPr>
      <w:r w:rsidRPr="000B01A4">
        <w:rPr>
          <w:rFonts w:hint="cs"/>
          <w:sz w:val="18"/>
          <w:rtl/>
          <w:lang w:val="fr-CH"/>
        </w:rPr>
        <w:t>1-</w:t>
      </w:r>
      <w:r w:rsidRPr="000B01A4">
        <w:rPr>
          <w:rFonts w:hint="cs"/>
          <w:sz w:val="18"/>
          <w:rtl/>
          <w:lang w:val="fr-CH"/>
        </w:rPr>
        <w:tab/>
        <w:t xml:space="preserve">نظرت اللجنة المعنية بالحقوق الاقتصادية والاجتماعية والثقافية في التقرير الجامع </w:t>
      </w:r>
      <w:r w:rsidRPr="00AD61A2">
        <w:rPr>
          <w:rFonts w:hint="cs"/>
          <w:spacing w:val="-4"/>
          <w:sz w:val="18"/>
          <w:rtl/>
          <w:lang w:val="fr-CH"/>
        </w:rPr>
        <w:t>للتقارير الدورية من الثالث إلى الخامس لرومانيا بشأن تنفيذ العهد الدولي الخاص بالحقوق الاقتصادية والاجتماعية والثقافية (</w:t>
      </w:r>
      <w:r w:rsidRPr="00AD61A2">
        <w:rPr>
          <w:spacing w:val="-4"/>
          <w:sz w:val="18"/>
        </w:rPr>
        <w:t>E/C.12/</w:t>
      </w:r>
      <w:smartTag w:uri="urn:schemas-microsoft-com:office:smarttags" w:element="stockticker">
        <w:r w:rsidRPr="00AD61A2">
          <w:rPr>
            <w:spacing w:val="-4"/>
            <w:sz w:val="18"/>
          </w:rPr>
          <w:t>ROU</w:t>
        </w:r>
      </w:smartTag>
      <w:r w:rsidRPr="00AD61A2">
        <w:rPr>
          <w:spacing w:val="-4"/>
          <w:sz w:val="18"/>
        </w:rPr>
        <w:t>/3-5</w:t>
      </w:r>
      <w:r w:rsidRPr="00AD61A2">
        <w:rPr>
          <w:rFonts w:hint="cs"/>
          <w:spacing w:val="-4"/>
          <w:sz w:val="18"/>
          <w:rtl/>
        </w:rPr>
        <w:t xml:space="preserve">) في جلستيها 58 و59 </w:t>
      </w:r>
      <w:r w:rsidRPr="00AD61A2">
        <w:rPr>
          <w:rFonts w:hint="cs"/>
          <w:spacing w:val="-4"/>
          <w:sz w:val="18"/>
          <w:rtl/>
          <w:lang w:val="fr-CH"/>
        </w:rPr>
        <w:t>(</w:t>
      </w:r>
      <w:r w:rsidRPr="00AD61A2">
        <w:rPr>
          <w:spacing w:val="-4"/>
          <w:sz w:val="18"/>
        </w:rPr>
        <w:t>E/C.12/2014/SR.58</w:t>
      </w:r>
      <w:r w:rsidRPr="00AD61A2">
        <w:rPr>
          <w:rFonts w:hint="cs"/>
          <w:spacing w:val="-4"/>
          <w:sz w:val="18"/>
          <w:rtl/>
        </w:rPr>
        <w:t xml:space="preserve"> و</w:t>
      </w:r>
      <w:r w:rsidRPr="00AD61A2">
        <w:rPr>
          <w:spacing w:val="-4"/>
          <w:sz w:val="18"/>
        </w:rPr>
        <w:t>59</w:t>
      </w:r>
      <w:r w:rsidRPr="00AD61A2">
        <w:rPr>
          <w:rFonts w:hint="cs"/>
          <w:spacing w:val="-4"/>
          <w:sz w:val="18"/>
          <w:rtl/>
        </w:rPr>
        <w:t>). المعقودتين في</w:t>
      </w:r>
      <w:r w:rsidRPr="00AD61A2">
        <w:rPr>
          <w:rFonts w:hint="eastAsia"/>
          <w:spacing w:val="-4"/>
          <w:sz w:val="18"/>
          <w:rtl/>
        </w:rPr>
        <w:t> </w:t>
      </w:r>
      <w:r w:rsidRPr="00AD61A2">
        <w:rPr>
          <w:rFonts w:hint="cs"/>
          <w:spacing w:val="-4"/>
          <w:sz w:val="18"/>
          <w:rtl/>
        </w:rPr>
        <w:t>20 و21 تشرين الثاني/نوفمبر 2014. واعتمدت</w:t>
      </w:r>
      <w:r w:rsidRPr="000B01A4">
        <w:rPr>
          <w:rFonts w:hint="cs"/>
          <w:sz w:val="18"/>
          <w:rtl/>
        </w:rPr>
        <w:t xml:space="preserve"> في جلستها 70</w:t>
      </w:r>
      <w:r>
        <w:rPr>
          <w:rFonts w:hint="cs"/>
          <w:sz w:val="18"/>
          <w:rtl/>
        </w:rPr>
        <w:t xml:space="preserve"> </w:t>
      </w:r>
      <w:r w:rsidRPr="000B01A4">
        <w:rPr>
          <w:rFonts w:hint="cs"/>
          <w:sz w:val="18"/>
          <w:rtl/>
        </w:rPr>
        <w:t>(</w:t>
      </w:r>
      <w:r w:rsidRPr="000B01A4">
        <w:rPr>
          <w:sz w:val="18"/>
        </w:rPr>
        <w:t>E/C.12/2014/SR.70</w:t>
      </w:r>
      <w:r w:rsidRPr="000B01A4">
        <w:rPr>
          <w:rFonts w:hint="cs"/>
          <w:sz w:val="18"/>
          <w:rtl/>
        </w:rPr>
        <w:t xml:space="preserve">) المعقودة في 28 تشرين الثاني/نوفمبر </w:t>
      </w:r>
      <w:r>
        <w:rPr>
          <w:rFonts w:hint="cs"/>
          <w:sz w:val="18"/>
          <w:rtl/>
        </w:rPr>
        <w:t>2014</w:t>
      </w:r>
      <w:r w:rsidRPr="000B01A4">
        <w:rPr>
          <w:rFonts w:hint="cs"/>
          <w:sz w:val="18"/>
          <w:rtl/>
        </w:rPr>
        <w:t>، الملاحظات الختامية التالية.</w:t>
      </w:r>
    </w:p>
    <w:p w:rsidR="000B01A4" w:rsidRPr="000B01A4" w:rsidRDefault="000B01A4" w:rsidP="000B01A4">
      <w:pPr>
        <w:pStyle w:val="H1GA"/>
        <w:rPr>
          <w:rFonts w:hint="cs"/>
          <w:sz w:val="18"/>
          <w:rtl/>
        </w:rPr>
      </w:pPr>
      <w:r w:rsidRPr="000B01A4">
        <w:rPr>
          <w:rFonts w:hint="cs"/>
          <w:sz w:val="18"/>
          <w:rtl/>
        </w:rPr>
        <w:tab/>
        <w:t>ألف-</w:t>
      </w:r>
      <w:r w:rsidRPr="000B01A4">
        <w:rPr>
          <w:rFonts w:hint="cs"/>
          <w:sz w:val="18"/>
          <w:rtl/>
        </w:rPr>
        <w:tab/>
        <w:t>مقدمة</w:t>
      </w:r>
    </w:p>
    <w:p w:rsidR="000B01A4" w:rsidRPr="000B01A4" w:rsidRDefault="000B01A4" w:rsidP="00112863">
      <w:pPr>
        <w:pStyle w:val="SingleTxtGA"/>
        <w:rPr>
          <w:rFonts w:hint="cs"/>
          <w:spacing w:val="-4"/>
          <w:sz w:val="18"/>
          <w:rtl/>
        </w:rPr>
      </w:pPr>
      <w:r w:rsidRPr="000B01A4">
        <w:rPr>
          <w:rFonts w:hint="cs"/>
          <w:spacing w:val="-4"/>
          <w:sz w:val="18"/>
          <w:rtl/>
        </w:rPr>
        <w:t>2-</w:t>
      </w:r>
      <w:r w:rsidRPr="000B01A4">
        <w:rPr>
          <w:rFonts w:hint="cs"/>
          <w:spacing w:val="-4"/>
          <w:sz w:val="18"/>
          <w:rtl/>
        </w:rPr>
        <w:tab/>
      </w:r>
      <w:r>
        <w:rPr>
          <w:spacing w:val="-4"/>
          <w:sz w:val="18"/>
          <w:rtl/>
        </w:rPr>
        <w:t>ترحب اللجنة بتقديم رومانيا</w:t>
      </w:r>
      <w:r>
        <w:rPr>
          <w:rFonts w:hint="cs"/>
          <w:spacing w:val="-4"/>
          <w:sz w:val="18"/>
          <w:rtl/>
        </w:rPr>
        <w:t xml:space="preserve"> </w:t>
      </w:r>
      <w:r w:rsidRPr="000B01A4">
        <w:rPr>
          <w:spacing w:val="-4"/>
          <w:sz w:val="18"/>
          <w:rtl/>
        </w:rPr>
        <w:t>ل</w:t>
      </w:r>
      <w:r>
        <w:rPr>
          <w:rFonts w:hint="cs"/>
          <w:spacing w:val="-4"/>
          <w:sz w:val="18"/>
          <w:rtl/>
        </w:rPr>
        <w:t>ل</w:t>
      </w:r>
      <w:r w:rsidRPr="000B01A4">
        <w:rPr>
          <w:spacing w:val="-4"/>
          <w:sz w:val="18"/>
          <w:rtl/>
        </w:rPr>
        <w:t>تقرير الجامع لتقاريرها الدورية من الثالث إلى الخامس</w:t>
      </w:r>
      <w:r>
        <w:rPr>
          <w:rFonts w:hint="cs"/>
          <w:spacing w:val="-4"/>
          <w:sz w:val="18"/>
          <w:rtl/>
        </w:rPr>
        <w:t xml:space="preserve">، وإن كان متأخراً، </w:t>
      </w:r>
      <w:r w:rsidRPr="000B01A4">
        <w:rPr>
          <w:spacing w:val="-4"/>
          <w:sz w:val="18"/>
          <w:rtl/>
        </w:rPr>
        <w:t xml:space="preserve">وبالردود الخطية على قائمة </w:t>
      </w:r>
      <w:r>
        <w:rPr>
          <w:rFonts w:hint="cs"/>
          <w:spacing w:val="-4"/>
          <w:sz w:val="18"/>
          <w:rtl/>
        </w:rPr>
        <w:t xml:space="preserve">القضايا </w:t>
      </w:r>
      <w:r w:rsidRPr="000B01A4">
        <w:rPr>
          <w:spacing w:val="-4"/>
          <w:sz w:val="18"/>
          <w:rtl/>
        </w:rPr>
        <w:t>(</w:t>
      </w:r>
      <w:r w:rsidRPr="000B01A4">
        <w:rPr>
          <w:spacing w:val="-4"/>
          <w:sz w:val="18"/>
        </w:rPr>
        <w:t>E/C.12/</w:t>
      </w:r>
      <w:smartTag w:uri="urn:schemas-microsoft-com:office:smarttags" w:element="stockticker">
        <w:r w:rsidRPr="000B01A4">
          <w:rPr>
            <w:spacing w:val="-4"/>
            <w:sz w:val="18"/>
          </w:rPr>
          <w:t>ROU</w:t>
        </w:r>
      </w:smartTag>
      <w:r w:rsidRPr="000B01A4">
        <w:rPr>
          <w:spacing w:val="-4"/>
          <w:sz w:val="18"/>
        </w:rPr>
        <w:t>/Q/3-5/Add.1</w:t>
      </w:r>
      <w:r w:rsidRPr="000B01A4">
        <w:rPr>
          <w:spacing w:val="-4"/>
          <w:sz w:val="18"/>
          <w:rtl/>
        </w:rPr>
        <w:t xml:space="preserve">) وبالبيانات الإحصائية الواردة فيها. غير أن الردود الخطية لم تشمل المواد من 11 إلى 15 من العهد. كما ترحب اللجنة بالفرصة </w:t>
      </w:r>
      <w:r w:rsidR="00112863">
        <w:rPr>
          <w:rFonts w:hint="cs"/>
          <w:spacing w:val="-4"/>
          <w:sz w:val="18"/>
          <w:rtl/>
        </w:rPr>
        <w:t xml:space="preserve">التي أتيحت </w:t>
      </w:r>
      <w:r w:rsidRPr="000B01A4">
        <w:rPr>
          <w:spacing w:val="-4"/>
          <w:sz w:val="18"/>
          <w:rtl/>
        </w:rPr>
        <w:t>لها للعمل مع وفد الدولة الطرف وتعرب عن تقديرها للحوار الصريح والبنّاء والمعلومات المقدمة خطياً أثناء الحوار وبعده. غير أنها تأسف لعدم وجود ممثلين للدولة من العاصمة في الوفد.</w:t>
      </w:r>
    </w:p>
    <w:p w:rsidR="000B01A4" w:rsidRPr="000B01A4" w:rsidRDefault="000B01A4" w:rsidP="000B01A4">
      <w:pPr>
        <w:pStyle w:val="H1GA"/>
        <w:rPr>
          <w:rFonts w:hint="cs"/>
          <w:sz w:val="18"/>
          <w:rtl/>
        </w:rPr>
      </w:pPr>
      <w:r w:rsidRPr="000B01A4">
        <w:rPr>
          <w:rFonts w:hint="cs"/>
          <w:sz w:val="18"/>
          <w:rtl/>
        </w:rPr>
        <w:tab/>
        <w:t>باء-</w:t>
      </w:r>
      <w:r w:rsidRPr="000B01A4">
        <w:rPr>
          <w:rFonts w:hint="cs"/>
          <w:sz w:val="18"/>
          <w:rtl/>
        </w:rPr>
        <w:tab/>
        <w:t>الجوانب الإيجابية</w:t>
      </w:r>
    </w:p>
    <w:p w:rsidR="000B01A4" w:rsidRPr="000B01A4" w:rsidRDefault="000B01A4" w:rsidP="000B01A4">
      <w:pPr>
        <w:pStyle w:val="SingleTxtGA"/>
        <w:rPr>
          <w:rFonts w:hint="cs"/>
          <w:sz w:val="18"/>
          <w:rtl/>
        </w:rPr>
      </w:pPr>
      <w:r w:rsidRPr="000B01A4">
        <w:rPr>
          <w:rFonts w:hint="cs"/>
          <w:sz w:val="18"/>
          <w:rtl/>
        </w:rPr>
        <w:t>3-</w:t>
      </w:r>
      <w:r w:rsidRPr="000B01A4">
        <w:rPr>
          <w:rFonts w:hint="cs"/>
          <w:sz w:val="18"/>
          <w:rtl/>
        </w:rPr>
        <w:tab/>
        <w:t>ترحب اللجنة بتصديق الدولة الطرف على صكوك حقوق الإنسان التالية منذ الحوار الأخير الذي أُجري في عام 1994:</w:t>
      </w:r>
    </w:p>
    <w:p w:rsidR="000B01A4" w:rsidRPr="000B01A4" w:rsidRDefault="000B01A4" w:rsidP="000B01A4">
      <w:pPr>
        <w:pStyle w:val="SingleTxtGA"/>
        <w:rPr>
          <w:rFonts w:hint="cs"/>
          <w:sz w:val="18"/>
          <w:rtl/>
        </w:rPr>
      </w:pPr>
      <w:r w:rsidRPr="000B01A4">
        <w:rPr>
          <w:rFonts w:hint="cs"/>
          <w:sz w:val="18"/>
          <w:rtl/>
        </w:rPr>
        <w:tab/>
        <w:t>(أ)</w:t>
      </w:r>
      <w:r w:rsidRPr="000B01A4">
        <w:rPr>
          <w:rFonts w:hint="cs"/>
          <w:sz w:val="18"/>
          <w:rtl/>
        </w:rPr>
        <w:tab/>
        <w:t>اتفاقية حقوق الأشخاص ذوي الإعاقة، في كانون الثاني/يناير 2011؛</w:t>
      </w:r>
    </w:p>
    <w:p w:rsidR="000B01A4" w:rsidRPr="000B01A4" w:rsidRDefault="000B01A4" w:rsidP="000B01A4">
      <w:pPr>
        <w:pStyle w:val="SingleTxtGA"/>
        <w:rPr>
          <w:sz w:val="18"/>
          <w:rtl/>
        </w:rPr>
      </w:pPr>
      <w:r w:rsidRPr="000B01A4">
        <w:rPr>
          <w:rFonts w:hint="cs"/>
          <w:sz w:val="18"/>
          <w:rtl/>
        </w:rPr>
        <w:tab/>
        <w:t>(ب)</w:t>
      </w:r>
      <w:r w:rsidRPr="000B01A4">
        <w:rPr>
          <w:rFonts w:hint="cs"/>
          <w:sz w:val="18"/>
          <w:rtl/>
        </w:rPr>
        <w:tab/>
      </w:r>
      <w:r w:rsidRPr="000B01A4">
        <w:rPr>
          <w:sz w:val="18"/>
          <w:rtl/>
        </w:rPr>
        <w:t>البروتوكول الاختياري لاتفاقية مناهضة التعذيب وغيره من ضروب المعاملة أو العقوبة القاسية أو اللاإنسانية أو المهينة، في تموز/يوليه 2009؛</w:t>
      </w:r>
    </w:p>
    <w:p w:rsidR="000B01A4" w:rsidRPr="000B01A4" w:rsidRDefault="000B01A4" w:rsidP="000B01A4">
      <w:pPr>
        <w:pStyle w:val="SingleTxtGA"/>
        <w:rPr>
          <w:sz w:val="18"/>
          <w:rtl/>
        </w:rPr>
      </w:pPr>
      <w:r w:rsidRPr="000B01A4">
        <w:rPr>
          <w:sz w:val="18"/>
          <w:rtl/>
        </w:rPr>
        <w:tab/>
        <w:t>(ج)</w:t>
      </w:r>
      <w:r w:rsidRPr="000B01A4">
        <w:rPr>
          <w:sz w:val="18"/>
          <w:rtl/>
        </w:rPr>
        <w:tab/>
        <w:t>البروتوكول الاختياري لاتفاقية القضاء على جميع أشكال التمييز ضد المرأة، في آب/أغسطس 2003؛</w:t>
      </w:r>
    </w:p>
    <w:p w:rsidR="000B01A4" w:rsidRPr="000B01A4" w:rsidRDefault="000B01A4" w:rsidP="00450087">
      <w:pPr>
        <w:pStyle w:val="SingleTxtGA"/>
        <w:rPr>
          <w:sz w:val="18"/>
          <w:rtl/>
        </w:rPr>
      </w:pPr>
      <w:r w:rsidRPr="000B01A4">
        <w:rPr>
          <w:sz w:val="18"/>
          <w:rtl/>
        </w:rPr>
        <w:tab/>
        <w:t>(د)</w:t>
      </w:r>
      <w:r w:rsidRPr="000B01A4">
        <w:rPr>
          <w:sz w:val="18"/>
          <w:rtl/>
        </w:rPr>
        <w:tab/>
        <w:t>البروتوكول الاختياري لاتفاقية حقوق الطفل المتعلق ببيع الأطفال واستغلال الأطفال في البغاء وفي المواد الإباحية، في تشرين الأول/أكتوبر 2001، والبروتوكول الاختياري لاتفاقية حقوق الطفل المتعلق ب</w:t>
      </w:r>
      <w:r w:rsidR="00450087">
        <w:rPr>
          <w:rFonts w:hint="cs"/>
          <w:sz w:val="18"/>
          <w:rtl/>
        </w:rPr>
        <w:t>ا</w:t>
      </w:r>
      <w:r w:rsidRPr="000B01A4">
        <w:rPr>
          <w:sz w:val="18"/>
          <w:rtl/>
        </w:rPr>
        <w:t>ش</w:t>
      </w:r>
      <w:r w:rsidR="00112863">
        <w:rPr>
          <w:rFonts w:hint="cs"/>
          <w:sz w:val="18"/>
          <w:rtl/>
        </w:rPr>
        <w:t>ت</w:t>
      </w:r>
      <w:r w:rsidRPr="000B01A4">
        <w:rPr>
          <w:sz w:val="18"/>
          <w:rtl/>
        </w:rPr>
        <w:t>راك الأطفال في ا</w:t>
      </w:r>
      <w:r w:rsidR="00112863">
        <w:rPr>
          <w:rFonts w:hint="cs"/>
          <w:sz w:val="18"/>
          <w:rtl/>
        </w:rPr>
        <w:t xml:space="preserve">لمنازعات </w:t>
      </w:r>
      <w:r w:rsidRPr="000B01A4">
        <w:rPr>
          <w:sz w:val="18"/>
          <w:rtl/>
        </w:rPr>
        <w:t>المسلحة، في تشرين الثاني/</w:t>
      </w:r>
      <w:r>
        <w:rPr>
          <w:rFonts w:hint="cs"/>
          <w:sz w:val="18"/>
          <w:rtl/>
        </w:rPr>
        <w:t xml:space="preserve">       </w:t>
      </w:r>
      <w:r w:rsidRPr="000B01A4">
        <w:rPr>
          <w:sz w:val="18"/>
          <w:rtl/>
        </w:rPr>
        <w:t>نوفمبر 2001؛</w:t>
      </w:r>
    </w:p>
    <w:p w:rsidR="000B01A4" w:rsidRPr="000B01A4" w:rsidRDefault="000B01A4" w:rsidP="00112863">
      <w:pPr>
        <w:pStyle w:val="SingleTxtGA"/>
        <w:rPr>
          <w:sz w:val="18"/>
          <w:rtl/>
        </w:rPr>
      </w:pPr>
      <w:r w:rsidRPr="000B01A4">
        <w:rPr>
          <w:sz w:val="18"/>
          <w:rtl/>
        </w:rPr>
        <w:tab/>
        <w:t>(ه)</w:t>
      </w:r>
      <w:r w:rsidRPr="000B01A4">
        <w:rPr>
          <w:sz w:val="18"/>
          <w:rtl/>
        </w:rPr>
        <w:tab/>
        <w:t>اتفاقية عام 1954 المتعلقة بوضع الأشخاص عديمي الجنسية واتفاقية عام</w:t>
      </w:r>
      <w:r w:rsidR="00112863">
        <w:rPr>
          <w:rFonts w:hint="cs"/>
          <w:sz w:val="18"/>
          <w:rtl/>
        </w:rPr>
        <w:t> </w:t>
      </w:r>
      <w:r w:rsidRPr="000B01A4">
        <w:rPr>
          <w:sz w:val="18"/>
          <w:rtl/>
        </w:rPr>
        <w:t>1961 المتعلقة بخفض حالات انعدام الجنسية، في كانون الثاني/يناير 2006؛</w:t>
      </w:r>
    </w:p>
    <w:p w:rsidR="000B01A4" w:rsidRPr="000B01A4" w:rsidRDefault="000B01A4" w:rsidP="00112863">
      <w:pPr>
        <w:pStyle w:val="SingleTxtGA"/>
        <w:rPr>
          <w:sz w:val="18"/>
          <w:rtl/>
        </w:rPr>
      </w:pPr>
      <w:r w:rsidRPr="000B01A4">
        <w:rPr>
          <w:sz w:val="18"/>
          <w:rtl/>
        </w:rPr>
        <w:tab/>
        <w:t>(و)</w:t>
      </w:r>
      <w:r w:rsidRPr="000B01A4">
        <w:rPr>
          <w:sz w:val="18"/>
          <w:rtl/>
        </w:rPr>
        <w:tab/>
        <w:t xml:space="preserve">اتفاقية لاهاي المؤرخة 19 تشرين الأول/أكتوبر 1996 المتعلقة بالاختصاص والقانون </w:t>
      </w:r>
      <w:r w:rsidR="00112863">
        <w:rPr>
          <w:rFonts w:hint="cs"/>
          <w:sz w:val="18"/>
          <w:rtl/>
        </w:rPr>
        <w:t xml:space="preserve">الواجب تطبيقه </w:t>
      </w:r>
      <w:r w:rsidRPr="000B01A4">
        <w:rPr>
          <w:sz w:val="18"/>
          <w:rtl/>
        </w:rPr>
        <w:t xml:space="preserve">والاعتراف والإنفاذ والتعاون </w:t>
      </w:r>
      <w:r w:rsidR="00112863">
        <w:rPr>
          <w:rFonts w:hint="cs"/>
          <w:sz w:val="18"/>
          <w:rtl/>
        </w:rPr>
        <w:t xml:space="preserve">فيما يتعلق بالمسؤولية الأبوية وإجراءات حماية الطفل، </w:t>
      </w:r>
      <w:r w:rsidRPr="000B01A4">
        <w:rPr>
          <w:sz w:val="18"/>
          <w:rtl/>
        </w:rPr>
        <w:t>في تشرين الثاني/نوفمبر 2006؛</w:t>
      </w:r>
    </w:p>
    <w:p w:rsidR="000B01A4" w:rsidRPr="000B01A4" w:rsidRDefault="000B01A4" w:rsidP="00450087">
      <w:pPr>
        <w:pStyle w:val="SingleTxtGA"/>
        <w:rPr>
          <w:sz w:val="18"/>
          <w:rtl/>
        </w:rPr>
      </w:pPr>
      <w:r w:rsidRPr="000B01A4">
        <w:rPr>
          <w:sz w:val="18"/>
          <w:rtl/>
        </w:rPr>
        <w:tab/>
        <w:t>(ز)</w:t>
      </w:r>
      <w:r w:rsidRPr="000B01A4">
        <w:rPr>
          <w:sz w:val="18"/>
          <w:rtl/>
        </w:rPr>
        <w:tab/>
        <w:t>اتفا</w:t>
      </w:r>
      <w:r w:rsidR="00112863">
        <w:rPr>
          <w:sz w:val="18"/>
          <w:rtl/>
        </w:rPr>
        <w:t>قية منظمة العمل الدولية رقم 182</w:t>
      </w:r>
      <w:r w:rsidRPr="000B01A4">
        <w:rPr>
          <w:sz w:val="18"/>
          <w:rtl/>
        </w:rPr>
        <w:t>(1999) بشأن حظر أسوأ أشكال عمل الأطفال و</w:t>
      </w:r>
      <w:r w:rsidR="00112863">
        <w:rPr>
          <w:rFonts w:hint="cs"/>
          <w:sz w:val="18"/>
          <w:rtl/>
        </w:rPr>
        <w:t>ال</w:t>
      </w:r>
      <w:r w:rsidRPr="000B01A4">
        <w:rPr>
          <w:sz w:val="18"/>
          <w:rtl/>
        </w:rPr>
        <w:t xml:space="preserve">إجراءات </w:t>
      </w:r>
      <w:r w:rsidR="00112863">
        <w:rPr>
          <w:rFonts w:hint="cs"/>
          <w:sz w:val="18"/>
          <w:rtl/>
        </w:rPr>
        <w:t>ال</w:t>
      </w:r>
      <w:r w:rsidRPr="000B01A4">
        <w:rPr>
          <w:sz w:val="18"/>
          <w:rtl/>
        </w:rPr>
        <w:t>فورية للقضاء عليها، في كانون الأول/ديسمبر 2000</w:t>
      </w:r>
      <w:r w:rsidR="00450087">
        <w:rPr>
          <w:rFonts w:hint="cs"/>
          <w:sz w:val="18"/>
          <w:rtl/>
        </w:rPr>
        <w:t>.</w:t>
      </w:r>
    </w:p>
    <w:p w:rsidR="000B01A4" w:rsidRPr="000B01A4" w:rsidRDefault="000B01A4" w:rsidP="000B01A4">
      <w:pPr>
        <w:pStyle w:val="SingleTxtGA"/>
        <w:rPr>
          <w:sz w:val="18"/>
          <w:rtl/>
        </w:rPr>
      </w:pPr>
      <w:r w:rsidRPr="000B01A4">
        <w:rPr>
          <w:sz w:val="18"/>
          <w:rtl/>
        </w:rPr>
        <w:t>4-</w:t>
      </w:r>
      <w:r w:rsidRPr="000B01A4">
        <w:rPr>
          <w:sz w:val="18"/>
          <w:rtl/>
        </w:rPr>
        <w:tab/>
        <w:t>وترحب اللجنة بالتدابير التالية المتعلقة بالقوانين والسياسات التي اتخذتها الدولة الطرف:</w:t>
      </w:r>
    </w:p>
    <w:p w:rsidR="000B01A4" w:rsidRPr="000B01A4" w:rsidRDefault="000B01A4" w:rsidP="00112863">
      <w:pPr>
        <w:pStyle w:val="SingleTxtGA"/>
        <w:rPr>
          <w:sz w:val="18"/>
          <w:rtl/>
        </w:rPr>
      </w:pPr>
      <w:r w:rsidRPr="000B01A4">
        <w:rPr>
          <w:sz w:val="18"/>
          <w:rtl/>
        </w:rPr>
        <w:tab/>
        <w:t>(أ)</w:t>
      </w:r>
      <w:r w:rsidRPr="000B01A4">
        <w:rPr>
          <w:sz w:val="18"/>
          <w:rtl/>
        </w:rPr>
        <w:tab/>
        <w:t xml:space="preserve">اعتماد القانون 257/2013 بشأن تعزيز وحماية حقوق الطفل، وتدابير في ميدان حماية الطفل، منها إعادة إنشاء الهيئة الوطنية لحماية حقوق الطفل </w:t>
      </w:r>
      <w:r w:rsidR="00112863">
        <w:rPr>
          <w:rFonts w:hint="cs"/>
          <w:sz w:val="18"/>
          <w:rtl/>
        </w:rPr>
        <w:t xml:space="preserve">في </w:t>
      </w:r>
      <w:r w:rsidRPr="000B01A4">
        <w:rPr>
          <w:sz w:val="18"/>
          <w:rtl/>
        </w:rPr>
        <w:t>نيسان/</w:t>
      </w:r>
      <w:r w:rsidR="00112863">
        <w:rPr>
          <w:rFonts w:hint="cs"/>
          <w:sz w:val="18"/>
          <w:rtl/>
        </w:rPr>
        <w:t xml:space="preserve">         </w:t>
      </w:r>
      <w:r w:rsidRPr="000B01A4">
        <w:rPr>
          <w:sz w:val="18"/>
          <w:rtl/>
        </w:rPr>
        <w:t>أبريل 2014؛</w:t>
      </w:r>
    </w:p>
    <w:p w:rsidR="000B01A4" w:rsidRPr="000B01A4" w:rsidRDefault="000B01A4" w:rsidP="000B01A4">
      <w:pPr>
        <w:pStyle w:val="SingleTxtGA"/>
        <w:rPr>
          <w:sz w:val="18"/>
          <w:rtl/>
        </w:rPr>
      </w:pPr>
      <w:r w:rsidRPr="000B01A4">
        <w:rPr>
          <w:sz w:val="18"/>
          <w:rtl/>
        </w:rPr>
        <w:tab/>
        <w:t>(ب)</w:t>
      </w:r>
      <w:r w:rsidRPr="000B01A4">
        <w:rPr>
          <w:sz w:val="18"/>
          <w:rtl/>
        </w:rPr>
        <w:tab/>
        <w:t>اعتماد استراتيجية جديدة للمساواة بين الجنسين للفترة 2014-2017؛</w:t>
      </w:r>
    </w:p>
    <w:p w:rsidR="000B01A4" w:rsidRPr="000B01A4" w:rsidRDefault="000B01A4" w:rsidP="000B01A4">
      <w:pPr>
        <w:pStyle w:val="SingleTxtGA"/>
        <w:rPr>
          <w:rFonts w:hint="cs"/>
          <w:sz w:val="18"/>
          <w:rtl/>
        </w:rPr>
      </w:pPr>
      <w:r w:rsidRPr="000B01A4">
        <w:rPr>
          <w:sz w:val="18"/>
          <w:rtl/>
        </w:rPr>
        <w:tab/>
        <w:t>(ج)</w:t>
      </w:r>
      <w:r w:rsidRPr="000B01A4">
        <w:rPr>
          <w:sz w:val="18"/>
          <w:rtl/>
        </w:rPr>
        <w:tab/>
        <w:t>الاستراتيجية الوطنية للتوظيف للفترة 2014-2020.</w:t>
      </w:r>
    </w:p>
    <w:p w:rsidR="000B01A4" w:rsidRPr="000B01A4" w:rsidRDefault="000B01A4" w:rsidP="00112863">
      <w:pPr>
        <w:pStyle w:val="H1GA"/>
        <w:rPr>
          <w:rFonts w:hint="cs"/>
          <w:rtl/>
        </w:rPr>
      </w:pPr>
      <w:r w:rsidRPr="000B01A4">
        <w:rPr>
          <w:rFonts w:hint="cs"/>
          <w:rtl/>
        </w:rPr>
        <w:tab/>
        <w:t>جيم-</w:t>
      </w:r>
      <w:r w:rsidRPr="000B01A4">
        <w:rPr>
          <w:rFonts w:hint="cs"/>
          <w:rtl/>
        </w:rPr>
        <w:tab/>
        <w:t>دواعي القلق الرئيسية والتوصيات</w:t>
      </w:r>
    </w:p>
    <w:p w:rsidR="000B01A4" w:rsidRPr="000B01A4" w:rsidRDefault="000B01A4" w:rsidP="00112863">
      <w:pPr>
        <w:pStyle w:val="H23GA"/>
        <w:rPr>
          <w:rFonts w:hint="cs"/>
          <w:rtl/>
        </w:rPr>
      </w:pPr>
      <w:r w:rsidRPr="000B01A4">
        <w:rPr>
          <w:rFonts w:hint="cs"/>
          <w:rtl/>
        </w:rPr>
        <w:tab/>
      </w:r>
      <w:r w:rsidRPr="000B01A4">
        <w:rPr>
          <w:rFonts w:hint="cs"/>
          <w:rtl/>
        </w:rPr>
        <w:tab/>
        <w:t>تنفيذ العهد على الصعيد ال</w:t>
      </w:r>
      <w:r w:rsidR="00112863">
        <w:rPr>
          <w:rFonts w:hint="cs"/>
          <w:rtl/>
        </w:rPr>
        <w:t>وطني</w:t>
      </w:r>
    </w:p>
    <w:p w:rsidR="000B01A4" w:rsidRPr="000B01A4" w:rsidRDefault="000B01A4" w:rsidP="00112863">
      <w:pPr>
        <w:pStyle w:val="SingleTxtGA"/>
        <w:rPr>
          <w:rFonts w:hint="cs"/>
          <w:sz w:val="18"/>
          <w:rtl/>
        </w:rPr>
      </w:pPr>
      <w:r w:rsidRPr="000B01A4">
        <w:rPr>
          <w:rFonts w:hint="cs"/>
          <w:sz w:val="18"/>
          <w:rtl/>
        </w:rPr>
        <w:t>5-</w:t>
      </w:r>
      <w:r w:rsidRPr="000B01A4">
        <w:rPr>
          <w:rFonts w:hint="cs"/>
          <w:sz w:val="18"/>
          <w:rtl/>
        </w:rPr>
        <w:tab/>
        <w:t xml:space="preserve">تشعر اللجنة بالأسف لأنه، </w:t>
      </w:r>
      <w:r w:rsidR="00112863">
        <w:rPr>
          <w:rFonts w:hint="cs"/>
          <w:sz w:val="18"/>
          <w:rtl/>
        </w:rPr>
        <w:t xml:space="preserve">رغم أولوية العهد على القوانين الوطنية، </w:t>
      </w:r>
      <w:r w:rsidRPr="000B01A4">
        <w:rPr>
          <w:rFonts w:hint="cs"/>
          <w:sz w:val="18"/>
          <w:rtl/>
        </w:rPr>
        <w:t xml:space="preserve">لم تقدم الدولة الطرف معلومات بشأن الحالات التي نفَّذت فيها المحاكم </w:t>
      </w:r>
      <w:r w:rsidR="00112863">
        <w:rPr>
          <w:rFonts w:hint="cs"/>
          <w:sz w:val="18"/>
          <w:rtl/>
        </w:rPr>
        <w:t xml:space="preserve">الوطنية </w:t>
      </w:r>
      <w:r w:rsidRPr="000B01A4">
        <w:rPr>
          <w:rFonts w:hint="cs"/>
          <w:sz w:val="18"/>
          <w:rtl/>
        </w:rPr>
        <w:t>أحكام العهد.</w:t>
      </w:r>
    </w:p>
    <w:p w:rsidR="000B01A4" w:rsidRPr="000B01A4" w:rsidRDefault="00112863" w:rsidP="00112863">
      <w:pPr>
        <w:pStyle w:val="SingleTxtGA"/>
        <w:rPr>
          <w:rFonts w:hint="cs"/>
          <w:b/>
          <w:bCs/>
          <w:sz w:val="18"/>
          <w:rtl/>
        </w:rPr>
      </w:pPr>
      <w:r>
        <w:rPr>
          <w:rFonts w:hint="cs"/>
          <w:b/>
          <w:bCs/>
          <w:sz w:val="18"/>
          <w:rtl/>
        </w:rPr>
        <w:tab/>
      </w:r>
      <w:r w:rsidR="000B01A4" w:rsidRPr="000B01A4">
        <w:rPr>
          <w:rFonts w:hint="cs"/>
          <w:b/>
          <w:bCs/>
          <w:sz w:val="18"/>
          <w:rtl/>
        </w:rPr>
        <w:t>توصي اللجنة الدولة الطرف بأن تتخذ الخطوات المناسبة لزيادة معرفة القضاة والمحامين والمدعين العامين لمضمون العهد بغية ضمان مراعاة أحكامه في قرارات المحاكم ال</w:t>
      </w:r>
      <w:r>
        <w:rPr>
          <w:rFonts w:hint="cs"/>
          <w:b/>
          <w:bCs/>
          <w:sz w:val="18"/>
          <w:rtl/>
        </w:rPr>
        <w:t>وطنية</w:t>
      </w:r>
      <w:r w:rsidR="000B01A4" w:rsidRPr="000B01A4">
        <w:rPr>
          <w:rFonts w:hint="cs"/>
          <w:b/>
          <w:bCs/>
          <w:sz w:val="18"/>
          <w:rtl/>
        </w:rPr>
        <w:t xml:space="preserve">. كما </w:t>
      </w:r>
      <w:r>
        <w:rPr>
          <w:rFonts w:hint="cs"/>
          <w:b/>
          <w:bCs/>
          <w:sz w:val="18"/>
          <w:rtl/>
        </w:rPr>
        <w:t>توجه ا</w:t>
      </w:r>
      <w:r w:rsidR="000B01A4" w:rsidRPr="000B01A4">
        <w:rPr>
          <w:rFonts w:hint="cs"/>
          <w:b/>
          <w:bCs/>
          <w:sz w:val="18"/>
          <w:rtl/>
        </w:rPr>
        <w:t>نتباه الدول</w:t>
      </w:r>
      <w:r w:rsidR="00AD61A2">
        <w:rPr>
          <w:rFonts w:hint="cs"/>
          <w:b/>
          <w:bCs/>
          <w:sz w:val="18"/>
          <w:rtl/>
        </w:rPr>
        <w:t>ة الطرف إلى تعليقها العام رقم 9</w:t>
      </w:r>
      <w:r w:rsidR="000B01A4" w:rsidRPr="000B01A4">
        <w:rPr>
          <w:rFonts w:hint="cs"/>
          <w:b/>
          <w:bCs/>
          <w:sz w:val="18"/>
          <w:rtl/>
        </w:rPr>
        <w:t>(1998) بشأن تنفيذ العهد على الصعيد ال</w:t>
      </w:r>
      <w:r>
        <w:rPr>
          <w:rFonts w:hint="cs"/>
          <w:b/>
          <w:bCs/>
          <w:sz w:val="18"/>
          <w:rtl/>
        </w:rPr>
        <w:t>وطني</w:t>
      </w:r>
      <w:r w:rsidR="000B01A4" w:rsidRPr="000B01A4">
        <w:rPr>
          <w:rFonts w:hint="cs"/>
          <w:b/>
          <w:bCs/>
          <w:sz w:val="18"/>
          <w:rtl/>
        </w:rPr>
        <w:t>.</w:t>
      </w:r>
    </w:p>
    <w:p w:rsidR="000B01A4" w:rsidRPr="000B01A4" w:rsidRDefault="000B01A4" w:rsidP="00112863">
      <w:pPr>
        <w:pStyle w:val="H23GA"/>
        <w:rPr>
          <w:rFonts w:hint="cs"/>
          <w:rtl/>
        </w:rPr>
      </w:pPr>
      <w:r w:rsidRPr="000B01A4">
        <w:rPr>
          <w:rFonts w:hint="cs"/>
          <w:rtl/>
        </w:rPr>
        <w:tab/>
      </w:r>
      <w:r w:rsidRPr="000B01A4">
        <w:rPr>
          <w:rFonts w:hint="cs"/>
          <w:rtl/>
        </w:rPr>
        <w:tab/>
        <w:t>المؤسسة الوطنية لحقوق الإنسان</w:t>
      </w:r>
    </w:p>
    <w:p w:rsidR="000B01A4" w:rsidRPr="000B01A4" w:rsidRDefault="000B01A4" w:rsidP="00112863">
      <w:pPr>
        <w:pStyle w:val="SingleTxtGA"/>
        <w:rPr>
          <w:rFonts w:hint="cs"/>
          <w:sz w:val="18"/>
          <w:rtl/>
        </w:rPr>
      </w:pPr>
      <w:r w:rsidRPr="000B01A4">
        <w:rPr>
          <w:rFonts w:hint="cs"/>
          <w:sz w:val="18"/>
          <w:rtl/>
        </w:rPr>
        <w:t>6-</w:t>
      </w:r>
      <w:r w:rsidRPr="000B01A4">
        <w:rPr>
          <w:rFonts w:hint="cs"/>
          <w:sz w:val="18"/>
          <w:rtl/>
        </w:rPr>
        <w:tab/>
        <w:t xml:space="preserve">تلاحظ اللجنة </w:t>
      </w:r>
      <w:r w:rsidR="00112863">
        <w:rPr>
          <w:rFonts w:hint="cs"/>
          <w:sz w:val="18"/>
          <w:rtl/>
        </w:rPr>
        <w:t xml:space="preserve">وجود تداخل بين مجالات اختصاص مختلف مؤسسات وهيئات تعزيز </w:t>
      </w:r>
      <w:r w:rsidRPr="000B01A4">
        <w:rPr>
          <w:rFonts w:hint="cs"/>
          <w:sz w:val="18"/>
          <w:rtl/>
        </w:rPr>
        <w:t>وحماية حقوق الإنسان ومكافحة التمييز، وبخاصة المعهد الروماني لحقوق الإنسان ومؤسسة أمين المظالم والمجلس الوطني لمكافحة التمييز، وهو ما يحد من فعاليتها فيما يتعلق بالولاية والموارد. وعلاوة على ذلك، تشعر اللجنة بالقلق لأن المعهد الروماني لحقوق الإنسان لا يمتثل بالكامل للمبادئ المتعلقة بوضع المؤسسات الوطنية لتعزيز وحماية حقوق الإنسان (مبادئ باريس).</w:t>
      </w:r>
    </w:p>
    <w:p w:rsidR="000B01A4" w:rsidRPr="000B01A4" w:rsidRDefault="00112863" w:rsidP="00112863">
      <w:pPr>
        <w:pStyle w:val="SingleTxtGA"/>
        <w:rPr>
          <w:rFonts w:hint="cs"/>
          <w:b/>
          <w:bCs/>
          <w:sz w:val="18"/>
          <w:rtl/>
        </w:rPr>
      </w:pPr>
      <w:r>
        <w:rPr>
          <w:rFonts w:hint="cs"/>
          <w:b/>
          <w:bCs/>
          <w:sz w:val="18"/>
          <w:rtl/>
        </w:rPr>
        <w:tab/>
      </w:r>
      <w:r w:rsidR="000B01A4" w:rsidRPr="000B01A4">
        <w:rPr>
          <w:rFonts w:hint="cs"/>
          <w:b/>
          <w:bCs/>
          <w:sz w:val="18"/>
          <w:rtl/>
        </w:rPr>
        <w:t>توصي اللجنة الدولة الطرف بأن تعزز استقلالية مؤسسات تعزيز وحماية حقوق الإنسان ومكافحة التمييز في رومانيا و</w:t>
      </w:r>
      <w:r>
        <w:rPr>
          <w:rFonts w:hint="cs"/>
          <w:b/>
          <w:bCs/>
          <w:sz w:val="18"/>
          <w:rtl/>
        </w:rPr>
        <w:t xml:space="preserve">تعزز </w:t>
      </w:r>
      <w:r w:rsidR="000B01A4" w:rsidRPr="000B01A4">
        <w:rPr>
          <w:rFonts w:hint="cs"/>
          <w:b/>
          <w:bCs/>
          <w:sz w:val="18"/>
          <w:rtl/>
        </w:rPr>
        <w:t>كفاءتها وفعاليتها،</w:t>
      </w:r>
      <w:r>
        <w:rPr>
          <w:rFonts w:hint="cs"/>
          <w:b/>
          <w:bCs/>
          <w:sz w:val="18"/>
          <w:rtl/>
        </w:rPr>
        <w:t xml:space="preserve"> </w:t>
      </w:r>
      <w:r w:rsidR="000B01A4" w:rsidRPr="000B01A4">
        <w:rPr>
          <w:rFonts w:hint="cs"/>
          <w:b/>
          <w:bCs/>
          <w:sz w:val="18"/>
          <w:rtl/>
        </w:rPr>
        <w:t>بوسائل منها توضيح اختصاصاتها وتبسيط هياكلها وضمان استفادتها من الموارد البشرية والمالية الكافية لتساهم في إعمال الحقوق الاقتصادية والاجتماعية والثقافية. كما توصي اللجنة الدولة الطرف بأن تعتمد التدابير اللازمة لتمكين المعهد الروماني لحقوق الإنسان من الامتثال الكامل لمبادئ باريس.</w:t>
      </w:r>
    </w:p>
    <w:p w:rsidR="000B01A4" w:rsidRPr="000B01A4" w:rsidRDefault="000B01A4" w:rsidP="00112863">
      <w:pPr>
        <w:pStyle w:val="H23GA"/>
        <w:rPr>
          <w:rFonts w:hint="cs"/>
          <w:rtl/>
        </w:rPr>
      </w:pPr>
      <w:r w:rsidRPr="000B01A4">
        <w:rPr>
          <w:rFonts w:hint="cs"/>
          <w:rtl/>
        </w:rPr>
        <w:tab/>
      </w:r>
      <w:r w:rsidRPr="000B01A4">
        <w:rPr>
          <w:rFonts w:hint="cs"/>
          <w:rtl/>
        </w:rPr>
        <w:tab/>
        <w:t>القدر الأقصى من الموارد المتاحة</w:t>
      </w:r>
    </w:p>
    <w:p w:rsidR="000B01A4" w:rsidRPr="000B01A4" w:rsidRDefault="00112863" w:rsidP="00112863">
      <w:pPr>
        <w:pStyle w:val="SingleTxtGA"/>
        <w:rPr>
          <w:rFonts w:hint="cs"/>
          <w:sz w:val="18"/>
        </w:rPr>
      </w:pPr>
      <w:r>
        <w:rPr>
          <w:rFonts w:hint="cs"/>
          <w:sz w:val="18"/>
          <w:rtl/>
        </w:rPr>
        <w:t>7-</w:t>
      </w:r>
      <w:r>
        <w:rPr>
          <w:rFonts w:hint="cs"/>
          <w:sz w:val="18"/>
          <w:rtl/>
        </w:rPr>
        <w:tab/>
      </w:r>
      <w:r w:rsidR="000B01A4" w:rsidRPr="000B01A4">
        <w:rPr>
          <w:rFonts w:hint="cs"/>
          <w:sz w:val="18"/>
          <w:rtl/>
        </w:rPr>
        <w:t>تشعر اللجنة بالقلق لأن الموارد المخصصة للقطاعات الاجتماعية، ولا</w:t>
      </w:r>
      <w:r w:rsidR="00AD61A2">
        <w:rPr>
          <w:rFonts w:hint="cs"/>
          <w:sz w:val="18"/>
          <w:rtl/>
        </w:rPr>
        <w:t xml:space="preserve"> </w:t>
      </w:r>
      <w:r w:rsidR="000B01A4" w:rsidRPr="000B01A4">
        <w:rPr>
          <w:rFonts w:hint="cs"/>
          <w:sz w:val="18"/>
          <w:rtl/>
        </w:rPr>
        <w:t xml:space="preserve">سيما الصحة </w:t>
      </w:r>
      <w:r>
        <w:rPr>
          <w:rFonts w:hint="cs"/>
          <w:sz w:val="18"/>
          <w:rtl/>
        </w:rPr>
        <w:t xml:space="preserve">والحماية </w:t>
      </w:r>
      <w:r w:rsidR="000B01A4" w:rsidRPr="000B01A4">
        <w:rPr>
          <w:rFonts w:hint="cs"/>
          <w:sz w:val="18"/>
          <w:rtl/>
        </w:rPr>
        <w:t>الاجتماعية والتعليم، لا تزال غير كافية. وبالإضافة إلى ذلك، تشعر اللجنة بالأسف لأن الدولة الطرف لم تستطع أن تستوعب وتستعمل بالكامل الأموال التي خصصها لها الاتحاد الأوروبي بسبب القدرات الإدارية المحدودة والبيروقراطية المفرطة وحالات الفساد (الفقرة 1 من المادة 2).</w:t>
      </w:r>
    </w:p>
    <w:p w:rsidR="000B01A4" w:rsidRPr="000B01A4" w:rsidRDefault="00112863" w:rsidP="000B01A4">
      <w:pPr>
        <w:pStyle w:val="SingleTxtGA"/>
        <w:rPr>
          <w:rFonts w:hint="cs"/>
          <w:b/>
          <w:bCs/>
          <w:sz w:val="18"/>
          <w:rtl/>
        </w:rPr>
      </w:pPr>
      <w:r>
        <w:rPr>
          <w:rFonts w:hint="cs"/>
          <w:b/>
          <w:bCs/>
          <w:sz w:val="18"/>
          <w:rtl/>
        </w:rPr>
        <w:tab/>
      </w:r>
      <w:r w:rsidR="000B01A4" w:rsidRPr="000B01A4">
        <w:rPr>
          <w:rFonts w:hint="cs"/>
          <w:b/>
          <w:bCs/>
          <w:sz w:val="18"/>
          <w:rtl/>
        </w:rPr>
        <w:t>توصي اللجنة الدولة الطرف بما يلي:</w:t>
      </w:r>
    </w:p>
    <w:p w:rsidR="000B01A4" w:rsidRPr="000B01A4" w:rsidRDefault="000B01A4" w:rsidP="000B01A4">
      <w:pPr>
        <w:pStyle w:val="SingleTxtGA"/>
        <w:rPr>
          <w:rFonts w:hint="cs"/>
          <w:b/>
          <w:bCs/>
          <w:sz w:val="18"/>
          <w:rtl/>
        </w:rPr>
      </w:pPr>
      <w:r w:rsidRPr="000B01A4">
        <w:rPr>
          <w:rFonts w:hint="cs"/>
          <w:b/>
          <w:bCs/>
          <w:sz w:val="18"/>
          <w:rtl/>
        </w:rPr>
        <w:tab/>
        <w:t>(أ)</w:t>
      </w:r>
      <w:r w:rsidRPr="000B01A4">
        <w:rPr>
          <w:rFonts w:hint="cs"/>
          <w:b/>
          <w:bCs/>
          <w:sz w:val="18"/>
          <w:rtl/>
        </w:rPr>
        <w:tab/>
        <w:t>أن تكفل تخصيص الموارد بفعالية وفق</w:t>
      </w:r>
      <w:r w:rsidR="00AD61A2">
        <w:rPr>
          <w:rFonts w:hint="cs"/>
          <w:b/>
          <w:bCs/>
          <w:sz w:val="18"/>
          <w:rtl/>
        </w:rPr>
        <w:t xml:space="preserve">اً </w:t>
      </w:r>
      <w:r w:rsidRPr="000B01A4">
        <w:rPr>
          <w:rFonts w:hint="cs"/>
          <w:b/>
          <w:bCs/>
          <w:sz w:val="18"/>
          <w:rtl/>
        </w:rPr>
        <w:t>لمعايير وضع ميزانيات البرامج، وأن تعزز الوعي السياسي بضرورة تخصيص موارد إضافية كبيرة لنظام الحماية الاجتماعية ولقطاعي الصحة والتعليم؛</w:t>
      </w:r>
    </w:p>
    <w:p w:rsidR="000B01A4" w:rsidRPr="000B01A4" w:rsidRDefault="000B01A4" w:rsidP="00112863">
      <w:pPr>
        <w:pStyle w:val="SingleTxtGA"/>
        <w:rPr>
          <w:rFonts w:hint="cs"/>
          <w:b/>
          <w:bCs/>
          <w:sz w:val="18"/>
          <w:rtl/>
        </w:rPr>
      </w:pPr>
      <w:r w:rsidRPr="000B01A4">
        <w:rPr>
          <w:rFonts w:hint="cs"/>
          <w:b/>
          <w:bCs/>
          <w:sz w:val="18"/>
          <w:rtl/>
        </w:rPr>
        <w:tab/>
        <w:t>(ب)</w:t>
      </w:r>
      <w:r w:rsidRPr="000B01A4">
        <w:rPr>
          <w:rFonts w:hint="cs"/>
          <w:b/>
          <w:bCs/>
          <w:sz w:val="18"/>
          <w:rtl/>
        </w:rPr>
        <w:tab/>
        <w:t xml:space="preserve">أن تقيِّم بانتظام مسألة ما إذا </w:t>
      </w:r>
      <w:r w:rsidR="00112863">
        <w:rPr>
          <w:rFonts w:hint="cs"/>
          <w:b/>
          <w:bCs/>
          <w:sz w:val="18"/>
          <w:rtl/>
        </w:rPr>
        <w:t xml:space="preserve">كان </w:t>
      </w:r>
      <w:r w:rsidRPr="000B01A4">
        <w:rPr>
          <w:rFonts w:hint="cs"/>
          <w:b/>
          <w:bCs/>
          <w:sz w:val="18"/>
          <w:rtl/>
        </w:rPr>
        <w:t xml:space="preserve">القدر الأقصى من الموارد المتاحة </w:t>
      </w:r>
      <w:r w:rsidR="00112863">
        <w:rPr>
          <w:rFonts w:hint="cs"/>
          <w:b/>
          <w:bCs/>
          <w:sz w:val="18"/>
          <w:rtl/>
        </w:rPr>
        <w:t xml:space="preserve">قد استخدم لتحقيق الإعمال التام للحقوق المعترف بها في العهد تدريجياً، مع مراعاة </w:t>
      </w:r>
      <w:r w:rsidRPr="000B01A4">
        <w:rPr>
          <w:rFonts w:hint="cs"/>
          <w:b/>
          <w:bCs/>
          <w:sz w:val="18"/>
          <w:rtl/>
        </w:rPr>
        <w:t>بيان اللجنة الصادر في أيلول/سبتمبر 2007 بشأن الالتزام باتخاذ خطوات لتخصيص "القدر الأقصى من الموارد المتاحة" (</w:t>
      </w:r>
      <w:r w:rsidRPr="000B01A4">
        <w:rPr>
          <w:b/>
          <w:bCs/>
          <w:sz w:val="18"/>
        </w:rPr>
        <w:t>E/C.12/2007/1</w:t>
      </w:r>
      <w:r w:rsidRPr="000B01A4">
        <w:rPr>
          <w:rFonts w:hint="cs"/>
          <w:b/>
          <w:bCs/>
          <w:sz w:val="18"/>
          <w:rtl/>
        </w:rPr>
        <w:t>)؛</w:t>
      </w:r>
    </w:p>
    <w:p w:rsidR="000B01A4" w:rsidRPr="000B01A4" w:rsidRDefault="000B01A4" w:rsidP="00112863">
      <w:pPr>
        <w:pStyle w:val="SingleTxtGA"/>
        <w:rPr>
          <w:rFonts w:hint="cs"/>
          <w:b/>
          <w:bCs/>
          <w:sz w:val="18"/>
          <w:rtl/>
        </w:rPr>
      </w:pPr>
      <w:r w:rsidRPr="000B01A4">
        <w:rPr>
          <w:rFonts w:hint="cs"/>
          <w:b/>
          <w:bCs/>
          <w:sz w:val="18"/>
          <w:rtl/>
        </w:rPr>
        <w:tab/>
        <w:t>(ج)</w:t>
      </w:r>
      <w:r w:rsidRPr="000B01A4">
        <w:rPr>
          <w:rFonts w:hint="cs"/>
          <w:b/>
          <w:bCs/>
          <w:sz w:val="18"/>
          <w:rtl/>
        </w:rPr>
        <w:tab/>
        <w:t xml:space="preserve">أن تحسِّن القدرات الإدارية وتعزز الشفافية والتشاور على جميع </w:t>
      </w:r>
      <w:r w:rsidR="00112863">
        <w:rPr>
          <w:rFonts w:hint="cs"/>
          <w:b/>
          <w:bCs/>
          <w:sz w:val="18"/>
          <w:rtl/>
        </w:rPr>
        <w:t xml:space="preserve">مستويات </w:t>
      </w:r>
      <w:r w:rsidRPr="000B01A4">
        <w:rPr>
          <w:rFonts w:hint="cs"/>
          <w:b/>
          <w:bCs/>
          <w:sz w:val="18"/>
          <w:rtl/>
        </w:rPr>
        <w:t xml:space="preserve">صنع القرار فيما يتعلق بتوزيع </w:t>
      </w:r>
      <w:r w:rsidR="00112863">
        <w:rPr>
          <w:rFonts w:hint="cs"/>
          <w:b/>
          <w:bCs/>
          <w:sz w:val="18"/>
          <w:rtl/>
        </w:rPr>
        <w:t>الصناديق الهيكلية واستخدامها و</w:t>
      </w:r>
      <w:r w:rsidRPr="000B01A4">
        <w:rPr>
          <w:rFonts w:hint="cs"/>
          <w:b/>
          <w:bCs/>
          <w:sz w:val="18"/>
          <w:rtl/>
        </w:rPr>
        <w:t xml:space="preserve">التقييم المستمر </w:t>
      </w:r>
      <w:r w:rsidR="00112863">
        <w:rPr>
          <w:rFonts w:hint="cs"/>
          <w:b/>
          <w:bCs/>
          <w:sz w:val="18"/>
          <w:rtl/>
        </w:rPr>
        <w:t xml:space="preserve">لتأثيرها في </w:t>
      </w:r>
      <w:r w:rsidRPr="000B01A4">
        <w:rPr>
          <w:rFonts w:hint="cs"/>
          <w:b/>
          <w:bCs/>
          <w:sz w:val="18"/>
          <w:rtl/>
        </w:rPr>
        <w:t>إعمال الحقوق الاقتصادية والاجتماعية والثقافية.</w:t>
      </w:r>
    </w:p>
    <w:p w:rsidR="000B01A4" w:rsidRPr="000B01A4" w:rsidRDefault="00112863" w:rsidP="00112863">
      <w:pPr>
        <w:pStyle w:val="H23GA"/>
        <w:rPr>
          <w:rFonts w:hint="cs"/>
          <w:rtl/>
        </w:rPr>
      </w:pPr>
      <w:r>
        <w:rPr>
          <w:rtl/>
        </w:rPr>
        <w:br w:type="page"/>
      </w:r>
      <w:r w:rsidR="000B01A4" w:rsidRPr="000B01A4">
        <w:rPr>
          <w:rFonts w:hint="cs"/>
          <w:rtl/>
        </w:rPr>
        <w:tab/>
      </w:r>
      <w:r w:rsidR="000B01A4" w:rsidRPr="000B01A4">
        <w:rPr>
          <w:rFonts w:hint="cs"/>
          <w:rtl/>
        </w:rPr>
        <w:tab/>
        <w:t>الفساد</w:t>
      </w:r>
    </w:p>
    <w:p w:rsidR="000B01A4" w:rsidRPr="000B01A4" w:rsidRDefault="000B01A4" w:rsidP="00112863">
      <w:pPr>
        <w:pStyle w:val="SingleTxtGA"/>
        <w:rPr>
          <w:rFonts w:hint="cs"/>
          <w:sz w:val="18"/>
          <w:rtl/>
        </w:rPr>
      </w:pPr>
      <w:r w:rsidRPr="000B01A4">
        <w:rPr>
          <w:rFonts w:hint="cs"/>
          <w:sz w:val="18"/>
          <w:rtl/>
        </w:rPr>
        <w:t>8-</w:t>
      </w:r>
      <w:r w:rsidRPr="000B01A4">
        <w:rPr>
          <w:rFonts w:hint="cs"/>
          <w:sz w:val="18"/>
          <w:rtl/>
        </w:rPr>
        <w:tab/>
        <w:t xml:space="preserve">لا تزال اللجنة تشعر بالقلق لانتشار الفساد </w:t>
      </w:r>
      <w:r w:rsidR="00112863">
        <w:rPr>
          <w:rFonts w:hint="cs"/>
          <w:sz w:val="18"/>
          <w:rtl/>
        </w:rPr>
        <w:t xml:space="preserve">على نطاق واسع في الدولة الطرف وتأثيره في </w:t>
      </w:r>
      <w:r w:rsidRPr="000B01A4">
        <w:rPr>
          <w:rFonts w:hint="cs"/>
          <w:sz w:val="18"/>
          <w:rtl/>
        </w:rPr>
        <w:t>تمتع السكان الكامل بالحقوق الاقتصادية والاجتماعية والثقافية، رغم التدابير العديدة المتخذة لمكافحته. وتشعر اللجنة بالقلق لأن ضَعف مرتبات الموظفين المدنيين وموظفي قطاعي الصحة والتعليم وليونة العقوبات المطبَّقة في حالات الفساد قد يعيقان التنفيذ الفعال لتلك التدابير (الفقرة 1 من المادة 2).</w:t>
      </w:r>
    </w:p>
    <w:p w:rsidR="000B01A4" w:rsidRPr="000B01A4" w:rsidRDefault="00112863" w:rsidP="00112863">
      <w:pPr>
        <w:pStyle w:val="SingleTxtGA"/>
        <w:rPr>
          <w:rFonts w:hint="cs"/>
          <w:b/>
          <w:bCs/>
          <w:sz w:val="18"/>
          <w:rtl/>
        </w:rPr>
      </w:pPr>
      <w:r>
        <w:rPr>
          <w:rFonts w:hint="cs"/>
          <w:b/>
          <w:bCs/>
          <w:sz w:val="18"/>
          <w:rtl/>
        </w:rPr>
        <w:tab/>
      </w:r>
      <w:r w:rsidR="000B01A4" w:rsidRPr="000B01A4">
        <w:rPr>
          <w:rFonts w:hint="cs"/>
          <w:b/>
          <w:bCs/>
          <w:sz w:val="18"/>
          <w:rtl/>
        </w:rPr>
        <w:t xml:space="preserve">توصي اللجنة الدولة الطرف بأن تعزز فعالية التدابير القانونية والهيكلية والمتصلة بالسياسات لمكافحة الفساد في الحكومة والإدارة العامة والجهاز القضائي، وبأن تحقق في حالات السلوك غير القانوني وتعاقب عليها بشكل فعال. كما توصي اللجنة الدولة الطرف بأن تتخذ التدابير اللازمة لمنع الفساد، بما في ذلك دفع مرتبات كافية، وبأن تزيد الوعي </w:t>
      </w:r>
      <w:r>
        <w:rPr>
          <w:rFonts w:hint="cs"/>
          <w:b/>
          <w:bCs/>
          <w:sz w:val="18"/>
          <w:rtl/>
        </w:rPr>
        <w:t xml:space="preserve">بالتأثير الضار للفساد في </w:t>
      </w:r>
      <w:r w:rsidR="000B01A4" w:rsidRPr="000B01A4">
        <w:rPr>
          <w:rFonts w:hint="cs"/>
          <w:b/>
          <w:bCs/>
          <w:sz w:val="18"/>
          <w:rtl/>
        </w:rPr>
        <w:t>تخصيص الموارد الكافية لإعمال الحقوق الاقتصادية والاجتماعية والثقافية.</w:t>
      </w:r>
    </w:p>
    <w:p w:rsidR="000B01A4" w:rsidRPr="000B01A4" w:rsidRDefault="000B01A4" w:rsidP="00112863">
      <w:pPr>
        <w:pStyle w:val="H23GA"/>
        <w:rPr>
          <w:rFonts w:hint="cs"/>
          <w:rtl/>
        </w:rPr>
      </w:pPr>
      <w:r w:rsidRPr="000B01A4">
        <w:rPr>
          <w:rFonts w:hint="cs"/>
          <w:rtl/>
        </w:rPr>
        <w:tab/>
      </w:r>
      <w:r w:rsidRPr="000B01A4">
        <w:rPr>
          <w:rFonts w:hint="cs"/>
          <w:rtl/>
        </w:rPr>
        <w:tab/>
        <w:t xml:space="preserve">الاستبعاد الاجتماعي والتمييز ضد </w:t>
      </w:r>
      <w:proofErr w:type="spellStart"/>
      <w:r w:rsidRPr="000B01A4">
        <w:rPr>
          <w:rFonts w:hint="cs"/>
          <w:rtl/>
        </w:rPr>
        <w:t>الروما</w:t>
      </w:r>
      <w:proofErr w:type="spellEnd"/>
    </w:p>
    <w:p w:rsidR="000B01A4" w:rsidRPr="000B01A4" w:rsidRDefault="000B01A4" w:rsidP="00450087">
      <w:pPr>
        <w:pStyle w:val="SingleTxtGA"/>
        <w:rPr>
          <w:rFonts w:hint="cs"/>
          <w:sz w:val="18"/>
          <w:rtl/>
        </w:rPr>
      </w:pPr>
      <w:r w:rsidRPr="000B01A4">
        <w:rPr>
          <w:rFonts w:hint="cs"/>
          <w:sz w:val="18"/>
          <w:rtl/>
        </w:rPr>
        <w:t>9-</w:t>
      </w:r>
      <w:r w:rsidRPr="000B01A4">
        <w:rPr>
          <w:rFonts w:hint="cs"/>
          <w:sz w:val="18"/>
          <w:rtl/>
        </w:rPr>
        <w:tab/>
        <w:t xml:space="preserve">تشعر اللجنة بالقلق لأن </w:t>
      </w:r>
      <w:proofErr w:type="spellStart"/>
      <w:r w:rsidRPr="000B01A4">
        <w:rPr>
          <w:rFonts w:hint="cs"/>
          <w:sz w:val="18"/>
          <w:rtl/>
        </w:rPr>
        <w:t>الروما</w:t>
      </w:r>
      <w:proofErr w:type="spellEnd"/>
      <w:r w:rsidRPr="000B01A4">
        <w:rPr>
          <w:rFonts w:hint="cs"/>
          <w:sz w:val="18"/>
          <w:rtl/>
        </w:rPr>
        <w:t xml:space="preserve"> لا يزالون يعانون من التمييز والاستبعاد الاجتماعي على نطاق واسع، ولا</w:t>
      </w:r>
      <w:r w:rsidR="00AD61A2">
        <w:rPr>
          <w:rFonts w:hint="cs"/>
          <w:sz w:val="18"/>
          <w:rtl/>
        </w:rPr>
        <w:t xml:space="preserve"> </w:t>
      </w:r>
      <w:r w:rsidRPr="000B01A4">
        <w:rPr>
          <w:rFonts w:hint="cs"/>
          <w:sz w:val="18"/>
          <w:rtl/>
        </w:rPr>
        <w:t xml:space="preserve">سيما في مجالات السكن والتعليم والصحة وتوفير فرص العمل، رغم الخطط والاستراتيجيات العديدة التي نفذتها الدولة الطرف. وتلاحظ اللجنة بقلق أن عدم امتلاك </w:t>
      </w:r>
      <w:proofErr w:type="spellStart"/>
      <w:r w:rsidRPr="000B01A4">
        <w:rPr>
          <w:rFonts w:hint="cs"/>
          <w:sz w:val="18"/>
          <w:rtl/>
        </w:rPr>
        <w:t>الروما</w:t>
      </w:r>
      <w:proofErr w:type="spellEnd"/>
      <w:r w:rsidRPr="000B01A4">
        <w:rPr>
          <w:rFonts w:hint="cs"/>
          <w:sz w:val="18"/>
          <w:rtl/>
        </w:rPr>
        <w:t xml:space="preserve"> عادةً للوثائق الشخصية اللازمة للحصول على التأمين الاجتماعي والرعاية الصحية و</w:t>
      </w:r>
      <w:r w:rsidR="00112863">
        <w:rPr>
          <w:rFonts w:hint="cs"/>
          <w:sz w:val="18"/>
          <w:rtl/>
        </w:rPr>
        <w:t>المزايا الأخرى ي</w:t>
      </w:r>
      <w:r w:rsidR="00450087">
        <w:rPr>
          <w:rFonts w:hint="cs"/>
          <w:sz w:val="18"/>
          <w:rtl/>
        </w:rPr>
        <w:t>ز</w:t>
      </w:r>
      <w:r w:rsidR="00112863">
        <w:rPr>
          <w:rFonts w:hint="cs"/>
          <w:sz w:val="18"/>
          <w:rtl/>
        </w:rPr>
        <w:t xml:space="preserve">يد حدة التمييز. </w:t>
      </w:r>
      <w:r w:rsidRPr="000B01A4">
        <w:rPr>
          <w:rFonts w:hint="cs"/>
          <w:sz w:val="18"/>
          <w:rtl/>
        </w:rPr>
        <w:t xml:space="preserve">وترحب اللجنة باعتماد استراتيجية إدماج المواطنين الرومانيين المنتمين إلى أقلية </w:t>
      </w:r>
      <w:proofErr w:type="spellStart"/>
      <w:r w:rsidRPr="000B01A4">
        <w:rPr>
          <w:rFonts w:hint="cs"/>
          <w:sz w:val="18"/>
          <w:rtl/>
        </w:rPr>
        <w:t>الروما</w:t>
      </w:r>
      <w:proofErr w:type="spellEnd"/>
      <w:r w:rsidRPr="000B01A4">
        <w:rPr>
          <w:rFonts w:hint="cs"/>
          <w:sz w:val="18"/>
          <w:rtl/>
        </w:rPr>
        <w:t xml:space="preserve"> للفترة 2012</w:t>
      </w:r>
      <w:r w:rsidR="00112863">
        <w:rPr>
          <w:rFonts w:hint="cs"/>
          <w:sz w:val="18"/>
          <w:rtl/>
        </w:rPr>
        <w:t>-</w:t>
      </w:r>
      <w:r w:rsidRPr="000B01A4">
        <w:rPr>
          <w:rFonts w:hint="cs"/>
          <w:sz w:val="18"/>
          <w:rtl/>
        </w:rPr>
        <w:t xml:space="preserve">2020 وخطط العمل القطاعية. غير أن اللجنة يساورها القلق لأنه لم تُجرَ أي دراسة مرجعية </w:t>
      </w:r>
      <w:r w:rsidR="00112863">
        <w:rPr>
          <w:rFonts w:hint="cs"/>
          <w:sz w:val="18"/>
          <w:rtl/>
        </w:rPr>
        <w:t xml:space="preserve">تسمح باستناد تدابير السياسات إلى بيانات </w:t>
      </w:r>
      <w:r w:rsidRPr="000B01A4">
        <w:rPr>
          <w:rFonts w:hint="cs"/>
          <w:sz w:val="18"/>
          <w:rtl/>
        </w:rPr>
        <w:t xml:space="preserve">دقيقة، ولأنه يوجد نقص في المؤشرات </w:t>
      </w:r>
      <w:r w:rsidR="00112863">
        <w:rPr>
          <w:rFonts w:hint="cs"/>
          <w:sz w:val="18"/>
          <w:rtl/>
        </w:rPr>
        <w:t>اللازمة ل</w:t>
      </w:r>
      <w:r w:rsidRPr="000B01A4">
        <w:rPr>
          <w:rFonts w:hint="cs"/>
          <w:sz w:val="18"/>
          <w:rtl/>
        </w:rPr>
        <w:t xml:space="preserve">تقييم التقدم المحرز في تنفيذ الاستراتيجية، ولأن مخصصات الميزانية غير كافية لتنفيذها على نحو فعال. كما تشعر اللجنة بالأسف لعدم وجود بيانات مصنفة بشأن حالة مجتمعات </w:t>
      </w:r>
      <w:proofErr w:type="spellStart"/>
      <w:r w:rsidRPr="000B01A4">
        <w:rPr>
          <w:rFonts w:hint="cs"/>
          <w:sz w:val="18"/>
          <w:rtl/>
        </w:rPr>
        <w:t>الروما</w:t>
      </w:r>
      <w:proofErr w:type="spellEnd"/>
      <w:r w:rsidRPr="000B01A4">
        <w:rPr>
          <w:rFonts w:hint="cs"/>
          <w:sz w:val="18"/>
          <w:rtl/>
        </w:rPr>
        <w:t xml:space="preserve"> في الدولة الطرف، وهو ما يشكل عائق</w:t>
      </w:r>
      <w:r w:rsidR="00AD61A2">
        <w:rPr>
          <w:rFonts w:hint="cs"/>
          <w:sz w:val="18"/>
          <w:rtl/>
        </w:rPr>
        <w:t xml:space="preserve">اً </w:t>
      </w:r>
      <w:r w:rsidRPr="000B01A4">
        <w:rPr>
          <w:rFonts w:hint="cs"/>
          <w:sz w:val="18"/>
          <w:rtl/>
        </w:rPr>
        <w:t>كبير</w:t>
      </w:r>
      <w:r w:rsidR="00AD61A2">
        <w:rPr>
          <w:rFonts w:hint="cs"/>
          <w:sz w:val="18"/>
          <w:rtl/>
        </w:rPr>
        <w:t xml:space="preserve">اً </w:t>
      </w:r>
      <w:r w:rsidRPr="000B01A4">
        <w:rPr>
          <w:rFonts w:hint="cs"/>
          <w:sz w:val="18"/>
          <w:rtl/>
        </w:rPr>
        <w:t xml:space="preserve">آخر لعملية تقييم </w:t>
      </w:r>
      <w:r w:rsidR="002910F1">
        <w:rPr>
          <w:rFonts w:hint="cs"/>
          <w:sz w:val="18"/>
          <w:rtl/>
        </w:rPr>
        <w:t>ت</w:t>
      </w:r>
      <w:r w:rsidRPr="000B01A4">
        <w:rPr>
          <w:rFonts w:hint="cs"/>
          <w:sz w:val="18"/>
          <w:rtl/>
        </w:rPr>
        <w:t>أث</w:t>
      </w:r>
      <w:r w:rsidR="002910F1">
        <w:rPr>
          <w:rFonts w:hint="cs"/>
          <w:sz w:val="18"/>
          <w:rtl/>
        </w:rPr>
        <w:t>ي</w:t>
      </w:r>
      <w:r w:rsidRPr="000B01A4">
        <w:rPr>
          <w:rFonts w:hint="cs"/>
          <w:sz w:val="18"/>
          <w:rtl/>
        </w:rPr>
        <w:t xml:space="preserve">ر التدابير المتخذة. وعلاوة على ذلك، يخالج اللجنة قلق إزاء العداء السائد لدى الرأي العام تجاه أقلية </w:t>
      </w:r>
      <w:proofErr w:type="spellStart"/>
      <w:r w:rsidRPr="000B01A4">
        <w:rPr>
          <w:rFonts w:hint="cs"/>
          <w:sz w:val="18"/>
          <w:rtl/>
        </w:rPr>
        <w:t>الروما</w:t>
      </w:r>
      <w:proofErr w:type="spellEnd"/>
      <w:r w:rsidRPr="000B01A4">
        <w:rPr>
          <w:rFonts w:hint="cs"/>
          <w:sz w:val="18"/>
          <w:rtl/>
        </w:rPr>
        <w:t xml:space="preserve"> (الفقرة 2 من المادة 2).</w:t>
      </w:r>
    </w:p>
    <w:p w:rsidR="000B01A4" w:rsidRPr="000B01A4" w:rsidRDefault="002910F1" w:rsidP="002910F1">
      <w:pPr>
        <w:pStyle w:val="SingleTxtGA"/>
        <w:rPr>
          <w:rFonts w:hint="cs"/>
          <w:b/>
          <w:bCs/>
          <w:sz w:val="18"/>
          <w:rtl/>
        </w:rPr>
      </w:pPr>
      <w:r>
        <w:rPr>
          <w:rFonts w:hint="cs"/>
          <w:b/>
          <w:bCs/>
          <w:sz w:val="18"/>
          <w:rtl/>
        </w:rPr>
        <w:tab/>
      </w:r>
      <w:r w:rsidR="000B01A4" w:rsidRPr="000B01A4">
        <w:rPr>
          <w:rFonts w:hint="cs"/>
          <w:b/>
          <w:bCs/>
          <w:sz w:val="18"/>
          <w:rtl/>
        </w:rPr>
        <w:t>توصي اللجنة الدولة الطرف بأن تعتمد نهج</w:t>
      </w:r>
      <w:r w:rsidR="00AD61A2">
        <w:rPr>
          <w:rFonts w:hint="cs"/>
          <w:b/>
          <w:bCs/>
          <w:sz w:val="18"/>
          <w:rtl/>
        </w:rPr>
        <w:t xml:space="preserve">اً </w:t>
      </w:r>
      <w:r w:rsidR="000B01A4" w:rsidRPr="000B01A4">
        <w:rPr>
          <w:rFonts w:hint="cs"/>
          <w:b/>
          <w:bCs/>
          <w:sz w:val="18"/>
          <w:rtl/>
        </w:rPr>
        <w:t>قائم</w:t>
      </w:r>
      <w:r w:rsidR="00AD61A2">
        <w:rPr>
          <w:rFonts w:hint="cs"/>
          <w:b/>
          <w:bCs/>
          <w:sz w:val="18"/>
          <w:rtl/>
        </w:rPr>
        <w:t xml:space="preserve">اً </w:t>
      </w:r>
      <w:r w:rsidR="000B01A4" w:rsidRPr="000B01A4">
        <w:rPr>
          <w:rFonts w:hint="cs"/>
          <w:b/>
          <w:bCs/>
          <w:sz w:val="18"/>
          <w:rtl/>
        </w:rPr>
        <w:t xml:space="preserve">على حقوق الإنسان في معالجتها لمسألة التمييز ضد </w:t>
      </w:r>
      <w:proofErr w:type="spellStart"/>
      <w:r w:rsidR="000B01A4" w:rsidRPr="000B01A4">
        <w:rPr>
          <w:rFonts w:hint="cs"/>
          <w:b/>
          <w:bCs/>
          <w:sz w:val="18"/>
          <w:rtl/>
        </w:rPr>
        <w:t>الروما</w:t>
      </w:r>
      <w:proofErr w:type="spellEnd"/>
      <w:r w:rsidR="000B01A4" w:rsidRPr="000B01A4">
        <w:rPr>
          <w:rFonts w:hint="cs"/>
          <w:b/>
          <w:bCs/>
          <w:sz w:val="18"/>
          <w:rtl/>
        </w:rPr>
        <w:t>، ويشمل ذلك ما يلي:</w:t>
      </w:r>
    </w:p>
    <w:p w:rsidR="000B01A4" w:rsidRPr="000B01A4" w:rsidRDefault="000B01A4" w:rsidP="000B01A4">
      <w:pPr>
        <w:pStyle w:val="SingleTxtGA"/>
        <w:rPr>
          <w:rFonts w:hint="cs"/>
          <w:b/>
          <w:bCs/>
          <w:sz w:val="18"/>
          <w:rtl/>
        </w:rPr>
      </w:pPr>
      <w:r w:rsidRPr="000B01A4">
        <w:rPr>
          <w:rFonts w:hint="cs"/>
          <w:b/>
          <w:bCs/>
          <w:sz w:val="18"/>
          <w:rtl/>
        </w:rPr>
        <w:tab/>
        <w:t>(أ)</w:t>
      </w:r>
      <w:r w:rsidRPr="000B01A4">
        <w:rPr>
          <w:rFonts w:hint="cs"/>
          <w:b/>
          <w:bCs/>
          <w:sz w:val="18"/>
          <w:rtl/>
        </w:rPr>
        <w:tab/>
        <w:t xml:space="preserve">جمع بيانات إحصائية مصنفة، على أساس التعريف الذاتي، بشأن عدد المنتمين إلى أقلية </w:t>
      </w:r>
      <w:proofErr w:type="spellStart"/>
      <w:r w:rsidRPr="000B01A4">
        <w:rPr>
          <w:rFonts w:hint="cs"/>
          <w:b/>
          <w:bCs/>
          <w:sz w:val="18"/>
          <w:rtl/>
        </w:rPr>
        <w:t>الروما</w:t>
      </w:r>
      <w:proofErr w:type="spellEnd"/>
      <w:r w:rsidRPr="000B01A4">
        <w:rPr>
          <w:rFonts w:hint="cs"/>
          <w:b/>
          <w:bCs/>
          <w:sz w:val="18"/>
          <w:rtl/>
        </w:rPr>
        <w:t xml:space="preserve"> الذين يعيشون في البلد وبشأن حصولهم على العمل والضمان الاجتماعي والسكن والرعاية الصحية والتعليم، وذلك بغرض صياغة برامج وسياسات على الصعيد الوطني ترمي إلى تحسين وضعهم الاقتصادي</w:t>
      </w:r>
      <w:r w:rsidR="002910F1">
        <w:rPr>
          <w:rFonts w:hint="cs"/>
          <w:b/>
          <w:bCs/>
          <w:sz w:val="18"/>
          <w:rtl/>
        </w:rPr>
        <w:t xml:space="preserve"> </w:t>
      </w:r>
      <w:r w:rsidRPr="000B01A4">
        <w:rPr>
          <w:rFonts w:hint="cs"/>
          <w:b/>
          <w:bCs/>
          <w:sz w:val="18"/>
          <w:rtl/>
        </w:rPr>
        <w:t>-</w:t>
      </w:r>
      <w:r w:rsidR="002910F1">
        <w:rPr>
          <w:rFonts w:hint="cs"/>
          <w:b/>
          <w:bCs/>
          <w:sz w:val="18"/>
          <w:rtl/>
        </w:rPr>
        <w:t xml:space="preserve"> </w:t>
      </w:r>
      <w:r w:rsidRPr="000B01A4">
        <w:rPr>
          <w:rFonts w:hint="cs"/>
          <w:b/>
          <w:bCs/>
          <w:sz w:val="18"/>
          <w:rtl/>
        </w:rPr>
        <w:t>الاجتماعي وتنفيذها ورصدها؛</w:t>
      </w:r>
    </w:p>
    <w:p w:rsidR="000B01A4" w:rsidRPr="000B01A4" w:rsidRDefault="000B01A4" w:rsidP="000B01A4">
      <w:pPr>
        <w:pStyle w:val="SingleTxtGA"/>
        <w:rPr>
          <w:rFonts w:hint="cs"/>
          <w:b/>
          <w:bCs/>
          <w:sz w:val="18"/>
          <w:rtl/>
        </w:rPr>
      </w:pPr>
      <w:r w:rsidRPr="000B01A4">
        <w:rPr>
          <w:rFonts w:hint="cs"/>
          <w:b/>
          <w:bCs/>
          <w:sz w:val="18"/>
          <w:rtl/>
        </w:rPr>
        <w:tab/>
        <w:t>(ب)</w:t>
      </w:r>
      <w:r w:rsidRPr="000B01A4">
        <w:rPr>
          <w:rFonts w:hint="cs"/>
          <w:b/>
          <w:bCs/>
          <w:sz w:val="18"/>
          <w:rtl/>
        </w:rPr>
        <w:tab/>
        <w:t xml:space="preserve">مواصلة الجهود المبذولة لتزويد المنتمين إلى أقلية </w:t>
      </w:r>
      <w:proofErr w:type="spellStart"/>
      <w:r w:rsidRPr="000B01A4">
        <w:rPr>
          <w:rFonts w:hint="cs"/>
          <w:b/>
          <w:bCs/>
          <w:sz w:val="18"/>
          <w:rtl/>
        </w:rPr>
        <w:t>الروما</w:t>
      </w:r>
      <w:proofErr w:type="spellEnd"/>
      <w:r w:rsidRPr="000B01A4">
        <w:rPr>
          <w:rFonts w:hint="cs"/>
          <w:b/>
          <w:bCs/>
          <w:sz w:val="18"/>
          <w:rtl/>
        </w:rPr>
        <w:t xml:space="preserve"> بالوثائق الشخصية اللازمة لتمتعهم بحقوقهم بموجب العهد، بما في ذلك شهادات الميلاد؛</w:t>
      </w:r>
    </w:p>
    <w:p w:rsidR="000B01A4" w:rsidRPr="000B01A4" w:rsidRDefault="000B01A4" w:rsidP="000B01A4">
      <w:pPr>
        <w:pStyle w:val="SingleTxtGA"/>
        <w:rPr>
          <w:rFonts w:hint="cs"/>
          <w:b/>
          <w:bCs/>
          <w:sz w:val="18"/>
          <w:rtl/>
        </w:rPr>
      </w:pPr>
      <w:r w:rsidRPr="000B01A4">
        <w:rPr>
          <w:rFonts w:hint="cs"/>
          <w:b/>
          <w:bCs/>
          <w:sz w:val="18"/>
          <w:rtl/>
        </w:rPr>
        <w:tab/>
        <w:t>(ج)</w:t>
      </w:r>
      <w:r w:rsidRPr="000B01A4">
        <w:rPr>
          <w:rFonts w:hint="cs"/>
          <w:b/>
          <w:bCs/>
          <w:sz w:val="18"/>
          <w:rtl/>
        </w:rPr>
        <w:tab/>
        <w:t xml:space="preserve">الحرص على أن تتضمن الاستراتيجية وخطط العمل المتعلقة بإدماج </w:t>
      </w:r>
      <w:proofErr w:type="spellStart"/>
      <w:r w:rsidRPr="000B01A4">
        <w:rPr>
          <w:rFonts w:hint="cs"/>
          <w:b/>
          <w:bCs/>
          <w:sz w:val="18"/>
          <w:rtl/>
        </w:rPr>
        <w:t>الروما</w:t>
      </w:r>
      <w:proofErr w:type="spellEnd"/>
      <w:r w:rsidRPr="000B01A4">
        <w:rPr>
          <w:rFonts w:hint="cs"/>
          <w:b/>
          <w:bCs/>
          <w:sz w:val="18"/>
          <w:rtl/>
        </w:rPr>
        <w:t xml:space="preserve"> تدابير محددة ترمي إلى معالجة المشاكل التي </w:t>
      </w:r>
      <w:proofErr w:type="spellStart"/>
      <w:r w:rsidRPr="000B01A4">
        <w:rPr>
          <w:rFonts w:hint="cs"/>
          <w:b/>
          <w:bCs/>
          <w:sz w:val="18"/>
          <w:rtl/>
        </w:rPr>
        <w:t>يواجهونها</w:t>
      </w:r>
      <w:proofErr w:type="spellEnd"/>
      <w:r w:rsidRPr="000B01A4">
        <w:rPr>
          <w:rFonts w:hint="cs"/>
          <w:b/>
          <w:bCs/>
          <w:sz w:val="18"/>
          <w:rtl/>
        </w:rPr>
        <w:t xml:space="preserve"> في الحصول على العمل والضمان الاجتماعي والسكن والرعاية الصحية والتعليم؛</w:t>
      </w:r>
    </w:p>
    <w:p w:rsidR="000B01A4" w:rsidRPr="000B01A4" w:rsidRDefault="000B01A4" w:rsidP="002910F1">
      <w:pPr>
        <w:pStyle w:val="SingleTxtGA"/>
        <w:rPr>
          <w:rFonts w:hint="cs"/>
          <w:b/>
          <w:bCs/>
          <w:sz w:val="18"/>
          <w:rtl/>
        </w:rPr>
      </w:pPr>
      <w:r w:rsidRPr="000B01A4">
        <w:rPr>
          <w:rFonts w:hint="cs"/>
          <w:b/>
          <w:bCs/>
          <w:sz w:val="18"/>
          <w:rtl/>
        </w:rPr>
        <w:tab/>
        <w:t>(د)</w:t>
      </w:r>
      <w:r w:rsidRPr="000B01A4">
        <w:rPr>
          <w:rFonts w:hint="cs"/>
          <w:b/>
          <w:bCs/>
          <w:sz w:val="18"/>
          <w:rtl/>
        </w:rPr>
        <w:tab/>
        <w:t>المضي في معالجة مشكل</w:t>
      </w:r>
      <w:r w:rsidR="002910F1">
        <w:rPr>
          <w:rFonts w:hint="cs"/>
          <w:b/>
          <w:bCs/>
          <w:sz w:val="18"/>
          <w:rtl/>
        </w:rPr>
        <w:t>ة</w:t>
      </w:r>
      <w:r w:rsidRPr="000B01A4">
        <w:rPr>
          <w:rFonts w:hint="cs"/>
          <w:b/>
          <w:bCs/>
          <w:sz w:val="18"/>
          <w:rtl/>
        </w:rPr>
        <w:t xml:space="preserve"> الأحكام المسبقة والصور النمطية السلبية، التي تندرج ضمن الأسباب الجذرية للتمييز والاستبعاد الاجتماعي </w:t>
      </w:r>
      <w:r w:rsidR="002910F1">
        <w:rPr>
          <w:rFonts w:hint="cs"/>
          <w:b/>
          <w:bCs/>
          <w:sz w:val="18"/>
          <w:rtl/>
        </w:rPr>
        <w:t xml:space="preserve">الكليين </w:t>
      </w:r>
      <w:r w:rsidRPr="000B01A4">
        <w:rPr>
          <w:rFonts w:hint="cs"/>
          <w:b/>
          <w:bCs/>
          <w:sz w:val="18"/>
          <w:rtl/>
        </w:rPr>
        <w:t xml:space="preserve">اللذين يتعرض لهما </w:t>
      </w:r>
      <w:proofErr w:type="spellStart"/>
      <w:r w:rsidRPr="000B01A4">
        <w:rPr>
          <w:rFonts w:hint="cs"/>
          <w:b/>
          <w:bCs/>
          <w:sz w:val="18"/>
          <w:rtl/>
        </w:rPr>
        <w:t>الروما</w:t>
      </w:r>
      <w:proofErr w:type="spellEnd"/>
      <w:r w:rsidRPr="000B01A4">
        <w:rPr>
          <w:rFonts w:hint="cs"/>
          <w:b/>
          <w:bCs/>
          <w:sz w:val="18"/>
          <w:rtl/>
        </w:rPr>
        <w:t>.</w:t>
      </w:r>
    </w:p>
    <w:p w:rsidR="000B01A4" w:rsidRPr="000B01A4" w:rsidRDefault="000B01A4" w:rsidP="002910F1">
      <w:pPr>
        <w:pStyle w:val="H23GA"/>
        <w:rPr>
          <w:rFonts w:hint="cs"/>
          <w:rtl/>
        </w:rPr>
      </w:pPr>
      <w:r w:rsidRPr="000B01A4">
        <w:rPr>
          <w:rFonts w:hint="cs"/>
          <w:rtl/>
        </w:rPr>
        <w:tab/>
      </w:r>
      <w:r w:rsidRPr="000B01A4">
        <w:rPr>
          <w:rFonts w:hint="cs"/>
          <w:rtl/>
        </w:rPr>
        <w:tab/>
        <w:t>المساواة بين الجنسين</w:t>
      </w:r>
    </w:p>
    <w:p w:rsidR="000B01A4" w:rsidRPr="000B01A4" w:rsidRDefault="00450087" w:rsidP="002910F1">
      <w:pPr>
        <w:pStyle w:val="SingleTxtGA"/>
        <w:rPr>
          <w:rFonts w:hint="cs"/>
          <w:sz w:val="18"/>
        </w:rPr>
      </w:pPr>
      <w:r>
        <w:rPr>
          <w:rFonts w:hint="cs"/>
          <w:sz w:val="18"/>
          <w:rtl/>
        </w:rPr>
        <w:t>10-</w:t>
      </w:r>
      <w:r>
        <w:rPr>
          <w:rFonts w:hint="cs"/>
          <w:sz w:val="18"/>
          <w:rtl/>
        </w:rPr>
        <w:tab/>
      </w:r>
      <w:r w:rsidR="000B01A4" w:rsidRPr="000B01A4">
        <w:rPr>
          <w:rFonts w:hint="cs"/>
          <w:sz w:val="18"/>
          <w:rtl/>
        </w:rPr>
        <w:t xml:space="preserve">تشعر اللجنة بالقلق لأن تمثيل المرأة في المناصب العامة لا يزال إلى </w:t>
      </w:r>
      <w:r w:rsidR="002910F1">
        <w:rPr>
          <w:rFonts w:hint="cs"/>
          <w:sz w:val="18"/>
          <w:rtl/>
        </w:rPr>
        <w:t>دون المستوى حد كبير</w:t>
      </w:r>
      <w:r w:rsidR="000B01A4" w:rsidRPr="000B01A4">
        <w:rPr>
          <w:rFonts w:hint="cs"/>
          <w:sz w:val="18"/>
          <w:rtl/>
        </w:rPr>
        <w:t>، وبخاصة في الهيئات الحكومية الوطنية والمحلية المنتخبة والمعينة (المادتان 3 و6).</w:t>
      </w:r>
    </w:p>
    <w:p w:rsidR="000B01A4" w:rsidRPr="000B01A4" w:rsidRDefault="002910F1" w:rsidP="002910F1">
      <w:pPr>
        <w:pStyle w:val="SingleTxtGA"/>
        <w:rPr>
          <w:rFonts w:hint="cs"/>
          <w:b/>
          <w:bCs/>
          <w:sz w:val="18"/>
          <w:rtl/>
        </w:rPr>
      </w:pPr>
      <w:r>
        <w:rPr>
          <w:rFonts w:hint="cs"/>
          <w:b/>
          <w:bCs/>
          <w:sz w:val="18"/>
          <w:rtl/>
        </w:rPr>
        <w:tab/>
      </w:r>
      <w:r w:rsidR="000B01A4" w:rsidRPr="000B01A4">
        <w:rPr>
          <w:rFonts w:hint="cs"/>
          <w:b/>
          <w:bCs/>
          <w:sz w:val="18"/>
          <w:rtl/>
        </w:rPr>
        <w:t>توصي اللجنة الدولة الطرف بأن تنظر في ما يلي:</w:t>
      </w:r>
    </w:p>
    <w:p w:rsidR="000B01A4" w:rsidRPr="000B01A4" w:rsidRDefault="000B01A4" w:rsidP="000B01A4">
      <w:pPr>
        <w:pStyle w:val="SingleTxtGA"/>
        <w:rPr>
          <w:rFonts w:hint="cs"/>
          <w:b/>
          <w:bCs/>
          <w:sz w:val="18"/>
          <w:rtl/>
        </w:rPr>
      </w:pPr>
      <w:r w:rsidRPr="000B01A4">
        <w:rPr>
          <w:rFonts w:hint="cs"/>
          <w:b/>
          <w:bCs/>
          <w:sz w:val="18"/>
          <w:rtl/>
        </w:rPr>
        <w:tab/>
        <w:t>(أ)</w:t>
      </w:r>
      <w:r w:rsidRPr="000B01A4">
        <w:rPr>
          <w:rFonts w:hint="cs"/>
          <w:b/>
          <w:bCs/>
          <w:sz w:val="18"/>
          <w:rtl/>
        </w:rPr>
        <w:tab/>
        <w:t>اعتماد تدابير خاصة مؤقتة، من قبيل نظام الحصص</w:t>
      </w:r>
      <w:r w:rsidR="002910F1">
        <w:rPr>
          <w:rFonts w:hint="cs"/>
          <w:b/>
          <w:bCs/>
          <w:sz w:val="18"/>
          <w:rtl/>
        </w:rPr>
        <w:t>،</w:t>
      </w:r>
      <w:r w:rsidRPr="000B01A4">
        <w:rPr>
          <w:rFonts w:hint="cs"/>
          <w:b/>
          <w:bCs/>
          <w:sz w:val="18"/>
          <w:rtl/>
        </w:rPr>
        <w:t xml:space="preserve"> للمرشحين للانتخابات والمناصب العامة بغرض تعزيز المساواة بين الجنسين؛</w:t>
      </w:r>
    </w:p>
    <w:p w:rsidR="000B01A4" w:rsidRPr="000B01A4" w:rsidRDefault="000B01A4" w:rsidP="001C1B3B">
      <w:pPr>
        <w:pStyle w:val="SingleTxtGA"/>
        <w:rPr>
          <w:rFonts w:hint="cs"/>
          <w:b/>
          <w:bCs/>
          <w:sz w:val="18"/>
          <w:rtl/>
        </w:rPr>
      </w:pPr>
      <w:r w:rsidRPr="000B01A4">
        <w:rPr>
          <w:rFonts w:hint="cs"/>
          <w:b/>
          <w:bCs/>
          <w:sz w:val="18"/>
          <w:rtl/>
        </w:rPr>
        <w:tab/>
        <w:t>(ب)</w:t>
      </w:r>
      <w:r w:rsidRPr="000B01A4">
        <w:rPr>
          <w:rFonts w:hint="cs"/>
          <w:b/>
          <w:bCs/>
          <w:sz w:val="18"/>
          <w:rtl/>
        </w:rPr>
        <w:tab/>
        <w:t xml:space="preserve">تعزيز تدابير من قبيل خدمات رعاية الأطفال والإجازة الأبوية، </w:t>
      </w:r>
      <w:r w:rsidR="001C1B3B">
        <w:rPr>
          <w:rFonts w:hint="cs"/>
          <w:b/>
          <w:bCs/>
          <w:sz w:val="18"/>
          <w:rtl/>
        </w:rPr>
        <w:t xml:space="preserve">لتحقيق توازن أكبر في تقاسم </w:t>
      </w:r>
      <w:r w:rsidRPr="000B01A4">
        <w:rPr>
          <w:rFonts w:hint="cs"/>
          <w:b/>
          <w:bCs/>
          <w:sz w:val="18"/>
          <w:rtl/>
        </w:rPr>
        <w:t>المسؤوليات المهنية والأسرية بين المرأة والرجل.</w:t>
      </w:r>
    </w:p>
    <w:p w:rsidR="000B01A4" w:rsidRPr="000B01A4" w:rsidRDefault="000B01A4" w:rsidP="001C1B3B">
      <w:pPr>
        <w:pStyle w:val="H23GA"/>
        <w:rPr>
          <w:rFonts w:hint="cs"/>
          <w:rtl/>
        </w:rPr>
      </w:pPr>
      <w:r w:rsidRPr="000B01A4">
        <w:rPr>
          <w:rFonts w:hint="cs"/>
          <w:rtl/>
        </w:rPr>
        <w:tab/>
      </w:r>
      <w:r w:rsidRPr="000B01A4">
        <w:rPr>
          <w:rFonts w:hint="cs"/>
          <w:rtl/>
        </w:rPr>
        <w:tab/>
        <w:t>البطالة</w:t>
      </w:r>
    </w:p>
    <w:p w:rsidR="000B01A4" w:rsidRPr="000B01A4" w:rsidRDefault="000B01A4" w:rsidP="001C1B3B">
      <w:pPr>
        <w:pStyle w:val="SingleTxtGA"/>
        <w:rPr>
          <w:rFonts w:hint="cs"/>
          <w:sz w:val="18"/>
          <w:rtl/>
        </w:rPr>
      </w:pPr>
      <w:r w:rsidRPr="000B01A4">
        <w:rPr>
          <w:rFonts w:hint="cs"/>
          <w:sz w:val="18"/>
          <w:rtl/>
        </w:rPr>
        <w:t>11-</w:t>
      </w:r>
      <w:r w:rsidRPr="000B01A4">
        <w:rPr>
          <w:rFonts w:hint="cs"/>
          <w:sz w:val="18"/>
          <w:rtl/>
        </w:rPr>
        <w:tab/>
        <w:t xml:space="preserve">يساور اللجنة قلق إزاء انخفاض معدل </w:t>
      </w:r>
      <w:r w:rsidR="001C1B3B">
        <w:rPr>
          <w:rFonts w:hint="cs"/>
          <w:sz w:val="18"/>
          <w:rtl/>
        </w:rPr>
        <w:t xml:space="preserve">التوظيف الإجمالي </w:t>
      </w:r>
      <w:r w:rsidRPr="000B01A4">
        <w:rPr>
          <w:rFonts w:hint="cs"/>
          <w:sz w:val="18"/>
          <w:rtl/>
        </w:rPr>
        <w:t xml:space="preserve">في الدولة الطرف وإزاء </w:t>
      </w:r>
      <w:r w:rsidR="001C1B3B">
        <w:rPr>
          <w:rFonts w:hint="cs"/>
          <w:sz w:val="18"/>
          <w:rtl/>
        </w:rPr>
        <w:t>بلوغ البطالة الطويلة الأمد مستوى مرتفع.</w:t>
      </w:r>
      <w:r w:rsidRPr="000B01A4">
        <w:rPr>
          <w:rFonts w:hint="cs"/>
          <w:sz w:val="18"/>
          <w:rtl/>
        </w:rPr>
        <w:t xml:space="preserve"> وتشعر بالقلق على وجه الخصوص لأنه، رغم التدابير المحددة الأهداف، لا يزال معدل البطالة عالي</w:t>
      </w:r>
      <w:r w:rsidR="00AD61A2">
        <w:rPr>
          <w:rFonts w:hint="cs"/>
          <w:sz w:val="18"/>
          <w:rtl/>
        </w:rPr>
        <w:t xml:space="preserve">اً </w:t>
      </w:r>
      <w:r w:rsidRPr="000B01A4">
        <w:rPr>
          <w:rFonts w:hint="cs"/>
          <w:sz w:val="18"/>
          <w:rtl/>
        </w:rPr>
        <w:t xml:space="preserve">في أوساط الشباب </w:t>
      </w:r>
      <w:proofErr w:type="spellStart"/>
      <w:r w:rsidRPr="000B01A4">
        <w:rPr>
          <w:rFonts w:hint="cs"/>
          <w:sz w:val="18"/>
          <w:rtl/>
        </w:rPr>
        <w:t>والروما</w:t>
      </w:r>
      <w:proofErr w:type="spellEnd"/>
      <w:r w:rsidRPr="000B01A4">
        <w:rPr>
          <w:rFonts w:hint="cs"/>
          <w:sz w:val="18"/>
          <w:rtl/>
        </w:rPr>
        <w:t xml:space="preserve"> والأشخاص ذوي الإعاقة. وبالإضافة إلى ذلك، تلاحظ اللجنة بقلق أن 16.8 في المائة من الأشخاص </w:t>
      </w:r>
      <w:r w:rsidR="001C1B3B">
        <w:rPr>
          <w:rFonts w:hint="cs"/>
          <w:sz w:val="18"/>
          <w:rtl/>
        </w:rPr>
        <w:t xml:space="preserve">الذين تتراوح </w:t>
      </w:r>
      <w:r w:rsidRPr="000B01A4">
        <w:rPr>
          <w:rFonts w:hint="cs"/>
          <w:sz w:val="18"/>
          <w:rtl/>
        </w:rPr>
        <w:t xml:space="preserve">أعمارهم بين 15 و24 سنة كانوا </w:t>
      </w:r>
      <w:r w:rsidR="001C1B3B">
        <w:rPr>
          <w:rFonts w:hint="cs"/>
          <w:sz w:val="18"/>
          <w:rtl/>
        </w:rPr>
        <w:t xml:space="preserve">لم يوظفوا ولم يتلقوا </w:t>
      </w:r>
      <w:r w:rsidRPr="000B01A4">
        <w:rPr>
          <w:rFonts w:hint="cs"/>
          <w:sz w:val="18"/>
          <w:rtl/>
        </w:rPr>
        <w:t>التعليم أو التدريب في عام 2012 (الفقرة 2 من المادة 2، والمادة 6).</w:t>
      </w:r>
    </w:p>
    <w:p w:rsidR="000B01A4" w:rsidRPr="000B01A4" w:rsidRDefault="001C1B3B" w:rsidP="001C1B3B">
      <w:pPr>
        <w:pStyle w:val="SingleTxtGA"/>
        <w:rPr>
          <w:rFonts w:hint="cs"/>
          <w:b/>
          <w:bCs/>
          <w:sz w:val="18"/>
          <w:rtl/>
        </w:rPr>
      </w:pPr>
      <w:r>
        <w:rPr>
          <w:rFonts w:hint="cs"/>
          <w:b/>
          <w:bCs/>
          <w:sz w:val="18"/>
          <w:rtl/>
        </w:rPr>
        <w:tab/>
      </w:r>
      <w:r w:rsidR="000B01A4" w:rsidRPr="000B01A4">
        <w:rPr>
          <w:rFonts w:hint="cs"/>
          <w:b/>
          <w:bCs/>
          <w:sz w:val="18"/>
          <w:rtl/>
        </w:rPr>
        <w:t xml:space="preserve">توصي اللجنة الدولة الطرف بأن تكثف جهودها لمواصلة تقليص معدل البطالة، وبخاصة في أوساط الشباب </w:t>
      </w:r>
      <w:proofErr w:type="spellStart"/>
      <w:r w:rsidR="000B01A4" w:rsidRPr="000B01A4">
        <w:rPr>
          <w:rFonts w:hint="cs"/>
          <w:b/>
          <w:bCs/>
          <w:sz w:val="18"/>
          <w:rtl/>
        </w:rPr>
        <w:t>والروما</w:t>
      </w:r>
      <w:proofErr w:type="spellEnd"/>
      <w:r w:rsidR="000B01A4" w:rsidRPr="000B01A4">
        <w:rPr>
          <w:rFonts w:hint="cs"/>
          <w:b/>
          <w:bCs/>
          <w:sz w:val="18"/>
          <w:rtl/>
        </w:rPr>
        <w:t xml:space="preserve"> والأشخاص ذوي الإعاقة، ويشمل ذلك ما يلي:</w:t>
      </w:r>
    </w:p>
    <w:p w:rsidR="000B01A4" w:rsidRPr="000B01A4" w:rsidRDefault="000B01A4" w:rsidP="000B01A4">
      <w:pPr>
        <w:pStyle w:val="SingleTxtGA"/>
        <w:rPr>
          <w:rFonts w:hint="cs"/>
          <w:b/>
          <w:bCs/>
          <w:sz w:val="18"/>
          <w:rtl/>
        </w:rPr>
      </w:pPr>
      <w:r w:rsidRPr="000B01A4">
        <w:rPr>
          <w:rFonts w:hint="cs"/>
          <w:b/>
          <w:bCs/>
          <w:sz w:val="18"/>
          <w:rtl/>
        </w:rPr>
        <w:tab/>
        <w:t>(أ)</w:t>
      </w:r>
      <w:r w:rsidRPr="000B01A4">
        <w:rPr>
          <w:rFonts w:hint="cs"/>
          <w:b/>
          <w:bCs/>
          <w:sz w:val="18"/>
          <w:rtl/>
        </w:rPr>
        <w:tab/>
        <w:t>إعطاء الأولوية للتدريب المهني، ولا</w:t>
      </w:r>
      <w:r w:rsidR="00AD61A2">
        <w:rPr>
          <w:rFonts w:hint="cs"/>
          <w:b/>
          <w:bCs/>
          <w:sz w:val="18"/>
          <w:rtl/>
        </w:rPr>
        <w:t xml:space="preserve"> </w:t>
      </w:r>
      <w:r w:rsidRPr="000B01A4">
        <w:rPr>
          <w:rFonts w:hint="cs"/>
          <w:b/>
          <w:bCs/>
          <w:sz w:val="18"/>
          <w:rtl/>
        </w:rPr>
        <w:t>سيما بالنسبة للعاطلين عن العمل فترة طويلة بغية تعزيز موقعهم في سوق العمل، مع مراعاة احتياجات المحرومين والمهمشين أفراد</w:t>
      </w:r>
      <w:r w:rsidR="00AD61A2">
        <w:rPr>
          <w:rFonts w:hint="cs"/>
          <w:b/>
          <w:bCs/>
          <w:sz w:val="18"/>
          <w:rtl/>
        </w:rPr>
        <w:t xml:space="preserve">اً </w:t>
      </w:r>
      <w:r w:rsidRPr="000B01A4">
        <w:rPr>
          <w:rFonts w:hint="cs"/>
          <w:b/>
          <w:bCs/>
          <w:sz w:val="18"/>
          <w:rtl/>
        </w:rPr>
        <w:t>وجماعات؛</w:t>
      </w:r>
    </w:p>
    <w:p w:rsidR="000B01A4" w:rsidRPr="000B01A4" w:rsidRDefault="000B01A4" w:rsidP="001C1B3B">
      <w:pPr>
        <w:pStyle w:val="SingleTxtGA"/>
        <w:rPr>
          <w:rFonts w:hint="cs"/>
          <w:b/>
          <w:bCs/>
          <w:sz w:val="18"/>
          <w:rtl/>
        </w:rPr>
      </w:pPr>
      <w:r w:rsidRPr="000B01A4">
        <w:rPr>
          <w:rFonts w:hint="cs"/>
          <w:b/>
          <w:bCs/>
          <w:sz w:val="18"/>
          <w:rtl/>
        </w:rPr>
        <w:tab/>
        <w:t>(ب)</w:t>
      </w:r>
      <w:r w:rsidRPr="000B01A4">
        <w:rPr>
          <w:rFonts w:hint="cs"/>
          <w:b/>
          <w:bCs/>
          <w:sz w:val="18"/>
          <w:rtl/>
        </w:rPr>
        <w:tab/>
        <w:t>مواصلة وتعزيز البرامج التي تعالج مشكل</w:t>
      </w:r>
      <w:r w:rsidR="00450087">
        <w:rPr>
          <w:rFonts w:hint="cs"/>
          <w:b/>
          <w:bCs/>
          <w:sz w:val="18"/>
          <w:rtl/>
        </w:rPr>
        <w:t>ة</w:t>
      </w:r>
      <w:r w:rsidRPr="000B01A4">
        <w:rPr>
          <w:rFonts w:hint="cs"/>
          <w:b/>
          <w:bCs/>
          <w:sz w:val="18"/>
          <w:rtl/>
        </w:rPr>
        <w:t xml:space="preserve"> بطالة الشباب والمحافظة على الحوافز المقدمة لأرباب العمل الذين ينشئون </w:t>
      </w:r>
      <w:r w:rsidR="001C1B3B">
        <w:rPr>
          <w:rFonts w:hint="cs"/>
          <w:b/>
          <w:bCs/>
          <w:sz w:val="18"/>
          <w:rtl/>
        </w:rPr>
        <w:t xml:space="preserve">وظائف </w:t>
      </w:r>
      <w:r w:rsidRPr="000B01A4">
        <w:rPr>
          <w:rFonts w:hint="cs"/>
          <w:b/>
          <w:bCs/>
          <w:sz w:val="18"/>
          <w:rtl/>
        </w:rPr>
        <w:t xml:space="preserve">جديدة للشباب، بمن فيهم الخريجون الشباب ذوو الإعاقة والشباب المعرضون لخطر التهميش الاجتماعي، وضمان </w:t>
      </w:r>
      <w:r w:rsidR="001C1B3B">
        <w:rPr>
          <w:rFonts w:hint="cs"/>
          <w:b/>
          <w:bCs/>
          <w:sz w:val="18"/>
          <w:rtl/>
        </w:rPr>
        <w:t xml:space="preserve">بقاء </w:t>
      </w:r>
      <w:r w:rsidRPr="000B01A4">
        <w:rPr>
          <w:rFonts w:hint="cs"/>
          <w:b/>
          <w:bCs/>
          <w:sz w:val="18"/>
          <w:rtl/>
        </w:rPr>
        <w:t xml:space="preserve">من يحصلون على العمل بهذه الطريقة </w:t>
      </w:r>
      <w:r w:rsidR="001C1B3B">
        <w:rPr>
          <w:rFonts w:hint="cs"/>
          <w:b/>
          <w:bCs/>
          <w:sz w:val="18"/>
          <w:rtl/>
        </w:rPr>
        <w:t xml:space="preserve">في وظائفهم عندما يتوقف تقديم </w:t>
      </w:r>
      <w:r w:rsidRPr="000B01A4">
        <w:rPr>
          <w:rFonts w:hint="cs"/>
          <w:b/>
          <w:bCs/>
          <w:sz w:val="18"/>
          <w:rtl/>
        </w:rPr>
        <w:t>هذه الحوافز؛</w:t>
      </w:r>
    </w:p>
    <w:p w:rsidR="000B01A4" w:rsidRPr="000B01A4" w:rsidRDefault="000B01A4" w:rsidP="004F7665">
      <w:pPr>
        <w:pStyle w:val="SingleTxtGA"/>
        <w:rPr>
          <w:rFonts w:hint="cs"/>
          <w:b/>
          <w:bCs/>
          <w:sz w:val="18"/>
          <w:rtl/>
        </w:rPr>
      </w:pPr>
      <w:r w:rsidRPr="000B01A4">
        <w:rPr>
          <w:rFonts w:hint="cs"/>
          <w:b/>
          <w:bCs/>
          <w:sz w:val="18"/>
          <w:rtl/>
        </w:rPr>
        <w:tab/>
        <w:t>(ج)</w:t>
      </w:r>
      <w:r w:rsidRPr="000B01A4">
        <w:rPr>
          <w:rFonts w:hint="cs"/>
          <w:b/>
          <w:bCs/>
          <w:sz w:val="18"/>
          <w:rtl/>
        </w:rPr>
        <w:tab/>
        <w:t xml:space="preserve">كفالة </w:t>
      </w:r>
      <w:r w:rsidR="001C1B3B">
        <w:rPr>
          <w:rFonts w:hint="cs"/>
          <w:b/>
          <w:bCs/>
          <w:sz w:val="18"/>
          <w:rtl/>
        </w:rPr>
        <w:t xml:space="preserve">التزام </w:t>
      </w:r>
      <w:r w:rsidRPr="000B01A4">
        <w:rPr>
          <w:rFonts w:hint="cs"/>
          <w:b/>
          <w:bCs/>
          <w:sz w:val="18"/>
          <w:rtl/>
        </w:rPr>
        <w:t xml:space="preserve">الشركات والمؤسسات العامة والخاصة </w:t>
      </w:r>
      <w:r w:rsidR="001C1B3B">
        <w:rPr>
          <w:rFonts w:hint="cs"/>
          <w:b/>
          <w:bCs/>
          <w:sz w:val="18"/>
          <w:rtl/>
        </w:rPr>
        <w:t xml:space="preserve">التزاماً فعلياً بنظام تخصيص حصة 4 في المائة من فرص العمل للأشخاص ذوي الإعاقة، بوسائل منها تطبيق عقوبات </w:t>
      </w:r>
      <w:r w:rsidR="004F7665">
        <w:rPr>
          <w:rFonts w:hint="cs"/>
          <w:b/>
          <w:bCs/>
          <w:sz w:val="18"/>
          <w:rtl/>
        </w:rPr>
        <w:t>ر</w:t>
      </w:r>
      <w:r w:rsidR="001C1B3B">
        <w:rPr>
          <w:rFonts w:hint="cs"/>
          <w:b/>
          <w:bCs/>
          <w:sz w:val="18"/>
          <w:rtl/>
        </w:rPr>
        <w:t xml:space="preserve">ادعة على أرباء العمل في حالة عدم التزامهم؛ </w:t>
      </w:r>
    </w:p>
    <w:p w:rsidR="000B01A4" w:rsidRPr="000B01A4" w:rsidRDefault="000B01A4" w:rsidP="001C1B3B">
      <w:pPr>
        <w:pStyle w:val="SingleTxtGA"/>
        <w:rPr>
          <w:rFonts w:hint="cs"/>
          <w:b/>
          <w:bCs/>
          <w:sz w:val="18"/>
          <w:rtl/>
        </w:rPr>
      </w:pPr>
      <w:r w:rsidRPr="000B01A4">
        <w:rPr>
          <w:rFonts w:hint="cs"/>
          <w:b/>
          <w:bCs/>
          <w:sz w:val="18"/>
          <w:rtl/>
        </w:rPr>
        <w:tab/>
        <w:t>(د)</w:t>
      </w:r>
      <w:r w:rsidRPr="000B01A4">
        <w:rPr>
          <w:rFonts w:hint="cs"/>
          <w:b/>
          <w:bCs/>
          <w:sz w:val="18"/>
          <w:rtl/>
        </w:rPr>
        <w:tab/>
        <w:t xml:space="preserve">اعتماد خطة عمل منقحة تعالج </w:t>
      </w:r>
      <w:r w:rsidR="001C1B3B">
        <w:rPr>
          <w:rFonts w:hint="cs"/>
          <w:b/>
          <w:bCs/>
          <w:sz w:val="18"/>
          <w:rtl/>
        </w:rPr>
        <w:t xml:space="preserve">أوجه قصور </w:t>
      </w:r>
      <w:r w:rsidRPr="000B01A4">
        <w:rPr>
          <w:rFonts w:hint="cs"/>
          <w:b/>
          <w:bCs/>
          <w:sz w:val="18"/>
          <w:rtl/>
        </w:rPr>
        <w:t xml:space="preserve">استراتيجية إدماج المواطنين الرومانيين المنتمين إلى مجتمع </w:t>
      </w:r>
      <w:proofErr w:type="spellStart"/>
      <w:r w:rsidRPr="000B01A4">
        <w:rPr>
          <w:rFonts w:hint="cs"/>
          <w:b/>
          <w:bCs/>
          <w:sz w:val="18"/>
          <w:rtl/>
        </w:rPr>
        <w:t>الروما</w:t>
      </w:r>
      <w:proofErr w:type="spellEnd"/>
      <w:r w:rsidRPr="000B01A4">
        <w:rPr>
          <w:rFonts w:hint="cs"/>
          <w:b/>
          <w:bCs/>
          <w:sz w:val="18"/>
          <w:rtl/>
        </w:rPr>
        <w:t xml:space="preserve"> لضمان تكافؤ الفرص </w:t>
      </w:r>
      <w:proofErr w:type="spellStart"/>
      <w:r w:rsidRPr="000B01A4">
        <w:rPr>
          <w:rFonts w:hint="cs"/>
          <w:b/>
          <w:bCs/>
          <w:sz w:val="18"/>
          <w:rtl/>
        </w:rPr>
        <w:t>للروما</w:t>
      </w:r>
      <w:proofErr w:type="spellEnd"/>
      <w:r w:rsidRPr="000B01A4">
        <w:rPr>
          <w:rFonts w:hint="cs"/>
          <w:b/>
          <w:bCs/>
          <w:sz w:val="18"/>
          <w:rtl/>
        </w:rPr>
        <w:t xml:space="preserve"> وتمتعهم بالمساواة في المعاملة في مجال العمل ومنحهم فرص العمل المدر لدخل مستدام، وذلك بوسائل منها تحسين مهاراتهم عن طريق التدريب.</w:t>
      </w:r>
    </w:p>
    <w:p w:rsidR="000B01A4" w:rsidRPr="000B01A4" w:rsidRDefault="000B01A4" w:rsidP="001C1B3B">
      <w:pPr>
        <w:pStyle w:val="H23GA"/>
        <w:rPr>
          <w:rFonts w:hint="cs"/>
          <w:rtl/>
        </w:rPr>
      </w:pPr>
      <w:r w:rsidRPr="000B01A4">
        <w:rPr>
          <w:rFonts w:hint="cs"/>
          <w:rtl/>
        </w:rPr>
        <w:tab/>
      </w:r>
      <w:r w:rsidRPr="000B01A4">
        <w:rPr>
          <w:rFonts w:hint="cs"/>
          <w:rtl/>
        </w:rPr>
        <w:tab/>
        <w:t>طالبو اللجوء</w:t>
      </w:r>
    </w:p>
    <w:p w:rsidR="000B01A4" w:rsidRPr="000B01A4" w:rsidRDefault="000B01A4" w:rsidP="001C1B3B">
      <w:pPr>
        <w:pStyle w:val="SingleTxtGA"/>
        <w:rPr>
          <w:rFonts w:hint="cs"/>
          <w:sz w:val="18"/>
          <w:rtl/>
        </w:rPr>
      </w:pPr>
      <w:r w:rsidRPr="000B01A4">
        <w:rPr>
          <w:rFonts w:hint="cs"/>
          <w:sz w:val="18"/>
          <w:rtl/>
        </w:rPr>
        <w:t>12-</w:t>
      </w:r>
      <w:r w:rsidRPr="000B01A4">
        <w:rPr>
          <w:rFonts w:hint="cs"/>
          <w:sz w:val="18"/>
          <w:rtl/>
        </w:rPr>
        <w:tab/>
        <w:t xml:space="preserve">تلاحظ اللجنة بقلق أنه لا يُسمَح لطالبي اللجوء بالعمل خلال السنة الأولى لإقامتهم في الدولة الطرف </w:t>
      </w:r>
      <w:r w:rsidR="001C1B3B">
        <w:rPr>
          <w:rFonts w:hint="cs"/>
          <w:sz w:val="18"/>
          <w:rtl/>
        </w:rPr>
        <w:t xml:space="preserve">وأنهم </w:t>
      </w:r>
      <w:r w:rsidRPr="000B01A4">
        <w:rPr>
          <w:rFonts w:hint="cs"/>
          <w:sz w:val="18"/>
          <w:rtl/>
        </w:rPr>
        <w:t>يعتمدون بالتالي على بدل الإعاشة. كما تشعر اللجنة بالقلق لأن مبلغ بدل الإعاشة المقدم لطالبي اللجوء لا يكفي لتلبية احتياجاتهم الأساسية (المادتان 6 و11).</w:t>
      </w:r>
    </w:p>
    <w:p w:rsidR="000B01A4" w:rsidRPr="000B01A4" w:rsidRDefault="001C1B3B" w:rsidP="001C1B3B">
      <w:pPr>
        <w:pStyle w:val="SingleTxtGA"/>
        <w:rPr>
          <w:rFonts w:hint="cs"/>
          <w:b/>
          <w:bCs/>
          <w:sz w:val="18"/>
          <w:rtl/>
        </w:rPr>
      </w:pPr>
      <w:r>
        <w:rPr>
          <w:rFonts w:hint="cs"/>
          <w:b/>
          <w:bCs/>
          <w:sz w:val="18"/>
          <w:rtl/>
        </w:rPr>
        <w:tab/>
      </w:r>
      <w:r w:rsidR="000B01A4" w:rsidRPr="000B01A4">
        <w:rPr>
          <w:rFonts w:hint="cs"/>
          <w:b/>
          <w:bCs/>
          <w:sz w:val="18"/>
          <w:rtl/>
        </w:rPr>
        <w:t xml:space="preserve">توصي اللجنة الدولة الطرف بأن تتخذ الخطوات المناسبة لتعديل قانونها </w:t>
      </w:r>
      <w:r>
        <w:rPr>
          <w:rFonts w:hint="cs"/>
          <w:b/>
          <w:bCs/>
          <w:sz w:val="18"/>
          <w:rtl/>
        </w:rPr>
        <w:t xml:space="preserve">للسماح </w:t>
      </w:r>
      <w:r w:rsidR="000B01A4" w:rsidRPr="000B01A4">
        <w:rPr>
          <w:rFonts w:hint="cs"/>
          <w:b/>
          <w:bCs/>
          <w:sz w:val="18"/>
          <w:rtl/>
        </w:rPr>
        <w:t xml:space="preserve">لطالبي اللجوء </w:t>
      </w:r>
      <w:r>
        <w:rPr>
          <w:rFonts w:hint="cs"/>
          <w:b/>
          <w:bCs/>
          <w:sz w:val="18"/>
          <w:rtl/>
        </w:rPr>
        <w:t>ب</w:t>
      </w:r>
      <w:r w:rsidR="000B01A4" w:rsidRPr="000B01A4">
        <w:rPr>
          <w:rFonts w:hint="cs"/>
          <w:b/>
          <w:bCs/>
          <w:sz w:val="18"/>
          <w:rtl/>
        </w:rPr>
        <w:t xml:space="preserve">الحصول على رخصة عمل في غضون سنة بعد وصولهم إلى الدولة الطرف. كما ينبغي للدولة الطرف إنفاذ القانون المتعلق باللجوء وضمان </w:t>
      </w:r>
      <w:r>
        <w:rPr>
          <w:rFonts w:hint="cs"/>
          <w:b/>
          <w:bCs/>
          <w:sz w:val="18"/>
          <w:rtl/>
        </w:rPr>
        <w:t xml:space="preserve">منح طالبي اللجوء بدلاً كافياً </w:t>
      </w:r>
      <w:r w:rsidR="000B01A4" w:rsidRPr="000B01A4">
        <w:rPr>
          <w:rFonts w:hint="cs"/>
          <w:b/>
          <w:bCs/>
          <w:sz w:val="18"/>
          <w:rtl/>
        </w:rPr>
        <w:t>لتلبية احتياجاتهم الأساسية.</w:t>
      </w:r>
    </w:p>
    <w:p w:rsidR="000B01A4" w:rsidRPr="000B01A4" w:rsidRDefault="000B01A4" w:rsidP="001C1B3B">
      <w:pPr>
        <w:pStyle w:val="H23GA"/>
        <w:rPr>
          <w:rFonts w:hint="cs"/>
          <w:rtl/>
        </w:rPr>
      </w:pPr>
      <w:r w:rsidRPr="000B01A4">
        <w:rPr>
          <w:rFonts w:hint="cs"/>
          <w:rtl/>
        </w:rPr>
        <w:tab/>
      </w:r>
      <w:r w:rsidRPr="000B01A4">
        <w:rPr>
          <w:rFonts w:hint="cs"/>
          <w:rtl/>
        </w:rPr>
        <w:tab/>
        <w:t>الحد الأدنى للأجور</w:t>
      </w:r>
    </w:p>
    <w:p w:rsidR="000B01A4" w:rsidRPr="000B01A4" w:rsidRDefault="000B01A4" w:rsidP="004F7665">
      <w:pPr>
        <w:pStyle w:val="SingleTxtGA"/>
        <w:rPr>
          <w:rFonts w:hint="cs"/>
          <w:sz w:val="18"/>
          <w:rtl/>
        </w:rPr>
      </w:pPr>
      <w:r w:rsidRPr="000B01A4">
        <w:rPr>
          <w:rFonts w:hint="cs"/>
          <w:sz w:val="18"/>
          <w:rtl/>
        </w:rPr>
        <w:t>13-</w:t>
      </w:r>
      <w:r w:rsidRPr="000B01A4">
        <w:rPr>
          <w:rFonts w:hint="cs"/>
          <w:sz w:val="18"/>
          <w:rtl/>
        </w:rPr>
        <w:tab/>
        <w:t>تشعر اللجنة بالقلق لأن الحد الأدنى للأجور في الدولة الطرف، رغم الزيادات</w:t>
      </w:r>
      <w:r w:rsidR="001C1B3B">
        <w:rPr>
          <w:rFonts w:hint="cs"/>
          <w:sz w:val="18"/>
          <w:rtl/>
        </w:rPr>
        <w:t xml:space="preserve"> الأخيرة، </w:t>
      </w:r>
      <w:r w:rsidRPr="000B01A4">
        <w:rPr>
          <w:rFonts w:hint="cs"/>
          <w:sz w:val="18"/>
          <w:rtl/>
        </w:rPr>
        <w:t xml:space="preserve">لا يكفي لتوفير مستوى معيشي لائق </w:t>
      </w:r>
      <w:r w:rsidR="001C1B3B">
        <w:rPr>
          <w:rFonts w:hint="cs"/>
          <w:sz w:val="18"/>
          <w:rtl/>
        </w:rPr>
        <w:t>لمن يحصلو</w:t>
      </w:r>
      <w:r w:rsidR="004F7665">
        <w:rPr>
          <w:rFonts w:hint="cs"/>
          <w:sz w:val="18"/>
          <w:rtl/>
        </w:rPr>
        <w:t>ن</w:t>
      </w:r>
      <w:r w:rsidR="001C1B3B">
        <w:rPr>
          <w:rFonts w:hint="cs"/>
          <w:sz w:val="18"/>
          <w:rtl/>
        </w:rPr>
        <w:t xml:space="preserve"> عليه </w:t>
      </w:r>
      <w:r w:rsidRPr="000B01A4">
        <w:rPr>
          <w:rFonts w:hint="cs"/>
          <w:sz w:val="18"/>
          <w:rtl/>
        </w:rPr>
        <w:t>ولأسرهم (المادتان 7 و9).</w:t>
      </w:r>
    </w:p>
    <w:p w:rsidR="000B01A4" w:rsidRPr="000B01A4" w:rsidRDefault="001C1B3B" w:rsidP="004F7665">
      <w:pPr>
        <w:pStyle w:val="SingleTxtGA"/>
        <w:rPr>
          <w:rFonts w:hint="cs"/>
          <w:b/>
          <w:bCs/>
          <w:sz w:val="18"/>
          <w:rtl/>
        </w:rPr>
      </w:pPr>
      <w:r>
        <w:rPr>
          <w:rFonts w:hint="cs"/>
          <w:b/>
          <w:bCs/>
          <w:sz w:val="18"/>
          <w:rtl/>
        </w:rPr>
        <w:tab/>
      </w:r>
      <w:r w:rsidR="000B01A4" w:rsidRPr="000B01A4">
        <w:rPr>
          <w:rFonts w:hint="cs"/>
          <w:b/>
          <w:bCs/>
          <w:sz w:val="18"/>
          <w:rtl/>
        </w:rPr>
        <w:t>توصي اللجنة الدولة الطرف بأن تنشئ نظام</w:t>
      </w:r>
      <w:r w:rsidR="00AD61A2">
        <w:rPr>
          <w:rFonts w:hint="cs"/>
          <w:b/>
          <w:bCs/>
          <w:sz w:val="18"/>
          <w:rtl/>
        </w:rPr>
        <w:t xml:space="preserve">اً </w:t>
      </w:r>
      <w:r w:rsidR="000B01A4" w:rsidRPr="000B01A4">
        <w:rPr>
          <w:rFonts w:hint="cs"/>
          <w:b/>
          <w:bCs/>
          <w:sz w:val="18"/>
          <w:rtl/>
        </w:rPr>
        <w:t>فعال</w:t>
      </w:r>
      <w:r w:rsidR="00AD61A2">
        <w:rPr>
          <w:rFonts w:hint="cs"/>
          <w:b/>
          <w:bCs/>
          <w:sz w:val="18"/>
          <w:rtl/>
        </w:rPr>
        <w:t xml:space="preserve">اً </w:t>
      </w:r>
      <w:r w:rsidR="000B01A4" w:rsidRPr="000B01A4">
        <w:rPr>
          <w:rFonts w:hint="cs"/>
          <w:b/>
          <w:bCs/>
          <w:sz w:val="18"/>
          <w:rtl/>
        </w:rPr>
        <w:t xml:space="preserve">للمقايسة والتكييف المنتظم للحد الأدنى للأجور مع تكلفة المعيشة </w:t>
      </w:r>
      <w:r>
        <w:rPr>
          <w:rFonts w:hint="cs"/>
          <w:b/>
          <w:bCs/>
          <w:sz w:val="18"/>
          <w:rtl/>
        </w:rPr>
        <w:t>لإتاحة مستوى معيشي لائق لمن يحصلو</w:t>
      </w:r>
      <w:r w:rsidR="004F7665">
        <w:rPr>
          <w:rFonts w:hint="cs"/>
          <w:b/>
          <w:bCs/>
          <w:sz w:val="18"/>
          <w:rtl/>
        </w:rPr>
        <w:t>ن</w:t>
      </w:r>
      <w:r>
        <w:rPr>
          <w:rFonts w:hint="cs"/>
          <w:b/>
          <w:bCs/>
          <w:sz w:val="18"/>
          <w:rtl/>
        </w:rPr>
        <w:t xml:space="preserve"> عليه ولأسرهم. </w:t>
      </w:r>
    </w:p>
    <w:p w:rsidR="000B01A4" w:rsidRPr="000B01A4" w:rsidRDefault="000B01A4" w:rsidP="001C1B3B">
      <w:pPr>
        <w:pStyle w:val="H23GA"/>
        <w:rPr>
          <w:rFonts w:hint="cs"/>
          <w:rtl/>
        </w:rPr>
      </w:pPr>
      <w:r w:rsidRPr="000B01A4">
        <w:rPr>
          <w:rFonts w:hint="cs"/>
          <w:rtl/>
        </w:rPr>
        <w:tab/>
      </w:r>
      <w:r w:rsidRPr="000B01A4">
        <w:rPr>
          <w:rFonts w:hint="cs"/>
          <w:rtl/>
        </w:rPr>
        <w:tab/>
        <w:t>الحقوق النقابية</w:t>
      </w:r>
    </w:p>
    <w:p w:rsidR="000B01A4" w:rsidRPr="000B01A4" w:rsidRDefault="000B01A4" w:rsidP="001C1B3B">
      <w:pPr>
        <w:pStyle w:val="SingleTxtGA"/>
        <w:rPr>
          <w:rFonts w:hint="cs"/>
          <w:sz w:val="18"/>
          <w:rtl/>
        </w:rPr>
      </w:pPr>
      <w:r w:rsidRPr="000B01A4">
        <w:rPr>
          <w:rFonts w:hint="cs"/>
          <w:sz w:val="18"/>
          <w:rtl/>
        </w:rPr>
        <w:t>14-</w:t>
      </w:r>
      <w:r w:rsidRPr="000B01A4">
        <w:rPr>
          <w:rFonts w:hint="cs"/>
          <w:sz w:val="18"/>
          <w:rtl/>
        </w:rPr>
        <w:tab/>
        <w:t xml:space="preserve">يخالج اللجنة قلق إزاء ما </w:t>
      </w:r>
      <w:r w:rsidR="001C1B3B">
        <w:rPr>
          <w:rFonts w:hint="cs"/>
          <w:sz w:val="18"/>
          <w:rtl/>
        </w:rPr>
        <w:t>بلغها عن</w:t>
      </w:r>
      <w:r w:rsidRPr="000B01A4">
        <w:rPr>
          <w:rFonts w:hint="cs"/>
          <w:sz w:val="18"/>
          <w:rtl/>
        </w:rPr>
        <w:t xml:space="preserve"> ممارسة بعض أرباب العمل الذين يجعلون التوظيف مرهون</w:t>
      </w:r>
      <w:r w:rsidR="00AD61A2">
        <w:rPr>
          <w:rFonts w:hint="cs"/>
          <w:sz w:val="18"/>
          <w:rtl/>
        </w:rPr>
        <w:t xml:space="preserve">اً </w:t>
      </w:r>
      <w:r w:rsidRPr="000B01A4">
        <w:rPr>
          <w:rFonts w:hint="cs"/>
          <w:sz w:val="18"/>
          <w:rtl/>
        </w:rPr>
        <w:t>بموافقة العامل على عدم إنشاء نقابة أو الانضمام إليها (المادة 8).</w:t>
      </w:r>
    </w:p>
    <w:p w:rsidR="000B01A4" w:rsidRPr="000B01A4" w:rsidRDefault="001C1B3B" w:rsidP="001C1B3B">
      <w:pPr>
        <w:pStyle w:val="SingleTxtGA"/>
        <w:rPr>
          <w:rFonts w:hint="cs"/>
          <w:b/>
          <w:bCs/>
          <w:sz w:val="18"/>
          <w:rtl/>
        </w:rPr>
      </w:pPr>
      <w:r>
        <w:rPr>
          <w:rFonts w:hint="cs"/>
          <w:b/>
          <w:bCs/>
          <w:sz w:val="18"/>
          <w:rtl/>
        </w:rPr>
        <w:tab/>
      </w:r>
      <w:r w:rsidR="000B01A4" w:rsidRPr="000B01A4">
        <w:rPr>
          <w:rFonts w:hint="cs"/>
          <w:b/>
          <w:bCs/>
          <w:sz w:val="18"/>
          <w:rtl/>
        </w:rPr>
        <w:t xml:space="preserve">توصي اللجنة الدولة الطرف بأن تتخذ التدابير اللازمة لضمان الحماية الكاملة من أفعال التمييز </w:t>
      </w:r>
      <w:r>
        <w:rPr>
          <w:rFonts w:hint="cs"/>
          <w:b/>
          <w:bCs/>
          <w:sz w:val="18"/>
          <w:rtl/>
        </w:rPr>
        <w:t>المناهض</w:t>
      </w:r>
      <w:r w:rsidR="004F7665">
        <w:rPr>
          <w:rFonts w:hint="cs"/>
          <w:b/>
          <w:bCs/>
          <w:sz w:val="18"/>
          <w:rtl/>
        </w:rPr>
        <w:t>ة</w:t>
      </w:r>
      <w:r>
        <w:rPr>
          <w:rFonts w:hint="cs"/>
          <w:b/>
          <w:bCs/>
          <w:sz w:val="18"/>
          <w:rtl/>
        </w:rPr>
        <w:t xml:space="preserve"> للانتماء النقابي، </w:t>
      </w:r>
      <w:r w:rsidR="000B01A4" w:rsidRPr="000B01A4">
        <w:rPr>
          <w:rFonts w:hint="cs"/>
          <w:b/>
          <w:bCs/>
          <w:sz w:val="18"/>
          <w:rtl/>
        </w:rPr>
        <w:t>وذلك بوسائل منها فرض عقوبات ر</w:t>
      </w:r>
      <w:r>
        <w:rPr>
          <w:rFonts w:hint="cs"/>
          <w:b/>
          <w:bCs/>
          <w:sz w:val="18"/>
          <w:rtl/>
        </w:rPr>
        <w:t xml:space="preserve">ادعة </w:t>
      </w:r>
      <w:r w:rsidR="000B01A4" w:rsidRPr="000B01A4">
        <w:rPr>
          <w:rFonts w:hint="cs"/>
          <w:b/>
          <w:bCs/>
          <w:sz w:val="18"/>
          <w:rtl/>
        </w:rPr>
        <w:t>بالقدر الكافي على أرباب العمل الذين ينتهكون حقوق العمال في إنشاء النقابات أو الانضمام إليها.</w:t>
      </w:r>
    </w:p>
    <w:p w:rsidR="000B01A4" w:rsidRPr="000B01A4" w:rsidRDefault="000B01A4" w:rsidP="001C1B3B">
      <w:pPr>
        <w:pStyle w:val="H23GA"/>
        <w:rPr>
          <w:rFonts w:hint="cs"/>
          <w:rtl/>
        </w:rPr>
      </w:pPr>
      <w:r w:rsidRPr="000B01A4">
        <w:rPr>
          <w:rFonts w:hint="cs"/>
          <w:rtl/>
        </w:rPr>
        <w:tab/>
      </w:r>
      <w:r w:rsidRPr="000B01A4">
        <w:rPr>
          <w:rFonts w:hint="cs"/>
          <w:rtl/>
        </w:rPr>
        <w:tab/>
        <w:t>الضمان الاجتماعي</w:t>
      </w:r>
    </w:p>
    <w:p w:rsidR="000B01A4" w:rsidRPr="000B01A4" w:rsidRDefault="000B01A4" w:rsidP="001C1B3B">
      <w:pPr>
        <w:pStyle w:val="SingleTxtGA"/>
        <w:rPr>
          <w:rFonts w:hint="cs"/>
          <w:sz w:val="18"/>
          <w:rtl/>
        </w:rPr>
      </w:pPr>
      <w:r w:rsidRPr="000B01A4">
        <w:rPr>
          <w:rFonts w:hint="cs"/>
          <w:sz w:val="18"/>
          <w:rtl/>
        </w:rPr>
        <w:t>15-</w:t>
      </w:r>
      <w:r w:rsidRPr="000B01A4">
        <w:rPr>
          <w:rFonts w:hint="cs"/>
          <w:sz w:val="18"/>
          <w:rtl/>
        </w:rPr>
        <w:tab/>
        <w:t>تلاحظ ا</w:t>
      </w:r>
      <w:r w:rsidR="001C1B3B">
        <w:rPr>
          <w:rFonts w:hint="cs"/>
          <w:sz w:val="18"/>
          <w:rtl/>
        </w:rPr>
        <w:t xml:space="preserve">للجنة الدول عن بعض تخفيضات مزايا الضمان الاجتماعي التي جرت بسبب تدابير التقشف، لكنها لا تزال تشعر بالقلق لأن مبالغ المزايا، مثل بدل رعاية الطفل وإعانات البطالة والحد الأدنى لمعاش التقاعد والإعانات الاجتماعية الأخرى، لا تكفي لضمان مستوى معيشي لائق للمستفيدين ولأسرهم </w:t>
      </w:r>
      <w:r w:rsidRPr="000B01A4">
        <w:rPr>
          <w:rFonts w:hint="cs"/>
          <w:sz w:val="18"/>
          <w:rtl/>
        </w:rPr>
        <w:t>(المادة 9).</w:t>
      </w:r>
    </w:p>
    <w:p w:rsidR="000B01A4" w:rsidRPr="000B01A4" w:rsidRDefault="001C1B3B" w:rsidP="00D874D1">
      <w:pPr>
        <w:pStyle w:val="SingleTxtGA"/>
        <w:rPr>
          <w:rFonts w:hint="cs"/>
          <w:b/>
          <w:bCs/>
          <w:sz w:val="18"/>
          <w:rtl/>
        </w:rPr>
      </w:pPr>
      <w:r>
        <w:rPr>
          <w:rFonts w:hint="cs"/>
          <w:b/>
          <w:bCs/>
          <w:sz w:val="18"/>
          <w:rtl/>
        </w:rPr>
        <w:tab/>
      </w:r>
      <w:r w:rsidR="000B01A4" w:rsidRPr="000B01A4">
        <w:rPr>
          <w:rFonts w:hint="cs"/>
          <w:b/>
          <w:bCs/>
          <w:sz w:val="18"/>
          <w:rtl/>
        </w:rPr>
        <w:t xml:space="preserve">توصي اللجنة الدولة الطرف بأن تتخذ التدابير اللازمة لكفالة </w:t>
      </w:r>
      <w:r>
        <w:rPr>
          <w:rFonts w:hint="cs"/>
          <w:b/>
          <w:bCs/>
          <w:sz w:val="18"/>
          <w:rtl/>
        </w:rPr>
        <w:t>من</w:t>
      </w:r>
      <w:r w:rsidR="00D874D1">
        <w:rPr>
          <w:rFonts w:hint="cs"/>
          <w:b/>
          <w:bCs/>
          <w:sz w:val="18"/>
          <w:rtl/>
        </w:rPr>
        <w:t>ح</w:t>
      </w:r>
      <w:r>
        <w:rPr>
          <w:rFonts w:hint="cs"/>
          <w:b/>
          <w:bCs/>
          <w:sz w:val="18"/>
          <w:rtl/>
        </w:rPr>
        <w:t xml:space="preserve"> إعانات، من قبيل بدل رعاية الطفل وإعانات البطالة والحد الأدنى لمعاش التقاعد، بمبالغ تكفي </w:t>
      </w:r>
      <w:r w:rsidR="000B01A4" w:rsidRPr="000B01A4">
        <w:rPr>
          <w:rFonts w:hint="cs"/>
          <w:b/>
          <w:bCs/>
          <w:sz w:val="18"/>
          <w:rtl/>
        </w:rPr>
        <w:t xml:space="preserve">لتوفير مستوى معيشي لائق للمستفيدين ولأسرهم. كما توصي اللجنة الدولة الطرف بأن تعيد النظر في تخفيضات </w:t>
      </w:r>
      <w:r w:rsidR="00D874D1">
        <w:rPr>
          <w:rFonts w:hint="cs"/>
          <w:b/>
          <w:bCs/>
          <w:sz w:val="18"/>
          <w:rtl/>
        </w:rPr>
        <w:t>الإعانات ا</w:t>
      </w:r>
      <w:r w:rsidR="000B01A4" w:rsidRPr="000B01A4">
        <w:rPr>
          <w:rFonts w:hint="cs"/>
          <w:b/>
          <w:bCs/>
          <w:sz w:val="18"/>
          <w:rtl/>
        </w:rPr>
        <w:t xml:space="preserve">لاجتماعية ومعايير استحقاقها </w:t>
      </w:r>
      <w:r w:rsidR="00D874D1">
        <w:rPr>
          <w:rFonts w:hint="cs"/>
          <w:b/>
          <w:bCs/>
          <w:sz w:val="18"/>
          <w:rtl/>
        </w:rPr>
        <w:t xml:space="preserve">التي تمس أشد الفئات حرماناً ومعاناة من التهميش، وفقاً للنهج القائم على حقوق الإنسان </w:t>
      </w:r>
      <w:r w:rsidR="000B01A4" w:rsidRPr="000B01A4">
        <w:rPr>
          <w:rFonts w:hint="cs"/>
          <w:b/>
          <w:bCs/>
          <w:sz w:val="18"/>
          <w:rtl/>
        </w:rPr>
        <w:t xml:space="preserve">وتحيل اللجنة الدولة الطرف </w:t>
      </w:r>
      <w:r w:rsidR="00D874D1">
        <w:rPr>
          <w:rFonts w:hint="cs"/>
          <w:b/>
          <w:bCs/>
          <w:sz w:val="18"/>
          <w:rtl/>
        </w:rPr>
        <w:t>إ</w:t>
      </w:r>
      <w:r w:rsidR="000B01A4" w:rsidRPr="000B01A4">
        <w:rPr>
          <w:rFonts w:hint="cs"/>
          <w:b/>
          <w:bCs/>
          <w:sz w:val="18"/>
          <w:rtl/>
        </w:rPr>
        <w:t>لى الرسالة المتعلقة بتدابير التقشف، التي بعث</w:t>
      </w:r>
      <w:r w:rsidR="00D874D1">
        <w:rPr>
          <w:rFonts w:hint="cs"/>
          <w:b/>
          <w:bCs/>
          <w:sz w:val="18"/>
          <w:rtl/>
        </w:rPr>
        <w:t xml:space="preserve"> ب</w:t>
      </w:r>
      <w:r w:rsidR="000B01A4" w:rsidRPr="000B01A4">
        <w:rPr>
          <w:rFonts w:hint="cs"/>
          <w:b/>
          <w:bCs/>
          <w:sz w:val="18"/>
          <w:rtl/>
        </w:rPr>
        <w:t>ها رئيس اللجنة في 16 أيار/مايو 2012 إلى جميع الدول الأطراف في العهد، و</w:t>
      </w:r>
      <w:r w:rsidR="00D874D1">
        <w:rPr>
          <w:rFonts w:hint="cs"/>
          <w:b/>
          <w:bCs/>
          <w:sz w:val="18"/>
          <w:rtl/>
        </w:rPr>
        <w:t>إلى تعليقها العام رقم</w:t>
      </w:r>
      <w:r w:rsidR="00D874D1">
        <w:rPr>
          <w:rFonts w:hint="eastAsia"/>
          <w:b/>
          <w:bCs/>
          <w:sz w:val="18"/>
          <w:rtl/>
        </w:rPr>
        <w:t> </w:t>
      </w:r>
      <w:r w:rsidR="00D874D1">
        <w:rPr>
          <w:rFonts w:hint="cs"/>
          <w:b/>
          <w:bCs/>
          <w:sz w:val="18"/>
          <w:rtl/>
        </w:rPr>
        <w:t>19</w:t>
      </w:r>
      <w:r w:rsidR="000B01A4" w:rsidRPr="000B01A4">
        <w:rPr>
          <w:rFonts w:hint="cs"/>
          <w:b/>
          <w:bCs/>
          <w:sz w:val="18"/>
          <w:rtl/>
        </w:rPr>
        <w:t>(2007) بشأن الحق في الضمان الاجتماعي.</w:t>
      </w:r>
    </w:p>
    <w:p w:rsidR="000B01A4" w:rsidRPr="000B01A4" w:rsidRDefault="000B01A4" w:rsidP="00D874D1">
      <w:pPr>
        <w:pStyle w:val="H23GA"/>
        <w:rPr>
          <w:rFonts w:hint="cs"/>
          <w:rtl/>
        </w:rPr>
      </w:pPr>
      <w:r w:rsidRPr="000B01A4">
        <w:rPr>
          <w:rFonts w:hint="cs"/>
          <w:rtl/>
        </w:rPr>
        <w:tab/>
      </w:r>
      <w:r w:rsidRPr="000B01A4">
        <w:rPr>
          <w:rFonts w:hint="cs"/>
          <w:rtl/>
        </w:rPr>
        <w:tab/>
        <w:t>الخدمات الاجتماعية</w:t>
      </w:r>
    </w:p>
    <w:p w:rsidR="000B01A4" w:rsidRPr="000B01A4" w:rsidRDefault="000B01A4" w:rsidP="00D874D1">
      <w:pPr>
        <w:pStyle w:val="SingleTxtGA"/>
        <w:rPr>
          <w:rFonts w:hint="cs"/>
          <w:sz w:val="18"/>
          <w:rtl/>
        </w:rPr>
      </w:pPr>
      <w:r w:rsidRPr="000B01A4">
        <w:rPr>
          <w:rFonts w:hint="cs"/>
          <w:sz w:val="18"/>
          <w:rtl/>
        </w:rPr>
        <w:t>16-</w:t>
      </w:r>
      <w:r w:rsidRPr="000B01A4">
        <w:rPr>
          <w:rFonts w:hint="cs"/>
          <w:sz w:val="18"/>
          <w:rtl/>
        </w:rPr>
        <w:tab/>
        <w:t xml:space="preserve">تشعر اللجنة بالقلق لأن إضفاء طابع اللامركزية على الخدمات الاجتماعية أدى إلى </w:t>
      </w:r>
      <w:r w:rsidR="00D874D1">
        <w:rPr>
          <w:rFonts w:hint="cs"/>
          <w:sz w:val="18"/>
          <w:rtl/>
        </w:rPr>
        <w:t xml:space="preserve">تفاوت </w:t>
      </w:r>
      <w:r w:rsidRPr="000B01A4">
        <w:rPr>
          <w:rFonts w:hint="cs"/>
          <w:sz w:val="18"/>
          <w:rtl/>
        </w:rPr>
        <w:t>في مجال توفير الرعاية الاجتماعية في الدولة الطرف.</w:t>
      </w:r>
    </w:p>
    <w:p w:rsidR="000B01A4" w:rsidRPr="000B01A4" w:rsidRDefault="00D874D1" w:rsidP="004F7665">
      <w:pPr>
        <w:pStyle w:val="SingleTxtGA"/>
        <w:rPr>
          <w:rFonts w:hint="cs"/>
          <w:b/>
          <w:bCs/>
          <w:sz w:val="18"/>
          <w:rtl/>
        </w:rPr>
      </w:pPr>
      <w:r>
        <w:rPr>
          <w:rFonts w:hint="cs"/>
          <w:b/>
          <w:bCs/>
          <w:sz w:val="18"/>
          <w:rtl/>
        </w:rPr>
        <w:tab/>
      </w:r>
      <w:r w:rsidR="000B01A4" w:rsidRPr="000B01A4">
        <w:rPr>
          <w:rFonts w:hint="cs"/>
          <w:b/>
          <w:bCs/>
          <w:sz w:val="18"/>
          <w:rtl/>
        </w:rPr>
        <w:t xml:space="preserve">توصي اللجنة الدولة الطرف بأن تنشئ آليات مناسبة لرصد وكفالة توفير خدمات الرعاية الاجتماعية بالقدر الكافي على الصعيد المحلي من خلال توزيع فعال للموارد ومساءلة </w:t>
      </w:r>
      <w:r w:rsidR="004F7665">
        <w:rPr>
          <w:rFonts w:hint="cs"/>
          <w:b/>
          <w:bCs/>
          <w:sz w:val="18"/>
          <w:rtl/>
        </w:rPr>
        <w:t>ل</w:t>
      </w:r>
      <w:r w:rsidR="000B01A4" w:rsidRPr="000B01A4">
        <w:rPr>
          <w:rFonts w:hint="cs"/>
          <w:b/>
          <w:bCs/>
          <w:sz w:val="18"/>
          <w:rtl/>
        </w:rPr>
        <w:t>لسلطات المحلية فيما يتعلق بإيصال هذه الخدمات.</w:t>
      </w:r>
    </w:p>
    <w:p w:rsidR="000B01A4" w:rsidRPr="000B01A4" w:rsidRDefault="000B01A4" w:rsidP="00D874D1">
      <w:pPr>
        <w:pStyle w:val="H23GA"/>
        <w:rPr>
          <w:rFonts w:hint="cs"/>
          <w:rtl/>
        </w:rPr>
      </w:pPr>
      <w:r w:rsidRPr="000B01A4">
        <w:rPr>
          <w:rFonts w:hint="cs"/>
          <w:rtl/>
        </w:rPr>
        <w:tab/>
      </w:r>
      <w:r w:rsidRPr="000B01A4">
        <w:rPr>
          <w:rFonts w:hint="cs"/>
          <w:rtl/>
        </w:rPr>
        <w:tab/>
        <w:t>الفقر</w:t>
      </w:r>
    </w:p>
    <w:p w:rsidR="000B01A4" w:rsidRPr="000B01A4" w:rsidRDefault="000B01A4" w:rsidP="00D874D1">
      <w:pPr>
        <w:pStyle w:val="SingleTxtGA"/>
        <w:rPr>
          <w:rFonts w:hint="cs"/>
          <w:sz w:val="18"/>
          <w:rtl/>
        </w:rPr>
      </w:pPr>
      <w:r w:rsidRPr="000B01A4">
        <w:rPr>
          <w:rFonts w:hint="cs"/>
          <w:sz w:val="18"/>
          <w:rtl/>
        </w:rPr>
        <w:t>17-</w:t>
      </w:r>
      <w:r w:rsidRPr="000B01A4">
        <w:rPr>
          <w:rFonts w:hint="cs"/>
          <w:sz w:val="18"/>
          <w:rtl/>
        </w:rPr>
        <w:tab/>
        <w:t>تشعر اللجنة بالقلق لأن مستوى الفقر لا يزال من بين أعلى المستويات في أوروبا، حيث كان 41.7 في المائة من السكان عرضة لخطر الفقر والاستبعاد الاجتماعي في عام</w:t>
      </w:r>
      <w:r w:rsidR="00D874D1">
        <w:rPr>
          <w:rFonts w:hint="eastAsia"/>
          <w:sz w:val="18"/>
          <w:rtl/>
        </w:rPr>
        <w:t> </w:t>
      </w:r>
      <w:r w:rsidRPr="000B01A4">
        <w:rPr>
          <w:rFonts w:hint="cs"/>
          <w:sz w:val="18"/>
          <w:rtl/>
        </w:rPr>
        <w:t xml:space="preserve">2012. كما تشعر اللجنة بالقلق لأن الفقر المدقع يمس على وجه الخصوص الأطفال والمسنين والأشخاص ذوي الإعاقة </w:t>
      </w:r>
      <w:proofErr w:type="spellStart"/>
      <w:r w:rsidRPr="000B01A4">
        <w:rPr>
          <w:rFonts w:hint="cs"/>
          <w:sz w:val="18"/>
          <w:rtl/>
        </w:rPr>
        <w:t>والروما</w:t>
      </w:r>
      <w:proofErr w:type="spellEnd"/>
      <w:r w:rsidRPr="000B01A4">
        <w:rPr>
          <w:rFonts w:hint="cs"/>
          <w:sz w:val="18"/>
          <w:rtl/>
        </w:rPr>
        <w:t xml:space="preserve">، </w:t>
      </w:r>
      <w:r w:rsidR="00D874D1">
        <w:rPr>
          <w:rFonts w:hint="cs"/>
          <w:sz w:val="18"/>
          <w:rtl/>
        </w:rPr>
        <w:t xml:space="preserve">إذ </w:t>
      </w:r>
      <w:r w:rsidRPr="000B01A4">
        <w:rPr>
          <w:rFonts w:hint="cs"/>
          <w:sz w:val="18"/>
          <w:rtl/>
        </w:rPr>
        <w:t xml:space="preserve">كان 70 في المائة من </w:t>
      </w:r>
      <w:proofErr w:type="spellStart"/>
      <w:r w:rsidRPr="000B01A4">
        <w:rPr>
          <w:rFonts w:hint="cs"/>
          <w:sz w:val="18"/>
          <w:rtl/>
        </w:rPr>
        <w:t>الروما</w:t>
      </w:r>
      <w:proofErr w:type="spellEnd"/>
      <w:r w:rsidRPr="000B01A4">
        <w:rPr>
          <w:rFonts w:hint="cs"/>
          <w:sz w:val="18"/>
          <w:rtl/>
        </w:rPr>
        <w:t xml:space="preserve"> يعيشون تحت عتبة الفقر في عام 2011 (المادة 11).</w:t>
      </w:r>
    </w:p>
    <w:p w:rsidR="000B01A4" w:rsidRPr="000B01A4" w:rsidRDefault="00D874D1" w:rsidP="00D874D1">
      <w:pPr>
        <w:pStyle w:val="SingleTxtGA"/>
        <w:rPr>
          <w:rFonts w:hint="cs"/>
          <w:b/>
          <w:bCs/>
          <w:sz w:val="18"/>
          <w:rtl/>
        </w:rPr>
      </w:pPr>
      <w:r>
        <w:rPr>
          <w:rFonts w:hint="cs"/>
          <w:b/>
          <w:bCs/>
          <w:sz w:val="18"/>
          <w:rtl/>
        </w:rPr>
        <w:tab/>
      </w:r>
      <w:r w:rsidR="000B01A4" w:rsidRPr="000B01A4">
        <w:rPr>
          <w:rFonts w:hint="cs"/>
          <w:b/>
          <w:bCs/>
          <w:sz w:val="18"/>
          <w:rtl/>
        </w:rPr>
        <w:t>تحث اللجنة الدولة الطرف بقوة على تكثيف جهودها لمكافحة الفقر، وبخاصة في أوساط أشد السكان حرمان</w:t>
      </w:r>
      <w:r w:rsidR="00AD61A2">
        <w:rPr>
          <w:rFonts w:hint="cs"/>
          <w:b/>
          <w:bCs/>
          <w:sz w:val="18"/>
          <w:rtl/>
        </w:rPr>
        <w:t xml:space="preserve">اً </w:t>
      </w:r>
      <w:r>
        <w:rPr>
          <w:rFonts w:hint="cs"/>
          <w:b/>
          <w:bCs/>
          <w:sz w:val="18"/>
          <w:rtl/>
        </w:rPr>
        <w:t xml:space="preserve">ومعاناة من التهميش، </w:t>
      </w:r>
      <w:r w:rsidR="000B01A4" w:rsidRPr="000B01A4">
        <w:rPr>
          <w:rFonts w:hint="cs"/>
          <w:b/>
          <w:bCs/>
          <w:sz w:val="18"/>
          <w:rtl/>
        </w:rPr>
        <w:t>وعلى الحد من</w:t>
      </w:r>
      <w:r>
        <w:rPr>
          <w:rFonts w:hint="cs"/>
          <w:b/>
          <w:bCs/>
          <w:sz w:val="18"/>
          <w:rtl/>
        </w:rPr>
        <w:t xml:space="preserve"> التفاوت </w:t>
      </w:r>
      <w:r w:rsidR="000B01A4" w:rsidRPr="000B01A4">
        <w:rPr>
          <w:rFonts w:hint="cs"/>
          <w:b/>
          <w:bCs/>
          <w:sz w:val="18"/>
          <w:rtl/>
        </w:rPr>
        <w:t xml:space="preserve">في مستويات الفقر بين المناطق. وفي هذا الصدد، </w:t>
      </w:r>
      <w:r>
        <w:rPr>
          <w:rFonts w:hint="cs"/>
          <w:b/>
          <w:bCs/>
          <w:sz w:val="18"/>
          <w:rtl/>
        </w:rPr>
        <w:t xml:space="preserve">توجه </w:t>
      </w:r>
      <w:r w:rsidR="000B01A4" w:rsidRPr="000B01A4">
        <w:rPr>
          <w:rFonts w:hint="cs"/>
          <w:b/>
          <w:bCs/>
          <w:sz w:val="18"/>
          <w:rtl/>
        </w:rPr>
        <w:t>اللجنة انتباه الدولة الطرف إلى بيانها بشأن الفقر والعهد الدولي الخاص بالحقوق الاقتصادية والاجتماعية والثقافية (</w:t>
      </w:r>
      <w:r w:rsidR="000B01A4" w:rsidRPr="000B01A4">
        <w:rPr>
          <w:b/>
          <w:bCs/>
          <w:sz w:val="18"/>
        </w:rPr>
        <w:t>E/C.12/2001/10</w:t>
      </w:r>
      <w:r w:rsidR="000B01A4" w:rsidRPr="000B01A4">
        <w:rPr>
          <w:rFonts w:hint="cs"/>
          <w:b/>
          <w:bCs/>
          <w:sz w:val="18"/>
          <w:rtl/>
        </w:rPr>
        <w:t>).</w:t>
      </w:r>
    </w:p>
    <w:p w:rsidR="000B01A4" w:rsidRPr="000B01A4" w:rsidRDefault="000B01A4" w:rsidP="00D874D1">
      <w:pPr>
        <w:pStyle w:val="H23GA"/>
        <w:rPr>
          <w:rFonts w:hint="cs"/>
          <w:rtl/>
        </w:rPr>
      </w:pPr>
      <w:r w:rsidRPr="000B01A4">
        <w:rPr>
          <w:rFonts w:hint="cs"/>
          <w:rtl/>
        </w:rPr>
        <w:tab/>
      </w:r>
      <w:r w:rsidRPr="000B01A4">
        <w:rPr>
          <w:rFonts w:hint="cs"/>
          <w:rtl/>
        </w:rPr>
        <w:tab/>
        <w:t>السكن اللائق</w:t>
      </w:r>
    </w:p>
    <w:p w:rsidR="000B01A4" w:rsidRPr="000B01A4" w:rsidRDefault="000B01A4" w:rsidP="00D874D1">
      <w:pPr>
        <w:pStyle w:val="SingleTxtGA"/>
        <w:rPr>
          <w:rFonts w:hint="cs"/>
          <w:sz w:val="18"/>
          <w:rtl/>
        </w:rPr>
      </w:pPr>
      <w:r w:rsidRPr="000B01A4">
        <w:rPr>
          <w:rFonts w:hint="cs"/>
          <w:sz w:val="18"/>
          <w:rtl/>
        </w:rPr>
        <w:t>18-</w:t>
      </w:r>
      <w:r w:rsidRPr="000B01A4">
        <w:rPr>
          <w:rFonts w:hint="cs"/>
          <w:sz w:val="18"/>
          <w:rtl/>
        </w:rPr>
        <w:tab/>
        <w:t>تشعر اللجنة بالقلق لأن</w:t>
      </w:r>
      <w:r w:rsidR="00D874D1">
        <w:rPr>
          <w:rFonts w:hint="cs"/>
          <w:sz w:val="18"/>
          <w:rtl/>
        </w:rPr>
        <w:t xml:space="preserve"> </w:t>
      </w:r>
      <w:r w:rsidRPr="000B01A4">
        <w:rPr>
          <w:rFonts w:hint="cs"/>
          <w:sz w:val="18"/>
          <w:rtl/>
        </w:rPr>
        <w:t xml:space="preserve">معظم </w:t>
      </w:r>
      <w:proofErr w:type="spellStart"/>
      <w:r w:rsidRPr="000B01A4">
        <w:rPr>
          <w:rFonts w:hint="cs"/>
          <w:sz w:val="18"/>
          <w:rtl/>
        </w:rPr>
        <w:t>الروما</w:t>
      </w:r>
      <w:proofErr w:type="spellEnd"/>
      <w:r w:rsidRPr="000B01A4">
        <w:rPr>
          <w:rFonts w:hint="cs"/>
          <w:sz w:val="18"/>
          <w:rtl/>
        </w:rPr>
        <w:t xml:space="preserve"> </w:t>
      </w:r>
      <w:r w:rsidR="00D874D1">
        <w:rPr>
          <w:rFonts w:hint="cs"/>
          <w:sz w:val="18"/>
          <w:rtl/>
        </w:rPr>
        <w:t xml:space="preserve">لا يزالون يعيشون </w:t>
      </w:r>
      <w:r w:rsidRPr="000B01A4">
        <w:rPr>
          <w:rFonts w:hint="cs"/>
          <w:sz w:val="18"/>
          <w:rtl/>
        </w:rPr>
        <w:t xml:space="preserve">في مساكن دون المستوى </w:t>
      </w:r>
      <w:r w:rsidR="00D874D1">
        <w:rPr>
          <w:rFonts w:hint="cs"/>
          <w:sz w:val="18"/>
          <w:rtl/>
        </w:rPr>
        <w:t xml:space="preserve">ويفتقرون إلى </w:t>
      </w:r>
      <w:r w:rsidRPr="000B01A4">
        <w:rPr>
          <w:rFonts w:hint="cs"/>
          <w:sz w:val="18"/>
          <w:rtl/>
        </w:rPr>
        <w:t xml:space="preserve">مياه الشرب المأمونة أو مرافق الصرف الصحي، أو الكهرباء أو التدفئة أو </w:t>
      </w:r>
      <w:r w:rsidR="00D874D1">
        <w:rPr>
          <w:rFonts w:hint="cs"/>
          <w:sz w:val="18"/>
          <w:rtl/>
        </w:rPr>
        <w:t>وسائل ت</w:t>
      </w:r>
      <w:r w:rsidRPr="000B01A4">
        <w:rPr>
          <w:rFonts w:hint="cs"/>
          <w:sz w:val="18"/>
          <w:rtl/>
        </w:rPr>
        <w:t xml:space="preserve">صريف مياه المجاري أو التخلص من النفايات أو ضمان الحيازة القانونية، وهو ما يعرِّضهم لخطر الإخلاء. كما يساور اللجنة قلق إزاء </w:t>
      </w:r>
      <w:r w:rsidR="00D874D1">
        <w:rPr>
          <w:rFonts w:hint="cs"/>
          <w:sz w:val="18"/>
          <w:rtl/>
        </w:rPr>
        <w:t xml:space="preserve">قلة </w:t>
      </w:r>
      <w:r w:rsidRPr="000B01A4">
        <w:rPr>
          <w:rFonts w:hint="cs"/>
          <w:sz w:val="18"/>
          <w:rtl/>
        </w:rPr>
        <w:t>وحدات السكن الاجتماعي المتاحة وعدم وجود آلية رصد لضمان الشفافية وعدم التمييز في مجال منح السكن الاجتماعي.</w:t>
      </w:r>
    </w:p>
    <w:p w:rsidR="000B01A4" w:rsidRPr="000B01A4" w:rsidRDefault="00D874D1" w:rsidP="00D874D1">
      <w:pPr>
        <w:pStyle w:val="SingleTxtGA"/>
        <w:rPr>
          <w:rFonts w:hint="cs"/>
          <w:b/>
          <w:bCs/>
          <w:sz w:val="18"/>
          <w:rtl/>
        </w:rPr>
      </w:pPr>
      <w:r>
        <w:rPr>
          <w:rFonts w:hint="cs"/>
          <w:b/>
          <w:bCs/>
          <w:sz w:val="18"/>
          <w:rtl/>
        </w:rPr>
        <w:tab/>
      </w:r>
      <w:r w:rsidR="000B01A4" w:rsidRPr="000B01A4">
        <w:rPr>
          <w:rFonts w:hint="cs"/>
          <w:b/>
          <w:bCs/>
          <w:sz w:val="18"/>
          <w:rtl/>
        </w:rPr>
        <w:t xml:space="preserve">توصي اللجنة الدولة الطرف بأن تعتمد جميع التدابير المناسبة لكفالة إمكانية الحصول على السكن اللائق للمنتمين إلى أقلية </w:t>
      </w:r>
      <w:proofErr w:type="spellStart"/>
      <w:r w:rsidR="000B01A4" w:rsidRPr="000B01A4">
        <w:rPr>
          <w:rFonts w:hint="cs"/>
          <w:b/>
          <w:bCs/>
          <w:sz w:val="18"/>
          <w:rtl/>
        </w:rPr>
        <w:t>الروما</w:t>
      </w:r>
      <w:proofErr w:type="spellEnd"/>
      <w:r w:rsidR="000B01A4" w:rsidRPr="000B01A4">
        <w:rPr>
          <w:rFonts w:hint="cs"/>
          <w:b/>
          <w:bCs/>
          <w:sz w:val="18"/>
          <w:rtl/>
        </w:rPr>
        <w:t>، بجملة وسائل منها ضمان تخصيص الموارد الكافية لزيادة العدد المتاح من وحدات السكن الاجتماعي، مع إعطاء الأولوية في منح هذه المساكن للجماعات المحرومة والمهمشة، ولا</w:t>
      </w:r>
      <w:r w:rsidR="00AD61A2">
        <w:rPr>
          <w:rFonts w:hint="cs"/>
          <w:b/>
          <w:bCs/>
          <w:sz w:val="18"/>
          <w:rtl/>
        </w:rPr>
        <w:t xml:space="preserve"> </w:t>
      </w:r>
      <w:r w:rsidR="000B01A4" w:rsidRPr="000B01A4">
        <w:rPr>
          <w:rFonts w:hint="cs"/>
          <w:b/>
          <w:bCs/>
          <w:sz w:val="18"/>
          <w:rtl/>
        </w:rPr>
        <w:t xml:space="preserve">سيما </w:t>
      </w:r>
      <w:proofErr w:type="spellStart"/>
      <w:r w:rsidR="000B01A4" w:rsidRPr="000B01A4">
        <w:rPr>
          <w:rFonts w:hint="cs"/>
          <w:b/>
          <w:bCs/>
          <w:sz w:val="18"/>
          <w:rtl/>
        </w:rPr>
        <w:t>الروما</w:t>
      </w:r>
      <w:proofErr w:type="spellEnd"/>
      <w:r w:rsidR="000B01A4" w:rsidRPr="000B01A4">
        <w:rPr>
          <w:rFonts w:hint="cs"/>
          <w:b/>
          <w:bCs/>
          <w:sz w:val="18"/>
          <w:rtl/>
        </w:rPr>
        <w:t>. و</w:t>
      </w:r>
      <w:r>
        <w:rPr>
          <w:rFonts w:hint="cs"/>
          <w:b/>
          <w:bCs/>
          <w:sz w:val="18"/>
          <w:rtl/>
        </w:rPr>
        <w:t xml:space="preserve">توجه </w:t>
      </w:r>
      <w:r w:rsidR="000B01A4" w:rsidRPr="000B01A4">
        <w:rPr>
          <w:rFonts w:hint="cs"/>
          <w:b/>
          <w:bCs/>
          <w:sz w:val="18"/>
          <w:rtl/>
        </w:rPr>
        <w:t>اللجنة انتباه الدول</w:t>
      </w:r>
      <w:r>
        <w:rPr>
          <w:rFonts w:hint="cs"/>
          <w:b/>
          <w:bCs/>
          <w:sz w:val="18"/>
          <w:rtl/>
        </w:rPr>
        <w:t>ة الطرف إلى تعليقها العام رقم 4</w:t>
      </w:r>
      <w:r w:rsidR="000B01A4" w:rsidRPr="000B01A4">
        <w:rPr>
          <w:rFonts w:hint="cs"/>
          <w:b/>
          <w:bCs/>
          <w:sz w:val="18"/>
          <w:rtl/>
        </w:rPr>
        <w:t>(1991) بشأن الحق في السكن اللائق.</w:t>
      </w:r>
    </w:p>
    <w:p w:rsidR="000B01A4" w:rsidRPr="000B01A4" w:rsidRDefault="000B01A4" w:rsidP="00D874D1">
      <w:pPr>
        <w:pStyle w:val="H23GA"/>
        <w:rPr>
          <w:rFonts w:hint="cs"/>
          <w:rtl/>
        </w:rPr>
      </w:pPr>
      <w:r w:rsidRPr="000B01A4">
        <w:rPr>
          <w:rFonts w:hint="cs"/>
          <w:rtl/>
        </w:rPr>
        <w:tab/>
      </w:r>
      <w:r w:rsidRPr="000B01A4">
        <w:rPr>
          <w:rFonts w:hint="cs"/>
          <w:rtl/>
        </w:rPr>
        <w:tab/>
        <w:t>عمليات الإخلاء القسري</w:t>
      </w:r>
    </w:p>
    <w:p w:rsidR="000B01A4" w:rsidRPr="000B01A4" w:rsidRDefault="000B01A4" w:rsidP="00D874D1">
      <w:pPr>
        <w:pStyle w:val="SingleTxtGA"/>
        <w:rPr>
          <w:rFonts w:hint="cs"/>
          <w:sz w:val="18"/>
          <w:rtl/>
        </w:rPr>
      </w:pPr>
      <w:r w:rsidRPr="000B01A4">
        <w:rPr>
          <w:rFonts w:hint="cs"/>
          <w:sz w:val="18"/>
          <w:rtl/>
        </w:rPr>
        <w:t>19-</w:t>
      </w:r>
      <w:r w:rsidRPr="000B01A4">
        <w:rPr>
          <w:rFonts w:hint="cs"/>
          <w:sz w:val="18"/>
          <w:rtl/>
        </w:rPr>
        <w:tab/>
        <w:t>يساور</w:t>
      </w:r>
      <w:r w:rsidR="00D874D1">
        <w:rPr>
          <w:rFonts w:hint="cs"/>
          <w:sz w:val="18"/>
          <w:rtl/>
        </w:rPr>
        <w:t xml:space="preserve"> اللجنة قلق بالغ إزاء حالات الإج</w:t>
      </w:r>
      <w:r w:rsidRPr="000B01A4">
        <w:rPr>
          <w:rFonts w:hint="cs"/>
          <w:sz w:val="18"/>
          <w:rtl/>
        </w:rPr>
        <w:t xml:space="preserve">لاء القسري </w:t>
      </w:r>
      <w:proofErr w:type="spellStart"/>
      <w:r w:rsidRPr="000B01A4">
        <w:rPr>
          <w:rFonts w:hint="cs"/>
          <w:sz w:val="18"/>
          <w:rtl/>
        </w:rPr>
        <w:t>للروما</w:t>
      </w:r>
      <w:proofErr w:type="spellEnd"/>
      <w:r w:rsidRPr="000B01A4">
        <w:rPr>
          <w:rFonts w:hint="cs"/>
          <w:sz w:val="18"/>
          <w:rtl/>
        </w:rPr>
        <w:t xml:space="preserve"> من المستوطنات العشوائية، دون تشاور حقيقي مسبق وإخطار معقول في كثير من الأحيان، وإزاء إعادة توطينهم في مواقع غير مأمونة أو ملوثة، ما يشكل خطر</w:t>
      </w:r>
      <w:r w:rsidR="00AD61A2">
        <w:rPr>
          <w:rFonts w:hint="cs"/>
          <w:sz w:val="18"/>
          <w:rtl/>
        </w:rPr>
        <w:t xml:space="preserve">اً </w:t>
      </w:r>
      <w:r w:rsidRPr="000B01A4">
        <w:rPr>
          <w:rFonts w:hint="cs"/>
          <w:sz w:val="18"/>
          <w:rtl/>
        </w:rPr>
        <w:t xml:space="preserve">على حياتهم وصحتهم. كما تشعر بالقلق لأنه يعاد توطين </w:t>
      </w:r>
      <w:proofErr w:type="spellStart"/>
      <w:r w:rsidRPr="000B01A4">
        <w:rPr>
          <w:rFonts w:hint="cs"/>
          <w:sz w:val="18"/>
          <w:rtl/>
        </w:rPr>
        <w:t>الروما</w:t>
      </w:r>
      <w:proofErr w:type="spellEnd"/>
      <w:r w:rsidRPr="000B01A4">
        <w:rPr>
          <w:rFonts w:hint="cs"/>
          <w:sz w:val="18"/>
          <w:rtl/>
        </w:rPr>
        <w:t xml:space="preserve"> في كثير من الحالات في مناطق معزولة يصعب فيها الحصول على العمل والتعليم والرعاية الصحية وغيرها من الخدمات. ويخالج اللجنة قلق بالغ إزاء </w:t>
      </w:r>
      <w:r w:rsidR="00D874D1">
        <w:rPr>
          <w:rFonts w:hint="cs"/>
          <w:sz w:val="18"/>
          <w:rtl/>
        </w:rPr>
        <w:t>ال</w:t>
      </w:r>
      <w:r w:rsidRPr="000B01A4">
        <w:rPr>
          <w:rFonts w:hint="cs"/>
          <w:sz w:val="18"/>
          <w:rtl/>
        </w:rPr>
        <w:t>تقارير</w:t>
      </w:r>
      <w:r w:rsidR="00D874D1">
        <w:rPr>
          <w:rFonts w:hint="cs"/>
          <w:sz w:val="18"/>
          <w:rtl/>
        </w:rPr>
        <w:t xml:space="preserve"> التي تفيد أن</w:t>
      </w:r>
      <w:r w:rsidRPr="000B01A4">
        <w:rPr>
          <w:rFonts w:hint="cs"/>
          <w:sz w:val="18"/>
          <w:rtl/>
        </w:rPr>
        <w:t xml:space="preserve"> بعض الأسر</w:t>
      </w:r>
      <w:r w:rsidR="00D874D1">
        <w:rPr>
          <w:rFonts w:hint="cs"/>
          <w:sz w:val="18"/>
          <w:rtl/>
        </w:rPr>
        <w:t xml:space="preserve"> التي لديها أطفال تُرِكت، عقب إج</w:t>
      </w:r>
      <w:r w:rsidRPr="000B01A4">
        <w:rPr>
          <w:rFonts w:hint="cs"/>
          <w:sz w:val="18"/>
          <w:rtl/>
        </w:rPr>
        <w:t>لائها، بدون سكن بديل لائق أو تعويض أو حماية (المادة 11).</w:t>
      </w:r>
    </w:p>
    <w:p w:rsidR="000B01A4" w:rsidRPr="000B01A4" w:rsidRDefault="00D874D1" w:rsidP="006A10E4">
      <w:pPr>
        <w:pStyle w:val="SingleTxtGA"/>
        <w:rPr>
          <w:rFonts w:hint="cs"/>
          <w:b/>
          <w:bCs/>
          <w:sz w:val="18"/>
          <w:rtl/>
        </w:rPr>
      </w:pPr>
      <w:r>
        <w:rPr>
          <w:rFonts w:hint="cs"/>
          <w:b/>
          <w:bCs/>
          <w:sz w:val="18"/>
          <w:rtl/>
        </w:rPr>
        <w:tab/>
      </w:r>
      <w:r w:rsidR="000B01A4" w:rsidRPr="000B01A4">
        <w:rPr>
          <w:rFonts w:hint="cs"/>
          <w:b/>
          <w:bCs/>
          <w:sz w:val="18"/>
          <w:rtl/>
        </w:rPr>
        <w:t xml:space="preserve">تحث اللجنة الدولة الطرف على أن تعدل قوانينها الوطنية من أجل توفير قدر أدنى من ضمان الحيازة لمن يعيشون في المستوطنات العشوائية، وأن تعتمد قوانين تكفل </w:t>
      </w:r>
      <w:r>
        <w:rPr>
          <w:rFonts w:hint="cs"/>
          <w:b/>
          <w:bCs/>
          <w:sz w:val="18"/>
          <w:rtl/>
        </w:rPr>
        <w:t xml:space="preserve">تنفيذ عمليات </w:t>
      </w:r>
      <w:r w:rsidR="000B01A4" w:rsidRPr="000B01A4">
        <w:rPr>
          <w:rFonts w:hint="cs"/>
          <w:b/>
          <w:bCs/>
          <w:sz w:val="18"/>
          <w:rtl/>
        </w:rPr>
        <w:t>الإخلاء وفق</w:t>
      </w:r>
      <w:r w:rsidR="00AD61A2">
        <w:rPr>
          <w:rFonts w:hint="cs"/>
          <w:b/>
          <w:bCs/>
          <w:sz w:val="18"/>
          <w:rtl/>
        </w:rPr>
        <w:t xml:space="preserve">اً </w:t>
      </w:r>
      <w:r w:rsidR="000B01A4" w:rsidRPr="000B01A4">
        <w:rPr>
          <w:rFonts w:hint="cs"/>
          <w:b/>
          <w:bCs/>
          <w:sz w:val="18"/>
          <w:rtl/>
        </w:rPr>
        <w:t xml:space="preserve">للمعايير الدولية لحقوق الإنسان وتوفير سبل انتصاف فعالة </w:t>
      </w:r>
      <w:r w:rsidR="006A10E4">
        <w:rPr>
          <w:rFonts w:hint="cs"/>
          <w:b/>
          <w:bCs/>
          <w:sz w:val="18"/>
          <w:rtl/>
        </w:rPr>
        <w:t>لمن تمسهم أوامر الإخلاء</w:t>
      </w:r>
      <w:r w:rsidR="000B01A4" w:rsidRPr="000B01A4">
        <w:rPr>
          <w:rFonts w:hint="cs"/>
          <w:b/>
          <w:bCs/>
          <w:sz w:val="18"/>
          <w:rtl/>
        </w:rPr>
        <w:t xml:space="preserve">. وينبغي للدولة الطرف على وجه الخصوص أن تمنع </w:t>
      </w:r>
      <w:r w:rsidR="006A10E4">
        <w:rPr>
          <w:rFonts w:hint="cs"/>
          <w:b/>
          <w:bCs/>
          <w:sz w:val="18"/>
          <w:rtl/>
        </w:rPr>
        <w:t xml:space="preserve">تنفيذ الإجلاء </w:t>
      </w:r>
      <w:r w:rsidR="000B01A4" w:rsidRPr="000B01A4">
        <w:rPr>
          <w:rFonts w:hint="cs"/>
          <w:b/>
          <w:bCs/>
          <w:sz w:val="18"/>
          <w:rtl/>
        </w:rPr>
        <w:t xml:space="preserve">القسري </w:t>
      </w:r>
      <w:proofErr w:type="spellStart"/>
      <w:r w:rsidR="000B01A4" w:rsidRPr="000B01A4">
        <w:rPr>
          <w:rFonts w:hint="cs"/>
          <w:b/>
          <w:bCs/>
          <w:sz w:val="18"/>
          <w:rtl/>
        </w:rPr>
        <w:t>للروما</w:t>
      </w:r>
      <w:proofErr w:type="spellEnd"/>
      <w:r w:rsidR="000B01A4" w:rsidRPr="000B01A4">
        <w:rPr>
          <w:rFonts w:hint="cs"/>
          <w:b/>
          <w:bCs/>
          <w:sz w:val="18"/>
          <w:rtl/>
        </w:rPr>
        <w:t xml:space="preserve"> </w:t>
      </w:r>
      <w:r w:rsidR="006A10E4">
        <w:rPr>
          <w:rFonts w:hint="cs"/>
          <w:b/>
          <w:bCs/>
          <w:sz w:val="18"/>
          <w:rtl/>
        </w:rPr>
        <w:t xml:space="preserve">قبل التشاور مع المعنيين منهم ومنحهم ضمانات </w:t>
      </w:r>
      <w:r w:rsidR="000B01A4" w:rsidRPr="000B01A4">
        <w:rPr>
          <w:rFonts w:hint="cs"/>
          <w:b/>
          <w:bCs/>
          <w:sz w:val="18"/>
          <w:rtl/>
        </w:rPr>
        <w:t>الإجراءات القانونية الواجبة ومأوى بديل</w:t>
      </w:r>
      <w:r w:rsidR="00AD61A2">
        <w:rPr>
          <w:rFonts w:hint="cs"/>
          <w:b/>
          <w:bCs/>
          <w:sz w:val="18"/>
          <w:rtl/>
        </w:rPr>
        <w:t xml:space="preserve">اً </w:t>
      </w:r>
      <w:r w:rsidR="000B01A4" w:rsidRPr="000B01A4">
        <w:rPr>
          <w:rFonts w:hint="cs"/>
          <w:b/>
          <w:bCs/>
          <w:sz w:val="18"/>
          <w:rtl/>
        </w:rPr>
        <w:t>أو تعويض</w:t>
      </w:r>
      <w:r w:rsidR="00AD61A2">
        <w:rPr>
          <w:rFonts w:hint="cs"/>
          <w:b/>
          <w:bCs/>
          <w:sz w:val="18"/>
          <w:rtl/>
        </w:rPr>
        <w:t xml:space="preserve">اً </w:t>
      </w:r>
      <w:r w:rsidR="000B01A4" w:rsidRPr="000B01A4">
        <w:rPr>
          <w:rFonts w:hint="cs"/>
          <w:b/>
          <w:bCs/>
          <w:sz w:val="18"/>
          <w:rtl/>
        </w:rPr>
        <w:t xml:space="preserve">يمكِّنهم </w:t>
      </w:r>
      <w:r w:rsidR="006A10E4">
        <w:rPr>
          <w:rFonts w:hint="cs"/>
          <w:b/>
          <w:bCs/>
          <w:sz w:val="18"/>
          <w:rtl/>
        </w:rPr>
        <w:t xml:space="preserve">من الحصول على </w:t>
      </w:r>
      <w:r w:rsidR="000B01A4" w:rsidRPr="000B01A4">
        <w:rPr>
          <w:rFonts w:hint="cs"/>
          <w:b/>
          <w:bCs/>
          <w:sz w:val="18"/>
          <w:rtl/>
        </w:rPr>
        <w:t>مأوى لائق. و</w:t>
      </w:r>
      <w:r w:rsidR="006A10E4">
        <w:rPr>
          <w:rFonts w:hint="cs"/>
          <w:b/>
          <w:bCs/>
          <w:sz w:val="18"/>
          <w:rtl/>
        </w:rPr>
        <w:t xml:space="preserve">توجه </w:t>
      </w:r>
      <w:r w:rsidR="000B01A4" w:rsidRPr="000B01A4">
        <w:rPr>
          <w:rFonts w:hint="cs"/>
          <w:b/>
          <w:bCs/>
          <w:sz w:val="18"/>
          <w:rtl/>
        </w:rPr>
        <w:t xml:space="preserve">اللجنة انتباه الدولة الطرف إلى </w:t>
      </w:r>
      <w:r w:rsidR="006A10E4">
        <w:rPr>
          <w:rFonts w:hint="cs"/>
          <w:b/>
          <w:bCs/>
          <w:sz w:val="18"/>
          <w:rtl/>
        </w:rPr>
        <w:t>تعليقها العام رقم 7</w:t>
      </w:r>
      <w:r w:rsidR="000B01A4" w:rsidRPr="000B01A4">
        <w:rPr>
          <w:rFonts w:hint="cs"/>
          <w:b/>
          <w:bCs/>
          <w:sz w:val="18"/>
          <w:rtl/>
        </w:rPr>
        <w:t>(1997) بشأن حالات الإخلاء القسري.</w:t>
      </w:r>
    </w:p>
    <w:p w:rsidR="000B01A4" w:rsidRPr="000B01A4" w:rsidRDefault="00D1613C" w:rsidP="00D1613C">
      <w:pPr>
        <w:pStyle w:val="H23GA"/>
        <w:rPr>
          <w:rFonts w:hint="cs"/>
          <w:rtl/>
        </w:rPr>
      </w:pPr>
      <w:r>
        <w:rPr>
          <w:rtl/>
        </w:rPr>
        <w:br w:type="page"/>
      </w:r>
      <w:r w:rsidR="000B01A4" w:rsidRPr="000B01A4">
        <w:rPr>
          <w:rFonts w:hint="cs"/>
          <w:rtl/>
        </w:rPr>
        <w:tab/>
      </w:r>
      <w:r w:rsidR="000B01A4" w:rsidRPr="000B01A4">
        <w:rPr>
          <w:rFonts w:hint="cs"/>
          <w:rtl/>
        </w:rPr>
        <w:tab/>
        <w:t>المياه والصرف الصحي</w:t>
      </w:r>
    </w:p>
    <w:p w:rsidR="000B01A4" w:rsidRPr="000B01A4" w:rsidRDefault="000B01A4" w:rsidP="00D1613C">
      <w:pPr>
        <w:pStyle w:val="SingleTxtGA"/>
        <w:rPr>
          <w:rFonts w:hint="cs"/>
          <w:sz w:val="18"/>
          <w:rtl/>
        </w:rPr>
      </w:pPr>
      <w:r w:rsidRPr="000B01A4">
        <w:rPr>
          <w:rFonts w:hint="cs"/>
          <w:sz w:val="18"/>
          <w:rtl/>
        </w:rPr>
        <w:t>20-</w:t>
      </w:r>
      <w:r w:rsidRPr="000B01A4">
        <w:rPr>
          <w:rFonts w:hint="cs"/>
          <w:sz w:val="18"/>
          <w:rtl/>
        </w:rPr>
        <w:tab/>
        <w:t xml:space="preserve">تلاحظ اللجنة بقلق أن </w:t>
      </w:r>
      <w:r w:rsidR="00D1613C">
        <w:rPr>
          <w:rFonts w:hint="cs"/>
          <w:sz w:val="18"/>
          <w:rtl/>
        </w:rPr>
        <w:t xml:space="preserve">إمكانية الحصول على مياه الشرب المأمون غير كافية وبخاصة في المناطق الريفية حيث لا تتاح شبكة مركزية </w:t>
      </w:r>
      <w:r w:rsidRPr="000B01A4">
        <w:rPr>
          <w:rFonts w:hint="cs"/>
          <w:sz w:val="18"/>
          <w:rtl/>
        </w:rPr>
        <w:t xml:space="preserve">للإمداد بمياه الشرب سوى </w:t>
      </w:r>
      <w:r w:rsidR="00D1613C">
        <w:rPr>
          <w:rFonts w:hint="cs"/>
          <w:sz w:val="18"/>
          <w:rtl/>
        </w:rPr>
        <w:t>ل</w:t>
      </w:r>
      <w:r w:rsidRPr="000B01A4">
        <w:rPr>
          <w:rFonts w:hint="cs"/>
          <w:sz w:val="18"/>
          <w:rtl/>
        </w:rPr>
        <w:t xml:space="preserve">ثلث السكان. كما يساور اللجنة قلق إزاء ضعف </w:t>
      </w:r>
      <w:r w:rsidR="00D1613C">
        <w:rPr>
          <w:rFonts w:hint="cs"/>
          <w:sz w:val="18"/>
          <w:rtl/>
        </w:rPr>
        <w:t xml:space="preserve">إمكانية الاستفادة من شبكات ملائمة لتصريف مياه المجاري والصرف الصحي في المناطق الريفية </w:t>
      </w:r>
      <w:r w:rsidRPr="000B01A4">
        <w:rPr>
          <w:rFonts w:hint="cs"/>
          <w:sz w:val="18"/>
          <w:rtl/>
        </w:rPr>
        <w:t xml:space="preserve">والمستوطنات العشوائية، وإزاء </w:t>
      </w:r>
      <w:r w:rsidR="00D1613C">
        <w:rPr>
          <w:rFonts w:hint="cs"/>
          <w:sz w:val="18"/>
          <w:rtl/>
        </w:rPr>
        <w:t xml:space="preserve">أوجه القصور في معالجة مياه المجاري وما يترتب عليها من تلوث </w:t>
      </w:r>
      <w:r w:rsidRPr="000B01A4">
        <w:rPr>
          <w:rFonts w:hint="cs"/>
          <w:sz w:val="18"/>
          <w:rtl/>
        </w:rPr>
        <w:t>المياه (المادتان 11 و12).</w:t>
      </w:r>
    </w:p>
    <w:p w:rsidR="000B01A4" w:rsidRPr="000B01A4" w:rsidRDefault="00D1613C" w:rsidP="00D1613C">
      <w:pPr>
        <w:pStyle w:val="SingleTxtGA"/>
        <w:rPr>
          <w:rFonts w:hint="cs"/>
          <w:b/>
          <w:bCs/>
          <w:sz w:val="18"/>
          <w:rtl/>
        </w:rPr>
      </w:pPr>
      <w:r>
        <w:rPr>
          <w:rFonts w:hint="cs"/>
          <w:b/>
          <w:bCs/>
          <w:sz w:val="18"/>
          <w:rtl/>
        </w:rPr>
        <w:tab/>
      </w:r>
      <w:r w:rsidR="000B01A4" w:rsidRPr="000B01A4">
        <w:rPr>
          <w:rFonts w:hint="cs"/>
          <w:b/>
          <w:bCs/>
          <w:sz w:val="18"/>
          <w:rtl/>
        </w:rPr>
        <w:t xml:space="preserve">تدعو اللجنة الدولة الطرف إلى أن تكثف جهودها من أجل كفالة </w:t>
      </w:r>
      <w:r>
        <w:rPr>
          <w:rFonts w:hint="cs"/>
          <w:b/>
          <w:bCs/>
          <w:sz w:val="18"/>
          <w:rtl/>
        </w:rPr>
        <w:t xml:space="preserve">إمكانية حصول الجميع على مياه الشرب المأمونة وإمكانية الحصوص على خدمات المرافق الملائمة لتصريف مياه المجاري والصرف الصحي، </w:t>
      </w:r>
      <w:r w:rsidR="000B01A4" w:rsidRPr="000B01A4">
        <w:rPr>
          <w:rFonts w:hint="cs"/>
          <w:b/>
          <w:bCs/>
          <w:sz w:val="18"/>
          <w:rtl/>
        </w:rPr>
        <w:t>ولا</w:t>
      </w:r>
      <w:r>
        <w:rPr>
          <w:rFonts w:hint="cs"/>
          <w:b/>
          <w:bCs/>
          <w:sz w:val="18"/>
          <w:rtl/>
        </w:rPr>
        <w:t xml:space="preserve"> </w:t>
      </w:r>
      <w:r w:rsidR="000B01A4" w:rsidRPr="000B01A4">
        <w:rPr>
          <w:rFonts w:hint="cs"/>
          <w:b/>
          <w:bCs/>
          <w:sz w:val="18"/>
          <w:rtl/>
        </w:rPr>
        <w:t>سيما في المناطق الريفية وبالنسبة لأشد الجماعات حرمان</w:t>
      </w:r>
      <w:r w:rsidR="00AD61A2">
        <w:rPr>
          <w:rFonts w:hint="cs"/>
          <w:b/>
          <w:bCs/>
          <w:sz w:val="18"/>
          <w:rtl/>
        </w:rPr>
        <w:t xml:space="preserve">اً </w:t>
      </w:r>
      <w:r w:rsidR="000B01A4" w:rsidRPr="000B01A4">
        <w:rPr>
          <w:rFonts w:hint="cs"/>
          <w:b/>
          <w:bCs/>
          <w:sz w:val="18"/>
          <w:rtl/>
        </w:rPr>
        <w:t>و</w:t>
      </w:r>
      <w:r>
        <w:rPr>
          <w:rFonts w:hint="cs"/>
          <w:b/>
          <w:bCs/>
          <w:sz w:val="18"/>
          <w:rtl/>
        </w:rPr>
        <w:t xml:space="preserve">معاناة من التهميش. </w:t>
      </w:r>
      <w:r w:rsidR="004F7665">
        <w:rPr>
          <w:rFonts w:hint="cs"/>
          <w:b/>
          <w:bCs/>
          <w:sz w:val="18"/>
          <w:rtl/>
        </w:rPr>
        <w:t>و</w:t>
      </w:r>
      <w:r>
        <w:rPr>
          <w:rFonts w:hint="cs"/>
          <w:b/>
          <w:bCs/>
          <w:sz w:val="18"/>
          <w:rtl/>
        </w:rPr>
        <w:t>توجه اللجن</w:t>
      </w:r>
      <w:r w:rsidR="000B01A4" w:rsidRPr="000B01A4">
        <w:rPr>
          <w:rFonts w:hint="cs"/>
          <w:b/>
          <w:bCs/>
          <w:sz w:val="18"/>
          <w:rtl/>
        </w:rPr>
        <w:t>ة انتباه الدولة</w:t>
      </w:r>
      <w:r>
        <w:rPr>
          <w:rFonts w:hint="cs"/>
          <w:b/>
          <w:bCs/>
          <w:sz w:val="18"/>
          <w:rtl/>
        </w:rPr>
        <w:t xml:space="preserve"> الطرف إلى تعليقها العام رقم 15</w:t>
      </w:r>
      <w:r w:rsidR="000B01A4" w:rsidRPr="000B01A4">
        <w:rPr>
          <w:rFonts w:hint="cs"/>
          <w:b/>
          <w:bCs/>
          <w:sz w:val="18"/>
          <w:rtl/>
        </w:rPr>
        <w:t>(2002) بشأن الحق في الماء وبيانها بشأن الحق في خدمات الصرف الصحي (</w:t>
      </w:r>
      <w:r w:rsidR="000B01A4" w:rsidRPr="000B01A4">
        <w:rPr>
          <w:b/>
          <w:bCs/>
          <w:sz w:val="18"/>
        </w:rPr>
        <w:t>E/C.12/2010/1</w:t>
      </w:r>
      <w:r w:rsidR="000B01A4" w:rsidRPr="000B01A4">
        <w:rPr>
          <w:rFonts w:hint="cs"/>
          <w:b/>
          <w:bCs/>
          <w:sz w:val="18"/>
          <w:rtl/>
        </w:rPr>
        <w:t>).</w:t>
      </w:r>
    </w:p>
    <w:p w:rsidR="000B01A4" w:rsidRPr="000B01A4" w:rsidRDefault="000B01A4" w:rsidP="00D1613C">
      <w:pPr>
        <w:pStyle w:val="H23GA"/>
        <w:rPr>
          <w:rFonts w:hint="cs"/>
          <w:rtl/>
        </w:rPr>
      </w:pPr>
      <w:r w:rsidRPr="000B01A4">
        <w:rPr>
          <w:rFonts w:hint="cs"/>
          <w:rtl/>
        </w:rPr>
        <w:tab/>
      </w:r>
      <w:r w:rsidRPr="000B01A4">
        <w:rPr>
          <w:rFonts w:hint="cs"/>
          <w:rtl/>
        </w:rPr>
        <w:tab/>
        <w:t>نظام الرعاية الصحية</w:t>
      </w:r>
    </w:p>
    <w:p w:rsidR="000B01A4" w:rsidRPr="00D1613C" w:rsidRDefault="000B01A4" w:rsidP="00D1613C">
      <w:pPr>
        <w:pStyle w:val="SingleTxtGA"/>
        <w:rPr>
          <w:rFonts w:hint="cs"/>
          <w:spacing w:val="-2"/>
          <w:sz w:val="18"/>
          <w:rtl/>
        </w:rPr>
      </w:pPr>
      <w:r w:rsidRPr="000B01A4">
        <w:rPr>
          <w:rFonts w:hint="cs"/>
          <w:sz w:val="18"/>
          <w:rtl/>
        </w:rPr>
        <w:t>21-</w:t>
      </w:r>
      <w:r w:rsidRPr="000B01A4">
        <w:rPr>
          <w:rFonts w:hint="cs"/>
          <w:sz w:val="18"/>
          <w:rtl/>
        </w:rPr>
        <w:tab/>
        <w:t xml:space="preserve">تشعر اللجنة بالقلق لأن العمر المتوقع عند الولادة </w:t>
      </w:r>
      <w:r w:rsidR="00D1613C">
        <w:rPr>
          <w:rFonts w:hint="cs"/>
          <w:sz w:val="18"/>
          <w:rtl/>
        </w:rPr>
        <w:t xml:space="preserve">منخفض </w:t>
      </w:r>
      <w:r w:rsidRPr="000B01A4">
        <w:rPr>
          <w:rFonts w:hint="cs"/>
          <w:sz w:val="18"/>
          <w:rtl/>
        </w:rPr>
        <w:t xml:space="preserve">في رومانيا </w:t>
      </w:r>
      <w:r w:rsidR="00D1613C">
        <w:rPr>
          <w:rFonts w:hint="cs"/>
          <w:sz w:val="18"/>
          <w:rtl/>
        </w:rPr>
        <w:t xml:space="preserve">ولأن </w:t>
      </w:r>
      <w:r w:rsidRPr="000B01A4">
        <w:rPr>
          <w:rFonts w:hint="cs"/>
          <w:sz w:val="18"/>
          <w:rtl/>
        </w:rPr>
        <w:t>معدلات وفيات الأطفال والأمهات</w:t>
      </w:r>
      <w:r w:rsidR="00D1613C">
        <w:rPr>
          <w:rFonts w:hint="cs"/>
          <w:sz w:val="18"/>
          <w:rtl/>
        </w:rPr>
        <w:t xml:space="preserve"> بالغة الارتفاع</w:t>
      </w:r>
      <w:r w:rsidRPr="000B01A4">
        <w:rPr>
          <w:rFonts w:hint="cs"/>
          <w:sz w:val="18"/>
          <w:rtl/>
        </w:rPr>
        <w:t xml:space="preserve">. كما يساورها قلق بخصوص </w:t>
      </w:r>
      <w:r w:rsidR="00D1613C">
        <w:rPr>
          <w:rFonts w:hint="cs"/>
          <w:sz w:val="18"/>
          <w:rtl/>
        </w:rPr>
        <w:t xml:space="preserve">وجود أوجه تفاوت في إمكانية الحصول على </w:t>
      </w:r>
      <w:r w:rsidRPr="000B01A4">
        <w:rPr>
          <w:rFonts w:hint="cs"/>
          <w:sz w:val="18"/>
          <w:rtl/>
        </w:rPr>
        <w:t xml:space="preserve">الخدمات الصحية وفي نوعيتها، وبخاصة في المناطق الريفية والنائية وبالنسبة للجماعات المحرومة والمهمشة، وتشعر بالأسف لأن عملية اللامركزية أدت إلى </w:t>
      </w:r>
      <w:r w:rsidR="00D1613C">
        <w:rPr>
          <w:rFonts w:hint="cs"/>
          <w:sz w:val="18"/>
          <w:rtl/>
        </w:rPr>
        <w:t xml:space="preserve">انخفاض </w:t>
      </w:r>
      <w:r w:rsidRPr="000B01A4">
        <w:rPr>
          <w:rFonts w:hint="cs"/>
          <w:sz w:val="18"/>
          <w:rtl/>
        </w:rPr>
        <w:t xml:space="preserve">عدد الوسطاء المعنيين بصحة </w:t>
      </w:r>
      <w:proofErr w:type="spellStart"/>
      <w:r w:rsidRPr="000B01A4">
        <w:rPr>
          <w:rFonts w:hint="cs"/>
          <w:sz w:val="18"/>
          <w:rtl/>
        </w:rPr>
        <w:t>الروما</w:t>
      </w:r>
      <w:proofErr w:type="spellEnd"/>
      <w:r w:rsidRPr="000B01A4">
        <w:rPr>
          <w:rFonts w:hint="cs"/>
          <w:sz w:val="18"/>
          <w:rtl/>
        </w:rPr>
        <w:t xml:space="preserve">. وعلاوة على ذلك، يشكل ما يُزعَم من حالات عزل </w:t>
      </w:r>
      <w:r w:rsidRPr="00D1613C">
        <w:rPr>
          <w:rFonts w:hint="cs"/>
          <w:spacing w:val="-2"/>
          <w:sz w:val="18"/>
          <w:rtl/>
        </w:rPr>
        <w:t xml:space="preserve">المرضى من </w:t>
      </w:r>
      <w:proofErr w:type="spellStart"/>
      <w:r w:rsidRPr="00D1613C">
        <w:rPr>
          <w:rFonts w:hint="cs"/>
          <w:spacing w:val="-2"/>
          <w:sz w:val="18"/>
          <w:rtl/>
        </w:rPr>
        <w:t>الروما</w:t>
      </w:r>
      <w:proofErr w:type="spellEnd"/>
      <w:r w:rsidRPr="00D1613C">
        <w:rPr>
          <w:rFonts w:hint="cs"/>
          <w:spacing w:val="-2"/>
          <w:sz w:val="18"/>
          <w:rtl/>
        </w:rPr>
        <w:t xml:space="preserve"> في عنابر دون المستوى في المستشفيات وإهمالهم مصدر قلق بالغ للجنة. ويزيد قلق اللجنة استمرار ممارسة أداء رسوم غير رسمية رغم التدابير المتخذة لمكافحة الفساد (المادة 12).</w:t>
      </w:r>
    </w:p>
    <w:p w:rsidR="000B01A4" w:rsidRPr="000B01A4" w:rsidRDefault="00D1613C" w:rsidP="004F7665">
      <w:pPr>
        <w:pStyle w:val="SingleTxtGA"/>
        <w:rPr>
          <w:rFonts w:hint="cs"/>
          <w:b/>
          <w:bCs/>
          <w:sz w:val="18"/>
          <w:rtl/>
        </w:rPr>
      </w:pPr>
      <w:r>
        <w:rPr>
          <w:rFonts w:hint="cs"/>
          <w:b/>
          <w:bCs/>
          <w:sz w:val="18"/>
          <w:rtl/>
        </w:rPr>
        <w:tab/>
      </w:r>
      <w:r w:rsidR="000B01A4" w:rsidRPr="000B01A4">
        <w:rPr>
          <w:rFonts w:hint="cs"/>
          <w:b/>
          <w:bCs/>
          <w:sz w:val="18"/>
          <w:rtl/>
        </w:rPr>
        <w:t xml:space="preserve">تدعو اللجنة الدولة الطرف إلى أن تواصل إصلاحات القطاع الصحي وأن تزيد بقدر كبير الأموال المخصصة للصحة العامة. وتوصي الدولةَ الطرفَ بأن تكثف جهودها من أجل ضمان </w:t>
      </w:r>
      <w:r>
        <w:rPr>
          <w:rFonts w:hint="cs"/>
          <w:b/>
          <w:bCs/>
          <w:sz w:val="18"/>
          <w:rtl/>
        </w:rPr>
        <w:t xml:space="preserve">إمكانية الحصول فعلياً على خدمات الرعاية الصحية والعلاج الطبي الجيدة بتكلفة </w:t>
      </w:r>
      <w:r w:rsidR="000B01A4" w:rsidRPr="000B01A4">
        <w:rPr>
          <w:rFonts w:hint="cs"/>
          <w:b/>
          <w:bCs/>
          <w:sz w:val="18"/>
          <w:rtl/>
        </w:rPr>
        <w:t>مقدور عليها وفي الوقت المناسب لجميع قطاعات السكان، بمن فيهم من يعيشون في المناطق الريفية والنائية وكذلك المحرومون والمهمشون أفراد</w:t>
      </w:r>
      <w:r w:rsidR="00AD61A2">
        <w:rPr>
          <w:rFonts w:hint="cs"/>
          <w:b/>
          <w:bCs/>
          <w:sz w:val="18"/>
          <w:rtl/>
        </w:rPr>
        <w:t xml:space="preserve">اً </w:t>
      </w:r>
      <w:r w:rsidR="000B01A4" w:rsidRPr="000B01A4">
        <w:rPr>
          <w:rFonts w:hint="cs"/>
          <w:b/>
          <w:bCs/>
          <w:sz w:val="18"/>
          <w:rtl/>
        </w:rPr>
        <w:t xml:space="preserve">وجماعات. وللحد من وفيات الأطفال والأمهات، ينبغي للدولة الطرف أن </w:t>
      </w:r>
      <w:r>
        <w:rPr>
          <w:rFonts w:hint="cs"/>
          <w:b/>
          <w:bCs/>
          <w:sz w:val="18"/>
          <w:rtl/>
        </w:rPr>
        <w:t>تجر</w:t>
      </w:r>
      <w:r w:rsidR="004F7665">
        <w:rPr>
          <w:rFonts w:hint="cs"/>
          <w:b/>
          <w:bCs/>
          <w:sz w:val="18"/>
          <w:rtl/>
        </w:rPr>
        <w:t>ي</w:t>
      </w:r>
      <w:r>
        <w:rPr>
          <w:rFonts w:hint="cs"/>
          <w:b/>
          <w:bCs/>
          <w:sz w:val="18"/>
          <w:rtl/>
        </w:rPr>
        <w:t xml:space="preserve"> دراسة شاملة لأسباب </w:t>
      </w:r>
      <w:r w:rsidR="000B01A4" w:rsidRPr="000B01A4">
        <w:rPr>
          <w:rFonts w:hint="cs"/>
          <w:b/>
          <w:bCs/>
          <w:sz w:val="18"/>
          <w:rtl/>
        </w:rPr>
        <w:t xml:space="preserve">جميع الوفيات وتضع استراتيجيات محددة ومكيفة في هذا الصدد. وينبغي زيادة عدد الممرضين على صعيد المجتمعات المحلية والوسطاء المعنيين بصحة </w:t>
      </w:r>
      <w:proofErr w:type="spellStart"/>
      <w:r w:rsidR="000B01A4" w:rsidRPr="000B01A4">
        <w:rPr>
          <w:rFonts w:hint="cs"/>
          <w:b/>
          <w:bCs/>
          <w:sz w:val="18"/>
          <w:rtl/>
        </w:rPr>
        <w:t>الروما</w:t>
      </w:r>
      <w:proofErr w:type="spellEnd"/>
      <w:r w:rsidR="000B01A4" w:rsidRPr="000B01A4">
        <w:rPr>
          <w:rFonts w:hint="cs"/>
          <w:b/>
          <w:bCs/>
          <w:sz w:val="18"/>
          <w:rtl/>
        </w:rPr>
        <w:t xml:space="preserve"> وينبغي المعاقبة بشدة على جميع حالات التمييز والعزل التي تستهدف المرضى. كما تدعو اللجنة الدولة الطرف إلى اتخاذ التدابير اللازمة لمكافحة الفساد في القطاع الصحي </w:t>
      </w:r>
      <w:r>
        <w:rPr>
          <w:rFonts w:hint="cs"/>
          <w:b/>
          <w:bCs/>
          <w:sz w:val="18"/>
          <w:rtl/>
        </w:rPr>
        <w:t xml:space="preserve">لمنع تحصيل </w:t>
      </w:r>
      <w:r w:rsidR="000B01A4" w:rsidRPr="000B01A4">
        <w:rPr>
          <w:rFonts w:hint="cs"/>
          <w:b/>
          <w:bCs/>
          <w:sz w:val="18"/>
          <w:rtl/>
        </w:rPr>
        <w:t>رسوم غير رسمية من المرضى.</w:t>
      </w:r>
    </w:p>
    <w:p w:rsidR="000B01A4" w:rsidRPr="000B01A4" w:rsidRDefault="000B01A4" w:rsidP="00D1613C">
      <w:pPr>
        <w:pStyle w:val="H23GA"/>
        <w:rPr>
          <w:rFonts w:hint="cs"/>
          <w:rtl/>
        </w:rPr>
      </w:pPr>
      <w:r w:rsidRPr="000B01A4">
        <w:rPr>
          <w:rFonts w:hint="cs"/>
          <w:rtl/>
        </w:rPr>
        <w:tab/>
      </w:r>
      <w:r w:rsidRPr="000B01A4">
        <w:rPr>
          <w:rFonts w:hint="cs"/>
          <w:rtl/>
        </w:rPr>
        <w:tab/>
        <w:t>الصحة الجنسية والإنجابية</w:t>
      </w:r>
    </w:p>
    <w:p w:rsidR="000B01A4" w:rsidRPr="000B01A4" w:rsidRDefault="000B01A4" w:rsidP="00D1613C">
      <w:pPr>
        <w:pStyle w:val="SingleTxtGA"/>
        <w:rPr>
          <w:rFonts w:hint="cs"/>
          <w:sz w:val="18"/>
          <w:rtl/>
        </w:rPr>
      </w:pPr>
      <w:r w:rsidRPr="000B01A4">
        <w:rPr>
          <w:rFonts w:hint="cs"/>
          <w:sz w:val="18"/>
          <w:rtl/>
        </w:rPr>
        <w:t>22-</w:t>
      </w:r>
      <w:r w:rsidRPr="000B01A4">
        <w:rPr>
          <w:rFonts w:hint="cs"/>
          <w:sz w:val="18"/>
          <w:rtl/>
        </w:rPr>
        <w:tab/>
        <w:t>يخالج اللجنة قلق إزاء ارتفاع عدد حالات حمل المراهقات غير المرغوب فيه وحالات الإجهاض و</w:t>
      </w:r>
      <w:r w:rsidR="00D1613C">
        <w:rPr>
          <w:rFonts w:hint="cs"/>
          <w:sz w:val="18"/>
          <w:rtl/>
        </w:rPr>
        <w:t xml:space="preserve">ضعف </w:t>
      </w:r>
      <w:r w:rsidRPr="000B01A4">
        <w:rPr>
          <w:rFonts w:hint="cs"/>
          <w:sz w:val="18"/>
          <w:rtl/>
        </w:rPr>
        <w:t xml:space="preserve">إمكانية الحصول على </w:t>
      </w:r>
      <w:r w:rsidR="00D1613C">
        <w:rPr>
          <w:rFonts w:hint="cs"/>
          <w:sz w:val="18"/>
          <w:rtl/>
        </w:rPr>
        <w:t xml:space="preserve">التوعية </w:t>
      </w:r>
      <w:r w:rsidRPr="000B01A4">
        <w:rPr>
          <w:rFonts w:hint="cs"/>
          <w:sz w:val="18"/>
          <w:rtl/>
        </w:rPr>
        <w:t>والخدمات في مجال الصحة الجنسية والإنجابية، ولا</w:t>
      </w:r>
      <w:r w:rsidR="00AD61A2">
        <w:rPr>
          <w:rFonts w:hint="cs"/>
          <w:sz w:val="18"/>
          <w:rtl/>
        </w:rPr>
        <w:t xml:space="preserve"> </w:t>
      </w:r>
      <w:r w:rsidRPr="000B01A4">
        <w:rPr>
          <w:rFonts w:hint="cs"/>
          <w:sz w:val="18"/>
          <w:rtl/>
        </w:rPr>
        <w:t>سيما في المناطق الريفية، و</w:t>
      </w:r>
      <w:r w:rsidR="004F7665">
        <w:rPr>
          <w:rFonts w:hint="cs"/>
          <w:sz w:val="18"/>
          <w:rtl/>
        </w:rPr>
        <w:t>قلة وسائل منع الحمل المتاحة ب</w:t>
      </w:r>
      <w:r w:rsidR="00D1613C">
        <w:rPr>
          <w:rFonts w:hint="cs"/>
          <w:sz w:val="18"/>
          <w:rtl/>
        </w:rPr>
        <w:t xml:space="preserve">المجان في </w:t>
      </w:r>
      <w:r w:rsidRPr="000B01A4">
        <w:rPr>
          <w:rFonts w:hint="cs"/>
          <w:sz w:val="18"/>
          <w:rtl/>
        </w:rPr>
        <w:t>الدولة الطرف. وبالتالي، تشعر اللجنة بالقلق لأن</w:t>
      </w:r>
      <w:r w:rsidR="00D1613C">
        <w:rPr>
          <w:rFonts w:hint="cs"/>
          <w:sz w:val="18"/>
          <w:rtl/>
        </w:rPr>
        <w:t xml:space="preserve">ه رغم قانونية </w:t>
      </w:r>
      <w:r w:rsidRPr="000B01A4">
        <w:rPr>
          <w:rFonts w:hint="cs"/>
          <w:sz w:val="18"/>
          <w:rtl/>
        </w:rPr>
        <w:t xml:space="preserve">الإجهاض في الدولة الطرف، </w:t>
      </w:r>
      <w:r w:rsidR="00D1613C">
        <w:rPr>
          <w:rFonts w:hint="cs"/>
          <w:sz w:val="18"/>
          <w:rtl/>
        </w:rPr>
        <w:t xml:space="preserve">لا يزال النساء يلجأن </w:t>
      </w:r>
      <w:r w:rsidRPr="000B01A4">
        <w:rPr>
          <w:rFonts w:hint="cs"/>
          <w:sz w:val="18"/>
          <w:rtl/>
        </w:rPr>
        <w:t xml:space="preserve">إلى عمليات الإجهاض غير القانونية وغير المأمونة. وتلاحظ بقلق أن المهنيين الصحيين </w:t>
      </w:r>
      <w:r w:rsidR="00D1613C">
        <w:rPr>
          <w:rFonts w:hint="cs"/>
          <w:sz w:val="18"/>
          <w:rtl/>
        </w:rPr>
        <w:t xml:space="preserve">يتمسكون </w:t>
      </w:r>
      <w:r w:rsidRPr="000B01A4">
        <w:rPr>
          <w:rFonts w:hint="cs"/>
          <w:sz w:val="18"/>
          <w:rtl/>
        </w:rPr>
        <w:t xml:space="preserve">على نحو متزايد بالاستنكاف </w:t>
      </w:r>
      <w:proofErr w:type="spellStart"/>
      <w:r w:rsidRPr="000B01A4">
        <w:rPr>
          <w:rFonts w:hint="cs"/>
          <w:sz w:val="18"/>
          <w:rtl/>
        </w:rPr>
        <w:t>الضميري</w:t>
      </w:r>
      <w:proofErr w:type="spellEnd"/>
      <w:r w:rsidRPr="000B01A4">
        <w:rPr>
          <w:rFonts w:hint="cs"/>
          <w:sz w:val="18"/>
          <w:rtl/>
        </w:rPr>
        <w:t xml:space="preserve"> ويعيقون بالتالي عملي</w:t>
      </w:r>
      <w:r w:rsidR="00AD61A2">
        <w:rPr>
          <w:rFonts w:hint="cs"/>
          <w:sz w:val="18"/>
          <w:rtl/>
        </w:rPr>
        <w:t xml:space="preserve">اً </w:t>
      </w:r>
      <w:r w:rsidRPr="000B01A4">
        <w:rPr>
          <w:rFonts w:hint="cs"/>
          <w:sz w:val="18"/>
          <w:rtl/>
        </w:rPr>
        <w:t xml:space="preserve">إمكانية الاستفادة من الإجهاض المأمون. وتعرب اللجنة عن قلقها إزاء حالات التمييز ضد </w:t>
      </w:r>
      <w:r w:rsidR="00D1613C">
        <w:rPr>
          <w:rFonts w:hint="cs"/>
          <w:sz w:val="18"/>
          <w:rtl/>
        </w:rPr>
        <w:t xml:space="preserve">المصابات بفيروس </w:t>
      </w:r>
      <w:r w:rsidRPr="000B01A4">
        <w:rPr>
          <w:rFonts w:hint="cs"/>
          <w:sz w:val="18"/>
          <w:rtl/>
        </w:rPr>
        <w:t>نقص المناعة البشرية/الإيدز في مجال الحصول على خدمات الصحة الجنسية والإنجابية وإزاء عدم كفاية مستوى الوقاية من انتقال فيروس نقص المناعة البشرية من الأم إلى الطفل.</w:t>
      </w:r>
    </w:p>
    <w:p w:rsidR="000B01A4" w:rsidRPr="000B01A4" w:rsidRDefault="00D1613C" w:rsidP="004F7665">
      <w:pPr>
        <w:pStyle w:val="SingleTxtGA"/>
        <w:rPr>
          <w:rFonts w:hint="cs"/>
          <w:b/>
          <w:bCs/>
          <w:sz w:val="18"/>
          <w:rtl/>
        </w:rPr>
      </w:pPr>
      <w:r>
        <w:rPr>
          <w:rFonts w:hint="cs"/>
          <w:b/>
          <w:bCs/>
          <w:sz w:val="18"/>
          <w:rtl/>
        </w:rPr>
        <w:tab/>
      </w:r>
      <w:r w:rsidR="000B01A4" w:rsidRPr="000B01A4">
        <w:rPr>
          <w:rFonts w:hint="cs"/>
          <w:b/>
          <w:bCs/>
          <w:sz w:val="18"/>
          <w:rtl/>
        </w:rPr>
        <w:t xml:space="preserve">تدعو اللجنة الدولة الطرف إلى اعتماد استراتيجية وطنية بشأن الصحة الجنسية والإنجابية وتكثيف جهودها من أجل منع حالات حمل المراهقات غير المرغوب فيه، </w:t>
      </w:r>
      <w:r>
        <w:rPr>
          <w:rFonts w:hint="cs"/>
          <w:b/>
          <w:bCs/>
          <w:sz w:val="18"/>
          <w:rtl/>
        </w:rPr>
        <w:t>بوسائل منها ت</w:t>
      </w:r>
      <w:r w:rsidR="000B01A4" w:rsidRPr="000B01A4">
        <w:rPr>
          <w:rFonts w:hint="cs"/>
          <w:b/>
          <w:bCs/>
          <w:sz w:val="18"/>
          <w:rtl/>
        </w:rPr>
        <w:t>نفيذ برنامج شامل وإلزامي بشأن الصحة الجنسية والإنجابية في المدارس. وتحث اللجنة الدولة الطرف على ضمان إ</w:t>
      </w:r>
      <w:r w:rsidR="004F7665">
        <w:rPr>
          <w:rFonts w:hint="cs"/>
          <w:b/>
          <w:bCs/>
          <w:sz w:val="18"/>
          <w:rtl/>
        </w:rPr>
        <w:t xml:space="preserve">تاحة </w:t>
      </w:r>
      <w:r w:rsidR="000B01A4" w:rsidRPr="000B01A4">
        <w:rPr>
          <w:rFonts w:hint="cs"/>
          <w:b/>
          <w:bCs/>
          <w:sz w:val="18"/>
          <w:rtl/>
        </w:rPr>
        <w:t xml:space="preserve">خدمات الصحة الجنسية والإنجابية، بما في ذلك الخدمات والمعلومات المتعلقة بالإجهاض ومنع الحمل، </w:t>
      </w:r>
      <w:r>
        <w:rPr>
          <w:rFonts w:hint="cs"/>
          <w:b/>
          <w:bCs/>
          <w:sz w:val="18"/>
          <w:rtl/>
        </w:rPr>
        <w:t xml:space="preserve">ضمان إمكانية الحصول عليها </w:t>
      </w:r>
      <w:r w:rsidR="000B01A4" w:rsidRPr="000B01A4">
        <w:rPr>
          <w:rFonts w:hint="cs"/>
          <w:b/>
          <w:bCs/>
          <w:sz w:val="18"/>
          <w:rtl/>
        </w:rPr>
        <w:t>بتكلفة مقدور عليها ودون تمييز، ويشمل ذلك المراهقين. وتوصي بأن تتاح لجميع النساء والفتيات الحوامل خدمات الرعاية الطبية المتخصصة، بما في ذلك تدابير الوقاية من انتقال فيروس نقص المناعة البشرية من الأم إلى الطفل.</w:t>
      </w:r>
    </w:p>
    <w:p w:rsidR="000B01A4" w:rsidRPr="000B01A4" w:rsidRDefault="000B01A4" w:rsidP="00D1613C">
      <w:pPr>
        <w:pStyle w:val="H23GA"/>
        <w:rPr>
          <w:rFonts w:hint="cs"/>
          <w:rtl/>
        </w:rPr>
      </w:pPr>
      <w:r w:rsidRPr="000B01A4">
        <w:rPr>
          <w:rFonts w:hint="cs"/>
          <w:rtl/>
        </w:rPr>
        <w:tab/>
      </w:r>
      <w:r w:rsidRPr="000B01A4">
        <w:rPr>
          <w:rFonts w:hint="cs"/>
          <w:rtl/>
        </w:rPr>
        <w:tab/>
        <w:t>التعليم</w:t>
      </w:r>
    </w:p>
    <w:p w:rsidR="000B01A4" w:rsidRPr="000B01A4" w:rsidRDefault="000B01A4" w:rsidP="00D1613C">
      <w:pPr>
        <w:pStyle w:val="SingleTxtGA"/>
        <w:rPr>
          <w:rFonts w:hint="cs"/>
          <w:sz w:val="18"/>
          <w:rtl/>
        </w:rPr>
      </w:pPr>
      <w:r w:rsidRPr="000B01A4">
        <w:rPr>
          <w:rFonts w:hint="cs"/>
          <w:sz w:val="18"/>
          <w:rtl/>
        </w:rPr>
        <w:t>23-</w:t>
      </w:r>
      <w:r w:rsidRPr="000B01A4">
        <w:rPr>
          <w:rFonts w:hint="cs"/>
          <w:sz w:val="18"/>
          <w:rtl/>
        </w:rPr>
        <w:tab/>
        <w:t>تشعر اللجنة بالقلق لأن</w:t>
      </w:r>
      <w:r w:rsidR="00D1613C">
        <w:rPr>
          <w:rFonts w:hint="cs"/>
          <w:sz w:val="18"/>
          <w:rtl/>
        </w:rPr>
        <w:t xml:space="preserve">ه رغم ضرورة توفير التعليم بالمجان، يُحمل الآباء </w:t>
      </w:r>
      <w:r w:rsidRPr="000B01A4">
        <w:rPr>
          <w:rFonts w:hint="cs"/>
          <w:sz w:val="18"/>
          <w:rtl/>
        </w:rPr>
        <w:t>بدفع رسوم إضافية للمدارس لأغراض شتى. وتعترف اللجنة بالتقدم المحرز مؤخرا</w:t>
      </w:r>
      <w:r w:rsidR="00D1613C">
        <w:rPr>
          <w:rFonts w:hint="cs"/>
          <w:sz w:val="18"/>
          <w:rtl/>
        </w:rPr>
        <w:t>ً</w:t>
      </w:r>
      <w:r w:rsidRPr="000B01A4">
        <w:rPr>
          <w:rFonts w:hint="cs"/>
          <w:sz w:val="18"/>
          <w:rtl/>
        </w:rPr>
        <w:t xml:space="preserve">، </w:t>
      </w:r>
      <w:r w:rsidR="00D1613C">
        <w:rPr>
          <w:rFonts w:hint="cs"/>
          <w:sz w:val="18"/>
          <w:rtl/>
        </w:rPr>
        <w:t xml:space="preserve">لكنها </w:t>
      </w:r>
      <w:r w:rsidRPr="000B01A4">
        <w:rPr>
          <w:rFonts w:hint="cs"/>
          <w:sz w:val="18"/>
          <w:rtl/>
        </w:rPr>
        <w:t xml:space="preserve">تلاحظ أنه ينبغي </w:t>
      </w:r>
      <w:r w:rsidR="00D1613C">
        <w:rPr>
          <w:rFonts w:hint="cs"/>
          <w:sz w:val="18"/>
          <w:rtl/>
        </w:rPr>
        <w:t xml:space="preserve">تحسين </w:t>
      </w:r>
      <w:r w:rsidRPr="000B01A4">
        <w:rPr>
          <w:rFonts w:hint="cs"/>
          <w:sz w:val="18"/>
          <w:rtl/>
        </w:rPr>
        <w:t xml:space="preserve">نوعية التعليم والتدريب </w:t>
      </w:r>
      <w:r w:rsidR="00D1613C">
        <w:rPr>
          <w:rFonts w:hint="cs"/>
          <w:sz w:val="18"/>
          <w:rtl/>
        </w:rPr>
        <w:t xml:space="preserve">بصورة كبيرة </w:t>
      </w:r>
      <w:r w:rsidRPr="000B01A4">
        <w:rPr>
          <w:rFonts w:hint="cs"/>
          <w:sz w:val="18"/>
          <w:rtl/>
        </w:rPr>
        <w:t xml:space="preserve">في الدولة الطرف. وتعرب اللجنة عن قلقها إزاء </w:t>
      </w:r>
      <w:r w:rsidR="00D1613C">
        <w:rPr>
          <w:rFonts w:hint="cs"/>
          <w:sz w:val="18"/>
          <w:rtl/>
        </w:rPr>
        <w:t xml:space="preserve">ارتفاع نسبة </w:t>
      </w:r>
      <w:r w:rsidRPr="000B01A4">
        <w:rPr>
          <w:rFonts w:hint="cs"/>
          <w:sz w:val="18"/>
          <w:rtl/>
        </w:rPr>
        <w:t xml:space="preserve">أطفال </w:t>
      </w:r>
      <w:proofErr w:type="spellStart"/>
      <w:r w:rsidRPr="000B01A4">
        <w:rPr>
          <w:rFonts w:hint="cs"/>
          <w:sz w:val="18"/>
          <w:rtl/>
        </w:rPr>
        <w:t>الروما</w:t>
      </w:r>
      <w:proofErr w:type="spellEnd"/>
      <w:r w:rsidRPr="000B01A4">
        <w:rPr>
          <w:rFonts w:hint="cs"/>
          <w:sz w:val="18"/>
          <w:rtl/>
        </w:rPr>
        <w:t xml:space="preserve"> الذين لا يحصلون على أي تعليم نظامي وإزاء ارتفاع معدلات </w:t>
      </w:r>
      <w:r w:rsidR="00D1613C">
        <w:rPr>
          <w:rFonts w:hint="cs"/>
          <w:sz w:val="18"/>
          <w:rtl/>
        </w:rPr>
        <w:t>التسرب الدراسي</w:t>
      </w:r>
      <w:r w:rsidRPr="000B01A4">
        <w:rPr>
          <w:rFonts w:hint="cs"/>
          <w:sz w:val="18"/>
          <w:rtl/>
        </w:rPr>
        <w:t xml:space="preserve">، رغم التدابير التي اتخذتها الدولة الطرف في هذا الصدد. كما يساور اللجنة قلق إزاء حالات تدل على أن ممارسة عزل الأطفال المنتمين إلى أقلية </w:t>
      </w:r>
      <w:proofErr w:type="spellStart"/>
      <w:r w:rsidRPr="000B01A4">
        <w:rPr>
          <w:rFonts w:hint="cs"/>
          <w:sz w:val="18"/>
          <w:rtl/>
        </w:rPr>
        <w:t>الروما</w:t>
      </w:r>
      <w:proofErr w:type="spellEnd"/>
      <w:r w:rsidRPr="000B01A4">
        <w:rPr>
          <w:rFonts w:hint="cs"/>
          <w:sz w:val="18"/>
          <w:rtl/>
        </w:rPr>
        <w:t xml:space="preserve"> والأطفال ذوي الإعاقة في المدارس لا تزال مستمرة (المادة 13).</w:t>
      </w:r>
    </w:p>
    <w:p w:rsidR="000B01A4" w:rsidRPr="000B01A4" w:rsidRDefault="00D1613C" w:rsidP="004F7665">
      <w:pPr>
        <w:pStyle w:val="SingleTxtGA"/>
        <w:rPr>
          <w:rFonts w:hint="cs"/>
          <w:b/>
          <w:bCs/>
          <w:sz w:val="18"/>
          <w:rtl/>
        </w:rPr>
      </w:pPr>
      <w:r>
        <w:rPr>
          <w:rFonts w:hint="cs"/>
          <w:b/>
          <w:bCs/>
          <w:sz w:val="18"/>
          <w:rtl/>
        </w:rPr>
        <w:tab/>
      </w:r>
      <w:r w:rsidR="000B01A4" w:rsidRPr="000B01A4">
        <w:rPr>
          <w:rFonts w:hint="cs"/>
          <w:b/>
          <w:bCs/>
          <w:sz w:val="18"/>
          <w:rtl/>
        </w:rPr>
        <w:t>تدعو اللجنة الدولة الطرف إلى ما يلي:</w:t>
      </w:r>
    </w:p>
    <w:p w:rsidR="000B01A4" w:rsidRPr="000B01A4" w:rsidRDefault="000B01A4" w:rsidP="000B01A4">
      <w:pPr>
        <w:pStyle w:val="SingleTxtGA"/>
        <w:rPr>
          <w:rFonts w:hint="cs"/>
          <w:b/>
          <w:bCs/>
          <w:sz w:val="18"/>
          <w:rtl/>
        </w:rPr>
      </w:pPr>
      <w:r w:rsidRPr="000B01A4">
        <w:rPr>
          <w:rFonts w:hint="cs"/>
          <w:b/>
          <w:bCs/>
          <w:sz w:val="18"/>
          <w:rtl/>
        </w:rPr>
        <w:tab/>
        <w:t>(أ)</w:t>
      </w:r>
      <w:r w:rsidRPr="000B01A4">
        <w:rPr>
          <w:rFonts w:hint="cs"/>
          <w:b/>
          <w:bCs/>
          <w:sz w:val="18"/>
          <w:rtl/>
        </w:rPr>
        <w:tab/>
        <w:t>تعزيز تنفيذ التدابير القائمة لتحسين فرص الالتح</w:t>
      </w:r>
      <w:r w:rsidR="00D1613C">
        <w:rPr>
          <w:rFonts w:hint="cs"/>
          <w:b/>
          <w:bCs/>
          <w:sz w:val="18"/>
          <w:rtl/>
        </w:rPr>
        <w:t xml:space="preserve">اق بالتعليم الابتدائي والثانوي وتحسين </w:t>
      </w:r>
      <w:r w:rsidRPr="000B01A4">
        <w:rPr>
          <w:rFonts w:hint="cs"/>
          <w:b/>
          <w:bCs/>
          <w:sz w:val="18"/>
          <w:rtl/>
        </w:rPr>
        <w:t>جودته بالنسبة لجميع الأطفال؛</w:t>
      </w:r>
    </w:p>
    <w:p w:rsidR="000B01A4" w:rsidRPr="000B01A4" w:rsidRDefault="000B01A4" w:rsidP="000B01A4">
      <w:pPr>
        <w:pStyle w:val="SingleTxtGA"/>
        <w:rPr>
          <w:rFonts w:hint="cs"/>
          <w:b/>
          <w:bCs/>
          <w:sz w:val="18"/>
          <w:rtl/>
        </w:rPr>
      </w:pPr>
      <w:r w:rsidRPr="000B01A4">
        <w:rPr>
          <w:rFonts w:hint="cs"/>
          <w:b/>
          <w:bCs/>
          <w:sz w:val="18"/>
          <w:rtl/>
        </w:rPr>
        <w:tab/>
        <w:t>(ب)</w:t>
      </w:r>
      <w:r w:rsidRPr="000B01A4">
        <w:rPr>
          <w:rFonts w:hint="cs"/>
          <w:b/>
          <w:bCs/>
          <w:sz w:val="18"/>
          <w:rtl/>
        </w:rPr>
        <w:tab/>
        <w:t>زيادة الميزانية المخصصة للتعليم بنسبة كبيرة؛</w:t>
      </w:r>
    </w:p>
    <w:p w:rsidR="000B01A4" w:rsidRPr="000B01A4" w:rsidRDefault="000B01A4" w:rsidP="004F7665">
      <w:pPr>
        <w:pStyle w:val="SingleTxtGA"/>
        <w:rPr>
          <w:rFonts w:hint="cs"/>
          <w:b/>
          <w:bCs/>
          <w:sz w:val="18"/>
          <w:rtl/>
        </w:rPr>
      </w:pPr>
      <w:r w:rsidRPr="000B01A4">
        <w:rPr>
          <w:rFonts w:hint="cs"/>
          <w:b/>
          <w:bCs/>
          <w:sz w:val="18"/>
          <w:rtl/>
        </w:rPr>
        <w:tab/>
        <w:t>(ج)</w:t>
      </w:r>
      <w:r w:rsidRPr="000B01A4">
        <w:rPr>
          <w:rFonts w:hint="cs"/>
          <w:b/>
          <w:bCs/>
          <w:sz w:val="18"/>
          <w:rtl/>
        </w:rPr>
        <w:tab/>
        <w:t>كفالة</w:t>
      </w:r>
      <w:r w:rsidR="00D1613C">
        <w:rPr>
          <w:rFonts w:hint="cs"/>
          <w:b/>
          <w:bCs/>
          <w:sz w:val="18"/>
          <w:rtl/>
        </w:rPr>
        <w:t xml:space="preserve"> عدم إعاقة </w:t>
      </w:r>
      <w:r w:rsidRPr="000B01A4">
        <w:rPr>
          <w:rFonts w:hint="cs"/>
          <w:b/>
          <w:bCs/>
          <w:sz w:val="18"/>
          <w:rtl/>
        </w:rPr>
        <w:t xml:space="preserve">التكاليف المادية الإضافية والرسوم غير الرسمية في الواقع </w:t>
      </w:r>
      <w:r w:rsidR="004F7665">
        <w:rPr>
          <w:rFonts w:hint="cs"/>
          <w:b/>
          <w:bCs/>
          <w:sz w:val="18"/>
          <w:rtl/>
        </w:rPr>
        <w:t>ل</w:t>
      </w:r>
      <w:r w:rsidRPr="000B01A4">
        <w:rPr>
          <w:rFonts w:hint="cs"/>
          <w:b/>
          <w:bCs/>
          <w:sz w:val="18"/>
          <w:rtl/>
        </w:rPr>
        <w:t>لالتحاق بالتعليم الابتدائي المجاني؛</w:t>
      </w:r>
    </w:p>
    <w:p w:rsidR="000B01A4" w:rsidRPr="000B01A4" w:rsidRDefault="000B01A4" w:rsidP="004650F2">
      <w:pPr>
        <w:pStyle w:val="SingleTxtGA"/>
        <w:rPr>
          <w:rFonts w:hint="cs"/>
          <w:b/>
          <w:bCs/>
          <w:sz w:val="18"/>
          <w:rtl/>
        </w:rPr>
      </w:pPr>
      <w:r w:rsidRPr="000B01A4">
        <w:rPr>
          <w:rFonts w:hint="cs"/>
          <w:b/>
          <w:bCs/>
          <w:sz w:val="18"/>
          <w:rtl/>
        </w:rPr>
        <w:tab/>
        <w:t>(د)</w:t>
      </w:r>
      <w:r w:rsidRPr="000B01A4">
        <w:rPr>
          <w:rFonts w:hint="cs"/>
          <w:b/>
          <w:bCs/>
          <w:sz w:val="18"/>
          <w:rtl/>
        </w:rPr>
        <w:tab/>
        <w:t xml:space="preserve">تعزيز جهودها الرامية إلى معالجة العوامل الاقتصادية والاجتماعية والثقافية التي جرى تحديدها كأسباب جذرية لمعدلات </w:t>
      </w:r>
      <w:r w:rsidR="004650F2">
        <w:rPr>
          <w:rFonts w:hint="cs"/>
          <w:b/>
          <w:bCs/>
          <w:sz w:val="18"/>
          <w:rtl/>
        </w:rPr>
        <w:t xml:space="preserve">التسرب بالدراسي التي لا </w:t>
      </w:r>
      <w:r w:rsidRPr="000B01A4">
        <w:rPr>
          <w:rFonts w:hint="cs"/>
          <w:b/>
          <w:bCs/>
          <w:sz w:val="18"/>
          <w:rtl/>
        </w:rPr>
        <w:t>تزال عالية؛</w:t>
      </w:r>
    </w:p>
    <w:p w:rsidR="000B01A4" w:rsidRPr="000B01A4" w:rsidRDefault="000B01A4" w:rsidP="004650F2">
      <w:pPr>
        <w:pStyle w:val="SingleTxtGA"/>
        <w:rPr>
          <w:rFonts w:hint="cs"/>
          <w:b/>
          <w:bCs/>
          <w:sz w:val="18"/>
          <w:rtl/>
        </w:rPr>
      </w:pPr>
      <w:r w:rsidRPr="000B01A4">
        <w:rPr>
          <w:rFonts w:hint="cs"/>
          <w:b/>
          <w:bCs/>
          <w:sz w:val="18"/>
          <w:rtl/>
        </w:rPr>
        <w:tab/>
        <w:t>(ه)</w:t>
      </w:r>
      <w:r w:rsidRPr="000B01A4">
        <w:rPr>
          <w:rFonts w:hint="cs"/>
          <w:b/>
          <w:bCs/>
          <w:sz w:val="18"/>
          <w:rtl/>
        </w:rPr>
        <w:tab/>
        <w:t xml:space="preserve">زيادة عدد الوسطاء المعنيين بالتحاق أطفال </w:t>
      </w:r>
      <w:proofErr w:type="spellStart"/>
      <w:r w:rsidRPr="000B01A4">
        <w:rPr>
          <w:rFonts w:hint="cs"/>
          <w:b/>
          <w:bCs/>
          <w:sz w:val="18"/>
          <w:rtl/>
        </w:rPr>
        <w:t>الروما</w:t>
      </w:r>
      <w:proofErr w:type="spellEnd"/>
      <w:r w:rsidRPr="000B01A4">
        <w:rPr>
          <w:rFonts w:hint="cs"/>
          <w:b/>
          <w:bCs/>
          <w:sz w:val="18"/>
          <w:rtl/>
        </w:rPr>
        <w:t xml:space="preserve"> بالمدارس، والقيام بحملات لزيادة وعي الأسر المنتمية إلى أقلية </w:t>
      </w:r>
      <w:proofErr w:type="spellStart"/>
      <w:r w:rsidRPr="000B01A4">
        <w:rPr>
          <w:rFonts w:hint="cs"/>
          <w:b/>
          <w:bCs/>
          <w:sz w:val="18"/>
          <w:rtl/>
        </w:rPr>
        <w:t>الروما</w:t>
      </w:r>
      <w:proofErr w:type="spellEnd"/>
      <w:r w:rsidRPr="000B01A4">
        <w:rPr>
          <w:rFonts w:hint="cs"/>
          <w:b/>
          <w:bCs/>
          <w:sz w:val="18"/>
          <w:rtl/>
        </w:rPr>
        <w:t xml:space="preserve"> بأهمية التعليم، ومواصلة تقديم الحوافز ذات الصلة؛</w:t>
      </w:r>
    </w:p>
    <w:p w:rsidR="000B01A4" w:rsidRPr="000B01A4" w:rsidRDefault="000B01A4" w:rsidP="000B01A4">
      <w:pPr>
        <w:pStyle w:val="SingleTxtGA"/>
        <w:rPr>
          <w:rFonts w:hint="cs"/>
          <w:b/>
          <w:bCs/>
          <w:sz w:val="18"/>
          <w:rtl/>
        </w:rPr>
      </w:pPr>
      <w:r w:rsidRPr="000B01A4">
        <w:rPr>
          <w:rFonts w:hint="cs"/>
          <w:b/>
          <w:bCs/>
          <w:sz w:val="18"/>
          <w:rtl/>
        </w:rPr>
        <w:tab/>
        <w:t>(و)</w:t>
      </w:r>
      <w:r w:rsidRPr="000B01A4">
        <w:rPr>
          <w:rFonts w:hint="cs"/>
          <w:b/>
          <w:bCs/>
          <w:sz w:val="18"/>
          <w:rtl/>
        </w:rPr>
        <w:tab/>
        <w:t xml:space="preserve">مواصلة جهودها من أجل مكافحة ممارسة عزل الأطفال المنتمين إلى أقلية </w:t>
      </w:r>
      <w:proofErr w:type="spellStart"/>
      <w:r w:rsidRPr="000B01A4">
        <w:rPr>
          <w:rFonts w:hint="cs"/>
          <w:b/>
          <w:bCs/>
          <w:sz w:val="18"/>
          <w:rtl/>
        </w:rPr>
        <w:t>الروما</w:t>
      </w:r>
      <w:proofErr w:type="spellEnd"/>
      <w:r w:rsidRPr="000B01A4">
        <w:rPr>
          <w:rFonts w:hint="cs"/>
          <w:b/>
          <w:bCs/>
          <w:sz w:val="18"/>
          <w:rtl/>
        </w:rPr>
        <w:t xml:space="preserve"> والأطفال ذوي الإعاقة في المدارس، وتعديل القانون رقم 1/2011 المتعلق بالتعليم الوطني بغرض تضمينه حكم</w:t>
      </w:r>
      <w:r w:rsidR="00AD61A2">
        <w:rPr>
          <w:rFonts w:hint="cs"/>
          <w:b/>
          <w:bCs/>
          <w:sz w:val="18"/>
          <w:rtl/>
        </w:rPr>
        <w:t xml:space="preserve">اً </w:t>
      </w:r>
      <w:r w:rsidRPr="000B01A4">
        <w:rPr>
          <w:rFonts w:hint="cs"/>
          <w:b/>
          <w:bCs/>
          <w:sz w:val="18"/>
          <w:rtl/>
        </w:rPr>
        <w:t xml:space="preserve">يحظر العزل في المدارس، وكفالة الإنفاذ الفعال للأمر رقم 1540/2007 لمكافحة ممارسة عزل الأطفال المنتمين إلى أقلية </w:t>
      </w:r>
      <w:proofErr w:type="spellStart"/>
      <w:r w:rsidRPr="000B01A4">
        <w:rPr>
          <w:rFonts w:hint="cs"/>
          <w:b/>
          <w:bCs/>
          <w:sz w:val="18"/>
          <w:rtl/>
        </w:rPr>
        <w:t>الروما</w:t>
      </w:r>
      <w:proofErr w:type="spellEnd"/>
      <w:r w:rsidRPr="000B01A4">
        <w:rPr>
          <w:rFonts w:hint="cs"/>
          <w:b/>
          <w:bCs/>
          <w:sz w:val="18"/>
          <w:rtl/>
        </w:rPr>
        <w:t xml:space="preserve"> في المدارس وإنشاء هيئة لرصد تنفيذه، وزيادة الوعي بحظر هذه الممارسة لدى المدرسين والسكان بشكل عام؛</w:t>
      </w:r>
    </w:p>
    <w:p w:rsidR="000B01A4" w:rsidRPr="000B01A4" w:rsidRDefault="000B01A4" w:rsidP="000B01A4">
      <w:pPr>
        <w:pStyle w:val="SingleTxtGA"/>
        <w:rPr>
          <w:rFonts w:hint="cs"/>
          <w:b/>
          <w:bCs/>
          <w:sz w:val="18"/>
          <w:rtl/>
        </w:rPr>
      </w:pPr>
      <w:r w:rsidRPr="000B01A4">
        <w:rPr>
          <w:rFonts w:hint="cs"/>
          <w:b/>
          <w:bCs/>
          <w:sz w:val="18"/>
          <w:rtl/>
        </w:rPr>
        <w:tab/>
        <w:t>(ز)</w:t>
      </w:r>
      <w:r w:rsidRPr="000B01A4">
        <w:rPr>
          <w:rFonts w:hint="cs"/>
          <w:b/>
          <w:bCs/>
          <w:sz w:val="18"/>
          <w:rtl/>
        </w:rPr>
        <w:tab/>
        <w:t xml:space="preserve">مراعاة </w:t>
      </w:r>
      <w:r w:rsidR="004650F2">
        <w:rPr>
          <w:rFonts w:hint="cs"/>
          <w:b/>
          <w:bCs/>
          <w:sz w:val="18"/>
          <w:rtl/>
        </w:rPr>
        <w:t>تعليق اللجنة العام رقم 13</w:t>
      </w:r>
      <w:r w:rsidRPr="000B01A4">
        <w:rPr>
          <w:rFonts w:hint="cs"/>
          <w:b/>
          <w:bCs/>
          <w:sz w:val="18"/>
          <w:rtl/>
        </w:rPr>
        <w:t>(1999) بشأن الحق في التعليم.</w:t>
      </w:r>
    </w:p>
    <w:p w:rsidR="000B01A4" w:rsidRPr="000B01A4" w:rsidRDefault="000B01A4" w:rsidP="004650F2">
      <w:pPr>
        <w:pStyle w:val="H23GA"/>
        <w:rPr>
          <w:rFonts w:hint="cs"/>
          <w:rtl/>
        </w:rPr>
      </w:pPr>
      <w:r w:rsidRPr="000B01A4">
        <w:rPr>
          <w:rFonts w:hint="cs"/>
          <w:rtl/>
        </w:rPr>
        <w:tab/>
      </w:r>
      <w:r w:rsidRPr="000B01A4">
        <w:rPr>
          <w:rFonts w:hint="cs"/>
          <w:rtl/>
        </w:rPr>
        <w:tab/>
        <w:t>الحقوق اللغوية والثقافية للأقليات القومية (المادة 15)</w:t>
      </w:r>
    </w:p>
    <w:p w:rsidR="000B01A4" w:rsidRPr="000B01A4" w:rsidRDefault="000B01A4" w:rsidP="004650F2">
      <w:pPr>
        <w:pStyle w:val="SingleTxtGA"/>
        <w:rPr>
          <w:rFonts w:hint="cs"/>
          <w:sz w:val="18"/>
          <w:rtl/>
        </w:rPr>
      </w:pPr>
      <w:r w:rsidRPr="000B01A4">
        <w:rPr>
          <w:rFonts w:hint="cs"/>
          <w:sz w:val="18"/>
          <w:rtl/>
        </w:rPr>
        <w:t>24-</w:t>
      </w:r>
      <w:r w:rsidRPr="000B01A4">
        <w:rPr>
          <w:rFonts w:hint="cs"/>
          <w:sz w:val="18"/>
          <w:rtl/>
        </w:rPr>
        <w:tab/>
        <w:t xml:space="preserve">تلاحظ اللجنة بقلق </w:t>
      </w:r>
      <w:r w:rsidR="004650F2">
        <w:rPr>
          <w:rFonts w:hint="cs"/>
          <w:sz w:val="18"/>
          <w:rtl/>
        </w:rPr>
        <w:t xml:space="preserve">قلة </w:t>
      </w:r>
      <w:r w:rsidRPr="000B01A4">
        <w:rPr>
          <w:rFonts w:hint="cs"/>
          <w:sz w:val="18"/>
          <w:rtl/>
        </w:rPr>
        <w:t xml:space="preserve">المنشورات والبرامج التلفزيونية والإذاعية </w:t>
      </w:r>
      <w:r w:rsidR="004650F2">
        <w:rPr>
          <w:rFonts w:hint="cs"/>
          <w:sz w:val="18"/>
          <w:rtl/>
        </w:rPr>
        <w:t xml:space="preserve">المتاحة </w:t>
      </w:r>
      <w:r w:rsidRPr="000B01A4">
        <w:rPr>
          <w:rFonts w:hint="cs"/>
          <w:sz w:val="18"/>
          <w:rtl/>
        </w:rPr>
        <w:t>بلغات الأقليات وبشأن الأقليات القومية وتاريخها وثقافتها.</w:t>
      </w:r>
    </w:p>
    <w:p w:rsidR="000B01A4" w:rsidRPr="000B01A4" w:rsidRDefault="004650F2" w:rsidP="004650F2">
      <w:pPr>
        <w:pStyle w:val="SingleTxtGA"/>
        <w:rPr>
          <w:rFonts w:hint="cs"/>
          <w:b/>
          <w:bCs/>
          <w:sz w:val="18"/>
          <w:rtl/>
        </w:rPr>
      </w:pPr>
      <w:r>
        <w:rPr>
          <w:rFonts w:hint="cs"/>
          <w:b/>
          <w:bCs/>
          <w:sz w:val="18"/>
          <w:rtl/>
        </w:rPr>
        <w:tab/>
      </w:r>
      <w:r w:rsidR="000B01A4" w:rsidRPr="000B01A4">
        <w:rPr>
          <w:rFonts w:hint="cs"/>
          <w:b/>
          <w:bCs/>
          <w:sz w:val="18"/>
          <w:rtl/>
        </w:rPr>
        <w:t>توصي اللجنة الدولة الطرف ب</w:t>
      </w:r>
      <w:r>
        <w:rPr>
          <w:rFonts w:hint="cs"/>
          <w:b/>
          <w:bCs/>
          <w:sz w:val="18"/>
          <w:rtl/>
        </w:rPr>
        <w:t xml:space="preserve">تهيئة </w:t>
      </w:r>
      <w:r w:rsidR="000B01A4" w:rsidRPr="000B01A4">
        <w:rPr>
          <w:rFonts w:hint="cs"/>
          <w:b/>
          <w:bCs/>
          <w:sz w:val="18"/>
          <w:rtl/>
        </w:rPr>
        <w:t xml:space="preserve">الظروف المواتية لتمكين الأقليات القومية من تنمية ثقافتها وتقاليدها وعاداتها </w:t>
      </w:r>
      <w:r>
        <w:rPr>
          <w:rFonts w:hint="cs"/>
          <w:b/>
          <w:bCs/>
          <w:sz w:val="18"/>
          <w:rtl/>
        </w:rPr>
        <w:t xml:space="preserve">والتعبير عنها </w:t>
      </w:r>
      <w:r w:rsidR="000B01A4" w:rsidRPr="000B01A4">
        <w:rPr>
          <w:rFonts w:hint="cs"/>
          <w:b/>
          <w:bCs/>
          <w:sz w:val="18"/>
          <w:rtl/>
        </w:rPr>
        <w:t>بلغتها الخاصة. وتوصيها أيض</w:t>
      </w:r>
      <w:r w:rsidR="00AD61A2">
        <w:rPr>
          <w:rFonts w:hint="cs"/>
          <w:b/>
          <w:bCs/>
          <w:sz w:val="18"/>
          <w:rtl/>
        </w:rPr>
        <w:t xml:space="preserve">اً </w:t>
      </w:r>
      <w:r w:rsidR="000B01A4" w:rsidRPr="000B01A4">
        <w:rPr>
          <w:rFonts w:hint="cs"/>
          <w:b/>
          <w:bCs/>
          <w:sz w:val="18"/>
          <w:rtl/>
        </w:rPr>
        <w:t>باتخاذ تدابير إضافية في ميداني التعليم والإعلام لتشجيع معرفة تاريخ مختلف الجماعات التي تعيش في الدو</w:t>
      </w:r>
      <w:r>
        <w:rPr>
          <w:rFonts w:hint="cs"/>
          <w:b/>
          <w:bCs/>
          <w:sz w:val="18"/>
          <w:rtl/>
        </w:rPr>
        <w:t xml:space="preserve">لة الطرف، بما فيها مجتمع </w:t>
      </w:r>
      <w:proofErr w:type="spellStart"/>
      <w:r>
        <w:rPr>
          <w:rFonts w:hint="cs"/>
          <w:b/>
          <w:bCs/>
          <w:sz w:val="18"/>
          <w:rtl/>
        </w:rPr>
        <w:t>الروما</w:t>
      </w:r>
      <w:proofErr w:type="spellEnd"/>
      <w:r>
        <w:rPr>
          <w:rFonts w:hint="cs"/>
          <w:b/>
          <w:bCs/>
          <w:sz w:val="18"/>
          <w:rtl/>
        </w:rPr>
        <w:t>، ومعرفة تقاليدها وعاداتها.</w:t>
      </w:r>
    </w:p>
    <w:p w:rsidR="000B01A4" w:rsidRPr="000B01A4" w:rsidRDefault="000B01A4" w:rsidP="004650F2">
      <w:pPr>
        <w:pStyle w:val="H1GA"/>
        <w:rPr>
          <w:rFonts w:hint="cs"/>
          <w:rtl/>
        </w:rPr>
      </w:pPr>
      <w:r w:rsidRPr="000B01A4">
        <w:rPr>
          <w:rFonts w:hint="cs"/>
          <w:rtl/>
        </w:rPr>
        <w:tab/>
        <w:t>دال-</w:t>
      </w:r>
      <w:r w:rsidRPr="000B01A4">
        <w:rPr>
          <w:rFonts w:hint="cs"/>
          <w:rtl/>
        </w:rPr>
        <w:tab/>
        <w:t>توصيات أخرى</w:t>
      </w:r>
    </w:p>
    <w:p w:rsidR="000B01A4" w:rsidRPr="000B01A4" w:rsidRDefault="004650F2" w:rsidP="007A22CA">
      <w:pPr>
        <w:pStyle w:val="SingleTxtGA"/>
        <w:rPr>
          <w:rFonts w:hint="cs"/>
          <w:b/>
          <w:bCs/>
          <w:sz w:val="18"/>
          <w:rtl/>
        </w:rPr>
      </w:pPr>
      <w:r w:rsidRPr="004650F2">
        <w:rPr>
          <w:rFonts w:hint="cs"/>
          <w:sz w:val="18"/>
          <w:rtl/>
        </w:rPr>
        <w:t>25-</w:t>
      </w:r>
      <w:r>
        <w:rPr>
          <w:rFonts w:hint="cs"/>
          <w:b/>
          <w:bCs/>
          <w:sz w:val="18"/>
          <w:rtl/>
        </w:rPr>
        <w:tab/>
      </w:r>
      <w:r w:rsidR="000B01A4" w:rsidRPr="000B01A4">
        <w:rPr>
          <w:rFonts w:hint="cs"/>
          <w:b/>
          <w:bCs/>
          <w:sz w:val="18"/>
          <w:rtl/>
        </w:rPr>
        <w:t xml:space="preserve">ترحب اللجنة بمساهمة الدولة الطرف </w:t>
      </w:r>
      <w:r w:rsidR="007A22CA">
        <w:rPr>
          <w:rFonts w:hint="cs"/>
          <w:b/>
          <w:bCs/>
          <w:sz w:val="18"/>
          <w:rtl/>
        </w:rPr>
        <w:t>في المساعدة الإنمائية الرسمية، لكنها ت</w:t>
      </w:r>
      <w:r w:rsidR="000B01A4" w:rsidRPr="000B01A4">
        <w:rPr>
          <w:rFonts w:hint="cs"/>
          <w:b/>
          <w:bCs/>
          <w:sz w:val="18"/>
          <w:rtl/>
        </w:rPr>
        <w:t>حثها على أن تزيد بشكل تدريجي حجم مساعدتها الإنمائية الرسمية بغرض بلوغ مستوى الالتزام الدولي المتمثل في 0.7 في المائة من الناتج ا</w:t>
      </w:r>
      <w:r w:rsidR="007A22CA">
        <w:rPr>
          <w:rFonts w:hint="cs"/>
          <w:b/>
          <w:bCs/>
          <w:sz w:val="18"/>
          <w:rtl/>
        </w:rPr>
        <w:t xml:space="preserve">لقومي </w:t>
      </w:r>
      <w:r w:rsidR="000B01A4" w:rsidRPr="000B01A4">
        <w:rPr>
          <w:rFonts w:hint="cs"/>
          <w:b/>
          <w:bCs/>
          <w:sz w:val="18"/>
          <w:rtl/>
        </w:rPr>
        <w:t>الإجمالي وأن تتَّبِع نهج</w:t>
      </w:r>
      <w:r w:rsidR="00AD61A2">
        <w:rPr>
          <w:rFonts w:hint="cs"/>
          <w:b/>
          <w:bCs/>
          <w:sz w:val="18"/>
          <w:rtl/>
        </w:rPr>
        <w:t xml:space="preserve">اً </w:t>
      </w:r>
      <w:r w:rsidR="000B01A4" w:rsidRPr="000B01A4">
        <w:rPr>
          <w:rFonts w:hint="cs"/>
          <w:b/>
          <w:bCs/>
          <w:sz w:val="18"/>
          <w:rtl/>
        </w:rPr>
        <w:t>قائم</w:t>
      </w:r>
      <w:r w:rsidR="00AD61A2">
        <w:rPr>
          <w:rFonts w:hint="cs"/>
          <w:b/>
          <w:bCs/>
          <w:sz w:val="18"/>
          <w:rtl/>
        </w:rPr>
        <w:t xml:space="preserve">اً </w:t>
      </w:r>
      <w:r w:rsidR="000B01A4" w:rsidRPr="000B01A4">
        <w:rPr>
          <w:rFonts w:hint="cs"/>
          <w:b/>
          <w:bCs/>
          <w:sz w:val="18"/>
          <w:rtl/>
        </w:rPr>
        <w:t>على حقوق الإنسان في سياساتها المتعلقة بالتعاون الإنمائي وأن تدمِج فيها بالكامل الحقوق الواردة في العهد.</w:t>
      </w:r>
    </w:p>
    <w:p w:rsidR="000B01A4" w:rsidRPr="000B01A4" w:rsidRDefault="007A22CA" w:rsidP="000B01A4">
      <w:pPr>
        <w:pStyle w:val="SingleTxtGA"/>
        <w:rPr>
          <w:rFonts w:hint="cs"/>
          <w:b/>
          <w:bCs/>
          <w:sz w:val="18"/>
        </w:rPr>
      </w:pPr>
      <w:r>
        <w:rPr>
          <w:rFonts w:hint="cs"/>
          <w:sz w:val="18"/>
          <w:rtl/>
        </w:rPr>
        <w:t>26-</w:t>
      </w:r>
      <w:r>
        <w:rPr>
          <w:rFonts w:hint="cs"/>
          <w:sz w:val="18"/>
          <w:rtl/>
        </w:rPr>
        <w:tab/>
      </w:r>
      <w:r w:rsidR="000B01A4" w:rsidRPr="000B01A4">
        <w:rPr>
          <w:rFonts w:hint="cs"/>
          <w:b/>
          <w:bCs/>
          <w:sz w:val="18"/>
          <w:rtl/>
        </w:rPr>
        <w:t>وتوصي اللجنة الدولة الطرف بأن تنشئ نظام</w:t>
      </w:r>
      <w:r w:rsidR="00AD61A2">
        <w:rPr>
          <w:rFonts w:hint="cs"/>
          <w:b/>
          <w:bCs/>
          <w:sz w:val="18"/>
          <w:rtl/>
        </w:rPr>
        <w:t xml:space="preserve">اً </w:t>
      </w:r>
      <w:r w:rsidR="000B01A4" w:rsidRPr="000B01A4">
        <w:rPr>
          <w:rFonts w:hint="cs"/>
          <w:b/>
          <w:bCs/>
          <w:sz w:val="18"/>
          <w:rtl/>
        </w:rPr>
        <w:t xml:space="preserve">لجمع البيانات الإحصائية بغرض تقييم مستوى تمتع الأفراد والجماعات من المحرومين والمهمشين بالحقوق الاقتصادية والاجتماعية والثقافية، ويشمل ذلك على سبيل المثال لا الحصر </w:t>
      </w:r>
      <w:proofErr w:type="spellStart"/>
      <w:r w:rsidR="000B01A4" w:rsidRPr="000B01A4">
        <w:rPr>
          <w:rFonts w:hint="cs"/>
          <w:b/>
          <w:bCs/>
          <w:sz w:val="18"/>
          <w:rtl/>
        </w:rPr>
        <w:t>الروما</w:t>
      </w:r>
      <w:proofErr w:type="spellEnd"/>
      <w:r w:rsidR="000B01A4" w:rsidRPr="000B01A4">
        <w:rPr>
          <w:rFonts w:hint="cs"/>
          <w:b/>
          <w:bCs/>
          <w:sz w:val="18"/>
          <w:rtl/>
        </w:rPr>
        <w:t xml:space="preserve"> والأشخاص ذوي الإعاقة. وينبغي للدولة الطرف، وهي تقوم بذلك، أن تكفل الاحترام الواجب لمبادئ السرية والمواف</w:t>
      </w:r>
      <w:r>
        <w:rPr>
          <w:rFonts w:hint="cs"/>
          <w:b/>
          <w:bCs/>
          <w:sz w:val="18"/>
          <w:rtl/>
        </w:rPr>
        <w:t>قة المستنيرة وتعريف الأشخاص طوع</w:t>
      </w:r>
      <w:r w:rsidR="00AD61A2">
        <w:rPr>
          <w:rFonts w:hint="cs"/>
          <w:b/>
          <w:bCs/>
          <w:sz w:val="18"/>
          <w:rtl/>
        </w:rPr>
        <w:t xml:space="preserve">اً </w:t>
      </w:r>
      <w:r w:rsidR="000B01A4" w:rsidRPr="000B01A4">
        <w:rPr>
          <w:rFonts w:hint="cs"/>
          <w:b/>
          <w:bCs/>
          <w:sz w:val="18"/>
          <w:rtl/>
        </w:rPr>
        <w:t>لأنفسهم كمنتمين لجماعة معينة.</w:t>
      </w:r>
    </w:p>
    <w:p w:rsidR="000B01A4" w:rsidRPr="000B01A4" w:rsidRDefault="007A22CA" w:rsidP="007A22CA">
      <w:pPr>
        <w:pStyle w:val="SingleTxtGA"/>
        <w:rPr>
          <w:rFonts w:hint="cs"/>
          <w:b/>
          <w:bCs/>
          <w:sz w:val="18"/>
        </w:rPr>
      </w:pPr>
      <w:r>
        <w:rPr>
          <w:rFonts w:hint="cs"/>
          <w:sz w:val="18"/>
          <w:rtl/>
        </w:rPr>
        <w:t>27-</w:t>
      </w:r>
      <w:r>
        <w:rPr>
          <w:rFonts w:hint="cs"/>
          <w:sz w:val="18"/>
          <w:rtl/>
        </w:rPr>
        <w:tab/>
        <w:t>و</w:t>
      </w:r>
      <w:r w:rsidR="000B01A4" w:rsidRPr="000B01A4">
        <w:rPr>
          <w:rFonts w:hint="cs"/>
          <w:b/>
          <w:bCs/>
          <w:sz w:val="18"/>
          <w:rtl/>
        </w:rPr>
        <w:t>تحث اللجنة الدولة الطرف على النظر في التوقيع والتصديق على البروتوكول الاختياري للعهد الدولي الخاص بالحقوق الاقتصادية والاجتماعية والثقافية وعلى الاتفاقية الدولية لحماية حقوق جميع العمال المهاجرين وأفراد أسرهم، والتصديق على الاتفاقية الدولية لحماية جميع الأشخاص من الاختفاء القسري.</w:t>
      </w:r>
    </w:p>
    <w:p w:rsidR="000B01A4" w:rsidRPr="000B01A4" w:rsidRDefault="007A22CA" w:rsidP="007A22CA">
      <w:pPr>
        <w:pStyle w:val="SingleTxtGA"/>
        <w:rPr>
          <w:rFonts w:hint="cs"/>
          <w:b/>
          <w:bCs/>
          <w:sz w:val="18"/>
        </w:rPr>
      </w:pPr>
      <w:r>
        <w:rPr>
          <w:rFonts w:hint="cs"/>
          <w:sz w:val="18"/>
          <w:rtl/>
        </w:rPr>
        <w:t>28-</w:t>
      </w:r>
      <w:r>
        <w:rPr>
          <w:rFonts w:hint="cs"/>
          <w:sz w:val="18"/>
          <w:rtl/>
        </w:rPr>
        <w:tab/>
      </w:r>
      <w:r w:rsidR="000B01A4" w:rsidRPr="000B01A4">
        <w:rPr>
          <w:rFonts w:hint="cs"/>
          <w:b/>
          <w:bCs/>
          <w:sz w:val="18"/>
          <w:rtl/>
        </w:rPr>
        <w:t>وتطلب اللجنة من الدولة الطرف أن تنشر هذه الملاحظات الختامية على نطاق واسع وعلى جميع صُعد المجتمع، وبخاصة في أوساط الموظفين الحكوميين والبرلمانيين والسلطات القضائية ومنظمات المجتمع المدني، وأن تطلع اللجنة في تقريرها الدوري المقبل على جميع الخطوات التي اتخذتها لتنفيذها. كما ت</w:t>
      </w:r>
      <w:r>
        <w:rPr>
          <w:rFonts w:hint="cs"/>
          <w:b/>
          <w:bCs/>
          <w:sz w:val="18"/>
          <w:rtl/>
        </w:rPr>
        <w:t xml:space="preserve">شجع </w:t>
      </w:r>
      <w:r w:rsidR="000B01A4" w:rsidRPr="000B01A4">
        <w:rPr>
          <w:rFonts w:hint="cs"/>
          <w:b/>
          <w:bCs/>
          <w:sz w:val="18"/>
          <w:rtl/>
        </w:rPr>
        <w:t xml:space="preserve">الدولةَ الطرفَ على إشراك المنظمات غير الحكومية وغيرها من </w:t>
      </w:r>
      <w:r>
        <w:rPr>
          <w:rFonts w:hint="cs"/>
          <w:b/>
          <w:bCs/>
          <w:sz w:val="18"/>
          <w:rtl/>
        </w:rPr>
        <w:t xml:space="preserve">أعضاء </w:t>
      </w:r>
      <w:r w:rsidR="000B01A4" w:rsidRPr="000B01A4">
        <w:rPr>
          <w:rFonts w:hint="cs"/>
          <w:b/>
          <w:bCs/>
          <w:sz w:val="18"/>
          <w:rtl/>
        </w:rPr>
        <w:t xml:space="preserve">المجتمع المدني في عملية مناقشة على الصعيد الوطني </w:t>
      </w:r>
      <w:r>
        <w:rPr>
          <w:rFonts w:hint="cs"/>
          <w:b/>
          <w:bCs/>
          <w:sz w:val="18"/>
          <w:rtl/>
        </w:rPr>
        <w:t>قبل تقديم تقريرها الدوري المقبل.</w:t>
      </w:r>
    </w:p>
    <w:p w:rsidR="000B01A4" w:rsidRPr="000B01A4" w:rsidRDefault="007A22CA" w:rsidP="007A22CA">
      <w:pPr>
        <w:pStyle w:val="SingleTxtGA"/>
        <w:rPr>
          <w:rFonts w:hint="cs"/>
          <w:b/>
          <w:bCs/>
          <w:sz w:val="18"/>
        </w:rPr>
      </w:pPr>
      <w:r w:rsidRPr="00323B8B">
        <w:rPr>
          <w:rFonts w:hint="cs"/>
          <w:sz w:val="18"/>
          <w:rtl/>
        </w:rPr>
        <w:t>29-</w:t>
      </w:r>
      <w:r>
        <w:rPr>
          <w:rFonts w:hint="cs"/>
          <w:b/>
          <w:bCs/>
          <w:sz w:val="18"/>
          <w:rtl/>
        </w:rPr>
        <w:tab/>
      </w:r>
      <w:r w:rsidR="000B01A4" w:rsidRPr="000B01A4">
        <w:rPr>
          <w:rFonts w:hint="cs"/>
          <w:b/>
          <w:bCs/>
          <w:sz w:val="18"/>
          <w:rtl/>
        </w:rPr>
        <w:t xml:space="preserve">وتدعو اللجنة الدولة الطرف إلى تحديث وثيقتها الأساسية الموحدة، </w:t>
      </w:r>
      <w:r w:rsidR="004F7665">
        <w:rPr>
          <w:rFonts w:hint="cs"/>
          <w:b/>
          <w:bCs/>
          <w:sz w:val="18"/>
          <w:rtl/>
        </w:rPr>
        <w:t>ب</w:t>
      </w:r>
      <w:r w:rsidR="000B01A4" w:rsidRPr="000B01A4">
        <w:rPr>
          <w:rFonts w:hint="cs"/>
          <w:b/>
          <w:bCs/>
          <w:sz w:val="18"/>
          <w:rtl/>
        </w:rPr>
        <w:t>حسب الاقتضاء، وفق</w:t>
      </w:r>
      <w:r w:rsidR="00AD61A2">
        <w:rPr>
          <w:rFonts w:hint="cs"/>
          <w:b/>
          <w:bCs/>
          <w:sz w:val="18"/>
          <w:rtl/>
        </w:rPr>
        <w:t xml:space="preserve">اً </w:t>
      </w:r>
      <w:r w:rsidR="000B01A4" w:rsidRPr="000B01A4">
        <w:rPr>
          <w:rFonts w:hint="cs"/>
          <w:b/>
          <w:bCs/>
          <w:sz w:val="18"/>
          <w:rtl/>
        </w:rPr>
        <w:t xml:space="preserve">للمبادئ التوجيهية المنسقة </w:t>
      </w:r>
      <w:r>
        <w:rPr>
          <w:rFonts w:hint="cs"/>
          <w:b/>
          <w:bCs/>
          <w:sz w:val="18"/>
          <w:rtl/>
        </w:rPr>
        <w:t>ل</w:t>
      </w:r>
      <w:r w:rsidR="000B01A4" w:rsidRPr="000B01A4">
        <w:rPr>
          <w:rFonts w:hint="cs"/>
          <w:b/>
          <w:bCs/>
          <w:sz w:val="18"/>
          <w:rtl/>
        </w:rPr>
        <w:t>تقديم التقارير بموجب المعاهدات الدولية لحقوق الإنسان (</w:t>
      </w:r>
      <w:r w:rsidR="000B01A4" w:rsidRPr="000B01A4">
        <w:rPr>
          <w:b/>
          <w:bCs/>
          <w:sz w:val="18"/>
        </w:rPr>
        <w:t>HRI/GEN/2/Rev.6</w:t>
      </w:r>
      <w:r w:rsidR="000B01A4" w:rsidRPr="000B01A4">
        <w:rPr>
          <w:rFonts w:hint="cs"/>
          <w:b/>
          <w:bCs/>
          <w:sz w:val="18"/>
          <w:rtl/>
        </w:rPr>
        <w:t>، الفصل الأول).</w:t>
      </w:r>
    </w:p>
    <w:p w:rsidR="000B01A4" w:rsidRPr="000B01A4" w:rsidRDefault="007A22CA" w:rsidP="007A22CA">
      <w:pPr>
        <w:pStyle w:val="SingleTxtGA"/>
        <w:rPr>
          <w:rFonts w:hint="cs"/>
          <w:b/>
          <w:bCs/>
          <w:sz w:val="18"/>
          <w:rtl/>
        </w:rPr>
      </w:pPr>
      <w:r w:rsidRPr="00323B8B">
        <w:rPr>
          <w:rFonts w:hint="cs"/>
          <w:sz w:val="18"/>
          <w:rtl/>
        </w:rPr>
        <w:t>30-</w:t>
      </w:r>
      <w:r w:rsidRPr="00323B8B">
        <w:rPr>
          <w:rFonts w:hint="cs"/>
          <w:sz w:val="18"/>
          <w:rtl/>
        </w:rPr>
        <w:tab/>
      </w:r>
      <w:r w:rsidR="000B01A4" w:rsidRPr="000B01A4">
        <w:rPr>
          <w:rFonts w:hint="cs"/>
          <w:b/>
          <w:bCs/>
          <w:sz w:val="18"/>
          <w:rtl/>
        </w:rPr>
        <w:t>وتطلب اللجنة من الدولة الطرف أن تقدم تقريرها الدوري السادس</w:t>
      </w:r>
      <w:r>
        <w:rPr>
          <w:rFonts w:hint="cs"/>
          <w:b/>
          <w:bCs/>
          <w:sz w:val="18"/>
          <w:rtl/>
        </w:rPr>
        <w:t>،</w:t>
      </w:r>
      <w:r w:rsidR="000B01A4" w:rsidRPr="000B01A4">
        <w:rPr>
          <w:rFonts w:hint="cs"/>
          <w:b/>
          <w:bCs/>
          <w:sz w:val="18"/>
          <w:rtl/>
        </w:rPr>
        <w:t xml:space="preserve"> وفق</w:t>
      </w:r>
      <w:r w:rsidR="00AD61A2">
        <w:rPr>
          <w:rFonts w:hint="cs"/>
          <w:b/>
          <w:bCs/>
          <w:sz w:val="18"/>
          <w:rtl/>
        </w:rPr>
        <w:t xml:space="preserve">اً </w:t>
      </w:r>
      <w:r w:rsidR="000B01A4" w:rsidRPr="000B01A4">
        <w:rPr>
          <w:rFonts w:hint="cs"/>
          <w:b/>
          <w:bCs/>
          <w:sz w:val="18"/>
          <w:rtl/>
        </w:rPr>
        <w:t>للمبادئ التوجيهية التي اعتمدتها اللجنة في عام 2008 (</w:t>
      </w:r>
      <w:r w:rsidR="000B01A4" w:rsidRPr="000B01A4">
        <w:rPr>
          <w:b/>
          <w:bCs/>
          <w:sz w:val="18"/>
        </w:rPr>
        <w:t>E/C.12/2008/2</w:t>
      </w:r>
      <w:r w:rsidR="000B01A4" w:rsidRPr="000B01A4">
        <w:rPr>
          <w:rFonts w:hint="cs"/>
          <w:b/>
          <w:bCs/>
          <w:sz w:val="18"/>
          <w:rtl/>
        </w:rPr>
        <w:t>)</w:t>
      </w:r>
      <w:r>
        <w:rPr>
          <w:rFonts w:hint="cs"/>
          <w:b/>
          <w:bCs/>
          <w:sz w:val="18"/>
          <w:rtl/>
        </w:rPr>
        <w:t>،</w:t>
      </w:r>
      <w:r w:rsidRPr="007A22CA">
        <w:rPr>
          <w:rFonts w:hint="cs"/>
          <w:b/>
          <w:bCs/>
          <w:sz w:val="18"/>
          <w:rtl/>
        </w:rPr>
        <w:t xml:space="preserve"> </w:t>
      </w:r>
      <w:r w:rsidRPr="000B01A4">
        <w:rPr>
          <w:rFonts w:hint="cs"/>
          <w:b/>
          <w:bCs/>
          <w:sz w:val="18"/>
          <w:rtl/>
        </w:rPr>
        <w:t>بحلول 30 تشرين الثاني/نوفمبر 2019</w:t>
      </w:r>
      <w:r w:rsidR="000B01A4" w:rsidRPr="000B01A4">
        <w:rPr>
          <w:rFonts w:hint="cs"/>
          <w:b/>
          <w:bCs/>
          <w:sz w:val="18"/>
          <w:rtl/>
        </w:rPr>
        <w:t>.</w:t>
      </w:r>
    </w:p>
    <w:p w:rsidR="00B54045" w:rsidRPr="00323B8B" w:rsidRDefault="00323B8B" w:rsidP="00323B8B">
      <w:pPr>
        <w:spacing w:before="120"/>
        <w:jc w:val="center"/>
        <w:rPr>
          <w:rFonts w:hint="cs"/>
          <w:u w:val="single"/>
          <w:rtl/>
        </w:rPr>
      </w:pPr>
      <w:r>
        <w:rPr>
          <w:u w:val="single"/>
          <w:rtl/>
        </w:rPr>
        <w:tab/>
      </w:r>
      <w:r>
        <w:rPr>
          <w:u w:val="single"/>
          <w:rtl/>
        </w:rPr>
        <w:tab/>
      </w:r>
      <w:r>
        <w:rPr>
          <w:u w:val="single"/>
          <w:rtl/>
        </w:rPr>
        <w:tab/>
      </w:r>
    </w:p>
    <w:sectPr w:rsidR="00B54045" w:rsidRPr="00323B8B" w:rsidSect="000B01A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77" w:rsidRPr="002901D9" w:rsidRDefault="00890677" w:rsidP="002901D9">
      <w:pPr>
        <w:spacing w:after="60" w:line="240" w:lineRule="auto"/>
        <w:rPr>
          <w:i/>
          <w:iCs/>
        </w:rPr>
      </w:pPr>
      <w:r>
        <w:rPr>
          <w:rFonts w:hint="cs"/>
          <w:i/>
          <w:iCs/>
          <w:rtl/>
        </w:rPr>
        <w:t>الحواشي</w:t>
      </w:r>
    </w:p>
  </w:endnote>
  <w:endnote w:type="continuationSeparator" w:id="0">
    <w:p w:rsidR="00890677" w:rsidRDefault="00890677"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A4" w:rsidRPr="000B01A4" w:rsidRDefault="000B01A4" w:rsidP="000B01A4">
    <w:pPr>
      <w:pStyle w:val="Footer"/>
      <w:tabs>
        <w:tab w:val="right" w:pos="9598"/>
      </w:tabs>
    </w:pPr>
    <w:r>
      <w:t>GE.14-23882</w:t>
    </w:r>
    <w:r>
      <w:tab/>
    </w:r>
    <w:r w:rsidRPr="000B01A4">
      <w:rPr>
        <w:b/>
        <w:sz w:val="18"/>
      </w:rPr>
      <w:fldChar w:fldCharType="begin"/>
    </w:r>
    <w:r w:rsidRPr="000B01A4">
      <w:rPr>
        <w:b/>
        <w:sz w:val="18"/>
      </w:rPr>
      <w:instrText xml:space="preserve"> PAGE  \* MERGEFORMAT </w:instrText>
    </w:r>
    <w:r w:rsidRPr="000B01A4">
      <w:rPr>
        <w:b/>
        <w:sz w:val="18"/>
      </w:rPr>
      <w:fldChar w:fldCharType="separate"/>
    </w:r>
    <w:r w:rsidR="009C78C0">
      <w:rPr>
        <w:b/>
        <w:noProof/>
        <w:sz w:val="18"/>
      </w:rPr>
      <w:t>12</w:t>
    </w:r>
    <w:r w:rsidRPr="000B01A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0" w:rsidRPr="000B01A4" w:rsidRDefault="000B01A4" w:rsidP="006959B0">
    <w:pPr>
      <w:pStyle w:val="Footer"/>
      <w:tabs>
        <w:tab w:val="right" w:pos="9599"/>
      </w:tabs>
      <w:jc w:val="left"/>
      <w:rPr>
        <w:b/>
        <w:sz w:val="18"/>
        <w:lang w:val="en-US"/>
      </w:rPr>
    </w:pPr>
    <w:r w:rsidRPr="000B01A4">
      <w:rPr>
        <w:b/>
        <w:sz w:val="18"/>
        <w:lang w:val="en-US"/>
      </w:rPr>
      <w:fldChar w:fldCharType="begin"/>
    </w:r>
    <w:r w:rsidRPr="000B01A4">
      <w:rPr>
        <w:b/>
        <w:sz w:val="18"/>
        <w:lang w:val="en-US"/>
      </w:rPr>
      <w:instrText xml:space="preserve"> PAGE  \* MERGEFORMAT </w:instrText>
    </w:r>
    <w:r w:rsidRPr="000B01A4">
      <w:rPr>
        <w:b/>
        <w:sz w:val="18"/>
        <w:lang w:val="en-US"/>
      </w:rPr>
      <w:fldChar w:fldCharType="separate"/>
    </w:r>
    <w:r w:rsidR="009C78C0">
      <w:rPr>
        <w:b/>
        <w:noProof/>
        <w:sz w:val="18"/>
        <w:lang w:val="en-US"/>
      </w:rPr>
      <w:t>11</w:t>
    </w:r>
    <w:r w:rsidRPr="000B01A4">
      <w:rPr>
        <w:b/>
        <w:sz w:val="18"/>
        <w:lang w:val="en-US"/>
      </w:rPr>
      <w:fldChar w:fldCharType="end"/>
    </w:r>
    <w:r>
      <w:rPr>
        <w:b/>
        <w:sz w:val="18"/>
        <w:lang w:val="en-US"/>
      </w:rPr>
      <w:tab/>
    </w:r>
    <w:r>
      <w:rPr>
        <w:lang w:val="en-US"/>
      </w:rPr>
      <w:t>GE.14-23882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A7" w:rsidRDefault="000B01A4" w:rsidP="000B01A4">
    <w:pPr>
      <w:pStyle w:val="Footer"/>
      <w:jc w:val="right"/>
    </w:pPr>
    <w:r>
      <w:rPr>
        <w:sz w:val="20"/>
      </w:rPr>
      <w:t>(A)   GE.14-23882</w:t>
    </w:r>
    <w:r w:rsidR="004C23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61.55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sidR="00DD45BC">
      <w:rPr>
        <w:sz w:val="20"/>
      </w:rPr>
      <w:t xml:space="preserve">    120115    13</w:t>
    </w:r>
    <w:r>
      <w:rPr>
        <w:sz w:val="20"/>
      </w:rPr>
      <w:t>0115</w:t>
    </w:r>
    <w:r w:rsidR="00BD3AC8">
      <w:br/>
    </w:r>
    <w:r w:rsidR="00BD3AC8" w:rsidRPr="00BD3AC8">
      <w:rPr>
        <w:rFonts w:ascii="C39T30Lfz" w:hAnsi="C39T30Lfz"/>
        <w:sz w:val="56"/>
      </w:rPr>
      <w:t></w:t>
    </w:r>
    <w:r w:rsidR="00BD3AC8" w:rsidRPr="00BD3AC8">
      <w:rPr>
        <w:rFonts w:ascii="C39T30Lfz" w:hAnsi="C39T30Lfz"/>
        <w:sz w:val="56"/>
      </w:rPr>
      <w:t></w:t>
    </w:r>
    <w:r w:rsidR="00BD3AC8" w:rsidRPr="00BD3AC8">
      <w:rPr>
        <w:rFonts w:ascii="C39T30Lfz" w:hAnsi="C39T30Lfz"/>
        <w:sz w:val="56"/>
      </w:rPr>
      <w:t></w:t>
    </w:r>
    <w:r w:rsidR="00BD3AC8" w:rsidRPr="00BD3AC8">
      <w:rPr>
        <w:rFonts w:ascii="C39T30Lfz" w:hAnsi="C39T30Lfz"/>
        <w:sz w:val="56"/>
      </w:rPr>
      <w:t></w:t>
    </w:r>
    <w:r w:rsidR="00BD3AC8" w:rsidRPr="00BD3AC8">
      <w:rPr>
        <w:rFonts w:ascii="C39T30Lfz" w:hAnsi="C39T30Lfz"/>
        <w:sz w:val="56"/>
      </w:rPr>
      <w:t></w:t>
    </w:r>
    <w:r w:rsidR="00BD3AC8" w:rsidRPr="00BD3AC8">
      <w:rPr>
        <w:rFonts w:ascii="C39T30Lfz" w:hAnsi="C39T30Lfz"/>
        <w:sz w:val="56"/>
      </w:rPr>
      <w:t></w:t>
    </w:r>
    <w:r w:rsidR="00BD3AC8" w:rsidRPr="00BD3AC8">
      <w:rPr>
        <w:rFonts w:ascii="C39T30Lfz" w:hAnsi="C39T30Lfz"/>
        <w:sz w:val="56"/>
      </w:rPr>
      <w:t></w:t>
    </w:r>
    <w:r w:rsidR="00BD3AC8" w:rsidRPr="00BD3AC8">
      <w:rPr>
        <w:rFonts w:ascii="C39T30Lfz" w:hAnsi="C39T30Lfz"/>
        <w:sz w:val="56"/>
      </w:rPr>
      <w:t></w:t>
    </w:r>
    <w:r w:rsidR="00BD3AC8" w:rsidRPr="00BD3AC8">
      <w:rPr>
        <w:rFonts w:ascii="C39T30Lfz" w:hAnsi="C39T30Lfz"/>
        <w:sz w:val="56"/>
      </w:rPr>
      <w:t></w:t>
    </w:r>
    <w:r w:rsidR="00BD3AC8">
      <w:rPr>
        <w:rFonts w:ascii="C39T30Lfz" w:hAnsi="C39T30Lfz"/>
        <w:sz w:val="56"/>
      </w:rPr>
      <w:tab/>
    </w:r>
    <w:r w:rsidR="00BD3AC8">
      <w:rPr>
        <w:noProof/>
        <w:lang w:val="en-US"/>
      </w:rPr>
      <w:pict>
        <v:shape id="_x0000_s2050" type="#_x0000_t75" style="position:absolute;left:0;text-align:left;margin-left:.05pt;margin-top:0;width:50.25pt;height:50.25pt;z-index:2;mso-position-horizontal-relative:text;mso-position-vertical-relative:text">
          <v:imagedata r:id="rId2" o:title="3-5&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77" w:rsidRDefault="00890677" w:rsidP="0054762C">
      <w:pPr>
        <w:pStyle w:val="Footer"/>
        <w:bidi/>
        <w:spacing w:after="80" w:line="200" w:lineRule="exact"/>
        <w:ind w:left="680"/>
      </w:pPr>
      <w:r>
        <w:rPr>
          <w:rtl/>
        </w:rPr>
        <w:t>__________</w:t>
      </w:r>
    </w:p>
  </w:footnote>
  <w:footnote w:type="continuationSeparator" w:id="0">
    <w:p w:rsidR="00890677" w:rsidRDefault="00890677" w:rsidP="00656392">
      <w:pPr>
        <w:spacing w:line="240" w:lineRule="auto"/>
      </w:pPr>
      <w:r>
        <w:continuationSeparator/>
      </w:r>
    </w:p>
  </w:footnote>
  <w:footnote w:id="1">
    <w:p w:rsidR="000B01A4" w:rsidRPr="000B01A4" w:rsidRDefault="000B01A4" w:rsidP="00BD3AC8">
      <w:pPr>
        <w:pStyle w:val="FootnoteText1"/>
        <w:spacing w:after="240"/>
        <w:rPr>
          <w:rFonts w:hint="cs"/>
          <w:rtl/>
        </w:rPr>
      </w:pPr>
      <w:r>
        <w:rPr>
          <w:rtl/>
        </w:rPr>
        <w:t>*</w:t>
      </w:r>
      <w:r>
        <w:rPr>
          <w:rtl/>
        </w:rPr>
        <w:tab/>
      </w:r>
      <w:r>
        <w:rPr>
          <w:rFonts w:hint="cs"/>
          <w:rtl/>
        </w:rPr>
        <w:t xml:space="preserve">اعتمدتها اللجنة في دورتها الثالثة والخمسين (10-28 </w:t>
      </w:r>
      <w:r w:rsidRPr="005B4246">
        <w:rPr>
          <w:rFonts w:hint="cs"/>
          <w:sz w:val="30"/>
          <w:szCs w:val="30"/>
          <w:rtl/>
        </w:rPr>
        <w:t>تشرين الثاني/نوفمبر</w:t>
      </w:r>
      <w:r>
        <w:rPr>
          <w:rFonts w:hint="cs"/>
          <w:sz w:val="30"/>
          <w:szCs w:val="30"/>
          <w:rtl/>
        </w:rPr>
        <w:t xml:space="preserve"> 2014</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A4" w:rsidRPr="000B01A4" w:rsidRDefault="000B01A4" w:rsidP="000B01A4">
    <w:pPr>
      <w:pStyle w:val="Header"/>
      <w:jc w:val="right"/>
    </w:pPr>
    <w:r w:rsidRPr="000B01A4">
      <w:t>E/C.12/ROU/CO/3-5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A4" w:rsidRPr="000B01A4" w:rsidRDefault="000B01A4" w:rsidP="000B01A4">
    <w:pPr>
      <w:pStyle w:val="Header"/>
      <w:jc w:val="left"/>
    </w:pPr>
    <w:r w:rsidRPr="000B01A4">
      <w:t>E/C.12/ROU/CO/3-5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85E"/>
    <w:multiLevelType w:val="hybridMultilevel"/>
    <w:tmpl w:val="4426DA92"/>
    <w:lvl w:ilvl="0" w:tplc="81F8A660">
      <w:start w:val="25"/>
      <w:numFmt w:val="decimal"/>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3234C"/>
    <w:multiLevelType w:val="hybridMultilevel"/>
    <w:tmpl w:val="3ED4DB90"/>
    <w:lvl w:ilvl="0" w:tplc="3BF20AA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D5E13"/>
    <w:multiLevelType w:val="hybridMultilevel"/>
    <w:tmpl w:val="66240E02"/>
    <w:lvl w:ilvl="0" w:tplc="4A90F97A">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5"/>
  </w:num>
  <w:num w:numId="6">
    <w:abstractNumId w:val="4"/>
  </w:num>
  <w:num w:numId="7">
    <w:abstractNumId w:val="9"/>
  </w:num>
  <w:num w:numId="8">
    <w:abstractNumId w:val="1"/>
  </w:num>
  <w:num w:numId="9">
    <w:abstractNumId w:val="6"/>
  </w:num>
  <w:num w:numId="10">
    <w:abstractNumId w:val="4"/>
  </w:num>
  <w:num w:numId="11">
    <w:abstractNumId w:val="9"/>
  </w:num>
  <w:num w:numId="12">
    <w:abstractNumId w:val="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374"/>
    <w:rsid w:val="000076D5"/>
    <w:rsid w:val="00043663"/>
    <w:rsid w:val="000505CF"/>
    <w:rsid w:val="000B01A4"/>
    <w:rsid w:val="000D701C"/>
    <w:rsid w:val="000E2A71"/>
    <w:rsid w:val="00112863"/>
    <w:rsid w:val="001128A7"/>
    <w:rsid w:val="00160263"/>
    <w:rsid w:val="00181F96"/>
    <w:rsid w:val="001A1371"/>
    <w:rsid w:val="001B346A"/>
    <w:rsid w:val="001C1B3B"/>
    <w:rsid w:val="001E1CAD"/>
    <w:rsid w:val="001E290D"/>
    <w:rsid w:val="002144FA"/>
    <w:rsid w:val="0023469A"/>
    <w:rsid w:val="00243C8A"/>
    <w:rsid w:val="00267A0E"/>
    <w:rsid w:val="002901D9"/>
    <w:rsid w:val="002910F1"/>
    <w:rsid w:val="002976C2"/>
    <w:rsid w:val="00323B8B"/>
    <w:rsid w:val="003260FF"/>
    <w:rsid w:val="00343D95"/>
    <w:rsid w:val="00374341"/>
    <w:rsid w:val="003D1062"/>
    <w:rsid w:val="003E159A"/>
    <w:rsid w:val="00420D7B"/>
    <w:rsid w:val="00450087"/>
    <w:rsid w:val="00450B21"/>
    <w:rsid w:val="00453B63"/>
    <w:rsid w:val="00455780"/>
    <w:rsid w:val="004650F2"/>
    <w:rsid w:val="00473B9F"/>
    <w:rsid w:val="004B0A1C"/>
    <w:rsid w:val="004C2374"/>
    <w:rsid w:val="004D298E"/>
    <w:rsid w:val="004F7665"/>
    <w:rsid w:val="00517BC9"/>
    <w:rsid w:val="0054472E"/>
    <w:rsid w:val="0054762C"/>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A10E4"/>
    <w:rsid w:val="006B3E27"/>
    <w:rsid w:val="006B6507"/>
    <w:rsid w:val="006C104C"/>
    <w:rsid w:val="00733704"/>
    <w:rsid w:val="0078071A"/>
    <w:rsid w:val="007A22CA"/>
    <w:rsid w:val="007A70BB"/>
    <w:rsid w:val="00852A9A"/>
    <w:rsid w:val="00890677"/>
    <w:rsid w:val="008930DB"/>
    <w:rsid w:val="008F49E1"/>
    <w:rsid w:val="0090370F"/>
    <w:rsid w:val="009269D2"/>
    <w:rsid w:val="00942135"/>
    <w:rsid w:val="009521B0"/>
    <w:rsid w:val="009A7E9F"/>
    <w:rsid w:val="009C78C0"/>
    <w:rsid w:val="009E5018"/>
    <w:rsid w:val="00A12B37"/>
    <w:rsid w:val="00A50EC0"/>
    <w:rsid w:val="00AB6758"/>
    <w:rsid w:val="00AD61A2"/>
    <w:rsid w:val="00B13763"/>
    <w:rsid w:val="00B477A4"/>
    <w:rsid w:val="00B54045"/>
    <w:rsid w:val="00BD3AC8"/>
    <w:rsid w:val="00C438D7"/>
    <w:rsid w:val="00C53FE8"/>
    <w:rsid w:val="00C81B50"/>
    <w:rsid w:val="00CD1801"/>
    <w:rsid w:val="00D10EF1"/>
    <w:rsid w:val="00D1613C"/>
    <w:rsid w:val="00D42810"/>
    <w:rsid w:val="00D530D7"/>
    <w:rsid w:val="00D874D1"/>
    <w:rsid w:val="00D914A7"/>
    <w:rsid w:val="00DD13C3"/>
    <w:rsid w:val="00DD45BC"/>
    <w:rsid w:val="00DD596E"/>
    <w:rsid w:val="00DD621E"/>
    <w:rsid w:val="00DF0575"/>
    <w:rsid w:val="00E70E04"/>
    <w:rsid w:val="00EC05A7"/>
    <w:rsid w:val="00EC4B6B"/>
    <w:rsid w:val="00ED09F9"/>
    <w:rsid w:val="00ED7442"/>
    <w:rsid w:val="00EF1EE5"/>
    <w:rsid w:val="00F763B4"/>
    <w:rsid w:val="00F815C9"/>
    <w:rsid w:val="00F900C3"/>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rPr>
      <w:rFonts w:cs="Times New Roman"/>
      <w:lang/>
    </w:r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lang/>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lang/>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lang/>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lang/>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lang/>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lang/>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lang/>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rFonts w:ascii="Calibri" w:hAnsi="Calibri" w:cs="Times New Roman"/>
      <w:szCs w:val="20"/>
      <w:lang/>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rFonts w:cs="Times New Roman"/>
      <w:sz w:val="18"/>
      <w:szCs w:val="26"/>
      <w:lang/>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rFonts w:cs="Times New Roman"/>
      <w:sz w:val="16"/>
      <w:szCs w:val="20"/>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rFonts w:cs="Times New Roman"/>
      <w:b/>
      <w:bCs/>
      <w:sz w:val="18"/>
      <w:szCs w:val="26"/>
      <w:lang/>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3517</Words>
  <Characters>19068</Characters>
  <Application>Microsoft Office Outlook</Application>
  <DocSecurity>4</DocSecurity>
  <Lines>353</Lines>
  <Paragraphs>134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E/C.12/ROU/CO/3-5</vt:lpstr>
      <vt:lpstr>E/C.12/ROU/CO/3-5</vt:lpstr>
    </vt:vector>
  </TitlesOfParts>
  <Company>DCM</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E/C.12/ROU/CO/3-5</dc:title>
  <dc:subject>boulhaj</dc:subject>
  <dc:creator>UNO</dc:creator>
  <cp:keywords/>
  <dc:description/>
  <cp:lastModifiedBy>El-Maseri M.</cp:lastModifiedBy>
  <cp:revision>2</cp:revision>
  <cp:lastPrinted>2015-01-13T07:37:00Z</cp:lastPrinted>
  <dcterms:created xsi:type="dcterms:W3CDTF">2015-01-13T10:28:00Z</dcterms:created>
  <dcterms:modified xsi:type="dcterms:W3CDTF">2015-01-13T10:28:00Z</dcterms:modified>
</cp:coreProperties>
</file>