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55"/>
        <w:gridCol w:w="2889"/>
      </w:tblGrid>
      <w:tr w:rsidR="00963CBA" w:rsidRPr="0075096D" w:rsidTr="00DD1051">
        <w:trPr>
          <w:trHeight w:val="851"/>
        </w:trPr>
        <w:tc>
          <w:tcPr>
            <w:tcW w:w="1259" w:type="dxa"/>
            <w:tcBorders>
              <w:top w:val="nil"/>
              <w:left w:val="nil"/>
              <w:bottom w:val="single" w:sz="4" w:space="0" w:color="auto"/>
              <w:right w:val="nil"/>
            </w:tcBorders>
            <w:shd w:val="clear" w:color="auto" w:fill="auto"/>
          </w:tcPr>
          <w:p w:rsidR="00446DE4" w:rsidRPr="004713EC" w:rsidRDefault="004713EC" w:rsidP="004713EC">
            <w:pPr>
              <w:spacing w:line="20" w:lineRule="exact"/>
              <w:rPr>
                <w:sz w:val="2"/>
              </w:rPr>
            </w:pPr>
            <w:r>
              <w:rPr>
                <w:rStyle w:val="CommentReference"/>
              </w:rPr>
              <w:commentReference w:id="0"/>
            </w:r>
            <w:bookmarkStart w:id="1" w:name="_GoBack"/>
            <w:bookmarkEnd w:id="1"/>
          </w:p>
          <w:p w:rsidR="004713EC" w:rsidRPr="0075096D" w:rsidRDefault="004713EC" w:rsidP="00DD1051"/>
        </w:tc>
        <w:tc>
          <w:tcPr>
            <w:tcW w:w="2236" w:type="dxa"/>
            <w:tcBorders>
              <w:top w:val="nil"/>
              <w:left w:val="nil"/>
              <w:bottom w:val="single" w:sz="4" w:space="0" w:color="auto"/>
              <w:right w:val="nil"/>
            </w:tcBorders>
            <w:shd w:val="clear" w:color="auto" w:fill="auto"/>
            <w:vAlign w:val="bottom"/>
          </w:tcPr>
          <w:p w:rsidR="00446DE4" w:rsidRPr="0075096D" w:rsidRDefault="00BC0578" w:rsidP="00DD1051">
            <w:pPr>
              <w:spacing w:after="80" w:line="300" w:lineRule="exact"/>
              <w:rPr>
                <w:sz w:val="28"/>
                <w:szCs w:val="28"/>
              </w:rPr>
            </w:pPr>
            <w:r w:rsidRPr="0075096D">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75096D" w:rsidRDefault="00D61B6F" w:rsidP="00D61B6F">
            <w:pPr>
              <w:suppressAutoHyphens w:val="0"/>
              <w:jc w:val="right"/>
            </w:pPr>
            <w:r w:rsidRPr="00D61B6F">
              <w:rPr>
                <w:sz w:val="40"/>
                <w:szCs w:val="40"/>
              </w:rPr>
              <w:t>E</w:t>
            </w:r>
            <w:r w:rsidRPr="00D61B6F">
              <w:t>/C.12/SDN/CO/2</w:t>
            </w:r>
          </w:p>
        </w:tc>
      </w:tr>
      <w:tr w:rsidR="003107FA" w:rsidRPr="0075096D" w:rsidTr="002708F0">
        <w:trPr>
          <w:trHeight w:val="2835"/>
        </w:trPr>
        <w:tc>
          <w:tcPr>
            <w:tcW w:w="1259" w:type="dxa"/>
            <w:tcBorders>
              <w:top w:val="single" w:sz="4" w:space="0" w:color="auto"/>
              <w:left w:val="nil"/>
              <w:bottom w:val="single" w:sz="12" w:space="0" w:color="auto"/>
              <w:right w:val="nil"/>
            </w:tcBorders>
            <w:shd w:val="clear" w:color="auto" w:fill="auto"/>
          </w:tcPr>
          <w:p w:rsidR="003107FA" w:rsidRPr="0075096D" w:rsidRDefault="00A010E9" w:rsidP="00DD1051">
            <w:pPr>
              <w:spacing w:before="120"/>
            </w:pPr>
            <w:r>
              <w:rPr>
                <w:noProof/>
                <w:lang w:val="en-US" w:eastAsia="zh-CN"/>
              </w:rPr>
              <w:drawing>
                <wp:inline distT="0" distB="0" distL="0" distR="0">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491" w:type="dxa"/>
            <w:gridSpan w:val="2"/>
            <w:tcBorders>
              <w:top w:val="single" w:sz="4" w:space="0" w:color="auto"/>
              <w:left w:val="nil"/>
              <w:bottom w:val="single" w:sz="12" w:space="0" w:color="auto"/>
              <w:right w:val="nil"/>
            </w:tcBorders>
            <w:shd w:val="clear" w:color="auto" w:fill="auto"/>
          </w:tcPr>
          <w:p w:rsidR="003107FA" w:rsidRPr="0075096D" w:rsidRDefault="00DB0F0D" w:rsidP="00DD1051">
            <w:pPr>
              <w:spacing w:before="240" w:line="260" w:lineRule="exact"/>
              <w:rPr>
                <w:b/>
                <w:sz w:val="36"/>
                <w:szCs w:val="36"/>
              </w:rPr>
            </w:pPr>
            <w:r w:rsidRPr="0075096D">
              <w:rPr>
                <w:b/>
                <w:sz w:val="36"/>
                <w:szCs w:val="36"/>
              </w:rPr>
              <w:t>Economic and Social Council</w:t>
            </w:r>
          </w:p>
        </w:tc>
        <w:tc>
          <w:tcPr>
            <w:tcW w:w="2889" w:type="dxa"/>
            <w:tcBorders>
              <w:top w:val="single" w:sz="4" w:space="0" w:color="auto"/>
              <w:left w:val="nil"/>
              <w:bottom w:val="single" w:sz="12" w:space="0" w:color="auto"/>
              <w:right w:val="nil"/>
            </w:tcBorders>
            <w:shd w:val="clear" w:color="auto" w:fill="auto"/>
          </w:tcPr>
          <w:p w:rsidR="003107FA" w:rsidRDefault="00D61B6F" w:rsidP="00D61B6F">
            <w:pPr>
              <w:suppressAutoHyphens w:val="0"/>
              <w:spacing w:before="240" w:line="240" w:lineRule="exact"/>
            </w:pPr>
            <w:r>
              <w:t>Distr.: General</w:t>
            </w:r>
          </w:p>
          <w:p w:rsidR="00D61B6F" w:rsidRDefault="006B3F26" w:rsidP="00D61B6F">
            <w:pPr>
              <w:suppressAutoHyphens w:val="0"/>
              <w:spacing w:line="240" w:lineRule="exact"/>
            </w:pPr>
            <w:r>
              <w:t>27</w:t>
            </w:r>
            <w:r w:rsidR="00D61B6F">
              <w:t xml:space="preserve"> October 2015</w:t>
            </w:r>
          </w:p>
          <w:p w:rsidR="00D61B6F" w:rsidRDefault="00D61B6F" w:rsidP="00D61B6F">
            <w:pPr>
              <w:suppressAutoHyphens w:val="0"/>
              <w:spacing w:line="240" w:lineRule="exact"/>
            </w:pPr>
          </w:p>
          <w:p w:rsidR="00D61B6F" w:rsidRDefault="00D61B6F" w:rsidP="00D61B6F">
            <w:pPr>
              <w:suppressAutoHyphens w:val="0"/>
              <w:spacing w:line="240" w:lineRule="exact"/>
            </w:pPr>
            <w:r>
              <w:t>Original: English</w:t>
            </w:r>
          </w:p>
          <w:p w:rsidR="00D61B6F" w:rsidRPr="0075096D" w:rsidRDefault="00D61B6F" w:rsidP="00D61B6F">
            <w:pPr>
              <w:suppressAutoHyphens w:val="0"/>
              <w:spacing w:line="240" w:lineRule="exact"/>
            </w:pPr>
          </w:p>
        </w:tc>
      </w:tr>
    </w:tbl>
    <w:p w:rsidR="00E62C9D" w:rsidRPr="0075096D" w:rsidRDefault="00DB0F0D" w:rsidP="00DB0F0D">
      <w:pPr>
        <w:spacing w:before="120"/>
      </w:pPr>
      <w:r w:rsidRPr="0075096D">
        <w:rPr>
          <w:b/>
          <w:sz w:val="24"/>
          <w:szCs w:val="24"/>
        </w:rPr>
        <w:t>Committee on Economic, Social and Cultural Rights</w:t>
      </w:r>
    </w:p>
    <w:p w:rsidR="00747D37" w:rsidRPr="0075096D" w:rsidRDefault="001F3FDF" w:rsidP="0018694B">
      <w:pPr>
        <w:pStyle w:val="HChG"/>
      </w:pPr>
      <w:r w:rsidRPr="0075096D">
        <w:tab/>
      </w:r>
      <w:r w:rsidR="00A609FF" w:rsidRPr="0075096D">
        <w:tab/>
        <w:t>C</w:t>
      </w:r>
      <w:r w:rsidR="001715CF" w:rsidRPr="0075096D">
        <w:t>oncluding observations on the</w:t>
      </w:r>
      <w:r w:rsidR="00B056AC" w:rsidRPr="0075096D">
        <w:t xml:space="preserve"> </w:t>
      </w:r>
      <w:r w:rsidR="001715CF" w:rsidRPr="0075096D">
        <w:t xml:space="preserve">second </w:t>
      </w:r>
      <w:r w:rsidR="00B056AC" w:rsidRPr="0075096D">
        <w:t xml:space="preserve">periodic report </w:t>
      </w:r>
      <w:r w:rsidR="00747D37" w:rsidRPr="0075096D">
        <w:t>of</w:t>
      </w:r>
      <w:r w:rsidR="001715CF" w:rsidRPr="0075096D">
        <w:t xml:space="preserve"> </w:t>
      </w:r>
      <w:r w:rsidR="000742BB">
        <w:t xml:space="preserve">the </w:t>
      </w:r>
      <w:r w:rsidR="001715CF" w:rsidRPr="0075096D">
        <w:t>Sudan</w:t>
      </w:r>
      <w:r w:rsidR="00CA35C0" w:rsidRPr="00CD5AC3">
        <w:rPr>
          <w:rStyle w:val="FootnoteReference"/>
          <w:b w:val="0"/>
          <w:bCs/>
          <w:sz w:val="20"/>
          <w:vertAlign w:val="baseline"/>
        </w:rPr>
        <w:footnoteReference w:customMarkFollows="1" w:id="2"/>
        <w:t>*</w:t>
      </w:r>
    </w:p>
    <w:p w:rsidR="00C82F62" w:rsidRPr="000B57E4" w:rsidRDefault="003A1DAD" w:rsidP="003A1DAD">
      <w:pPr>
        <w:pStyle w:val="SingleTxtG"/>
      </w:pPr>
      <w:r>
        <w:t>1.</w:t>
      </w:r>
      <w:r>
        <w:tab/>
      </w:r>
      <w:r w:rsidR="00C82F62" w:rsidRPr="000B57E4">
        <w:t>The Committee on Economic, Social and Cultural Rights considered the</w:t>
      </w:r>
      <w:r w:rsidR="001715CF" w:rsidRPr="000B57E4">
        <w:t xml:space="preserve"> second periodic</w:t>
      </w:r>
      <w:r w:rsidR="00C82F62" w:rsidRPr="000B57E4">
        <w:t xml:space="preserve"> report of</w:t>
      </w:r>
      <w:r w:rsidR="004353C3">
        <w:t xml:space="preserve"> the</w:t>
      </w:r>
      <w:r w:rsidR="001715CF" w:rsidRPr="000B57E4">
        <w:t xml:space="preserve"> Sudan</w:t>
      </w:r>
      <w:r w:rsidR="00C82F62" w:rsidRPr="000B57E4">
        <w:t xml:space="preserve"> on the implementation of the International Covenant on Economic, Social and Cultural Rights (E/C.12/</w:t>
      </w:r>
      <w:r w:rsidR="001715CF" w:rsidRPr="000B57E4">
        <w:t>SDN/2</w:t>
      </w:r>
      <w:r w:rsidR="00C82F62" w:rsidRPr="000B57E4">
        <w:t xml:space="preserve">) at its </w:t>
      </w:r>
      <w:r w:rsidR="001715CF" w:rsidRPr="000B57E4">
        <w:t>66th and 67th meetings (</w:t>
      </w:r>
      <w:r w:rsidR="00A2496B" w:rsidRPr="00A24CC4">
        <w:t>see</w:t>
      </w:r>
      <w:r w:rsidR="00A2496B">
        <w:t xml:space="preserve"> </w:t>
      </w:r>
      <w:r w:rsidR="001715CF" w:rsidRPr="000B57E4">
        <w:t>E/C.12/2015/SR.66 and 67)</w:t>
      </w:r>
      <w:r w:rsidR="00087A15">
        <w:t>,</w:t>
      </w:r>
      <w:r w:rsidR="001715CF" w:rsidRPr="000B57E4">
        <w:t xml:space="preserve"> held on 1 and 2</w:t>
      </w:r>
      <w:r w:rsidR="00C82F62" w:rsidRPr="000B57E4">
        <w:t xml:space="preserve"> </w:t>
      </w:r>
      <w:r w:rsidR="001715CF" w:rsidRPr="000B57E4">
        <w:t>Octo</w:t>
      </w:r>
      <w:r w:rsidR="00A37D88" w:rsidRPr="000B57E4">
        <w:t>ber</w:t>
      </w:r>
      <w:r w:rsidR="00C82F62" w:rsidRPr="000B57E4">
        <w:t xml:space="preserve"> 2015,</w:t>
      </w:r>
      <w:r w:rsidR="00967060" w:rsidRPr="000B57E4">
        <w:t xml:space="preserve"> and adopted</w:t>
      </w:r>
      <w:r w:rsidR="005B72B6">
        <w:t xml:space="preserve"> </w:t>
      </w:r>
      <w:r w:rsidR="005B72B6" w:rsidRPr="000B57E4">
        <w:t>the following concluding observations</w:t>
      </w:r>
      <w:r w:rsidR="00967060" w:rsidRPr="000B57E4">
        <w:t xml:space="preserve">, at its </w:t>
      </w:r>
      <w:r w:rsidR="004353C3">
        <w:t>78t</w:t>
      </w:r>
      <w:r w:rsidR="001715CF" w:rsidRPr="000B57E4">
        <w:t>h</w:t>
      </w:r>
      <w:r w:rsidR="00C82F62" w:rsidRPr="000B57E4">
        <w:t xml:space="preserve"> meeting</w:t>
      </w:r>
      <w:r w:rsidR="00087A15">
        <w:t>,</w:t>
      </w:r>
      <w:r w:rsidR="00967060" w:rsidRPr="000B57E4">
        <w:t xml:space="preserve"> held on 9</w:t>
      </w:r>
      <w:r w:rsidR="00C82F62" w:rsidRPr="000B57E4">
        <w:t xml:space="preserve"> </w:t>
      </w:r>
      <w:r w:rsidR="00967060" w:rsidRPr="000B57E4">
        <w:t>October</w:t>
      </w:r>
      <w:r w:rsidR="00C82F62" w:rsidRPr="000B57E4">
        <w:t xml:space="preserve"> 2015.</w:t>
      </w:r>
    </w:p>
    <w:p w:rsidR="00C82F62" w:rsidRPr="000B57E4" w:rsidRDefault="00C82F62" w:rsidP="000B57E4">
      <w:pPr>
        <w:pStyle w:val="H1G"/>
      </w:pPr>
      <w:r w:rsidRPr="000B57E4">
        <w:tab/>
        <w:t>A.</w:t>
      </w:r>
      <w:r w:rsidRPr="000B57E4">
        <w:tab/>
        <w:t>Introduction</w:t>
      </w:r>
    </w:p>
    <w:p w:rsidR="00C82F62" w:rsidRPr="000B57E4" w:rsidRDefault="003A1DAD" w:rsidP="003A1DAD">
      <w:pPr>
        <w:pStyle w:val="SingleTxtG"/>
      </w:pPr>
      <w:r>
        <w:t>2.</w:t>
      </w:r>
      <w:r>
        <w:tab/>
      </w:r>
      <w:r w:rsidR="00C82F62" w:rsidRPr="000B57E4">
        <w:t>The Committee welcomes the</w:t>
      </w:r>
      <w:r w:rsidR="008370BE" w:rsidRPr="000B57E4">
        <w:t xml:space="preserve"> submission of the</w:t>
      </w:r>
      <w:r w:rsidR="00C82F62" w:rsidRPr="000B57E4">
        <w:t xml:space="preserve"> </w:t>
      </w:r>
      <w:r w:rsidR="001715CF" w:rsidRPr="000B57E4">
        <w:t>second</w:t>
      </w:r>
      <w:r w:rsidR="00C82F62" w:rsidRPr="000B57E4">
        <w:t xml:space="preserve"> periodic repo</w:t>
      </w:r>
      <w:r w:rsidR="008370BE" w:rsidRPr="000B57E4">
        <w:t>rt of the State party and the written replies to the list of issues (E/C.12/SDN/Q/2/Add.1)</w:t>
      </w:r>
      <w:r w:rsidR="001715CF" w:rsidRPr="000B57E4">
        <w:t xml:space="preserve">. </w:t>
      </w:r>
      <w:r w:rsidR="00854F71" w:rsidRPr="000B57E4">
        <w:t>The Committee also appreciates</w:t>
      </w:r>
      <w:r w:rsidR="00C82F62" w:rsidRPr="000B57E4">
        <w:t xml:space="preserve"> </w:t>
      </w:r>
      <w:r w:rsidR="001715CF" w:rsidRPr="000B57E4">
        <w:t xml:space="preserve">the </w:t>
      </w:r>
      <w:r w:rsidR="008370BE" w:rsidRPr="000B57E4">
        <w:t>opportunity to engage</w:t>
      </w:r>
      <w:r w:rsidR="001715CF" w:rsidRPr="000B57E4">
        <w:t xml:space="preserve"> with the State party’s high-level </w:t>
      </w:r>
      <w:r w:rsidR="00C82F62" w:rsidRPr="000B57E4">
        <w:t>delegation.</w:t>
      </w:r>
    </w:p>
    <w:p w:rsidR="00854F71" w:rsidRPr="000B57E4" w:rsidRDefault="00854F71" w:rsidP="000B57E4">
      <w:pPr>
        <w:pStyle w:val="H1G"/>
      </w:pPr>
      <w:r w:rsidRPr="000B57E4">
        <w:tab/>
        <w:t>B.</w:t>
      </w:r>
      <w:r w:rsidRPr="000B57E4">
        <w:tab/>
        <w:t>Positive aspects</w:t>
      </w:r>
    </w:p>
    <w:p w:rsidR="00854F71" w:rsidRPr="000B57E4" w:rsidRDefault="003A1DAD" w:rsidP="003A1DAD">
      <w:pPr>
        <w:pStyle w:val="SingleTxtG"/>
      </w:pPr>
      <w:r>
        <w:t>3.</w:t>
      </w:r>
      <w:r>
        <w:tab/>
      </w:r>
      <w:r w:rsidR="00854F71" w:rsidRPr="000B57E4">
        <w:t>The Committee welcomes the ratification by the State party of the following international human rights instruments since the last review in 2000:</w:t>
      </w:r>
    </w:p>
    <w:p w:rsidR="006C27BD" w:rsidRDefault="0075096D" w:rsidP="000B57E4">
      <w:pPr>
        <w:pStyle w:val="SingleTxtG"/>
      </w:pPr>
      <w:r w:rsidRPr="000B57E4">
        <w:tab/>
      </w:r>
      <w:r w:rsidR="006C27BD" w:rsidRPr="000B57E4">
        <w:t>(</w:t>
      </w:r>
      <w:r w:rsidR="006C27BD">
        <w:t>a</w:t>
      </w:r>
      <w:r w:rsidR="006C27BD" w:rsidRPr="000B57E4">
        <w:t>)</w:t>
      </w:r>
      <w:r w:rsidR="006C27BD" w:rsidRPr="000B57E4">
        <w:tab/>
        <w:t>The Convention on the Rights of Persons with Disabilities</w:t>
      </w:r>
      <w:r w:rsidR="00087A15">
        <w:t>,</w:t>
      </w:r>
      <w:r w:rsidR="006C27BD" w:rsidRPr="000B57E4">
        <w:t xml:space="preserve"> in 2009; </w:t>
      </w:r>
    </w:p>
    <w:p w:rsidR="00B648AF" w:rsidRPr="000B57E4" w:rsidRDefault="00684DCE" w:rsidP="00684DCE">
      <w:pPr>
        <w:pStyle w:val="SingleTxtG"/>
      </w:pPr>
      <w:r>
        <w:tab/>
      </w:r>
      <w:r w:rsidR="0075096D" w:rsidRPr="000B57E4">
        <w:t>(</w:t>
      </w:r>
      <w:r w:rsidR="006C27BD">
        <w:t>b</w:t>
      </w:r>
      <w:r w:rsidR="0075096D" w:rsidRPr="000B57E4">
        <w:t>)</w:t>
      </w:r>
      <w:r w:rsidR="0075096D" w:rsidRPr="000B57E4">
        <w:tab/>
      </w:r>
      <w:r w:rsidR="00854F71" w:rsidRPr="000B57E4">
        <w:t>The Optional Protocols to the Convention on the Rights of the Child</w:t>
      </w:r>
      <w:r w:rsidR="00B648AF" w:rsidRPr="000B57E4">
        <w:t xml:space="preserve"> on the sale of children, child prostitution and child pornography and on the involvement of children in armed conflict, in 2004 and 2005, respectively;</w:t>
      </w:r>
    </w:p>
    <w:p w:rsidR="00B648AF" w:rsidRPr="000B57E4" w:rsidRDefault="0075096D" w:rsidP="00087A15">
      <w:pPr>
        <w:pStyle w:val="SingleTxtG"/>
      </w:pPr>
      <w:r w:rsidRPr="000B57E4">
        <w:tab/>
        <w:t>(</w:t>
      </w:r>
      <w:r w:rsidR="00D127D6" w:rsidRPr="000B57E4">
        <w:t>c</w:t>
      </w:r>
      <w:r w:rsidRPr="000B57E4">
        <w:t>)</w:t>
      </w:r>
      <w:r w:rsidRPr="000B57E4">
        <w:tab/>
      </w:r>
      <w:r w:rsidR="00B648AF" w:rsidRPr="000B57E4">
        <w:t>The International Labour Organization</w:t>
      </w:r>
      <w:r w:rsidR="00726420">
        <w:t xml:space="preserve"> (ILO)</w:t>
      </w:r>
      <w:r w:rsidR="00B648AF" w:rsidRPr="000B57E4">
        <w:t xml:space="preserve"> Minimum Age</w:t>
      </w:r>
      <w:r w:rsidR="00FD3F14">
        <w:t xml:space="preserve"> Convention</w:t>
      </w:r>
      <w:r w:rsidR="00B648AF" w:rsidRPr="000B57E4">
        <w:t>, 1973 (No. 138)</w:t>
      </w:r>
      <w:r w:rsidR="00087A15">
        <w:t>,</w:t>
      </w:r>
      <w:r w:rsidR="00B648AF" w:rsidRPr="000B57E4">
        <w:t xml:space="preserve"> and Worst Forms of Child Labour</w:t>
      </w:r>
      <w:r w:rsidR="00FD3F14">
        <w:t xml:space="preserve"> Convention</w:t>
      </w:r>
      <w:r w:rsidR="00B648AF" w:rsidRPr="000B57E4">
        <w:t>, 1999 (No. 182), in 2003;</w:t>
      </w:r>
    </w:p>
    <w:p w:rsidR="00854F71" w:rsidRPr="000B57E4" w:rsidRDefault="0075096D" w:rsidP="00FD3F14">
      <w:pPr>
        <w:pStyle w:val="SingleTxtG"/>
      </w:pPr>
      <w:r w:rsidRPr="000B57E4">
        <w:tab/>
        <w:t>(</w:t>
      </w:r>
      <w:r w:rsidR="00D127D6" w:rsidRPr="000B57E4">
        <w:t>d</w:t>
      </w:r>
      <w:r w:rsidRPr="000B57E4">
        <w:t>)</w:t>
      </w:r>
      <w:r w:rsidRPr="000B57E4">
        <w:tab/>
      </w:r>
      <w:r w:rsidR="00B648AF" w:rsidRPr="000B57E4">
        <w:t>The Protocol to Prevent, Suppress and Punish Trafficking in Persons, Especially Women and Children</w:t>
      </w:r>
      <w:r w:rsidR="002C5732">
        <w:t>, supplementing the United Nations Convention against Transnational Organized Crime</w:t>
      </w:r>
      <w:r w:rsidR="00B648AF" w:rsidRPr="000B57E4">
        <w:t xml:space="preserve"> in 2014.</w:t>
      </w:r>
    </w:p>
    <w:p w:rsidR="00B648AF" w:rsidRPr="000B57E4" w:rsidRDefault="003A1DAD" w:rsidP="003A1DAD">
      <w:pPr>
        <w:pStyle w:val="SingleTxtG"/>
      </w:pPr>
      <w:r>
        <w:t>4.</w:t>
      </w:r>
      <w:r>
        <w:tab/>
      </w:r>
      <w:r w:rsidR="00B648AF" w:rsidRPr="000B57E4">
        <w:t>The Committee also welcomes the following legislative</w:t>
      </w:r>
      <w:r w:rsidR="00F32B10" w:rsidRPr="000B57E4">
        <w:t>, institutional</w:t>
      </w:r>
      <w:r w:rsidR="00B648AF" w:rsidRPr="000B57E4">
        <w:t xml:space="preserve"> and policy measures </w:t>
      </w:r>
      <w:r w:rsidR="008370BE" w:rsidRPr="000B57E4">
        <w:t xml:space="preserve">to promote </w:t>
      </w:r>
      <w:r w:rsidR="00B648AF" w:rsidRPr="000B57E4">
        <w:t>economic, social and cultural rights:</w:t>
      </w:r>
    </w:p>
    <w:p w:rsidR="008370BE" w:rsidRPr="000B57E4" w:rsidRDefault="0075096D" w:rsidP="000B57E4">
      <w:pPr>
        <w:pStyle w:val="SingleTxtG"/>
      </w:pPr>
      <w:r w:rsidRPr="000B57E4">
        <w:tab/>
        <w:t>(a)</w:t>
      </w:r>
      <w:r w:rsidRPr="000B57E4">
        <w:tab/>
      </w:r>
      <w:r w:rsidR="008370BE" w:rsidRPr="000B57E4">
        <w:t>The adoption of the Anti-Trafficking Act</w:t>
      </w:r>
      <w:r w:rsidR="00087A15">
        <w:t>,</w:t>
      </w:r>
      <w:r w:rsidR="008370BE" w:rsidRPr="000B57E4">
        <w:t xml:space="preserve"> in 2014;</w:t>
      </w:r>
    </w:p>
    <w:p w:rsidR="008370BE" w:rsidRPr="000B57E4" w:rsidRDefault="0075096D" w:rsidP="000B57E4">
      <w:pPr>
        <w:pStyle w:val="SingleTxtG"/>
      </w:pPr>
      <w:r w:rsidRPr="000B57E4">
        <w:lastRenderedPageBreak/>
        <w:tab/>
        <w:t>(</w:t>
      </w:r>
      <w:r w:rsidR="00D127D6" w:rsidRPr="000B57E4">
        <w:t>b</w:t>
      </w:r>
      <w:r w:rsidRPr="000B57E4">
        <w:t>)</w:t>
      </w:r>
      <w:r w:rsidRPr="000B57E4">
        <w:tab/>
      </w:r>
      <w:r w:rsidR="008370BE" w:rsidRPr="000B57E4">
        <w:t>The adoption of the Disabilities Act</w:t>
      </w:r>
      <w:r w:rsidR="00087A15">
        <w:t>,</w:t>
      </w:r>
      <w:r w:rsidR="008370BE" w:rsidRPr="000B57E4">
        <w:t xml:space="preserve"> in 2009;</w:t>
      </w:r>
    </w:p>
    <w:p w:rsidR="003B1B68" w:rsidRPr="000B57E4" w:rsidRDefault="0075096D" w:rsidP="000B57E4">
      <w:pPr>
        <w:pStyle w:val="SingleTxtG"/>
      </w:pPr>
      <w:r w:rsidRPr="000B57E4">
        <w:tab/>
        <w:t>(</w:t>
      </w:r>
      <w:r w:rsidR="00D127D6" w:rsidRPr="000B57E4">
        <w:t>c</w:t>
      </w:r>
      <w:r w:rsidRPr="000B57E4">
        <w:t>)</w:t>
      </w:r>
      <w:r w:rsidRPr="000B57E4">
        <w:tab/>
      </w:r>
      <w:r w:rsidR="00F32B10" w:rsidRPr="000B57E4">
        <w:t>The establishment of the N</w:t>
      </w:r>
      <w:r w:rsidR="005C2935">
        <w:t>ational Human Rights Commission.</w:t>
      </w:r>
    </w:p>
    <w:p w:rsidR="00C82F62" w:rsidRPr="000B57E4" w:rsidRDefault="00C82F62" w:rsidP="00696953">
      <w:pPr>
        <w:pStyle w:val="H1G"/>
      </w:pPr>
      <w:r w:rsidRPr="000B57E4">
        <w:tab/>
        <w:t>C.</w:t>
      </w:r>
      <w:r w:rsidRPr="000B57E4">
        <w:tab/>
        <w:t>Principal subjects of concern and recommendations</w:t>
      </w:r>
    </w:p>
    <w:p w:rsidR="00145843" w:rsidRPr="000B57E4" w:rsidRDefault="00145843" w:rsidP="000B57E4">
      <w:pPr>
        <w:pStyle w:val="H23G"/>
      </w:pPr>
      <w:r w:rsidRPr="000B57E4">
        <w:tab/>
      </w:r>
      <w:r w:rsidRPr="000B57E4">
        <w:tab/>
        <w:t>Domestic application of the Covenant</w:t>
      </w:r>
    </w:p>
    <w:p w:rsidR="007C79DD" w:rsidRDefault="003A1DAD" w:rsidP="003A1DAD">
      <w:pPr>
        <w:pStyle w:val="SingleTxtG"/>
      </w:pPr>
      <w:r>
        <w:t>5.</w:t>
      </w:r>
      <w:r>
        <w:tab/>
      </w:r>
      <w:r w:rsidR="00EA4386" w:rsidRPr="000B57E4">
        <w:t>The Committee is concerned that</w:t>
      </w:r>
      <w:r w:rsidR="00FD3F14">
        <w:t>:</w:t>
      </w:r>
      <w:r w:rsidR="00EA4386" w:rsidRPr="000B57E4">
        <w:t xml:space="preserve"> </w:t>
      </w:r>
      <w:r w:rsidR="007C79DD">
        <w:t xml:space="preserve">(a) </w:t>
      </w:r>
      <w:r w:rsidR="00224E28" w:rsidRPr="000B57E4">
        <w:t xml:space="preserve">the lack of explicit recognition of </w:t>
      </w:r>
      <w:r w:rsidR="005B4080" w:rsidRPr="000B57E4">
        <w:t>several Covenant rights in the State party’s Constitution</w:t>
      </w:r>
      <w:r w:rsidR="00224E28" w:rsidRPr="000B57E4">
        <w:t xml:space="preserve"> weakens their protection</w:t>
      </w:r>
      <w:r w:rsidR="007C79DD">
        <w:t>;</w:t>
      </w:r>
      <w:r w:rsidR="005B4080" w:rsidRPr="000B57E4">
        <w:t xml:space="preserve"> </w:t>
      </w:r>
      <w:r w:rsidR="007C79DD">
        <w:t xml:space="preserve">(b) there </w:t>
      </w:r>
      <w:r w:rsidR="00FD3F14">
        <w:t xml:space="preserve">are </w:t>
      </w:r>
      <w:r w:rsidR="007C79DD">
        <w:t xml:space="preserve">no mechanisms </w:t>
      </w:r>
      <w:r w:rsidR="007C79DD" w:rsidRPr="000B57E4">
        <w:t xml:space="preserve">for ensuring compliance of </w:t>
      </w:r>
      <w:r w:rsidR="006B3F26">
        <w:t>the</w:t>
      </w:r>
      <w:r w:rsidR="006B3F26" w:rsidRPr="000B57E4">
        <w:t xml:space="preserve"> </w:t>
      </w:r>
      <w:r w:rsidR="007C79DD" w:rsidRPr="000B57E4">
        <w:t>laws</w:t>
      </w:r>
      <w:r w:rsidR="006B3F26">
        <w:t xml:space="preserve"> of the constituent states</w:t>
      </w:r>
      <w:r w:rsidR="007C79DD" w:rsidRPr="000B57E4">
        <w:t xml:space="preserve"> with the Covenant</w:t>
      </w:r>
      <w:r w:rsidR="007C79DD">
        <w:t xml:space="preserve"> and</w:t>
      </w:r>
      <w:r w:rsidR="007C79DD" w:rsidRPr="000B57E4">
        <w:t xml:space="preserve"> </w:t>
      </w:r>
      <w:r w:rsidR="007C79DD">
        <w:t xml:space="preserve">therefore </w:t>
      </w:r>
      <w:r w:rsidR="007C79DD" w:rsidRPr="000B57E4">
        <w:t>legal provisions that are incompatible with the Covenant are still in force in the State party</w:t>
      </w:r>
      <w:r w:rsidR="007C79DD">
        <w:t>; and (c)</w:t>
      </w:r>
      <w:r w:rsidR="007C79DD" w:rsidRPr="000B57E4">
        <w:t xml:space="preserve"> the Convention has not been invoked by or before</w:t>
      </w:r>
      <w:r w:rsidR="007C79DD">
        <w:t xml:space="preserve"> courts in the State party.</w:t>
      </w:r>
    </w:p>
    <w:p w:rsidR="008929AB" w:rsidRPr="000B57E4" w:rsidRDefault="003A1DAD" w:rsidP="003A1DAD">
      <w:pPr>
        <w:pStyle w:val="SingleTxtG"/>
      </w:pPr>
      <w:r w:rsidRPr="003A1DAD">
        <w:rPr>
          <w:bCs/>
        </w:rPr>
        <w:t>6.</w:t>
      </w:r>
      <w:r>
        <w:rPr>
          <w:b/>
        </w:rPr>
        <w:tab/>
      </w:r>
      <w:r w:rsidR="008929AB" w:rsidRPr="00D92281">
        <w:rPr>
          <w:b/>
        </w:rPr>
        <w:t xml:space="preserve">The Committee </w:t>
      </w:r>
      <w:r w:rsidR="008929AB" w:rsidRPr="007C79DD">
        <w:rPr>
          <w:b/>
        </w:rPr>
        <w:t>recommends t</w:t>
      </w:r>
      <w:r w:rsidR="00A87DD2" w:rsidRPr="007C79DD">
        <w:rPr>
          <w:b/>
        </w:rPr>
        <w:t>hat</w:t>
      </w:r>
      <w:r w:rsidR="007C79DD" w:rsidRPr="007C79DD">
        <w:rPr>
          <w:b/>
        </w:rPr>
        <w:t xml:space="preserve"> the State party: </w:t>
      </w:r>
      <w:r w:rsidR="007C79DD" w:rsidRPr="00696953">
        <w:rPr>
          <w:b/>
        </w:rPr>
        <w:t>(a)</w:t>
      </w:r>
      <w:r w:rsidR="007C79DD" w:rsidRPr="007C79DD">
        <w:rPr>
          <w:b/>
        </w:rPr>
        <w:tab/>
      </w:r>
      <w:r w:rsidR="00696953">
        <w:rPr>
          <w:b/>
        </w:rPr>
        <w:t xml:space="preserve"> </w:t>
      </w:r>
      <w:r w:rsidR="00A87DD2" w:rsidRPr="007C79DD">
        <w:rPr>
          <w:b/>
        </w:rPr>
        <w:t>incorporate</w:t>
      </w:r>
      <w:r w:rsidR="008929AB" w:rsidRPr="007C79DD">
        <w:rPr>
          <w:b/>
        </w:rPr>
        <w:t xml:space="preserve"> all Covenant rights</w:t>
      </w:r>
      <w:r w:rsidR="00B90106" w:rsidRPr="007C79DD">
        <w:rPr>
          <w:b/>
        </w:rPr>
        <w:t xml:space="preserve"> in </w:t>
      </w:r>
      <w:r w:rsidR="00E10780" w:rsidRPr="007C79DD">
        <w:rPr>
          <w:b/>
        </w:rPr>
        <w:t>its</w:t>
      </w:r>
      <w:r w:rsidR="00B90106" w:rsidRPr="007C79DD">
        <w:rPr>
          <w:b/>
        </w:rPr>
        <w:t xml:space="preserve"> Constitution</w:t>
      </w:r>
      <w:r w:rsidR="007C79DD" w:rsidRPr="007C79DD">
        <w:rPr>
          <w:b/>
        </w:rPr>
        <w:t xml:space="preserve">; </w:t>
      </w:r>
      <w:r w:rsidR="007C79DD" w:rsidRPr="00696953">
        <w:rPr>
          <w:b/>
        </w:rPr>
        <w:t xml:space="preserve">(b) </w:t>
      </w:r>
      <w:r w:rsidR="007C79DD" w:rsidRPr="007C79DD">
        <w:rPr>
          <w:b/>
        </w:rPr>
        <w:t xml:space="preserve">undertake a comprehensive review of federal and state </w:t>
      </w:r>
      <w:r w:rsidR="00FD3F14">
        <w:rPr>
          <w:b/>
        </w:rPr>
        <w:t xml:space="preserve">laws </w:t>
      </w:r>
      <w:r w:rsidR="007C79DD" w:rsidRPr="007C79DD">
        <w:rPr>
          <w:b/>
        </w:rPr>
        <w:t>with a view to bringing them into conformity with the Covenant;</w:t>
      </w:r>
      <w:r w:rsidR="00696953">
        <w:rPr>
          <w:b/>
        </w:rPr>
        <w:t xml:space="preserve"> </w:t>
      </w:r>
      <w:r w:rsidR="007C79DD" w:rsidRPr="00696953">
        <w:rPr>
          <w:b/>
        </w:rPr>
        <w:t xml:space="preserve">(c) </w:t>
      </w:r>
      <w:r w:rsidR="007C79DD" w:rsidRPr="007C79DD">
        <w:rPr>
          <w:b/>
        </w:rPr>
        <w:t xml:space="preserve">put into place a mechanism to ensure that draft laws introduced and adopted by </w:t>
      </w:r>
      <w:r w:rsidR="00BC29BA">
        <w:rPr>
          <w:b/>
        </w:rPr>
        <w:t xml:space="preserve">constituent </w:t>
      </w:r>
      <w:r w:rsidR="007C79DD" w:rsidRPr="007C79DD">
        <w:rPr>
          <w:b/>
        </w:rPr>
        <w:t xml:space="preserve">states </w:t>
      </w:r>
      <w:r w:rsidR="00FD3F14">
        <w:rPr>
          <w:b/>
        </w:rPr>
        <w:t>comply</w:t>
      </w:r>
      <w:r w:rsidR="007C79DD" w:rsidRPr="007C79DD">
        <w:rPr>
          <w:b/>
        </w:rPr>
        <w:t xml:space="preserve"> with the Covenant; </w:t>
      </w:r>
      <w:r w:rsidR="007C79DD" w:rsidRPr="00696953">
        <w:rPr>
          <w:b/>
        </w:rPr>
        <w:t>(d)</w:t>
      </w:r>
      <w:r w:rsidR="007C79DD" w:rsidRPr="007C79DD">
        <w:rPr>
          <w:b/>
        </w:rPr>
        <w:t xml:space="preserve"> </w:t>
      </w:r>
      <w:r w:rsidR="00B90106" w:rsidRPr="007C79DD">
        <w:rPr>
          <w:b/>
        </w:rPr>
        <w:t>raise awareness of the Covenant and its justiciability among the</w:t>
      </w:r>
      <w:r w:rsidR="002F68E2" w:rsidRPr="007C79DD">
        <w:rPr>
          <w:b/>
        </w:rPr>
        <w:t xml:space="preserve"> general</w:t>
      </w:r>
      <w:r w:rsidR="00B90106" w:rsidRPr="007C79DD">
        <w:rPr>
          <w:b/>
        </w:rPr>
        <w:t xml:space="preserve"> </w:t>
      </w:r>
      <w:r w:rsidR="002F68E2" w:rsidRPr="007C79DD">
        <w:rPr>
          <w:b/>
        </w:rPr>
        <w:t>public</w:t>
      </w:r>
      <w:r w:rsidR="00B90106" w:rsidRPr="007C79DD">
        <w:rPr>
          <w:b/>
        </w:rPr>
        <w:t xml:space="preserve"> and legal professionals, including through their training programmes</w:t>
      </w:r>
      <w:r w:rsidR="007C79DD" w:rsidRPr="007C79DD">
        <w:rPr>
          <w:b/>
        </w:rPr>
        <w:t xml:space="preserve">; and (e) take the recommendations contained in the present concluding observations into account in its legal reforms. The Committee </w:t>
      </w:r>
      <w:r w:rsidR="00B90106" w:rsidRPr="007C79DD">
        <w:rPr>
          <w:b/>
        </w:rPr>
        <w:t xml:space="preserve">refers the State party to its </w:t>
      </w:r>
      <w:r w:rsidR="00FD3F14">
        <w:rPr>
          <w:b/>
        </w:rPr>
        <w:t>g</w:t>
      </w:r>
      <w:r w:rsidR="00B90106" w:rsidRPr="007C79DD">
        <w:rPr>
          <w:b/>
        </w:rPr>
        <w:t xml:space="preserve">eneral </w:t>
      </w:r>
      <w:r w:rsidR="00FD3F14">
        <w:rPr>
          <w:b/>
        </w:rPr>
        <w:t>c</w:t>
      </w:r>
      <w:r w:rsidR="00B90106" w:rsidRPr="007C79DD">
        <w:rPr>
          <w:b/>
        </w:rPr>
        <w:t xml:space="preserve">omment No. </w:t>
      </w:r>
      <w:r w:rsidR="00A87DD2" w:rsidRPr="007C79DD">
        <w:rPr>
          <w:b/>
        </w:rPr>
        <w:t>9 (1998) on the domestic</w:t>
      </w:r>
      <w:r w:rsidR="00A87DD2" w:rsidRPr="00D92281">
        <w:rPr>
          <w:b/>
        </w:rPr>
        <w:t xml:space="preserve"> application of the Covenant.</w:t>
      </w:r>
    </w:p>
    <w:p w:rsidR="00966D23" w:rsidRPr="000B57E4" w:rsidRDefault="00966D23" w:rsidP="000B57E4">
      <w:pPr>
        <w:pStyle w:val="H23G"/>
      </w:pPr>
      <w:r w:rsidRPr="000B57E4">
        <w:tab/>
      </w:r>
      <w:r w:rsidRPr="000B57E4">
        <w:tab/>
        <w:t>Access to</w:t>
      </w:r>
      <w:r w:rsidR="004969D2" w:rsidRPr="000B57E4">
        <w:t xml:space="preserve"> remedies</w:t>
      </w:r>
    </w:p>
    <w:p w:rsidR="00966D23" w:rsidRPr="000B57E4" w:rsidRDefault="003A1DAD" w:rsidP="003A1DAD">
      <w:pPr>
        <w:pStyle w:val="SingleTxtG"/>
      </w:pPr>
      <w:r>
        <w:t>7.</w:t>
      </w:r>
      <w:r>
        <w:tab/>
      </w:r>
      <w:r w:rsidR="00966D23" w:rsidRPr="000B57E4">
        <w:t xml:space="preserve">The Committee is concerned at the limited access to justice in the State party, </w:t>
      </w:r>
      <w:r w:rsidR="00FD3F14">
        <w:t xml:space="preserve">which </w:t>
      </w:r>
      <w:r w:rsidR="00966D23" w:rsidRPr="000B57E4">
        <w:t>depriv</w:t>
      </w:r>
      <w:r w:rsidR="00FD3F14">
        <w:t>es</w:t>
      </w:r>
      <w:r w:rsidR="00966D23" w:rsidRPr="000B57E4">
        <w:t xml:space="preserve"> </w:t>
      </w:r>
      <w:r w:rsidR="0077484A" w:rsidRPr="000B57E4">
        <w:t>victims</w:t>
      </w:r>
      <w:r w:rsidR="00966D23" w:rsidRPr="000B57E4">
        <w:t xml:space="preserve"> of effective remedies</w:t>
      </w:r>
      <w:r w:rsidR="004969D2" w:rsidRPr="000B57E4">
        <w:t xml:space="preserve"> for violations of economic, social and cultural rights</w:t>
      </w:r>
      <w:r w:rsidR="00966D23" w:rsidRPr="000B57E4">
        <w:t xml:space="preserve">. The Committee is </w:t>
      </w:r>
      <w:r w:rsidR="004969D2" w:rsidRPr="000B57E4">
        <w:t xml:space="preserve">also </w:t>
      </w:r>
      <w:r w:rsidR="00966D23" w:rsidRPr="000B57E4">
        <w:t xml:space="preserve">concerned at reports of harassment and intimidation of defenders </w:t>
      </w:r>
      <w:r w:rsidR="004969D2" w:rsidRPr="000B57E4">
        <w:t xml:space="preserve">of economic, social and cultural rights, </w:t>
      </w:r>
      <w:r w:rsidR="00966D23" w:rsidRPr="000B57E4">
        <w:t xml:space="preserve">and of violent repression of actions aimed at </w:t>
      </w:r>
      <w:r w:rsidR="00966D23" w:rsidRPr="003A3BBA">
        <w:t xml:space="preserve">claiming </w:t>
      </w:r>
      <w:r w:rsidR="004969D2" w:rsidRPr="003A3BBA">
        <w:t>Covenant rights</w:t>
      </w:r>
      <w:r w:rsidR="00966D23" w:rsidRPr="000B57E4">
        <w:t>.</w:t>
      </w:r>
      <w:r w:rsidR="004969D2" w:rsidRPr="000B57E4">
        <w:t xml:space="preserve"> (art.</w:t>
      </w:r>
      <w:r w:rsidR="008F7AF3">
        <w:t xml:space="preserve"> </w:t>
      </w:r>
      <w:r w:rsidR="004969D2" w:rsidRPr="000B57E4">
        <w:t>2)</w:t>
      </w:r>
    </w:p>
    <w:p w:rsidR="00966D23" w:rsidRPr="00D92281" w:rsidRDefault="003A1DAD" w:rsidP="003A1DAD">
      <w:pPr>
        <w:pStyle w:val="SingleTxtG"/>
        <w:rPr>
          <w:b/>
        </w:rPr>
      </w:pPr>
      <w:r w:rsidRPr="003A1DAD">
        <w:rPr>
          <w:bCs/>
        </w:rPr>
        <w:t>8.</w:t>
      </w:r>
      <w:r w:rsidRPr="003A1DAD">
        <w:rPr>
          <w:bCs/>
        </w:rPr>
        <w:tab/>
      </w:r>
      <w:r w:rsidR="00E41404" w:rsidRPr="00D92281">
        <w:rPr>
          <w:b/>
        </w:rPr>
        <w:t>Recalling the obligation of the State party to provide judicial or other effective remedies, t</w:t>
      </w:r>
      <w:r w:rsidR="00966D23" w:rsidRPr="00D92281">
        <w:rPr>
          <w:b/>
        </w:rPr>
        <w:t>he Committee recommends that the State party</w:t>
      </w:r>
      <w:r w:rsidR="00EF2BC2">
        <w:rPr>
          <w:b/>
        </w:rPr>
        <w:t>:</w:t>
      </w:r>
      <w:r w:rsidR="00966D23" w:rsidRPr="00D92281">
        <w:rPr>
          <w:b/>
        </w:rPr>
        <w:t xml:space="preserve"> (a) step up efforts to train </w:t>
      </w:r>
      <w:r w:rsidR="006263DE">
        <w:rPr>
          <w:b/>
        </w:rPr>
        <w:t>more</w:t>
      </w:r>
      <w:r w:rsidR="006263DE" w:rsidRPr="00D92281">
        <w:rPr>
          <w:b/>
        </w:rPr>
        <w:t xml:space="preserve"> </w:t>
      </w:r>
      <w:r w:rsidR="00966D23" w:rsidRPr="00D92281">
        <w:rPr>
          <w:b/>
        </w:rPr>
        <w:t xml:space="preserve">legal professionals; (b) </w:t>
      </w:r>
      <w:r w:rsidR="006D613F" w:rsidRPr="00D92281">
        <w:rPr>
          <w:b/>
        </w:rPr>
        <w:t xml:space="preserve">expand the reach of justice services and </w:t>
      </w:r>
      <w:r w:rsidR="00966D23" w:rsidRPr="00D92281">
        <w:rPr>
          <w:b/>
        </w:rPr>
        <w:t xml:space="preserve">law enforcement outside urban areas; (c) ensure that legal aid is </w:t>
      </w:r>
      <w:r w:rsidR="003A3BBA">
        <w:rPr>
          <w:b/>
        </w:rPr>
        <w:t>in fact</w:t>
      </w:r>
      <w:r w:rsidR="003A3BBA" w:rsidRPr="00D92281">
        <w:rPr>
          <w:b/>
        </w:rPr>
        <w:t xml:space="preserve"> </w:t>
      </w:r>
      <w:r w:rsidR="00966D23" w:rsidRPr="00D92281">
        <w:rPr>
          <w:b/>
        </w:rPr>
        <w:t xml:space="preserve">available </w:t>
      </w:r>
      <w:r w:rsidR="00EF2BC2">
        <w:rPr>
          <w:b/>
        </w:rPr>
        <w:t>to</w:t>
      </w:r>
      <w:r w:rsidR="00EF2BC2" w:rsidRPr="00D92281">
        <w:rPr>
          <w:b/>
        </w:rPr>
        <w:t xml:space="preserve"> </w:t>
      </w:r>
      <w:r w:rsidR="00966D23" w:rsidRPr="00D92281">
        <w:rPr>
          <w:b/>
        </w:rPr>
        <w:t>victims and defendants</w:t>
      </w:r>
      <w:r w:rsidR="00E41404" w:rsidRPr="00D92281">
        <w:rPr>
          <w:b/>
        </w:rPr>
        <w:t>; (d) promote access to mechanisms, including non-judicial ones, for lodging complaints for violations of economic, social and cultural rights</w:t>
      </w:r>
      <w:r w:rsidR="00831653" w:rsidRPr="00D92281">
        <w:rPr>
          <w:b/>
        </w:rPr>
        <w:t xml:space="preserve">; and (e) ensure that those involved in customary justice are aware of </w:t>
      </w:r>
      <w:r w:rsidR="00831653" w:rsidRPr="00EC05B7">
        <w:rPr>
          <w:b/>
        </w:rPr>
        <w:t xml:space="preserve">the rights </w:t>
      </w:r>
      <w:r w:rsidR="002C5732">
        <w:rPr>
          <w:b/>
        </w:rPr>
        <w:t>covered by</w:t>
      </w:r>
      <w:r w:rsidR="002C5732" w:rsidRPr="00EC05B7">
        <w:rPr>
          <w:b/>
        </w:rPr>
        <w:t xml:space="preserve"> </w:t>
      </w:r>
      <w:r w:rsidR="00831653" w:rsidRPr="00EC05B7">
        <w:rPr>
          <w:b/>
        </w:rPr>
        <w:t>the Covenant</w:t>
      </w:r>
      <w:r w:rsidR="00966D23" w:rsidRPr="00EC05B7">
        <w:rPr>
          <w:b/>
        </w:rPr>
        <w:t>. The</w:t>
      </w:r>
      <w:r w:rsidR="00966D23" w:rsidRPr="00D92281">
        <w:rPr>
          <w:b/>
        </w:rPr>
        <w:t xml:space="preserve"> Committee urges the State party to condemn </w:t>
      </w:r>
      <w:r w:rsidR="007C79DD">
        <w:rPr>
          <w:b/>
        </w:rPr>
        <w:t xml:space="preserve">and punish </w:t>
      </w:r>
      <w:r w:rsidR="00966D23" w:rsidRPr="00D92281">
        <w:rPr>
          <w:b/>
        </w:rPr>
        <w:t xml:space="preserve">acts of harassment, intimidation or violence against individuals </w:t>
      </w:r>
      <w:r w:rsidR="00966D23" w:rsidRPr="003A3BBA">
        <w:rPr>
          <w:b/>
        </w:rPr>
        <w:t>claiming their</w:t>
      </w:r>
      <w:r w:rsidR="00E41404" w:rsidRPr="003A3BBA">
        <w:rPr>
          <w:b/>
        </w:rPr>
        <w:t xml:space="preserve"> Covenant</w:t>
      </w:r>
      <w:r w:rsidR="00966D23" w:rsidRPr="003A3BBA">
        <w:rPr>
          <w:b/>
        </w:rPr>
        <w:t xml:space="preserve"> rights</w:t>
      </w:r>
      <w:r w:rsidR="00966D23" w:rsidRPr="00D92281">
        <w:rPr>
          <w:b/>
        </w:rPr>
        <w:t xml:space="preserve"> and to take appropriate measures against those found responsible for such acts</w:t>
      </w:r>
      <w:r w:rsidR="004969D2" w:rsidRPr="00D92281">
        <w:rPr>
          <w:b/>
        </w:rPr>
        <w:t xml:space="preserve">. The Committee refers the State party to its general comment No. </w:t>
      </w:r>
      <w:r w:rsidR="00E41404" w:rsidRPr="00D92281">
        <w:rPr>
          <w:b/>
        </w:rPr>
        <w:t>3 (1990) on the nature of State parties’ obligations.</w:t>
      </w:r>
    </w:p>
    <w:p w:rsidR="00145843" w:rsidRPr="000B57E4" w:rsidRDefault="00966D23" w:rsidP="000B57E4">
      <w:pPr>
        <w:pStyle w:val="H23G"/>
      </w:pPr>
      <w:r w:rsidRPr="000B57E4">
        <w:tab/>
      </w:r>
      <w:r w:rsidRPr="000B57E4">
        <w:tab/>
      </w:r>
      <w:r w:rsidR="00145843" w:rsidRPr="000B57E4">
        <w:t>National human rights institution</w:t>
      </w:r>
    </w:p>
    <w:p w:rsidR="00145843" w:rsidRPr="000B57E4" w:rsidRDefault="003A1DAD" w:rsidP="003A1DAD">
      <w:pPr>
        <w:pStyle w:val="SingleTxtG"/>
      </w:pPr>
      <w:r>
        <w:t>9.</w:t>
      </w:r>
      <w:r>
        <w:tab/>
      </w:r>
      <w:r w:rsidR="00145843" w:rsidRPr="000B57E4">
        <w:t xml:space="preserve">The Committee is concerned that the </w:t>
      </w:r>
      <w:r w:rsidR="00EF2BC2">
        <w:t xml:space="preserve">National Human Rights </w:t>
      </w:r>
      <w:r w:rsidR="00145843" w:rsidRPr="000B57E4">
        <w:t xml:space="preserve">Commission is </w:t>
      </w:r>
      <w:r w:rsidR="006C3036">
        <w:t>not in full</w:t>
      </w:r>
      <w:r w:rsidR="00145843" w:rsidRPr="000B57E4">
        <w:t xml:space="preserve"> complian</w:t>
      </w:r>
      <w:r w:rsidR="006C3036">
        <w:t>ce</w:t>
      </w:r>
      <w:r w:rsidR="00145843" w:rsidRPr="000B57E4">
        <w:t xml:space="preserve"> with the </w:t>
      </w:r>
      <w:r w:rsidR="00EF2BC2">
        <w:t>p</w:t>
      </w:r>
      <w:r w:rsidR="00145843" w:rsidRPr="000B57E4">
        <w:t>rinciples</w:t>
      </w:r>
      <w:r w:rsidR="00EF2BC2">
        <w:t xml:space="preserve"> relating to the status of national institutions for the promotion and protection of human rights (Paris Principles)</w:t>
      </w:r>
      <w:r w:rsidR="00367074" w:rsidRPr="000B57E4">
        <w:t>.</w:t>
      </w:r>
      <w:r w:rsidR="00145843" w:rsidRPr="000B57E4">
        <w:t xml:space="preserve"> </w:t>
      </w:r>
      <w:r w:rsidR="00E41404" w:rsidRPr="000B57E4">
        <w:t>The Committee is also concerned, in the context of limited resources</w:t>
      </w:r>
      <w:r w:rsidR="00EF2BC2">
        <w:t xml:space="preserve"> in the State party</w:t>
      </w:r>
      <w:r w:rsidR="00E41404" w:rsidRPr="000B57E4">
        <w:t xml:space="preserve">, </w:t>
      </w:r>
      <w:r w:rsidR="00145843" w:rsidRPr="000B57E4">
        <w:t>at the existence of numerous public bodies with</w:t>
      </w:r>
      <w:r w:rsidR="00E41404" w:rsidRPr="000B57E4">
        <w:t xml:space="preserve"> a</w:t>
      </w:r>
      <w:r w:rsidR="00145843" w:rsidRPr="000B57E4">
        <w:t xml:space="preserve"> human rights mandate.</w:t>
      </w:r>
    </w:p>
    <w:p w:rsidR="00A87DD2" w:rsidRPr="00D92281" w:rsidRDefault="003A1DAD" w:rsidP="003A1DAD">
      <w:pPr>
        <w:pStyle w:val="SingleTxtG"/>
        <w:rPr>
          <w:b/>
        </w:rPr>
      </w:pPr>
      <w:r w:rsidRPr="003A1DAD">
        <w:rPr>
          <w:bCs/>
        </w:rPr>
        <w:lastRenderedPageBreak/>
        <w:t>10.</w:t>
      </w:r>
      <w:r w:rsidRPr="003A1DAD">
        <w:rPr>
          <w:bCs/>
        </w:rPr>
        <w:tab/>
      </w:r>
      <w:r w:rsidR="00A87DD2" w:rsidRPr="00D92281">
        <w:rPr>
          <w:b/>
        </w:rPr>
        <w:t xml:space="preserve">The Committee recommends that the State party </w:t>
      </w:r>
      <w:r w:rsidR="00145843" w:rsidRPr="00D92281">
        <w:rPr>
          <w:b/>
        </w:rPr>
        <w:t xml:space="preserve">bring the </w:t>
      </w:r>
      <w:r w:rsidR="00EF2BC2">
        <w:rPr>
          <w:b/>
        </w:rPr>
        <w:t xml:space="preserve">National Human Rights </w:t>
      </w:r>
      <w:r w:rsidR="00145843" w:rsidRPr="00D92281">
        <w:rPr>
          <w:b/>
        </w:rPr>
        <w:t xml:space="preserve">Commission into </w:t>
      </w:r>
      <w:r w:rsidR="006C3036">
        <w:rPr>
          <w:b/>
        </w:rPr>
        <w:t>compliance</w:t>
      </w:r>
      <w:r w:rsidR="00145843" w:rsidRPr="00D92281">
        <w:rPr>
          <w:b/>
        </w:rPr>
        <w:t xml:space="preserve"> with the Paris Principles, guaranteeing its independence and financial autonomy</w:t>
      </w:r>
      <w:r w:rsidR="00F22B41" w:rsidRPr="00D92281">
        <w:rPr>
          <w:b/>
        </w:rPr>
        <w:t>.</w:t>
      </w:r>
      <w:r w:rsidR="00D92281">
        <w:rPr>
          <w:b/>
        </w:rPr>
        <w:t xml:space="preserve"> </w:t>
      </w:r>
      <w:r w:rsidR="00145843" w:rsidRPr="00D92281">
        <w:rPr>
          <w:b/>
        </w:rPr>
        <w:t xml:space="preserve">The Committee also encourages the State party to streamline its human rights machinery to avoid duplication and </w:t>
      </w:r>
      <w:r w:rsidR="004C78E1">
        <w:rPr>
          <w:b/>
        </w:rPr>
        <w:t xml:space="preserve">to achieve </w:t>
      </w:r>
      <w:r w:rsidR="00EF2BC2">
        <w:rPr>
          <w:b/>
        </w:rPr>
        <w:t xml:space="preserve">a </w:t>
      </w:r>
      <w:r w:rsidR="004C78E1">
        <w:rPr>
          <w:b/>
        </w:rPr>
        <w:t>more efficient use of limited resources</w:t>
      </w:r>
      <w:r w:rsidR="00145843" w:rsidRPr="00D92281">
        <w:rPr>
          <w:b/>
        </w:rPr>
        <w:t>.</w:t>
      </w:r>
      <w:r w:rsidR="00ED64BA" w:rsidRPr="00D92281">
        <w:rPr>
          <w:b/>
        </w:rPr>
        <w:t xml:space="preserve"> The Committee refers the State party to its general comment No. 10 (1998) on the role of national human rights institutions in the protection of economic, social and cultural rights.</w:t>
      </w:r>
    </w:p>
    <w:p w:rsidR="00E41404" w:rsidRPr="000B57E4" w:rsidRDefault="00F4662D" w:rsidP="000B57E4">
      <w:pPr>
        <w:pStyle w:val="H23G"/>
      </w:pPr>
      <w:r w:rsidRPr="000B57E4">
        <w:tab/>
      </w:r>
      <w:r w:rsidRPr="000B57E4">
        <w:tab/>
      </w:r>
      <w:r w:rsidR="00E51086" w:rsidRPr="000B57E4">
        <w:t>Rights of land users</w:t>
      </w:r>
    </w:p>
    <w:p w:rsidR="00E41404" w:rsidRPr="000B57E4" w:rsidRDefault="003A1DAD" w:rsidP="003A1DAD">
      <w:pPr>
        <w:pStyle w:val="SingleTxtG"/>
      </w:pPr>
      <w:r>
        <w:t>11.</w:t>
      </w:r>
      <w:r>
        <w:tab/>
      </w:r>
      <w:r w:rsidR="00E41404" w:rsidRPr="000B57E4">
        <w:t xml:space="preserve">The Committee is alarmed by the </w:t>
      </w:r>
      <w:r w:rsidR="006C3036">
        <w:t xml:space="preserve">negative </w:t>
      </w:r>
      <w:r w:rsidR="00E41404" w:rsidRPr="000B57E4">
        <w:t xml:space="preserve">impact </w:t>
      </w:r>
      <w:r w:rsidR="006C3036" w:rsidRPr="000B57E4">
        <w:t>on the rights of land users, particularly small-scale farmers and agropastoralists</w:t>
      </w:r>
      <w:r w:rsidR="006C3036">
        <w:t xml:space="preserve">, of </w:t>
      </w:r>
      <w:r w:rsidR="004C78E1" w:rsidRPr="000B57E4">
        <w:t>development projects such as the construction of dams</w:t>
      </w:r>
      <w:r w:rsidR="004C78E1">
        <w:t xml:space="preserve"> and </w:t>
      </w:r>
      <w:r w:rsidR="00E41404" w:rsidRPr="000B57E4">
        <w:t>large-scale leas</w:t>
      </w:r>
      <w:r w:rsidR="003A0D94">
        <w:t>ing</w:t>
      </w:r>
      <w:r w:rsidR="00E41404" w:rsidRPr="000B57E4">
        <w:t xml:space="preserve"> of farmland in the country to local or foreign investors</w:t>
      </w:r>
      <w:r w:rsidR="003A0D94">
        <w:t>,</w:t>
      </w:r>
      <w:r w:rsidR="006C3036">
        <w:t xml:space="preserve"> facilitated by the Land Confiscation Law</w:t>
      </w:r>
      <w:r w:rsidR="00A91C78">
        <w:t xml:space="preserve"> (1930)</w:t>
      </w:r>
      <w:r w:rsidR="006C3036">
        <w:t xml:space="preserve">, </w:t>
      </w:r>
      <w:r w:rsidR="00E41404" w:rsidRPr="000B57E4">
        <w:t>the Unregistered Land Act (1970)</w:t>
      </w:r>
      <w:r w:rsidR="006C3036">
        <w:t>,</w:t>
      </w:r>
      <w:r w:rsidR="00E41404" w:rsidRPr="000B57E4">
        <w:t xml:space="preserve"> the Land Allocation Act (1990) </w:t>
      </w:r>
      <w:r w:rsidR="006C3036">
        <w:t>and</w:t>
      </w:r>
      <w:r w:rsidR="00E41404" w:rsidRPr="000B57E4">
        <w:t xml:space="preserve"> the National Investment </w:t>
      </w:r>
      <w:r w:rsidR="000577AF">
        <w:t>Encouragement</w:t>
      </w:r>
      <w:r w:rsidR="000577AF" w:rsidRPr="000B57E4">
        <w:t xml:space="preserve"> </w:t>
      </w:r>
      <w:r w:rsidR="00E41404" w:rsidRPr="000B57E4">
        <w:t>Act</w:t>
      </w:r>
      <w:r w:rsidR="000577AF">
        <w:t xml:space="preserve"> (2013)</w:t>
      </w:r>
      <w:r w:rsidR="004C78E1">
        <w:t xml:space="preserve">. </w:t>
      </w:r>
      <w:r w:rsidR="00E41404" w:rsidRPr="000B57E4">
        <w:t>(art</w:t>
      </w:r>
      <w:r w:rsidR="00D12890" w:rsidRPr="000B57E4">
        <w:t>s</w:t>
      </w:r>
      <w:r w:rsidR="00E41404" w:rsidRPr="000B57E4">
        <w:t>. 1</w:t>
      </w:r>
      <w:r w:rsidR="003A0D94">
        <w:t xml:space="preserve"> and</w:t>
      </w:r>
      <w:r w:rsidR="00D12890" w:rsidRPr="000B57E4">
        <w:t xml:space="preserve"> 11</w:t>
      </w:r>
      <w:r w:rsidR="00E41404" w:rsidRPr="000B57E4">
        <w:t>)</w:t>
      </w:r>
    </w:p>
    <w:p w:rsidR="00F718C0" w:rsidRPr="00D92281" w:rsidRDefault="003A1DAD" w:rsidP="003A1DAD">
      <w:pPr>
        <w:pStyle w:val="SingleTxtG"/>
        <w:rPr>
          <w:b/>
        </w:rPr>
      </w:pPr>
      <w:r w:rsidRPr="003A1DAD">
        <w:rPr>
          <w:bCs/>
        </w:rPr>
        <w:t>12.</w:t>
      </w:r>
      <w:r w:rsidRPr="003A1DAD">
        <w:rPr>
          <w:bCs/>
        </w:rPr>
        <w:tab/>
      </w:r>
      <w:r w:rsidR="00E41404" w:rsidRPr="00D92281">
        <w:rPr>
          <w:b/>
        </w:rPr>
        <w:t xml:space="preserve">The Committee urges the State party </w:t>
      </w:r>
      <w:r w:rsidR="00F718C0" w:rsidRPr="00D92281">
        <w:rPr>
          <w:b/>
        </w:rPr>
        <w:t>to ensure that:</w:t>
      </w:r>
    </w:p>
    <w:p w:rsidR="00F718C0" w:rsidRPr="00D92281" w:rsidRDefault="00A124EA" w:rsidP="0070280B">
      <w:pPr>
        <w:pStyle w:val="SingleTxtG"/>
        <w:rPr>
          <w:b/>
        </w:rPr>
      </w:pPr>
      <w:r w:rsidRPr="000B57E4">
        <w:tab/>
        <w:t>(a)</w:t>
      </w:r>
      <w:r w:rsidRPr="000B57E4">
        <w:tab/>
      </w:r>
      <w:r w:rsidR="00E4087F">
        <w:rPr>
          <w:b/>
        </w:rPr>
        <w:t>Legislative</w:t>
      </w:r>
      <w:r w:rsidR="00E4087F" w:rsidRPr="00D92281">
        <w:rPr>
          <w:b/>
        </w:rPr>
        <w:t xml:space="preserve"> </w:t>
      </w:r>
      <w:r w:rsidR="00E41404" w:rsidRPr="00D92281">
        <w:rPr>
          <w:b/>
        </w:rPr>
        <w:t xml:space="preserve">provisions </w:t>
      </w:r>
      <w:r w:rsidR="00FD533A">
        <w:rPr>
          <w:b/>
        </w:rPr>
        <w:t>protecting</w:t>
      </w:r>
      <w:r w:rsidR="00E41404" w:rsidRPr="00D92281">
        <w:rPr>
          <w:b/>
        </w:rPr>
        <w:t xml:space="preserve"> security of tenure </w:t>
      </w:r>
      <w:r w:rsidR="00FD533A">
        <w:rPr>
          <w:b/>
        </w:rPr>
        <w:t>recognize</w:t>
      </w:r>
      <w:r w:rsidR="00FD533A" w:rsidRPr="00D92281">
        <w:rPr>
          <w:b/>
        </w:rPr>
        <w:t xml:space="preserve"> customary forms of tenure</w:t>
      </w:r>
      <w:r w:rsidR="00FD533A">
        <w:rPr>
          <w:b/>
        </w:rPr>
        <w:t xml:space="preserve"> and</w:t>
      </w:r>
      <w:r w:rsidR="004C78E1">
        <w:rPr>
          <w:b/>
        </w:rPr>
        <w:t xml:space="preserve"> </w:t>
      </w:r>
      <w:r w:rsidR="009539C8">
        <w:rPr>
          <w:b/>
        </w:rPr>
        <w:t>take account</w:t>
      </w:r>
      <w:r w:rsidR="00FD533A">
        <w:rPr>
          <w:b/>
        </w:rPr>
        <w:t xml:space="preserve"> of</w:t>
      </w:r>
      <w:r w:rsidR="00E41404" w:rsidRPr="00D92281">
        <w:rPr>
          <w:b/>
        </w:rPr>
        <w:t xml:space="preserve"> the Voluntary Guidelines on the </w:t>
      </w:r>
      <w:r w:rsidR="0070280B">
        <w:rPr>
          <w:b/>
        </w:rPr>
        <w:t>R</w:t>
      </w:r>
      <w:r w:rsidR="00E41404" w:rsidRPr="00D92281">
        <w:rPr>
          <w:b/>
        </w:rPr>
        <w:t xml:space="preserve">esponsible </w:t>
      </w:r>
      <w:r w:rsidR="0070280B">
        <w:rPr>
          <w:b/>
        </w:rPr>
        <w:t>G</w:t>
      </w:r>
      <w:r w:rsidR="00E41404" w:rsidRPr="00D92281">
        <w:rPr>
          <w:b/>
        </w:rPr>
        <w:t xml:space="preserve">overnance of </w:t>
      </w:r>
      <w:r w:rsidR="0070280B">
        <w:rPr>
          <w:b/>
        </w:rPr>
        <w:t>T</w:t>
      </w:r>
      <w:r w:rsidR="00E41404" w:rsidRPr="00D92281">
        <w:rPr>
          <w:b/>
        </w:rPr>
        <w:t xml:space="preserve">enure of </w:t>
      </w:r>
      <w:r w:rsidR="0070280B">
        <w:rPr>
          <w:b/>
        </w:rPr>
        <w:t>L</w:t>
      </w:r>
      <w:r w:rsidR="00E41404" w:rsidRPr="00D92281">
        <w:rPr>
          <w:b/>
        </w:rPr>
        <w:t xml:space="preserve">and, </w:t>
      </w:r>
      <w:r w:rsidR="0070280B">
        <w:rPr>
          <w:b/>
        </w:rPr>
        <w:t>F</w:t>
      </w:r>
      <w:r w:rsidR="00E41404" w:rsidRPr="00D92281">
        <w:rPr>
          <w:b/>
        </w:rPr>
        <w:t xml:space="preserve">isheries and </w:t>
      </w:r>
      <w:r w:rsidR="0070280B">
        <w:rPr>
          <w:b/>
        </w:rPr>
        <w:t>F</w:t>
      </w:r>
      <w:r w:rsidR="00E41404" w:rsidRPr="00D92281">
        <w:rPr>
          <w:b/>
        </w:rPr>
        <w:t>orests</w:t>
      </w:r>
      <w:r w:rsidR="0070280B">
        <w:rPr>
          <w:b/>
        </w:rPr>
        <w:t xml:space="preserve"> in the Context of National Food Security of 2012</w:t>
      </w:r>
      <w:r w:rsidR="004C78E1">
        <w:rPr>
          <w:b/>
        </w:rPr>
        <w:t>;</w:t>
      </w:r>
      <w:r w:rsidR="00E41404" w:rsidRPr="00D92281">
        <w:rPr>
          <w:b/>
        </w:rPr>
        <w:t xml:space="preserve"> </w:t>
      </w:r>
    </w:p>
    <w:p w:rsidR="00F718C0" w:rsidRPr="00D92281" w:rsidRDefault="00A124EA" w:rsidP="0070280B">
      <w:pPr>
        <w:pStyle w:val="SingleTxtG"/>
        <w:rPr>
          <w:b/>
        </w:rPr>
      </w:pPr>
      <w:r w:rsidRPr="000B57E4">
        <w:tab/>
        <w:t>(</w:t>
      </w:r>
      <w:r w:rsidR="000B57E4" w:rsidRPr="000B57E4">
        <w:t>b</w:t>
      </w:r>
      <w:r w:rsidRPr="000B57E4">
        <w:t>)</w:t>
      </w:r>
      <w:r w:rsidRPr="000B57E4">
        <w:tab/>
      </w:r>
      <w:r w:rsidR="00E4087F">
        <w:rPr>
          <w:b/>
        </w:rPr>
        <w:t xml:space="preserve">Legislative </w:t>
      </w:r>
      <w:r w:rsidR="00E41404" w:rsidRPr="00D92281">
        <w:rPr>
          <w:b/>
        </w:rPr>
        <w:t xml:space="preserve">provisions that allow for expropriation for the </w:t>
      </w:r>
      <w:r w:rsidR="00EE2474">
        <w:rPr>
          <w:b/>
        </w:rPr>
        <w:t>“</w:t>
      </w:r>
      <w:r w:rsidR="00E41404" w:rsidRPr="00D92281">
        <w:rPr>
          <w:b/>
        </w:rPr>
        <w:t>public good</w:t>
      </w:r>
      <w:r w:rsidR="00EE2474">
        <w:rPr>
          <w:b/>
        </w:rPr>
        <w:t>”</w:t>
      </w:r>
      <w:r w:rsidR="00E41404" w:rsidRPr="00D92281">
        <w:rPr>
          <w:b/>
        </w:rPr>
        <w:t xml:space="preserve"> or </w:t>
      </w:r>
      <w:r w:rsidR="009539C8">
        <w:rPr>
          <w:b/>
        </w:rPr>
        <w:t>on the ground that the land is</w:t>
      </w:r>
      <w:r w:rsidR="00E41404" w:rsidRPr="00D92281">
        <w:rPr>
          <w:b/>
        </w:rPr>
        <w:t xml:space="preserve"> declare</w:t>
      </w:r>
      <w:r w:rsidR="009539C8">
        <w:rPr>
          <w:b/>
        </w:rPr>
        <w:t>d</w:t>
      </w:r>
      <w:r w:rsidR="00E41404" w:rsidRPr="00D92281">
        <w:rPr>
          <w:b/>
        </w:rPr>
        <w:t xml:space="preserve"> as </w:t>
      </w:r>
      <w:r w:rsidR="00EE2474">
        <w:rPr>
          <w:b/>
        </w:rPr>
        <w:t>“</w:t>
      </w:r>
      <w:r w:rsidR="00E41404" w:rsidRPr="00D92281">
        <w:rPr>
          <w:b/>
        </w:rPr>
        <w:t>unused</w:t>
      </w:r>
      <w:r w:rsidR="00EE2474">
        <w:rPr>
          <w:b/>
        </w:rPr>
        <w:t>”</w:t>
      </w:r>
      <w:r w:rsidR="00E41404" w:rsidRPr="00D92281">
        <w:rPr>
          <w:b/>
        </w:rPr>
        <w:t xml:space="preserve"> are not abused nor relied upon </w:t>
      </w:r>
      <w:r w:rsidR="00047F08">
        <w:rPr>
          <w:b/>
        </w:rPr>
        <w:t xml:space="preserve">by the State party </w:t>
      </w:r>
      <w:r w:rsidR="00E41404" w:rsidRPr="00D92281">
        <w:rPr>
          <w:b/>
        </w:rPr>
        <w:t xml:space="preserve">to </w:t>
      </w:r>
      <w:r w:rsidR="0070280B">
        <w:rPr>
          <w:b/>
        </w:rPr>
        <w:t>supply</w:t>
      </w:r>
      <w:r w:rsidR="0070280B" w:rsidRPr="00D92281">
        <w:rPr>
          <w:b/>
        </w:rPr>
        <w:t xml:space="preserve"> </w:t>
      </w:r>
      <w:r w:rsidR="00E41404" w:rsidRPr="00D92281">
        <w:rPr>
          <w:b/>
        </w:rPr>
        <w:t xml:space="preserve">land to private investors, and that courts are empowered to </w:t>
      </w:r>
      <w:r w:rsidR="00047F08">
        <w:rPr>
          <w:b/>
        </w:rPr>
        <w:t>review the decisions taken in this regard</w:t>
      </w:r>
      <w:r w:rsidR="000B57E4" w:rsidRPr="00D92281">
        <w:rPr>
          <w:b/>
        </w:rPr>
        <w:t xml:space="preserve"> by the </w:t>
      </w:r>
      <w:r w:rsidR="002C5732">
        <w:rPr>
          <w:b/>
        </w:rPr>
        <w:t>e</w:t>
      </w:r>
      <w:r w:rsidR="000B57E4" w:rsidRPr="00D92281">
        <w:rPr>
          <w:b/>
        </w:rPr>
        <w:t>xecutive</w:t>
      </w:r>
      <w:r w:rsidR="002C5732">
        <w:rPr>
          <w:b/>
        </w:rPr>
        <w:t xml:space="preserve"> branch of the Government</w:t>
      </w:r>
      <w:r w:rsidR="000B57E4" w:rsidRPr="00D92281">
        <w:rPr>
          <w:b/>
        </w:rPr>
        <w:t>;</w:t>
      </w:r>
    </w:p>
    <w:p w:rsidR="00F718C0" w:rsidRPr="00D92281" w:rsidRDefault="00A124EA" w:rsidP="001879BF">
      <w:pPr>
        <w:pStyle w:val="SingleTxtG"/>
        <w:rPr>
          <w:b/>
        </w:rPr>
      </w:pPr>
      <w:r w:rsidRPr="000B57E4">
        <w:tab/>
        <w:t>(</w:t>
      </w:r>
      <w:r w:rsidR="000B57E4" w:rsidRPr="000B57E4">
        <w:t>c</w:t>
      </w:r>
      <w:r w:rsidRPr="000B57E4">
        <w:t>)</w:t>
      </w:r>
      <w:r w:rsidRPr="000B57E4">
        <w:tab/>
      </w:r>
      <w:r w:rsidR="00E4087F" w:rsidRPr="00D92281">
        <w:rPr>
          <w:b/>
        </w:rPr>
        <w:t xml:space="preserve">No </w:t>
      </w:r>
      <w:r w:rsidR="00E41404" w:rsidRPr="00D92281">
        <w:rPr>
          <w:b/>
        </w:rPr>
        <w:t>land shall be ceded to investors</w:t>
      </w:r>
      <w:r w:rsidR="00F22B41" w:rsidRPr="00D92281">
        <w:rPr>
          <w:b/>
        </w:rPr>
        <w:t xml:space="preserve"> or for development projects</w:t>
      </w:r>
      <w:r w:rsidR="00E41404" w:rsidRPr="00D92281">
        <w:rPr>
          <w:b/>
        </w:rPr>
        <w:t xml:space="preserve"> without </w:t>
      </w:r>
      <w:r w:rsidR="00E06D91">
        <w:rPr>
          <w:b/>
        </w:rPr>
        <w:t xml:space="preserve">first carrying out </w:t>
      </w:r>
      <w:r w:rsidR="00E41404" w:rsidRPr="00D92281">
        <w:rPr>
          <w:b/>
        </w:rPr>
        <w:t>a full human rights impact assessment and without</w:t>
      </w:r>
      <w:r w:rsidR="00E06D91">
        <w:rPr>
          <w:b/>
        </w:rPr>
        <w:t xml:space="preserve"> first</w:t>
      </w:r>
      <w:r w:rsidR="00E41404" w:rsidRPr="00D92281">
        <w:rPr>
          <w:b/>
        </w:rPr>
        <w:t xml:space="preserve"> seeking the free, prior and informed consent of the communities who depend on the land for their livelihoods</w:t>
      </w:r>
      <w:r w:rsidR="00F718C0" w:rsidRPr="00D92281">
        <w:rPr>
          <w:b/>
        </w:rPr>
        <w:t>;</w:t>
      </w:r>
    </w:p>
    <w:p w:rsidR="00E41404" w:rsidRPr="00D92281" w:rsidRDefault="00A124EA" w:rsidP="000B57E4">
      <w:pPr>
        <w:pStyle w:val="SingleTxtG"/>
        <w:rPr>
          <w:b/>
        </w:rPr>
      </w:pPr>
      <w:r w:rsidRPr="000B57E4">
        <w:tab/>
        <w:t>(</w:t>
      </w:r>
      <w:r w:rsidR="000B57E4" w:rsidRPr="000B57E4">
        <w:t>d</w:t>
      </w:r>
      <w:r w:rsidRPr="000B57E4">
        <w:t>)</w:t>
      </w:r>
      <w:r w:rsidRPr="000B57E4">
        <w:tab/>
      </w:r>
      <w:r w:rsidR="00E4087F" w:rsidRPr="00D92281">
        <w:rPr>
          <w:b/>
        </w:rPr>
        <w:t xml:space="preserve">Land </w:t>
      </w:r>
      <w:r w:rsidR="00F718C0" w:rsidRPr="00D92281">
        <w:rPr>
          <w:b/>
        </w:rPr>
        <w:t xml:space="preserve">users who consider that their rights have been </w:t>
      </w:r>
      <w:r w:rsidR="00D55288">
        <w:rPr>
          <w:b/>
        </w:rPr>
        <w:t>violated</w:t>
      </w:r>
      <w:r w:rsidR="00D55288" w:rsidRPr="00D92281">
        <w:rPr>
          <w:b/>
        </w:rPr>
        <w:t xml:space="preserve"> </w:t>
      </w:r>
      <w:r w:rsidR="00F718C0" w:rsidRPr="00D92281">
        <w:rPr>
          <w:b/>
        </w:rPr>
        <w:t>have access to redress.</w:t>
      </w:r>
    </w:p>
    <w:p w:rsidR="00E41404" w:rsidRPr="000B57E4" w:rsidRDefault="00E41404" w:rsidP="000B57E4">
      <w:pPr>
        <w:pStyle w:val="H23G"/>
      </w:pPr>
      <w:r w:rsidRPr="000B57E4">
        <w:tab/>
      </w:r>
      <w:r w:rsidRPr="000B57E4">
        <w:tab/>
      </w:r>
      <w:r w:rsidR="00E51086" w:rsidRPr="000B57E4">
        <w:t>I</w:t>
      </w:r>
      <w:r w:rsidRPr="000B57E4">
        <w:t>nvestment regime</w:t>
      </w:r>
    </w:p>
    <w:p w:rsidR="00E41404" w:rsidRPr="000B57E4" w:rsidRDefault="003A1DAD" w:rsidP="003A1DAD">
      <w:pPr>
        <w:pStyle w:val="SingleTxtG"/>
      </w:pPr>
      <w:r>
        <w:t>13.</w:t>
      </w:r>
      <w:r>
        <w:tab/>
      </w:r>
      <w:r w:rsidR="00E41404" w:rsidRPr="000B57E4">
        <w:t>The Committee expresses serious concern that</w:t>
      </w:r>
      <w:r w:rsidR="00FD533A">
        <w:t xml:space="preserve"> the provisions of article 4 of</w:t>
      </w:r>
      <w:r w:rsidR="00E41404" w:rsidRPr="000B57E4">
        <w:t xml:space="preserve"> the National Investment Encouragement Act</w:t>
      </w:r>
      <w:r w:rsidR="000577AF">
        <w:t xml:space="preserve"> (2013)</w:t>
      </w:r>
      <w:r w:rsidR="00E41404" w:rsidRPr="000B57E4">
        <w:t xml:space="preserve"> </w:t>
      </w:r>
      <w:r w:rsidR="00FD533A">
        <w:t xml:space="preserve">giving primacy to the Act </w:t>
      </w:r>
      <w:r w:rsidR="00E41404" w:rsidRPr="000B57E4">
        <w:t xml:space="preserve">over any other piece of domestic legislation </w:t>
      </w:r>
      <w:r w:rsidR="00DB05EC">
        <w:t xml:space="preserve">has a </w:t>
      </w:r>
      <w:r w:rsidR="00FD533A">
        <w:t>negative impact</w:t>
      </w:r>
      <w:r w:rsidR="00E06D91">
        <w:t xml:space="preserve"> on</w:t>
      </w:r>
      <w:r w:rsidR="00D55288" w:rsidRPr="000B57E4">
        <w:t xml:space="preserve"> </w:t>
      </w:r>
      <w:r w:rsidR="00E41404" w:rsidRPr="000B57E4">
        <w:t>the protection of</w:t>
      </w:r>
      <w:r w:rsidR="00DB05EC">
        <w:t xml:space="preserve"> the</w:t>
      </w:r>
      <w:r w:rsidR="00E41404" w:rsidRPr="000B57E4">
        <w:t xml:space="preserve"> economic, social and cultural rights afforded by other domestic laws of the State party. (art. 1)</w:t>
      </w:r>
    </w:p>
    <w:p w:rsidR="00E41404" w:rsidRPr="00D92281" w:rsidRDefault="003A1DAD" w:rsidP="003A1DAD">
      <w:pPr>
        <w:pStyle w:val="SingleTxtG"/>
        <w:rPr>
          <w:b/>
        </w:rPr>
      </w:pPr>
      <w:r w:rsidRPr="003A1DAD">
        <w:rPr>
          <w:bCs/>
        </w:rPr>
        <w:t>14.</w:t>
      </w:r>
      <w:r w:rsidRPr="003A1DAD">
        <w:rPr>
          <w:bCs/>
        </w:rPr>
        <w:tab/>
      </w:r>
      <w:r w:rsidR="00E41404" w:rsidRPr="00D92281">
        <w:rPr>
          <w:b/>
        </w:rPr>
        <w:t xml:space="preserve">The Committee recalls that the rights of investors should in no circumstance </w:t>
      </w:r>
      <w:r w:rsidR="00D55288">
        <w:rPr>
          <w:b/>
        </w:rPr>
        <w:t>undermine</w:t>
      </w:r>
      <w:r w:rsidR="00E41404" w:rsidRPr="00D92281">
        <w:rPr>
          <w:b/>
        </w:rPr>
        <w:t xml:space="preserve"> the State’s obligations </w:t>
      </w:r>
      <w:r w:rsidR="00D55288">
        <w:rPr>
          <w:b/>
        </w:rPr>
        <w:t>to</w:t>
      </w:r>
      <w:r w:rsidR="00E41404" w:rsidRPr="00D92281">
        <w:rPr>
          <w:b/>
        </w:rPr>
        <w:t xml:space="preserve"> pro</w:t>
      </w:r>
      <w:r w:rsidR="00D55288">
        <w:rPr>
          <w:b/>
        </w:rPr>
        <w:t>tect</w:t>
      </w:r>
      <w:r w:rsidR="00E41404" w:rsidRPr="00D92281">
        <w:rPr>
          <w:b/>
        </w:rPr>
        <w:t xml:space="preserve">, respect and fulfil the Covenant rights. In this regard, the Committee </w:t>
      </w:r>
      <w:r w:rsidR="001F34F7" w:rsidRPr="00D92281">
        <w:rPr>
          <w:b/>
        </w:rPr>
        <w:t>recommends that</w:t>
      </w:r>
      <w:r w:rsidR="00E41404" w:rsidRPr="00D92281">
        <w:rPr>
          <w:b/>
        </w:rPr>
        <w:t xml:space="preserve"> the State party ensure effective protection of </w:t>
      </w:r>
      <w:r w:rsidR="00DB05EC">
        <w:rPr>
          <w:b/>
        </w:rPr>
        <w:t xml:space="preserve">the </w:t>
      </w:r>
      <w:r w:rsidR="00E41404" w:rsidRPr="00D92281">
        <w:rPr>
          <w:b/>
        </w:rPr>
        <w:t>rights</w:t>
      </w:r>
      <w:r w:rsidR="00DB05EC">
        <w:rPr>
          <w:b/>
        </w:rPr>
        <w:t xml:space="preserve"> </w:t>
      </w:r>
      <w:r w:rsidR="00E41404" w:rsidRPr="00D92281">
        <w:rPr>
          <w:b/>
        </w:rPr>
        <w:t>holders</w:t>
      </w:r>
      <w:r w:rsidR="00DB05EC">
        <w:rPr>
          <w:b/>
        </w:rPr>
        <w:t xml:space="preserve"> </w:t>
      </w:r>
      <w:r w:rsidR="00DB05EC" w:rsidRPr="00D92281">
        <w:rPr>
          <w:b/>
        </w:rPr>
        <w:t>concerned</w:t>
      </w:r>
      <w:r w:rsidR="00E41404" w:rsidRPr="00D92281">
        <w:rPr>
          <w:b/>
        </w:rPr>
        <w:t xml:space="preserve">, such as </w:t>
      </w:r>
      <w:r w:rsidR="00D55288">
        <w:rPr>
          <w:b/>
        </w:rPr>
        <w:t>workers</w:t>
      </w:r>
      <w:r w:rsidR="00E41404" w:rsidRPr="00D92281">
        <w:rPr>
          <w:b/>
        </w:rPr>
        <w:t xml:space="preserve">, trade unions members and </w:t>
      </w:r>
      <w:r w:rsidR="00DB05EC">
        <w:rPr>
          <w:b/>
        </w:rPr>
        <w:t xml:space="preserve">members of </w:t>
      </w:r>
      <w:r w:rsidR="00E41404" w:rsidRPr="00D92281">
        <w:rPr>
          <w:b/>
        </w:rPr>
        <w:t>local communities</w:t>
      </w:r>
      <w:r w:rsidR="00DB05EC">
        <w:rPr>
          <w:b/>
        </w:rPr>
        <w:t>,</w:t>
      </w:r>
      <w:r w:rsidR="00E41404" w:rsidRPr="00D92281">
        <w:rPr>
          <w:b/>
        </w:rPr>
        <w:t xml:space="preserve"> in</w:t>
      </w:r>
      <w:r w:rsidR="004C78E1">
        <w:rPr>
          <w:b/>
        </w:rPr>
        <w:t xml:space="preserve"> its</w:t>
      </w:r>
      <w:r w:rsidR="00E41404" w:rsidRPr="00D92281">
        <w:rPr>
          <w:b/>
        </w:rPr>
        <w:t xml:space="preserve"> investment </w:t>
      </w:r>
      <w:r w:rsidR="009539C8">
        <w:rPr>
          <w:b/>
        </w:rPr>
        <w:t>regime</w:t>
      </w:r>
      <w:r w:rsidR="00E41404" w:rsidRPr="00D92281">
        <w:rPr>
          <w:b/>
        </w:rPr>
        <w:t>.</w:t>
      </w:r>
    </w:p>
    <w:p w:rsidR="00145843" w:rsidRPr="000B57E4" w:rsidRDefault="00E41404" w:rsidP="000B57E4">
      <w:pPr>
        <w:pStyle w:val="H23G"/>
      </w:pPr>
      <w:r w:rsidRPr="000B57E4">
        <w:tab/>
      </w:r>
      <w:r w:rsidRPr="000B57E4">
        <w:tab/>
      </w:r>
      <w:r w:rsidR="00FA00D2" w:rsidRPr="000B57E4">
        <w:t>Maximum available resources</w:t>
      </w:r>
    </w:p>
    <w:p w:rsidR="00FA00D2" w:rsidRPr="000B57E4" w:rsidRDefault="003A1DAD" w:rsidP="003A1DAD">
      <w:pPr>
        <w:pStyle w:val="SingleTxtG"/>
      </w:pPr>
      <w:r>
        <w:t>15.</w:t>
      </w:r>
      <w:r>
        <w:tab/>
      </w:r>
      <w:r w:rsidR="00FA00D2" w:rsidRPr="000B57E4">
        <w:t>The Committee is concerned that significant revenue</w:t>
      </w:r>
      <w:r w:rsidR="00E06D91">
        <w:t xml:space="preserve"> gained</w:t>
      </w:r>
      <w:r w:rsidR="00FA00D2" w:rsidRPr="000B57E4">
        <w:t xml:space="preserve"> from the exploitation of natural resources prior to the secession of part of the country ha</w:t>
      </w:r>
      <w:r w:rsidR="00E06D91">
        <w:t>s</w:t>
      </w:r>
      <w:r w:rsidR="00FA00D2" w:rsidRPr="000B57E4">
        <w:t xml:space="preserve"> not led to tangible progress in the realization of economic, social and cultural rights </w:t>
      </w:r>
      <w:r w:rsidR="00140E7E">
        <w:t xml:space="preserve">for most </w:t>
      </w:r>
      <w:r w:rsidR="007D77B5">
        <w:t>persons living in the</w:t>
      </w:r>
      <w:r w:rsidR="00FA00D2" w:rsidRPr="000B57E4">
        <w:t xml:space="preserve"> State party. </w:t>
      </w:r>
      <w:r w:rsidR="00224E28" w:rsidRPr="000B57E4">
        <w:t>The Co</w:t>
      </w:r>
      <w:r w:rsidR="00E41404" w:rsidRPr="000B57E4">
        <w:t>mmittee is also concerned at</w:t>
      </w:r>
      <w:r w:rsidR="00DB31DE" w:rsidRPr="000B57E4">
        <w:t xml:space="preserve"> the</w:t>
      </w:r>
      <w:r w:rsidR="00E41404" w:rsidRPr="000B57E4">
        <w:t xml:space="preserve"> poor </w:t>
      </w:r>
      <w:r w:rsidR="00224E28" w:rsidRPr="000B57E4">
        <w:t>management of public resources</w:t>
      </w:r>
      <w:r w:rsidR="00DB31DE" w:rsidRPr="000B57E4">
        <w:t xml:space="preserve"> and</w:t>
      </w:r>
      <w:r w:rsidR="00FD48E7" w:rsidRPr="000B57E4">
        <w:t xml:space="preserve"> </w:t>
      </w:r>
      <w:r w:rsidR="00224E28" w:rsidRPr="000B57E4">
        <w:t>corruption in the State party</w:t>
      </w:r>
      <w:r w:rsidR="00FD48E7" w:rsidRPr="000B57E4">
        <w:t xml:space="preserve"> </w:t>
      </w:r>
      <w:r w:rsidR="00DB05EC">
        <w:t>and</w:t>
      </w:r>
      <w:r w:rsidR="00FD48E7" w:rsidRPr="000B57E4">
        <w:t xml:space="preserve"> at </w:t>
      </w:r>
      <w:r w:rsidR="00D55288">
        <w:t>considerable</w:t>
      </w:r>
      <w:r w:rsidR="00D55288" w:rsidRPr="000B57E4">
        <w:t xml:space="preserve"> </w:t>
      </w:r>
      <w:r w:rsidR="00FD48E7" w:rsidRPr="000B57E4">
        <w:t>security and military expenditure</w:t>
      </w:r>
      <w:r w:rsidR="00DB31DE" w:rsidRPr="000B57E4">
        <w:t>s</w:t>
      </w:r>
      <w:r w:rsidR="00224E28" w:rsidRPr="000B57E4">
        <w:t xml:space="preserve"> </w:t>
      </w:r>
      <w:r w:rsidR="001A5543" w:rsidRPr="000B57E4">
        <w:t>diverting</w:t>
      </w:r>
      <w:r w:rsidR="00224E28" w:rsidRPr="000B57E4">
        <w:t xml:space="preserve"> funds away from </w:t>
      </w:r>
      <w:r w:rsidR="00FA00D2" w:rsidRPr="000B57E4">
        <w:t>sectors</w:t>
      </w:r>
      <w:r w:rsidR="00224E28" w:rsidRPr="000B57E4">
        <w:t xml:space="preserve"> such as education, health and social protection, which</w:t>
      </w:r>
      <w:r w:rsidR="00FA00D2" w:rsidRPr="000B57E4">
        <w:t xml:space="preserve"> </w:t>
      </w:r>
      <w:r w:rsidR="00224E28" w:rsidRPr="000B57E4">
        <w:t xml:space="preserve">receive only </w:t>
      </w:r>
      <w:r w:rsidR="00FA00D2" w:rsidRPr="000B57E4">
        <w:t>marginal</w:t>
      </w:r>
      <w:r w:rsidR="00224E28" w:rsidRPr="000B57E4">
        <w:t xml:space="preserve"> allocation</w:t>
      </w:r>
      <w:r w:rsidR="00FD48E7" w:rsidRPr="000B57E4">
        <w:t>s</w:t>
      </w:r>
      <w:r w:rsidR="00224E28" w:rsidRPr="000B57E4">
        <w:t xml:space="preserve"> from the State budget</w:t>
      </w:r>
      <w:r w:rsidR="00FA00D2" w:rsidRPr="000B57E4">
        <w:t>.</w:t>
      </w:r>
      <w:r w:rsidR="00CB08A6" w:rsidRPr="000B57E4">
        <w:t xml:space="preserve"> </w:t>
      </w:r>
      <w:r w:rsidR="009F6191" w:rsidRPr="000B57E4">
        <w:t>(art. 2)</w:t>
      </w:r>
    </w:p>
    <w:p w:rsidR="00CB08A6" w:rsidRPr="000B57E4" w:rsidRDefault="003A1DAD" w:rsidP="003A1DAD">
      <w:pPr>
        <w:pStyle w:val="SingleTxtG"/>
        <w:keepNext/>
      </w:pPr>
      <w:r w:rsidRPr="003A1DAD">
        <w:rPr>
          <w:bCs/>
        </w:rPr>
        <w:t>16.</w:t>
      </w:r>
      <w:r w:rsidRPr="003A1DAD">
        <w:rPr>
          <w:bCs/>
        </w:rPr>
        <w:tab/>
      </w:r>
      <w:r w:rsidR="00FA00D2" w:rsidRPr="00D92281">
        <w:rPr>
          <w:b/>
        </w:rPr>
        <w:t>The</w:t>
      </w:r>
      <w:r w:rsidR="00A64E4F" w:rsidRPr="00D92281">
        <w:rPr>
          <w:b/>
        </w:rPr>
        <w:t xml:space="preserve"> </w:t>
      </w:r>
      <w:r w:rsidR="00FA00D2" w:rsidRPr="00D92281">
        <w:rPr>
          <w:b/>
        </w:rPr>
        <w:t>Committee urges the State party</w:t>
      </w:r>
      <w:r w:rsidR="00224E28" w:rsidRPr="00D92281">
        <w:rPr>
          <w:b/>
        </w:rPr>
        <w:t xml:space="preserve"> </w:t>
      </w:r>
      <w:r w:rsidR="00FD48E7" w:rsidRPr="00D92281">
        <w:rPr>
          <w:b/>
        </w:rPr>
        <w:t>to:</w:t>
      </w:r>
    </w:p>
    <w:p w:rsidR="00CB08A6" w:rsidRPr="000B57E4" w:rsidRDefault="00A124EA" w:rsidP="000B57E4">
      <w:pPr>
        <w:pStyle w:val="SingleTxtG"/>
      </w:pPr>
      <w:r w:rsidRPr="000B57E4">
        <w:tab/>
        <w:t>(a)</w:t>
      </w:r>
      <w:r w:rsidRPr="000B57E4">
        <w:tab/>
      </w:r>
      <w:r w:rsidR="00E4087F" w:rsidRPr="00D92281">
        <w:rPr>
          <w:b/>
        </w:rPr>
        <w:t xml:space="preserve">Improve </w:t>
      </w:r>
      <w:r w:rsidR="000A2AAB" w:rsidRPr="00D92281">
        <w:rPr>
          <w:b/>
        </w:rPr>
        <w:t>public governance and ensure transparency, in law and in practice, in the conduct of public affairs</w:t>
      </w:r>
      <w:r w:rsidR="00425D75" w:rsidRPr="00D92281">
        <w:rPr>
          <w:b/>
        </w:rPr>
        <w:t>, including in the</w:t>
      </w:r>
      <w:r w:rsidR="00A77289" w:rsidRPr="00D92281">
        <w:rPr>
          <w:b/>
        </w:rPr>
        <w:t xml:space="preserve"> administration of humanitarian and development aid, </w:t>
      </w:r>
      <w:r w:rsidR="004C78E1">
        <w:rPr>
          <w:b/>
        </w:rPr>
        <w:t xml:space="preserve">and </w:t>
      </w:r>
      <w:r w:rsidR="00A77289" w:rsidRPr="00D92281">
        <w:rPr>
          <w:b/>
        </w:rPr>
        <w:t>the</w:t>
      </w:r>
      <w:r w:rsidR="00425D75" w:rsidRPr="00D92281">
        <w:rPr>
          <w:b/>
        </w:rPr>
        <w:t xml:space="preserve"> granting of natural resources exploitation licen</w:t>
      </w:r>
      <w:r w:rsidR="00DB05EC">
        <w:rPr>
          <w:b/>
        </w:rPr>
        <w:t>c</w:t>
      </w:r>
      <w:r w:rsidR="00425D75" w:rsidRPr="00D92281">
        <w:rPr>
          <w:b/>
        </w:rPr>
        <w:t>es and the management of revenues</w:t>
      </w:r>
      <w:r w:rsidR="00A77289" w:rsidRPr="00D92281">
        <w:rPr>
          <w:b/>
        </w:rPr>
        <w:t xml:space="preserve"> therefrom</w:t>
      </w:r>
      <w:r w:rsidR="00CB08A6" w:rsidRPr="00D92281">
        <w:rPr>
          <w:b/>
        </w:rPr>
        <w:t>;</w:t>
      </w:r>
    </w:p>
    <w:p w:rsidR="00FA00D2" w:rsidRPr="000B57E4" w:rsidRDefault="00A124EA" w:rsidP="000B57E4">
      <w:pPr>
        <w:pStyle w:val="SingleTxtG"/>
      </w:pPr>
      <w:r w:rsidRPr="000B57E4">
        <w:tab/>
        <w:t>(</w:t>
      </w:r>
      <w:r w:rsidR="000B57E4" w:rsidRPr="000B57E4">
        <w:t>b</w:t>
      </w:r>
      <w:r w:rsidRPr="000B57E4">
        <w:t>)</w:t>
      </w:r>
      <w:r w:rsidRPr="000B57E4">
        <w:tab/>
      </w:r>
      <w:r w:rsidR="00E4087F" w:rsidRPr="00D92281">
        <w:rPr>
          <w:b/>
        </w:rPr>
        <w:t xml:space="preserve">Combat </w:t>
      </w:r>
      <w:r w:rsidR="001A5543" w:rsidRPr="00D92281">
        <w:rPr>
          <w:b/>
        </w:rPr>
        <w:t>corruption and related impunity effectively, including by protecting whistle-blowers</w:t>
      </w:r>
      <w:r w:rsidR="00B707E4" w:rsidRPr="00D92281">
        <w:rPr>
          <w:b/>
        </w:rPr>
        <w:t>,</w:t>
      </w:r>
      <w:r w:rsidR="001A5543" w:rsidRPr="00D92281">
        <w:rPr>
          <w:b/>
        </w:rPr>
        <w:t xml:space="preserve"> strengthening the independence of anti-corruption institutions</w:t>
      </w:r>
      <w:r w:rsidR="00CB08A6" w:rsidRPr="00D92281">
        <w:rPr>
          <w:b/>
        </w:rPr>
        <w:t xml:space="preserve"> and</w:t>
      </w:r>
      <w:r w:rsidR="001A5543" w:rsidRPr="00D92281">
        <w:rPr>
          <w:b/>
        </w:rPr>
        <w:t xml:space="preserve"> </w:t>
      </w:r>
      <w:r w:rsidR="00B707E4" w:rsidRPr="00D92281">
        <w:rPr>
          <w:b/>
        </w:rPr>
        <w:t>putting in place safe mechanisms at the national and local levels for submitting complaints and reporting irregularities</w:t>
      </w:r>
      <w:r w:rsidR="00CB08A6" w:rsidRPr="00D92281">
        <w:rPr>
          <w:b/>
        </w:rPr>
        <w:t>;</w:t>
      </w:r>
    </w:p>
    <w:p w:rsidR="00FD48E7" w:rsidRPr="000B57E4" w:rsidRDefault="00A124EA" w:rsidP="00DB05EC">
      <w:pPr>
        <w:pStyle w:val="SingleTxtG"/>
      </w:pPr>
      <w:r w:rsidRPr="000B57E4">
        <w:tab/>
        <w:t>(</w:t>
      </w:r>
      <w:r w:rsidR="000B57E4" w:rsidRPr="000B57E4">
        <w:t>c</w:t>
      </w:r>
      <w:r w:rsidRPr="000B57E4">
        <w:t>)</w:t>
      </w:r>
      <w:r w:rsidRPr="000B57E4">
        <w:tab/>
      </w:r>
      <w:r w:rsidR="00E4087F" w:rsidRPr="00D92281">
        <w:rPr>
          <w:b/>
        </w:rPr>
        <w:t xml:space="preserve">Invest </w:t>
      </w:r>
      <w:r w:rsidR="00FD48E7" w:rsidRPr="00D92281">
        <w:rPr>
          <w:b/>
        </w:rPr>
        <w:t>every effort, including through the national reconciliation process, to seek a sustainable settlement of the conflicts in the State party</w:t>
      </w:r>
      <w:r w:rsidR="00DB05EC">
        <w:rPr>
          <w:b/>
        </w:rPr>
        <w:t>,</w:t>
      </w:r>
      <w:r w:rsidR="00FD48E7" w:rsidRPr="00D92281">
        <w:rPr>
          <w:b/>
        </w:rPr>
        <w:t xml:space="preserve"> reduce security and military spending and allocate more resources to the reconstruction of conflict-affected areas;</w:t>
      </w:r>
      <w:r w:rsidR="0084515C" w:rsidRPr="00D92281">
        <w:rPr>
          <w:b/>
        </w:rPr>
        <w:t xml:space="preserve"> </w:t>
      </w:r>
    </w:p>
    <w:p w:rsidR="00CB08A6" w:rsidRPr="000B57E4" w:rsidRDefault="00A124EA" w:rsidP="000B57E4">
      <w:pPr>
        <w:pStyle w:val="SingleTxtG"/>
      </w:pPr>
      <w:r w:rsidRPr="000B57E4">
        <w:tab/>
        <w:t>(</w:t>
      </w:r>
      <w:r w:rsidR="000B57E4" w:rsidRPr="000B57E4">
        <w:t>d</w:t>
      </w:r>
      <w:r w:rsidRPr="000B57E4">
        <w:t>)</w:t>
      </w:r>
      <w:r w:rsidRPr="000B57E4">
        <w:tab/>
      </w:r>
      <w:r w:rsidR="00E4087F" w:rsidRPr="00D92281">
        <w:rPr>
          <w:b/>
        </w:rPr>
        <w:t xml:space="preserve">Increase </w:t>
      </w:r>
      <w:r w:rsidR="00FD48E7" w:rsidRPr="00D92281">
        <w:rPr>
          <w:b/>
        </w:rPr>
        <w:t>public social investments</w:t>
      </w:r>
      <w:r w:rsidR="00A5087A" w:rsidRPr="00D92281">
        <w:rPr>
          <w:b/>
        </w:rPr>
        <w:t xml:space="preserve"> to address the concerns contained </w:t>
      </w:r>
      <w:r w:rsidR="002A0555" w:rsidRPr="00D92281">
        <w:rPr>
          <w:b/>
        </w:rPr>
        <w:t>herein</w:t>
      </w:r>
      <w:r w:rsidR="00081834">
        <w:rPr>
          <w:b/>
        </w:rPr>
        <w:t xml:space="preserve"> related to the limited enjoyment of economic, social and cultural rights</w:t>
      </w:r>
      <w:r w:rsidR="00FD48E7" w:rsidRPr="00D92281">
        <w:rPr>
          <w:b/>
        </w:rPr>
        <w:t>.</w:t>
      </w:r>
    </w:p>
    <w:p w:rsidR="00F10DCA" w:rsidRPr="000B57E4" w:rsidRDefault="0075096D" w:rsidP="000B57E4">
      <w:pPr>
        <w:pStyle w:val="H23G"/>
      </w:pPr>
      <w:r w:rsidRPr="000B57E4">
        <w:tab/>
      </w:r>
      <w:r w:rsidRPr="000B57E4">
        <w:tab/>
      </w:r>
      <w:r w:rsidR="00F10DCA" w:rsidRPr="000B57E4">
        <w:t>Austerity measures</w:t>
      </w:r>
    </w:p>
    <w:p w:rsidR="00E72A51" w:rsidRPr="000B57E4" w:rsidRDefault="003A1DAD" w:rsidP="003A1DAD">
      <w:pPr>
        <w:pStyle w:val="SingleTxtG"/>
      </w:pPr>
      <w:r>
        <w:t>17.</w:t>
      </w:r>
      <w:r>
        <w:tab/>
      </w:r>
      <w:r w:rsidR="009B77C3" w:rsidRPr="000B57E4">
        <w:t xml:space="preserve">While noting the need for </w:t>
      </w:r>
      <w:r w:rsidR="00310C1B" w:rsidRPr="000B57E4">
        <w:t xml:space="preserve">fiscal </w:t>
      </w:r>
      <w:r w:rsidR="009B77C3" w:rsidRPr="000B57E4">
        <w:t xml:space="preserve">adjustments </w:t>
      </w:r>
      <w:r w:rsidR="00EC67D7" w:rsidRPr="000B57E4">
        <w:t>subsequent to</w:t>
      </w:r>
      <w:r w:rsidR="009B77C3" w:rsidRPr="000B57E4">
        <w:t xml:space="preserve"> the loss of an important share of the State party’s </w:t>
      </w:r>
      <w:r w:rsidR="00100F46" w:rsidRPr="000B57E4">
        <w:t xml:space="preserve">budget </w:t>
      </w:r>
      <w:r w:rsidR="00EC67D7" w:rsidRPr="000B57E4">
        <w:t>revenue</w:t>
      </w:r>
      <w:r w:rsidR="009B77C3" w:rsidRPr="000B57E4">
        <w:t xml:space="preserve">, the Committee is concerned </w:t>
      </w:r>
      <w:r w:rsidR="001E5473" w:rsidRPr="000B57E4">
        <w:t>that</w:t>
      </w:r>
      <w:r w:rsidR="00EC67D7" w:rsidRPr="000B57E4">
        <w:t xml:space="preserve"> measures taken to mitigate the effect of</w:t>
      </w:r>
      <w:r w:rsidR="009B77C3" w:rsidRPr="000B57E4">
        <w:t xml:space="preserve"> </w:t>
      </w:r>
      <w:r w:rsidR="00E51086" w:rsidRPr="000B57E4">
        <w:t xml:space="preserve">the </w:t>
      </w:r>
      <w:r w:rsidR="009B77C3" w:rsidRPr="000B57E4">
        <w:t xml:space="preserve">austerity </w:t>
      </w:r>
      <w:r w:rsidR="00100F46" w:rsidRPr="000B57E4">
        <w:t>programme</w:t>
      </w:r>
      <w:r w:rsidR="009B77C3" w:rsidRPr="000B57E4">
        <w:t xml:space="preserve"> </w:t>
      </w:r>
      <w:r w:rsidR="00E72A51" w:rsidRPr="000B57E4">
        <w:t xml:space="preserve">have </w:t>
      </w:r>
      <w:r w:rsidR="006B0C88">
        <w:t xml:space="preserve">further </w:t>
      </w:r>
      <w:r w:rsidR="00792DC9">
        <w:t>corroded</w:t>
      </w:r>
      <w:r w:rsidR="00792DC9" w:rsidRPr="000B57E4">
        <w:t xml:space="preserve"> </w:t>
      </w:r>
      <w:r w:rsidR="00B23C5F">
        <w:t xml:space="preserve">the </w:t>
      </w:r>
      <w:r w:rsidR="00E72A51" w:rsidRPr="000B57E4">
        <w:t>enjoyment of certain Covenant rights</w:t>
      </w:r>
      <w:r w:rsidR="00310C1B" w:rsidRPr="000B57E4">
        <w:t>, such as the right to food,</w:t>
      </w:r>
      <w:r w:rsidR="00E72A51" w:rsidRPr="000B57E4">
        <w:t xml:space="preserve"> </w:t>
      </w:r>
      <w:r w:rsidR="006B0C88">
        <w:t xml:space="preserve">especially </w:t>
      </w:r>
      <w:r w:rsidR="00E72A51" w:rsidRPr="000B57E4">
        <w:t>by the most margin</w:t>
      </w:r>
      <w:r w:rsidR="00EC67D7" w:rsidRPr="000B57E4">
        <w:t>alized and disadvantaged groups</w:t>
      </w:r>
      <w:r w:rsidR="00E72A51" w:rsidRPr="000B57E4">
        <w:t>.</w:t>
      </w:r>
      <w:r w:rsidR="002D6E00" w:rsidRPr="000B57E4">
        <w:t xml:space="preserve"> (</w:t>
      </w:r>
      <w:r w:rsidR="009F6191" w:rsidRPr="000B57E4">
        <w:t>art. 2</w:t>
      </w:r>
      <w:r w:rsidR="002D6E00" w:rsidRPr="000B57E4">
        <w:t>)</w:t>
      </w:r>
    </w:p>
    <w:p w:rsidR="00F10DCA" w:rsidRPr="000B57E4" w:rsidRDefault="003A1DAD" w:rsidP="003A1DAD">
      <w:pPr>
        <w:pStyle w:val="SingleTxtG"/>
        <w:rPr>
          <w:b/>
        </w:rPr>
      </w:pPr>
      <w:r w:rsidRPr="003A1DAD">
        <w:rPr>
          <w:bCs/>
        </w:rPr>
        <w:t>18.</w:t>
      </w:r>
      <w:r w:rsidRPr="003A1DAD">
        <w:rPr>
          <w:bCs/>
        </w:rPr>
        <w:tab/>
      </w:r>
      <w:r w:rsidR="00E72A51" w:rsidRPr="000B57E4">
        <w:rPr>
          <w:b/>
        </w:rPr>
        <w:t>Referring to the letter</w:t>
      </w:r>
      <w:r w:rsidR="00792DC9">
        <w:rPr>
          <w:b/>
        </w:rPr>
        <w:t xml:space="preserve"> dated 16 May 2012 addressed by the C</w:t>
      </w:r>
      <w:r w:rsidR="00E06D91">
        <w:rPr>
          <w:b/>
        </w:rPr>
        <w:t>hair</w:t>
      </w:r>
      <w:r w:rsidR="00792DC9">
        <w:rPr>
          <w:b/>
        </w:rPr>
        <w:t xml:space="preserve"> of the Committee</w:t>
      </w:r>
      <w:r w:rsidR="00E72A51" w:rsidRPr="000B57E4">
        <w:rPr>
          <w:b/>
        </w:rPr>
        <w:t xml:space="preserve"> </w:t>
      </w:r>
      <w:r w:rsidR="00792DC9">
        <w:rPr>
          <w:b/>
        </w:rPr>
        <w:t>to States parties</w:t>
      </w:r>
      <w:r w:rsidR="00E72A51" w:rsidRPr="000B57E4">
        <w:rPr>
          <w:b/>
        </w:rPr>
        <w:t xml:space="preserve"> on austerity measures, the Committee recalls that </w:t>
      </w:r>
      <w:r w:rsidR="00EC67D7" w:rsidRPr="000B57E4">
        <w:rPr>
          <w:b/>
        </w:rPr>
        <w:t>policy reforms</w:t>
      </w:r>
      <w:r w:rsidR="00E72A51" w:rsidRPr="000B57E4">
        <w:rPr>
          <w:b/>
        </w:rPr>
        <w:t xml:space="preserve"> should </w:t>
      </w:r>
      <w:r w:rsidR="00310C1B" w:rsidRPr="000B57E4">
        <w:rPr>
          <w:b/>
        </w:rPr>
        <w:t>identify and protect</w:t>
      </w:r>
      <w:r w:rsidR="00E72A51" w:rsidRPr="000B57E4">
        <w:rPr>
          <w:b/>
        </w:rPr>
        <w:t xml:space="preserve"> the minimum core content of C</w:t>
      </w:r>
      <w:r w:rsidR="00310C1B" w:rsidRPr="000B57E4">
        <w:rPr>
          <w:b/>
        </w:rPr>
        <w:t>ovenant rights at all times</w:t>
      </w:r>
      <w:r w:rsidR="00E10780">
        <w:rPr>
          <w:b/>
        </w:rPr>
        <w:t xml:space="preserve"> and should not disproportionately affect marginalized and disadvantaged groups</w:t>
      </w:r>
      <w:r w:rsidR="00310C1B" w:rsidRPr="000B57E4">
        <w:rPr>
          <w:b/>
        </w:rPr>
        <w:t xml:space="preserve">. </w:t>
      </w:r>
      <w:r w:rsidR="000A2AAB" w:rsidRPr="000B57E4">
        <w:rPr>
          <w:b/>
        </w:rPr>
        <w:t>The Committee</w:t>
      </w:r>
      <w:r w:rsidR="001A5543" w:rsidRPr="000B57E4">
        <w:rPr>
          <w:b/>
        </w:rPr>
        <w:t xml:space="preserve"> also</w:t>
      </w:r>
      <w:r w:rsidR="000A2AAB" w:rsidRPr="000B57E4">
        <w:rPr>
          <w:b/>
        </w:rPr>
        <w:t xml:space="preserve"> recommends that</w:t>
      </w:r>
      <w:r w:rsidR="00081834">
        <w:rPr>
          <w:b/>
        </w:rPr>
        <w:t xml:space="preserve"> the</w:t>
      </w:r>
      <w:r w:rsidR="000A2AAB" w:rsidRPr="000B57E4">
        <w:rPr>
          <w:b/>
        </w:rPr>
        <w:t xml:space="preserve"> State party ensure that its obligations under the Covenant are duly taken into account in negotiations with international financial institutions such as the International Monetary Fund.</w:t>
      </w:r>
    </w:p>
    <w:p w:rsidR="00145843" w:rsidRPr="000B57E4" w:rsidRDefault="0075096D" w:rsidP="000B57E4">
      <w:pPr>
        <w:pStyle w:val="H23G"/>
      </w:pPr>
      <w:r w:rsidRPr="000B57E4">
        <w:tab/>
      </w:r>
      <w:r w:rsidRPr="000B57E4">
        <w:tab/>
      </w:r>
      <w:r w:rsidR="00145843" w:rsidRPr="000B57E4">
        <w:t>Non-discrimination</w:t>
      </w:r>
    </w:p>
    <w:p w:rsidR="00145843" w:rsidRPr="000B57E4" w:rsidRDefault="003A1DAD" w:rsidP="003A1DAD">
      <w:pPr>
        <w:pStyle w:val="SingleTxtG"/>
      </w:pPr>
      <w:r>
        <w:t>19.</w:t>
      </w:r>
      <w:r>
        <w:tab/>
      </w:r>
      <w:r w:rsidR="00145843" w:rsidRPr="000B57E4">
        <w:t xml:space="preserve">The Committee </w:t>
      </w:r>
      <w:r w:rsidR="004072C4" w:rsidRPr="000B57E4">
        <w:t>notes with concern the discriminatory provisions</w:t>
      </w:r>
      <w:r w:rsidR="00840E49">
        <w:t xml:space="preserve"> affecting women, religious minorities</w:t>
      </w:r>
      <w:r w:rsidR="00B23C5F">
        <w:t xml:space="preserve"> and</w:t>
      </w:r>
      <w:r w:rsidR="00840E49">
        <w:t xml:space="preserve"> </w:t>
      </w:r>
      <w:r w:rsidR="00792DC9">
        <w:rPr>
          <w:rStyle w:val="preferred"/>
        </w:rPr>
        <w:t xml:space="preserve">lesbian, gay, bisexual, transgender and intersex </w:t>
      </w:r>
      <w:r w:rsidR="00E57891">
        <w:t>persons</w:t>
      </w:r>
      <w:r w:rsidR="004B453B">
        <w:t xml:space="preserve"> that</w:t>
      </w:r>
      <w:r w:rsidR="004072C4" w:rsidRPr="000B57E4">
        <w:t xml:space="preserve"> are still in force in the State party</w:t>
      </w:r>
      <w:r w:rsidR="00B23C5F">
        <w:t>, including</w:t>
      </w:r>
      <w:r w:rsidR="00490000" w:rsidRPr="000B57E4">
        <w:t xml:space="preserve"> those contained in the Criminal Law Act, the Personal Status Act, the Public Service Regulations, the Social Insurance Act</w:t>
      </w:r>
      <w:r w:rsidR="002D6E00" w:rsidRPr="000B57E4">
        <w:t xml:space="preserve"> </w:t>
      </w:r>
      <w:r w:rsidR="00081834">
        <w:t xml:space="preserve">and </w:t>
      </w:r>
      <w:r w:rsidR="002D6E00" w:rsidRPr="000B57E4">
        <w:t>the Sudanese Nationality Act</w:t>
      </w:r>
      <w:r w:rsidR="00490000" w:rsidRPr="000B57E4">
        <w:t>. The Committee is also concerned at</w:t>
      </w:r>
      <w:r w:rsidR="004072C4" w:rsidRPr="000B57E4">
        <w:t xml:space="preserve"> the lack of legislation to implement the constitut</w:t>
      </w:r>
      <w:r w:rsidR="002F68E2" w:rsidRPr="000B57E4">
        <w:t xml:space="preserve">ional and Covenant provisions </w:t>
      </w:r>
      <w:r w:rsidR="00E06D91" w:rsidRPr="000B57E4">
        <w:t>o</w:t>
      </w:r>
      <w:r w:rsidR="00E06D91">
        <w:t xml:space="preserve">n </w:t>
      </w:r>
      <w:r w:rsidR="004072C4" w:rsidRPr="000B57E4">
        <w:t>non-discrimination.</w:t>
      </w:r>
      <w:r w:rsidR="002D6E00" w:rsidRPr="000B57E4">
        <w:t xml:space="preserve"> </w:t>
      </w:r>
      <w:r w:rsidR="00E10780">
        <w:t xml:space="preserve">Moreover, the Committee is particularly concerned at reports of discrimination of individuals on the basis of religion and of sexual orientation and gender identity. </w:t>
      </w:r>
      <w:r w:rsidR="002D6E00" w:rsidRPr="000B57E4">
        <w:t>(art. 2)</w:t>
      </w:r>
    </w:p>
    <w:p w:rsidR="004072C4" w:rsidRPr="000B57E4" w:rsidRDefault="003A1DAD" w:rsidP="003A1DAD">
      <w:pPr>
        <w:pStyle w:val="SingleTxtG"/>
        <w:rPr>
          <w:b/>
        </w:rPr>
      </w:pPr>
      <w:r w:rsidRPr="003A1DAD">
        <w:rPr>
          <w:bCs/>
        </w:rPr>
        <w:t>20.</w:t>
      </w:r>
      <w:r w:rsidRPr="003A1DAD">
        <w:rPr>
          <w:bCs/>
        </w:rPr>
        <w:tab/>
      </w:r>
      <w:r w:rsidR="00490000" w:rsidRPr="000B57E4">
        <w:rPr>
          <w:b/>
        </w:rPr>
        <w:t xml:space="preserve">The Committee urges the State party to amend legal provisions </w:t>
      </w:r>
      <w:r w:rsidR="00792DC9">
        <w:rPr>
          <w:b/>
        </w:rPr>
        <w:t>that</w:t>
      </w:r>
      <w:r w:rsidR="00792DC9" w:rsidRPr="000B57E4">
        <w:rPr>
          <w:b/>
        </w:rPr>
        <w:t xml:space="preserve"> </w:t>
      </w:r>
      <w:r w:rsidR="00695137" w:rsidRPr="000B57E4">
        <w:rPr>
          <w:b/>
        </w:rPr>
        <w:t xml:space="preserve">are discriminatory or have </w:t>
      </w:r>
      <w:r w:rsidR="00081834">
        <w:rPr>
          <w:b/>
        </w:rPr>
        <w:t xml:space="preserve">a </w:t>
      </w:r>
      <w:r w:rsidR="00695137" w:rsidRPr="000B57E4">
        <w:rPr>
          <w:b/>
        </w:rPr>
        <w:t xml:space="preserve">discriminatory </w:t>
      </w:r>
      <w:r w:rsidR="00484328" w:rsidRPr="000B57E4">
        <w:rPr>
          <w:b/>
        </w:rPr>
        <w:t>effect</w:t>
      </w:r>
      <w:r w:rsidR="00695137" w:rsidRPr="000B57E4">
        <w:rPr>
          <w:b/>
        </w:rPr>
        <w:t xml:space="preserve"> on the basis of race, colour, sex, language, religion, political or other opinion, national or social origin, property, birth or other status</w:t>
      </w:r>
      <w:r w:rsidR="00081834">
        <w:rPr>
          <w:b/>
        </w:rPr>
        <w:t xml:space="preserve">, in </w:t>
      </w:r>
      <w:r w:rsidR="00792DC9">
        <w:rPr>
          <w:b/>
        </w:rPr>
        <w:t xml:space="preserve">accordance </w:t>
      </w:r>
      <w:r w:rsidR="00081834">
        <w:rPr>
          <w:b/>
        </w:rPr>
        <w:t>with article 2 of the Covenant</w:t>
      </w:r>
      <w:r w:rsidR="00695137" w:rsidRPr="000B57E4">
        <w:rPr>
          <w:b/>
        </w:rPr>
        <w:t xml:space="preserve">. The Committee also recommends that the State party adopt a </w:t>
      </w:r>
      <w:r w:rsidR="00E51086" w:rsidRPr="000B57E4">
        <w:rPr>
          <w:b/>
        </w:rPr>
        <w:t>comprehensive</w:t>
      </w:r>
      <w:r w:rsidR="00695137" w:rsidRPr="000B57E4">
        <w:rPr>
          <w:b/>
        </w:rPr>
        <w:t xml:space="preserve"> anti-discrimination </w:t>
      </w:r>
      <w:r w:rsidR="00484328" w:rsidRPr="000B57E4">
        <w:rPr>
          <w:b/>
        </w:rPr>
        <w:t xml:space="preserve">law defining, prohibiting and </w:t>
      </w:r>
      <w:r w:rsidR="00792DC9">
        <w:rPr>
          <w:b/>
        </w:rPr>
        <w:t>punishing</w:t>
      </w:r>
      <w:r w:rsidR="00792DC9" w:rsidRPr="000B57E4">
        <w:rPr>
          <w:b/>
        </w:rPr>
        <w:t xml:space="preserve"> </w:t>
      </w:r>
      <w:r w:rsidR="00484328" w:rsidRPr="000B57E4">
        <w:rPr>
          <w:b/>
        </w:rPr>
        <w:t>discrimination. The law should cover not only direct but also indirect discrimination and provide for the implementation of temporary special measures and remedies for victims</w:t>
      </w:r>
      <w:r w:rsidR="00695137" w:rsidRPr="000B57E4">
        <w:rPr>
          <w:b/>
        </w:rPr>
        <w:t xml:space="preserve">. </w:t>
      </w:r>
      <w:r w:rsidR="00E10780">
        <w:rPr>
          <w:b/>
        </w:rPr>
        <w:t>Furthermore, the Committee recommends that the State party condemn</w:t>
      </w:r>
      <w:r w:rsidR="00A40696">
        <w:rPr>
          <w:b/>
        </w:rPr>
        <w:t xml:space="preserve"> and </w:t>
      </w:r>
      <w:r w:rsidR="00FD533A">
        <w:rPr>
          <w:b/>
        </w:rPr>
        <w:t>punish</w:t>
      </w:r>
      <w:r w:rsidR="00E10780">
        <w:rPr>
          <w:b/>
        </w:rPr>
        <w:t xml:space="preserve"> acts of discrimination against religious minorities as well as against individuals on the basis of sexual orientation and gender identity. </w:t>
      </w:r>
      <w:r w:rsidR="00695137" w:rsidRPr="000B57E4">
        <w:rPr>
          <w:b/>
        </w:rPr>
        <w:t>The Committee refers the State party to its general comment No. 20 (2009) on non-discrimination in economic, social and cultural rights.</w:t>
      </w:r>
    </w:p>
    <w:p w:rsidR="002D46CF" w:rsidRPr="000B57E4" w:rsidRDefault="0075096D" w:rsidP="000B57E4">
      <w:pPr>
        <w:pStyle w:val="H23G"/>
      </w:pPr>
      <w:r w:rsidRPr="000B57E4">
        <w:tab/>
      </w:r>
      <w:r w:rsidRPr="000B57E4">
        <w:tab/>
      </w:r>
      <w:r w:rsidR="002D46CF" w:rsidRPr="000B57E4">
        <w:t>Regional disparities</w:t>
      </w:r>
    </w:p>
    <w:p w:rsidR="00B20255" w:rsidRPr="000B57E4" w:rsidRDefault="003A1DAD" w:rsidP="003A1DAD">
      <w:pPr>
        <w:pStyle w:val="SingleTxtG"/>
      </w:pPr>
      <w:r>
        <w:t>21.</w:t>
      </w:r>
      <w:r>
        <w:tab/>
      </w:r>
      <w:r w:rsidR="00B20255" w:rsidRPr="000B57E4">
        <w:t xml:space="preserve">The Committee notes with concern the significant disparities in the enjoyment of economic, social and cultural rights among </w:t>
      </w:r>
      <w:r w:rsidR="00792DC9">
        <w:t xml:space="preserve">the </w:t>
      </w:r>
      <w:r w:rsidR="005734AA">
        <w:t xml:space="preserve">constituent </w:t>
      </w:r>
      <w:r w:rsidR="00B20255" w:rsidRPr="000B57E4">
        <w:t>states</w:t>
      </w:r>
      <w:r w:rsidR="005734AA">
        <w:t xml:space="preserve"> </w:t>
      </w:r>
      <w:r w:rsidR="00B23C5F">
        <w:t>of</w:t>
      </w:r>
      <w:r w:rsidR="005734AA">
        <w:t xml:space="preserve"> the State party</w:t>
      </w:r>
      <w:r w:rsidR="0005669E" w:rsidRPr="000B57E4">
        <w:t xml:space="preserve">, with </w:t>
      </w:r>
      <w:r w:rsidR="008260BB">
        <w:t>states</w:t>
      </w:r>
      <w:r w:rsidR="005734AA" w:rsidRPr="000B57E4">
        <w:t xml:space="preserve"> </w:t>
      </w:r>
      <w:r w:rsidR="0043490F">
        <w:t xml:space="preserve">in </w:t>
      </w:r>
      <w:r w:rsidR="004373D2">
        <w:t xml:space="preserve">the </w:t>
      </w:r>
      <w:r w:rsidR="004B453B">
        <w:t>e</w:t>
      </w:r>
      <w:r w:rsidR="0043490F">
        <w:t xml:space="preserve">astern Sudan, </w:t>
      </w:r>
      <w:r w:rsidR="0005669E" w:rsidRPr="000B57E4">
        <w:t>Dar</w:t>
      </w:r>
      <w:r w:rsidR="00951AD2" w:rsidRPr="000B57E4">
        <w:t xml:space="preserve">fur </w:t>
      </w:r>
      <w:r w:rsidR="0043490F">
        <w:t>and</w:t>
      </w:r>
      <w:r w:rsidR="00A77289" w:rsidRPr="000B57E4">
        <w:t xml:space="preserve"> Kord</w:t>
      </w:r>
      <w:r w:rsidR="00B707E4" w:rsidRPr="000B57E4">
        <w:t>ofan</w:t>
      </w:r>
      <w:r w:rsidR="0005669E" w:rsidRPr="000B57E4">
        <w:t xml:space="preserve"> </w:t>
      </w:r>
      <w:r w:rsidR="000577AF">
        <w:t xml:space="preserve">regions </w:t>
      </w:r>
      <w:r w:rsidR="003F716A" w:rsidRPr="000B57E4">
        <w:t xml:space="preserve">being </w:t>
      </w:r>
      <w:r w:rsidR="0005669E" w:rsidRPr="000B57E4">
        <w:t>particularly disadvantaged</w:t>
      </w:r>
      <w:r w:rsidR="00792DC9">
        <w:t>,</w:t>
      </w:r>
      <w:r w:rsidR="0043490F">
        <w:t xml:space="preserve"> </w:t>
      </w:r>
      <w:r w:rsidR="00792DC9">
        <w:t xml:space="preserve">as </w:t>
      </w:r>
      <w:r w:rsidR="000577AF">
        <w:t>extreme poverty remain</w:t>
      </w:r>
      <w:r w:rsidR="005734AA">
        <w:t>s</w:t>
      </w:r>
      <w:r w:rsidR="000577AF">
        <w:t xml:space="preserve"> widespread</w:t>
      </w:r>
      <w:r w:rsidR="00792DC9">
        <w:t xml:space="preserve"> there</w:t>
      </w:r>
      <w:r w:rsidR="0043490F">
        <w:t xml:space="preserve"> and access to education, health services </w:t>
      </w:r>
      <w:r w:rsidR="00B23C5F">
        <w:t>and</w:t>
      </w:r>
      <w:r w:rsidR="0043490F">
        <w:t xml:space="preserve"> safe drinking water</w:t>
      </w:r>
      <w:r w:rsidR="000577AF">
        <w:t xml:space="preserve"> is</w:t>
      </w:r>
      <w:r w:rsidR="0043490F">
        <w:t xml:space="preserve"> limited</w:t>
      </w:r>
      <w:r w:rsidR="00B20255" w:rsidRPr="000B57E4">
        <w:t xml:space="preserve">. The Committee is further concerned that disadvantaged states do not received federal resources </w:t>
      </w:r>
      <w:r w:rsidR="0005669E" w:rsidRPr="000B57E4">
        <w:t>proportionate to</w:t>
      </w:r>
      <w:r w:rsidR="00B20255" w:rsidRPr="000B57E4">
        <w:t xml:space="preserve"> their </w:t>
      </w:r>
      <w:r w:rsidR="00FC49E7" w:rsidRPr="000B57E4">
        <w:t>needs. (art. 2</w:t>
      </w:r>
      <w:r w:rsidR="00792DC9">
        <w:t xml:space="preserve"> and</w:t>
      </w:r>
      <w:r w:rsidR="00F91176">
        <w:t xml:space="preserve"> 11</w:t>
      </w:r>
      <w:r w:rsidR="00FC49E7" w:rsidRPr="000B57E4">
        <w:t>)</w:t>
      </w:r>
    </w:p>
    <w:p w:rsidR="00FC49E7" w:rsidRPr="000B57E4" w:rsidRDefault="003A1DAD" w:rsidP="003A1DAD">
      <w:pPr>
        <w:pStyle w:val="SingleTxtG"/>
      </w:pPr>
      <w:r w:rsidRPr="003A1DAD">
        <w:rPr>
          <w:bCs/>
        </w:rPr>
        <w:t>22.</w:t>
      </w:r>
      <w:r>
        <w:rPr>
          <w:b/>
        </w:rPr>
        <w:tab/>
      </w:r>
      <w:r w:rsidR="00FC49E7" w:rsidRPr="000B57E4">
        <w:rPr>
          <w:b/>
        </w:rPr>
        <w:t xml:space="preserve">The Committee </w:t>
      </w:r>
      <w:r w:rsidR="003F716A" w:rsidRPr="000B57E4">
        <w:rPr>
          <w:b/>
        </w:rPr>
        <w:t>recommends that the State party</w:t>
      </w:r>
      <w:r w:rsidR="00792DC9">
        <w:rPr>
          <w:b/>
        </w:rPr>
        <w:t>:</w:t>
      </w:r>
      <w:r w:rsidR="004313BF">
        <w:rPr>
          <w:b/>
        </w:rPr>
        <w:t xml:space="preserve"> </w:t>
      </w:r>
      <w:r w:rsidR="00B23C5F" w:rsidRPr="004313BF">
        <w:rPr>
          <w:b/>
        </w:rPr>
        <w:t>(a)</w:t>
      </w:r>
      <w:r w:rsidR="00B23C5F">
        <w:rPr>
          <w:b/>
        </w:rPr>
        <w:tab/>
      </w:r>
      <w:r w:rsidR="00792DC9">
        <w:rPr>
          <w:b/>
        </w:rPr>
        <w:t xml:space="preserve"> </w:t>
      </w:r>
      <w:r w:rsidR="00B23C5F">
        <w:rPr>
          <w:b/>
        </w:rPr>
        <w:t xml:space="preserve">raise awareness among </w:t>
      </w:r>
      <w:r w:rsidR="005734AA">
        <w:rPr>
          <w:b/>
        </w:rPr>
        <w:t xml:space="preserve">its constituent </w:t>
      </w:r>
      <w:r w:rsidR="003F716A" w:rsidRPr="000B57E4">
        <w:rPr>
          <w:b/>
        </w:rPr>
        <w:t>states of their obligations under the Covenant</w:t>
      </w:r>
      <w:r w:rsidR="00B23C5F">
        <w:rPr>
          <w:b/>
        </w:rPr>
        <w:t>;</w:t>
      </w:r>
      <w:r w:rsidR="000A05CB">
        <w:rPr>
          <w:b/>
        </w:rPr>
        <w:t xml:space="preserve"> </w:t>
      </w:r>
      <w:r w:rsidR="00B23C5F" w:rsidRPr="004313BF">
        <w:rPr>
          <w:b/>
        </w:rPr>
        <w:t>(b)</w:t>
      </w:r>
      <w:r w:rsidR="003F716A" w:rsidRPr="004313BF">
        <w:rPr>
          <w:b/>
        </w:rPr>
        <w:t xml:space="preserve"> </w:t>
      </w:r>
      <w:r w:rsidR="00B23C5F" w:rsidRPr="004313BF">
        <w:rPr>
          <w:b/>
        </w:rPr>
        <w:t xml:space="preserve">integrate </w:t>
      </w:r>
      <w:r w:rsidR="003F716A" w:rsidRPr="004313BF">
        <w:rPr>
          <w:b/>
        </w:rPr>
        <w:t>accountability mechanisms at the federal and state levels in</w:t>
      </w:r>
      <w:r w:rsidR="00792DC9">
        <w:rPr>
          <w:b/>
        </w:rPr>
        <w:t>to</w:t>
      </w:r>
      <w:r w:rsidR="003F716A" w:rsidRPr="004313BF">
        <w:rPr>
          <w:b/>
        </w:rPr>
        <w:t xml:space="preserve"> the design and implementation of programmes and policies aimed at the realization of economic</w:t>
      </w:r>
      <w:r w:rsidR="003F716A" w:rsidRPr="000B57E4">
        <w:rPr>
          <w:b/>
        </w:rPr>
        <w:t>, social and cultural rights</w:t>
      </w:r>
      <w:r w:rsidR="00B23C5F">
        <w:rPr>
          <w:b/>
        </w:rPr>
        <w:t>;</w:t>
      </w:r>
      <w:r w:rsidR="004313BF">
        <w:rPr>
          <w:b/>
        </w:rPr>
        <w:t xml:space="preserve"> </w:t>
      </w:r>
      <w:r w:rsidR="00B23C5F" w:rsidRPr="004313BF">
        <w:rPr>
          <w:b/>
        </w:rPr>
        <w:t>(c)</w:t>
      </w:r>
      <w:r w:rsidR="004313BF">
        <w:rPr>
          <w:b/>
        </w:rPr>
        <w:t xml:space="preserve"> </w:t>
      </w:r>
      <w:r w:rsidR="00B23C5F">
        <w:rPr>
          <w:b/>
        </w:rPr>
        <w:t xml:space="preserve">allocate adequate </w:t>
      </w:r>
      <w:r w:rsidR="00891CE4">
        <w:rPr>
          <w:b/>
        </w:rPr>
        <w:t>budgetary resources</w:t>
      </w:r>
      <w:r w:rsidR="005734AA">
        <w:rPr>
          <w:b/>
        </w:rPr>
        <w:t xml:space="preserve"> to close regional disparities in the</w:t>
      </w:r>
      <w:r w:rsidR="00FC49E7" w:rsidRPr="000B57E4">
        <w:rPr>
          <w:b/>
        </w:rPr>
        <w:t xml:space="preserve"> level of enjoyment of economic, social and cultural rights </w:t>
      </w:r>
      <w:r w:rsidR="00891CE4">
        <w:rPr>
          <w:b/>
        </w:rPr>
        <w:t>in</w:t>
      </w:r>
      <w:r w:rsidR="00FC49E7" w:rsidRPr="000B57E4">
        <w:rPr>
          <w:b/>
        </w:rPr>
        <w:t xml:space="preserve"> the </w:t>
      </w:r>
      <w:r w:rsidR="00891CE4">
        <w:rPr>
          <w:b/>
        </w:rPr>
        <w:t>State party</w:t>
      </w:r>
      <w:r w:rsidR="00B23C5F">
        <w:rPr>
          <w:b/>
        </w:rPr>
        <w:t>;</w:t>
      </w:r>
      <w:r w:rsidR="004313BF">
        <w:rPr>
          <w:b/>
        </w:rPr>
        <w:t xml:space="preserve"> </w:t>
      </w:r>
      <w:r w:rsidR="00B23C5F" w:rsidRPr="00696953">
        <w:rPr>
          <w:b/>
        </w:rPr>
        <w:t>(d)</w:t>
      </w:r>
      <w:r w:rsidR="00DB738F" w:rsidRPr="000B57E4">
        <w:rPr>
          <w:b/>
        </w:rPr>
        <w:t xml:space="preserve"> </w:t>
      </w:r>
      <w:r w:rsidR="00B23C5F">
        <w:rPr>
          <w:b/>
        </w:rPr>
        <w:t>intensify efforts</w:t>
      </w:r>
      <w:r w:rsidR="00E918C5">
        <w:rPr>
          <w:b/>
        </w:rPr>
        <w:t xml:space="preserve"> to deliver basic services in hard</w:t>
      </w:r>
      <w:r w:rsidR="00792DC9">
        <w:rPr>
          <w:b/>
        </w:rPr>
        <w:t>-</w:t>
      </w:r>
      <w:r w:rsidR="00E918C5">
        <w:rPr>
          <w:b/>
        </w:rPr>
        <w:t>to</w:t>
      </w:r>
      <w:r w:rsidR="00792DC9">
        <w:rPr>
          <w:b/>
        </w:rPr>
        <w:t>-</w:t>
      </w:r>
      <w:r w:rsidR="00E918C5">
        <w:rPr>
          <w:b/>
        </w:rPr>
        <w:t xml:space="preserve">reach and conflict-affected areas, bearing in mind that </w:t>
      </w:r>
      <w:r w:rsidR="00F91176">
        <w:rPr>
          <w:b/>
          <w:bCs/>
        </w:rPr>
        <w:t>the enjoyment of Covenant rights should not be conditional on, or determined by, place of residence</w:t>
      </w:r>
      <w:r w:rsidR="00E918C5">
        <w:rPr>
          <w:b/>
        </w:rPr>
        <w:t xml:space="preserve">. </w:t>
      </w:r>
      <w:r w:rsidR="00425D75" w:rsidRPr="000B57E4">
        <w:rPr>
          <w:b/>
        </w:rPr>
        <w:t xml:space="preserve">The Committee requests that the State party provide in its next periodic report statistical data </w:t>
      </w:r>
      <w:r w:rsidR="00E51086" w:rsidRPr="000B57E4">
        <w:rPr>
          <w:b/>
        </w:rPr>
        <w:t>showing the progress achieved with regard to allocation of federal and state resources to sectors such as health, education and social security and the realization of related rights</w:t>
      </w:r>
      <w:r w:rsidR="00425D75" w:rsidRPr="000B57E4">
        <w:rPr>
          <w:b/>
        </w:rPr>
        <w:t>.</w:t>
      </w:r>
    </w:p>
    <w:p w:rsidR="00145843" w:rsidRPr="000B57E4" w:rsidRDefault="0075096D" w:rsidP="000B57E4">
      <w:pPr>
        <w:pStyle w:val="H23G"/>
      </w:pPr>
      <w:r w:rsidRPr="000B57E4">
        <w:tab/>
      </w:r>
      <w:r w:rsidRPr="000B57E4">
        <w:tab/>
      </w:r>
      <w:r w:rsidR="001E5473" w:rsidRPr="000B57E4">
        <w:t>Internally</w:t>
      </w:r>
      <w:r w:rsidR="00792DC9">
        <w:t xml:space="preserve"> </w:t>
      </w:r>
      <w:r w:rsidR="00145843" w:rsidRPr="000B57E4">
        <w:t>displaced persons</w:t>
      </w:r>
    </w:p>
    <w:p w:rsidR="00145843" w:rsidRPr="000B57E4" w:rsidRDefault="003A1DAD" w:rsidP="003A1DAD">
      <w:pPr>
        <w:pStyle w:val="SingleTxtG"/>
      </w:pPr>
      <w:r>
        <w:t>23.</w:t>
      </w:r>
      <w:r>
        <w:tab/>
      </w:r>
      <w:r w:rsidR="00145843" w:rsidRPr="000B57E4">
        <w:t>The Committee is concerned at</w:t>
      </w:r>
      <w:r w:rsidR="00695137" w:rsidRPr="000B57E4">
        <w:t xml:space="preserve"> </w:t>
      </w:r>
      <w:r w:rsidR="00484328" w:rsidRPr="000B57E4">
        <w:t>the plight of internally</w:t>
      </w:r>
      <w:r w:rsidR="00792DC9">
        <w:t xml:space="preserve"> </w:t>
      </w:r>
      <w:r w:rsidR="00484328" w:rsidRPr="000B57E4">
        <w:t>displaced persons</w:t>
      </w:r>
      <w:r w:rsidR="00A244FE">
        <w:t xml:space="preserve"> </w:t>
      </w:r>
      <w:r w:rsidR="00484328" w:rsidRPr="000B57E4">
        <w:t>in the State party</w:t>
      </w:r>
      <w:r w:rsidR="002D46CF" w:rsidRPr="000B57E4">
        <w:t xml:space="preserve">. </w:t>
      </w:r>
      <w:r w:rsidR="00B20255" w:rsidRPr="000B57E4">
        <w:t>It</w:t>
      </w:r>
      <w:r w:rsidR="002D46CF" w:rsidRPr="000B57E4">
        <w:t xml:space="preserve"> i</w:t>
      </w:r>
      <w:r w:rsidR="009D2EFF" w:rsidRPr="000B57E4">
        <w:t>s particularly concerned at their limited access to basic services, including in camps. The Committee is also concerned at reports of forced evictions of internally displaced persons settled in urban areas such as Khartoum, impeding their prospect</w:t>
      </w:r>
      <w:r w:rsidR="00792DC9">
        <w:t>s</w:t>
      </w:r>
      <w:r w:rsidR="009D2EFF" w:rsidRPr="000B57E4">
        <w:t xml:space="preserve"> </w:t>
      </w:r>
      <w:r w:rsidR="00792DC9">
        <w:t>for</w:t>
      </w:r>
      <w:r w:rsidR="00792DC9" w:rsidRPr="000B57E4">
        <w:t xml:space="preserve"> </w:t>
      </w:r>
      <w:r w:rsidR="009D2EFF" w:rsidRPr="000B57E4">
        <w:t>local integration.</w:t>
      </w:r>
      <w:r w:rsidR="00484328" w:rsidRPr="000B57E4">
        <w:t xml:space="preserve"> </w:t>
      </w:r>
      <w:r w:rsidR="009D2EFF" w:rsidRPr="000B57E4">
        <w:t xml:space="preserve">Moreover, </w:t>
      </w:r>
      <w:r w:rsidR="00B20255" w:rsidRPr="000B57E4">
        <w:t>it</w:t>
      </w:r>
      <w:r w:rsidR="009D2EFF" w:rsidRPr="000B57E4">
        <w:t xml:space="preserve"> regrets the slow</w:t>
      </w:r>
      <w:r w:rsidR="00081834">
        <w:t xml:space="preserve"> pace </w:t>
      </w:r>
      <w:r w:rsidR="009D2EFF" w:rsidRPr="000B57E4">
        <w:t xml:space="preserve">of progress </w:t>
      </w:r>
      <w:r w:rsidR="00B20255" w:rsidRPr="000B57E4">
        <w:t xml:space="preserve">made in ensuring favourable conditions for </w:t>
      </w:r>
      <w:r w:rsidR="009D2EFF" w:rsidRPr="000B57E4">
        <w:t>the</w:t>
      </w:r>
      <w:r w:rsidR="00B20255" w:rsidRPr="000B57E4">
        <w:t xml:space="preserve"> </w:t>
      </w:r>
      <w:r w:rsidR="00425D75" w:rsidRPr="000B57E4">
        <w:t xml:space="preserve">safe </w:t>
      </w:r>
      <w:r w:rsidR="009D2EFF" w:rsidRPr="000B57E4">
        <w:t>return</w:t>
      </w:r>
      <w:r w:rsidR="00425D75" w:rsidRPr="000B57E4">
        <w:t xml:space="preserve"> of volunteers</w:t>
      </w:r>
      <w:r w:rsidR="00B20255" w:rsidRPr="000B57E4">
        <w:t xml:space="preserve"> to their place of origin</w:t>
      </w:r>
      <w:r w:rsidR="009D2EFF" w:rsidRPr="000B57E4">
        <w:t xml:space="preserve">. </w:t>
      </w:r>
      <w:r w:rsidR="002D6E00" w:rsidRPr="000B57E4">
        <w:t>(art.</w:t>
      </w:r>
      <w:r w:rsidR="005606BF">
        <w:t> </w:t>
      </w:r>
      <w:r w:rsidR="002D6E00" w:rsidRPr="000B57E4">
        <w:t>2)</w:t>
      </w:r>
    </w:p>
    <w:p w:rsidR="00B20255" w:rsidRPr="000B57E4" w:rsidRDefault="003A1DAD" w:rsidP="003A1DAD">
      <w:pPr>
        <w:pStyle w:val="SingleTxtG"/>
      </w:pPr>
      <w:r w:rsidRPr="003A1DAD">
        <w:rPr>
          <w:bCs/>
        </w:rPr>
        <w:t>24.</w:t>
      </w:r>
      <w:r>
        <w:rPr>
          <w:b/>
        </w:rPr>
        <w:tab/>
      </w:r>
      <w:r w:rsidR="00B20255" w:rsidRPr="000B57E4">
        <w:rPr>
          <w:b/>
        </w:rPr>
        <w:t xml:space="preserve">The Committee recommends that the State party intensify efforts to create conditions for the voluntary return or local integration of internally displaced persons. </w:t>
      </w:r>
      <w:r w:rsidR="0043490F">
        <w:rPr>
          <w:b/>
        </w:rPr>
        <w:t xml:space="preserve">In this regard, the State party should address obstacles to the return of </w:t>
      </w:r>
      <w:r w:rsidR="00792DC9">
        <w:rPr>
          <w:b/>
        </w:rPr>
        <w:t>internally displaced persons</w:t>
      </w:r>
      <w:r w:rsidR="0043490F">
        <w:rPr>
          <w:b/>
        </w:rPr>
        <w:t>, such as lack of safety</w:t>
      </w:r>
      <w:r w:rsidR="00F91176">
        <w:rPr>
          <w:b/>
        </w:rPr>
        <w:t xml:space="preserve"> and</w:t>
      </w:r>
      <w:r w:rsidR="0043490F">
        <w:rPr>
          <w:b/>
        </w:rPr>
        <w:t xml:space="preserve"> restitution of land and property</w:t>
      </w:r>
      <w:r w:rsidR="00F91176">
        <w:rPr>
          <w:b/>
        </w:rPr>
        <w:t>,</w:t>
      </w:r>
      <w:r w:rsidR="00A244FE">
        <w:rPr>
          <w:b/>
        </w:rPr>
        <w:t xml:space="preserve"> and</w:t>
      </w:r>
      <w:r w:rsidR="00F91176">
        <w:rPr>
          <w:b/>
        </w:rPr>
        <w:t xml:space="preserve"> ensure that</w:t>
      </w:r>
      <w:r w:rsidR="004400F3">
        <w:rPr>
          <w:b/>
        </w:rPr>
        <w:t>,</w:t>
      </w:r>
      <w:r w:rsidR="00F91176">
        <w:rPr>
          <w:b/>
        </w:rPr>
        <w:t xml:space="preserve"> if relocated</w:t>
      </w:r>
      <w:r w:rsidR="004400F3">
        <w:rPr>
          <w:b/>
        </w:rPr>
        <w:t>,</w:t>
      </w:r>
      <w:r w:rsidR="0043490F">
        <w:rPr>
          <w:b/>
        </w:rPr>
        <w:t xml:space="preserve"> </w:t>
      </w:r>
      <w:r w:rsidR="00A244FE">
        <w:rPr>
          <w:b/>
        </w:rPr>
        <w:t>they</w:t>
      </w:r>
      <w:r w:rsidR="00F91176">
        <w:rPr>
          <w:b/>
        </w:rPr>
        <w:t xml:space="preserve"> have</w:t>
      </w:r>
      <w:r w:rsidR="0043490F">
        <w:rPr>
          <w:b/>
        </w:rPr>
        <w:t xml:space="preserve"> </w:t>
      </w:r>
      <w:r w:rsidR="00F91176">
        <w:rPr>
          <w:b/>
        </w:rPr>
        <w:t>access to</w:t>
      </w:r>
      <w:r w:rsidR="0043490F">
        <w:rPr>
          <w:b/>
        </w:rPr>
        <w:t xml:space="preserve"> basic services. </w:t>
      </w:r>
      <w:r w:rsidR="00B20255" w:rsidRPr="000B57E4">
        <w:rPr>
          <w:b/>
        </w:rPr>
        <w:t xml:space="preserve">It also </w:t>
      </w:r>
      <w:r w:rsidR="001F34F7" w:rsidRPr="000B57E4">
        <w:rPr>
          <w:b/>
        </w:rPr>
        <w:t>recommends that</w:t>
      </w:r>
      <w:r w:rsidR="00B20255" w:rsidRPr="000B57E4">
        <w:rPr>
          <w:b/>
        </w:rPr>
        <w:t xml:space="preserve"> the State party respect the Covenant rights of internally displace</w:t>
      </w:r>
      <w:r w:rsidR="00E51086" w:rsidRPr="000B57E4">
        <w:rPr>
          <w:b/>
        </w:rPr>
        <w:t>d</w:t>
      </w:r>
      <w:r w:rsidR="00B20255" w:rsidRPr="000B57E4">
        <w:rPr>
          <w:b/>
        </w:rPr>
        <w:t xml:space="preserve"> persons wherever the</w:t>
      </w:r>
      <w:r w:rsidR="00081834">
        <w:rPr>
          <w:b/>
        </w:rPr>
        <w:t>y</w:t>
      </w:r>
      <w:r w:rsidR="00B20255" w:rsidRPr="000B57E4">
        <w:rPr>
          <w:b/>
        </w:rPr>
        <w:t xml:space="preserve"> are settled. </w:t>
      </w:r>
      <w:r w:rsidR="00C11A81">
        <w:rPr>
          <w:b/>
        </w:rPr>
        <w:t>Therefore</w:t>
      </w:r>
      <w:r w:rsidR="00B500C0" w:rsidRPr="000B57E4">
        <w:rPr>
          <w:b/>
        </w:rPr>
        <w:t xml:space="preserve">, it </w:t>
      </w:r>
      <w:r w:rsidR="001F34F7" w:rsidRPr="000B57E4">
        <w:rPr>
          <w:b/>
        </w:rPr>
        <w:t>recommends</w:t>
      </w:r>
      <w:r w:rsidR="00B500C0" w:rsidRPr="000B57E4">
        <w:rPr>
          <w:b/>
        </w:rPr>
        <w:t xml:space="preserve"> </w:t>
      </w:r>
      <w:r w:rsidR="001F34F7" w:rsidRPr="000B57E4">
        <w:rPr>
          <w:b/>
        </w:rPr>
        <w:t xml:space="preserve">that </w:t>
      </w:r>
      <w:r w:rsidR="00B500C0" w:rsidRPr="000B57E4">
        <w:rPr>
          <w:b/>
        </w:rPr>
        <w:t xml:space="preserve">the State party cease the practice of forcibly evicting </w:t>
      </w:r>
      <w:r w:rsidR="00792DC9">
        <w:rPr>
          <w:b/>
        </w:rPr>
        <w:t>such persons</w:t>
      </w:r>
      <w:r w:rsidR="00B500C0" w:rsidRPr="000B57E4">
        <w:rPr>
          <w:b/>
        </w:rPr>
        <w:t>, without due process, from i</w:t>
      </w:r>
      <w:r w:rsidR="000B57E4" w:rsidRPr="000B57E4">
        <w:rPr>
          <w:b/>
        </w:rPr>
        <w:t>nformal settlements and camps.</w:t>
      </w:r>
    </w:p>
    <w:p w:rsidR="00145843" w:rsidRPr="000B57E4" w:rsidRDefault="0075096D" w:rsidP="000B57E4">
      <w:pPr>
        <w:pStyle w:val="H23G"/>
      </w:pPr>
      <w:r w:rsidRPr="000B57E4">
        <w:tab/>
      </w:r>
      <w:r w:rsidRPr="000B57E4">
        <w:tab/>
      </w:r>
      <w:r w:rsidR="00145843" w:rsidRPr="000B57E4">
        <w:t>Asylum</w:t>
      </w:r>
      <w:r w:rsidR="00792DC9">
        <w:t xml:space="preserve"> </w:t>
      </w:r>
      <w:r w:rsidR="00145843" w:rsidRPr="000B57E4">
        <w:t>seekers and refugees</w:t>
      </w:r>
    </w:p>
    <w:p w:rsidR="00145843" w:rsidRPr="000B57E4" w:rsidRDefault="003A1DAD" w:rsidP="003A1DAD">
      <w:pPr>
        <w:pStyle w:val="SingleTxtG"/>
      </w:pPr>
      <w:r>
        <w:t>25.</w:t>
      </w:r>
      <w:r>
        <w:tab/>
      </w:r>
      <w:r w:rsidR="00145843" w:rsidRPr="000B57E4">
        <w:t>The Committee expresses concern at</w:t>
      </w:r>
      <w:r w:rsidR="00484328" w:rsidRPr="000B57E4">
        <w:t xml:space="preserve"> the barriers, including language barriers, experienced by asylum</w:t>
      </w:r>
      <w:r w:rsidR="00792DC9">
        <w:t xml:space="preserve"> </w:t>
      </w:r>
      <w:r w:rsidR="00484328" w:rsidRPr="000B57E4">
        <w:t>seekers and refugees in the State party in accessing health care and education.</w:t>
      </w:r>
      <w:r w:rsidR="002D6E00" w:rsidRPr="000B57E4">
        <w:t xml:space="preserve"> (art. 2)</w:t>
      </w:r>
    </w:p>
    <w:p w:rsidR="00484328" w:rsidRPr="000B57E4" w:rsidRDefault="003A1DAD" w:rsidP="003A1DAD">
      <w:pPr>
        <w:pStyle w:val="SingleTxtG"/>
      </w:pPr>
      <w:r w:rsidRPr="003A1DAD">
        <w:rPr>
          <w:bCs/>
        </w:rPr>
        <w:t>26.</w:t>
      </w:r>
      <w:r w:rsidRPr="003A1DAD">
        <w:rPr>
          <w:bCs/>
        </w:rPr>
        <w:tab/>
      </w:r>
      <w:r w:rsidR="00484328" w:rsidRPr="000B57E4">
        <w:rPr>
          <w:b/>
        </w:rPr>
        <w:t>The Committee recommends that the State party ensure effective access to health</w:t>
      </w:r>
      <w:r w:rsidR="00792DC9">
        <w:rPr>
          <w:b/>
        </w:rPr>
        <w:t>-</w:t>
      </w:r>
      <w:r w:rsidR="00484328" w:rsidRPr="000B57E4">
        <w:rPr>
          <w:b/>
        </w:rPr>
        <w:t>care services and education by asylum</w:t>
      </w:r>
      <w:r w:rsidR="00792DC9">
        <w:rPr>
          <w:b/>
        </w:rPr>
        <w:t xml:space="preserve"> </w:t>
      </w:r>
      <w:r w:rsidR="00484328" w:rsidRPr="000B57E4">
        <w:rPr>
          <w:b/>
        </w:rPr>
        <w:t>seekers and refuge</w:t>
      </w:r>
      <w:r w:rsidR="00C11A81">
        <w:rPr>
          <w:b/>
        </w:rPr>
        <w:t>e</w:t>
      </w:r>
      <w:r w:rsidR="00484328" w:rsidRPr="000B57E4">
        <w:rPr>
          <w:b/>
        </w:rPr>
        <w:t xml:space="preserve">s, including through cooperation with </w:t>
      </w:r>
      <w:r w:rsidR="004400F3">
        <w:rPr>
          <w:b/>
        </w:rPr>
        <w:t>the</w:t>
      </w:r>
      <w:r w:rsidR="006B3F26">
        <w:rPr>
          <w:b/>
        </w:rPr>
        <w:t xml:space="preserve"> Office of the</w:t>
      </w:r>
      <w:r w:rsidR="004400F3">
        <w:rPr>
          <w:b/>
        </w:rPr>
        <w:t xml:space="preserve"> </w:t>
      </w:r>
      <w:r w:rsidR="00484328" w:rsidRPr="000B57E4">
        <w:rPr>
          <w:b/>
        </w:rPr>
        <w:t>U</w:t>
      </w:r>
      <w:r w:rsidR="00E51086" w:rsidRPr="000B57E4">
        <w:rPr>
          <w:b/>
        </w:rPr>
        <w:t xml:space="preserve">nited </w:t>
      </w:r>
      <w:r w:rsidR="00484328" w:rsidRPr="000B57E4">
        <w:rPr>
          <w:b/>
        </w:rPr>
        <w:t>N</w:t>
      </w:r>
      <w:r w:rsidR="00E51086" w:rsidRPr="000B57E4">
        <w:rPr>
          <w:b/>
        </w:rPr>
        <w:t xml:space="preserve">ations </w:t>
      </w:r>
      <w:r w:rsidR="00484328" w:rsidRPr="000B57E4">
        <w:rPr>
          <w:b/>
        </w:rPr>
        <w:t>H</w:t>
      </w:r>
      <w:r w:rsidR="00E51086" w:rsidRPr="000B57E4">
        <w:rPr>
          <w:b/>
        </w:rPr>
        <w:t xml:space="preserve">igh </w:t>
      </w:r>
      <w:r w:rsidR="00484328" w:rsidRPr="000B57E4">
        <w:rPr>
          <w:b/>
        </w:rPr>
        <w:t>C</w:t>
      </w:r>
      <w:r w:rsidR="00E51086" w:rsidRPr="000B57E4">
        <w:rPr>
          <w:b/>
        </w:rPr>
        <w:t xml:space="preserve">ommissioner for </w:t>
      </w:r>
      <w:r w:rsidR="00484328" w:rsidRPr="000B57E4">
        <w:rPr>
          <w:b/>
        </w:rPr>
        <w:t>R</w:t>
      </w:r>
      <w:r w:rsidR="00E51086" w:rsidRPr="000B57E4">
        <w:rPr>
          <w:b/>
        </w:rPr>
        <w:t>efugees</w:t>
      </w:r>
      <w:r w:rsidR="00484328" w:rsidRPr="000B57E4">
        <w:rPr>
          <w:b/>
        </w:rPr>
        <w:t xml:space="preserve"> and </w:t>
      </w:r>
      <w:r w:rsidR="00E51086" w:rsidRPr="000B57E4">
        <w:rPr>
          <w:b/>
        </w:rPr>
        <w:t>non-governmental organizations</w:t>
      </w:r>
      <w:r w:rsidR="00484328" w:rsidRPr="000B57E4">
        <w:rPr>
          <w:b/>
        </w:rPr>
        <w:t>.</w:t>
      </w:r>
    </w:p>
    <w:p w:rsidR="002D6E00" w:rsidRPr="000B57E4" w:rsidRDefault="00D127D6" w:rsidP="000B57E4">
      <w:pPr>
        <w:pStyle w:val="H23G"/>
      </w:pPr>
      <w:r w:rsidRPr="000B57E4">
        <w:tab/>
      </w:r>
      <w:r w:rsidRPr="000B57E4">
        <w:tab/>
      </w:r>
      <w:r w:rsidR="002D6E00" w:rsidRPr="00BC1F21">
        <w:t>Stateless persons</w:t>
      </w:r>
    </w:p>
    <w:p w:rsidR="002D6E00" w:rsidRPr="000B57E4" w:rsidRDefault="003A1DAD" w:rsidP="003A1DAD">
      <w:pPr>
        <w:pStyle w:val="SingleTxtG"/>
      </w:pPr>
      <w:r>
        <w:t>27.</w:t>
      </w:r>
      <w:r>
        <w:tab/>
      </w:r>
      <w:r w:rsidR="002D6E00" w:rsidRPr="000B57E4">
        <w:t>The Committee</w:t>
      </w:r>
      <w:r w:rsidR="00CD406A">
        <w:t xml:space="preserve"> notes with concern that</w:t>
      </w:r>
      <w:r w:rsidR="009F5146">
        <w:t>,</w:t>
      </w:r>
      <w:r w:rsidR="00CD406A">
        <w:t xml:space="preserve"> as a result of the 20</w:t>
      </w:r>
      <w:r w:rsidR="002D63B1">
        <w:t>1</w:t>
      </w:r>
      <w:r w:rsidR="00CD406A">
        <w:t>1 amendment to the Sudanese Nationality Act</w:t>
      </w:r>
      <w:r w:rsidR="009F5146">
        <w:t>,</w:t>
      </w:r>
      <w:r w:rsidR="00CD406A">
        <w:t xml:space="preserve"> individuals</w:t>
      </w:r>
      <w:r w:rsidR="00FD533A">
        <w:t xml:space="preserve"> from South Sudan</w:t>
      </w:r>
      <w:r w:rsidR="00CD406A">
        <w:t xml:space="preserve"> have become stateless. It</w:t>
      </w:r>
      <w:r w:rsidR="002D6E00" w:rsidRPr="000B57E4">
        <w:t xml:space="preserve"> is</w:t>
      </w:r>
      <w:r w:rsidR="00CD406A">
        <w:t xml:space="preserve"> further</w:t>
      </w:r>
      <w:r w:rsidR="002D6E00" w:rsidRPr="000B57E4">
        <w:t xml:space="preserve"> concerned </w:t>
      </w:r>
      <w:r w:rsidR="002A3D20">
        <w:t>th</w:t>
      </w:r>
      <w:r w:rsidR="002D6E00" w:rsidRPr="000B57E4">
        <w:t xml:space="preserve">at </w:t>
      </w:r>
      <w:r w:rsidR="00FD533A">
        <w:t>such</w:t>
      </w:r>
      <w:r w:rsidR="00363153">
        <w:t xml:space="preserve"> </w:t>
      </w:r>
      <w:r w:rsidR="00FD533A">
        <w:t>persons</w:t>
      </w:r>
      <w:r w:rsidR="00FD533A" w:rsidRPr="000B57E4">
        <w:t xml:space="preserve"> </w:t>
      </w:r>
      <w:r w:rsidR="00BC1F21">
        <w:t xml:space="preserve">who </w:t>
      </w:r>
      <w:r w:rsidR="00E51086" w:rsidRPr="000B57E4">
        <w:t>resid</w:t>
      </w:r>
      <w:r w:rsidR="00BC1F21">
        <w:t>e</w:t>
      </w:r>
      <w:r w:rsidR="002D6E00" w:rsidRPr="000B57E4">
        <w:t xml:space="preserve"> in the State party </w:t>
      </w:r>
      <w:r w:rsidR="00E51086" w:rsidRPr="000B57E4">
        <w:t>are</w:t>
      </w:r>
      <w:r w:rsidR="002D6E00" w:rsidRPr="000B57E4">
        <w:t xml:space="preserve"> unable to access basic services </w:t>
      </w:r>
      <w:r w:rsidR="00E51086" w:rsidRPr="000B57E4">
        <w:t>and</w:t>
      </w:r>
      <w:r w:rsidR="002A3D20">
        <w:t>/or</w:t>
      </w:r>
      <w:r w:rsidR="00E51086" w:rsidRPr="000B57E4">
        <w:t xml:space="preserve"> benefits</w:t>
      </w:r>
      <w:r w:rsidR="00BC1F21">
        <w:t>,</w:t>
      </w:r>
      <w:r w:rsidR="00E51086" w:rsidRPr="000B57E4">
        <w:t xml:space="preserve"> </w:t>
      </w:r>
      <w:r w:rsidR="002D6E00" w:rsidRPr="000B57E4">
        <w:t>such as education, health, employment and pensions. (art. 2)</w:t>
      </w:r>
    </w:p>
    <w:p w:rsidR="00FC49E7" w:rsidRPr="000B57E4" w:rsidRDefault="003A1DAD" w:rsidP="003A1DAD">
      <w:pPr>
        <w:pStyle w:val="SingleTxtG"/>
      </w:pPr>
      <w:r w:rsidRPr="003A1DAD">
        <w:rPr>
          <w:bCs/>
        </w:rPr>
        <w:t>28.</w:t>
      </w:r>
      <w:r>
        <w:rPr>
          <w:b/>
        </w:rPr>
        <w:tab/>
      </w:r>
      <w:r w:rsidR="00FC49E7" w:rsidRPr="000B57E4">
        <w:rPr>
          <w:b/>
        </w:rPr>
        <w:t xml:space="preserve">The Committee </w:t>
      </w:r>
      <w:r w:rsidR="001F34F7" w:rsidRPr="000B57E4">
        <w:rPr>
          <w:b/>
        </w:rPr>
        <w:t>recommends that</w:t>
      </w:r>
      <w:r w:rsidR="00FC49E7" w:rsidRPr="000B57E4">
        <w:rPr>
          <w:b/>
        </w:rPr>
        <w:t xml:space="preserve"> the State party establish clear procedures by which </w:t>
      </w:r>
      <w:r w:rsidR="00E51086" w:rsidRPr="000B57E4">
        <w:rPr>
          <w:b/>
        </w:rPr>
        <w:t>persons from South Sudan</w:t>
      </w:r>
      <w:r w:rsidR="00FC49E7" w:rsidRPr="000B57E4">
        <w:rPr>
          <w:b/>
        </w:rPr>
        <w:t xml:space="preserve"> in its territory can regularize their status and ensure that procedures are in place so that individuals who have no</w:t>
      </w:r>
      <w:r w:rsidR="00DB738F" w:rsidRPr="000B57E4">
        <w:rPr>
          <w:b/>
        </w:rPr>
        <w:t>t</w:t>
      </w:r>
      <w:r w:rsidR="00FC49E7" w:rsidRPr="000B57E4">
        <w:rPr>
          <w:b/>
        </w:rPr>
        <w:t xml:space="preserve"> </w:t>
      </w:r>
      <w:r w:rsidR="00BC1F21" w:rsidRPr="000B57E4">
        <w:rPr>
          <w:b/>
        </w:rPr>
        <w:t xml:space="preserve">in fact </w:t>
      </w:r>
      <w:r w:rsidR="00FC49E7" w:rsidRPr="000B57E4">
        <w:rPr>
          <w:b/>
        </w:rPr>
        <w:t>acquired South Sudanese nationality are not deprived of their Sudanese nationality and</w:t>
      </w:r>
      <w:r w:rsidR="00E51086" w:rsidRPr="000B57E4">
        <w:rPr>
          <w:b/>
        </w:rPr>
        <w:t xml:space="preserve"> </w:t>
      </w:r>
      <w:r w:rsidR="000B57E4" w:rsidRPr="000B57E4">
        <w:rPr>
          <w:b/>
        </w:rPr>
        <w:t>rendered stateless.</w:t>
      </w:r>
    </w:p>
    <w:p w:rsidR="00145843" w:rsidRPr="000B57E4" w:rsidRDefault="0075096D" w:rsidP="000B57E4">
      <w:pPr>
        <w:pStyle w:val="H23G"/>
      </w:pPr>
      <w:r w:rsidRPr="000B57E4">
        <w:tab/>
      </w:r>
      <w:r w:rsidRPr="000B57E4">
        <w:tab/>
      </w:r>
      <w:r w:rsidR="00145843" w:rsidRPr="000B57E4">
        <w:t>Equality between men and women</w:t>
      </w:r>
    </w:p>
    <w:p w:rsidR="00145843" w:rsidRPr="000B57E4" w:rsidRDefault="003A1DAD" w:rsidP="003A1DAD">
      <w:pPr>
        <w:pStyle w:val="SingleTxtG"/>
      </w:pPr>
      <w:r>
        <w:t>29.</w:t>
      </w:r>
      <w:r>
        <w:tab/>
      </w:r>
      <w:r w:rsidR="00FC49E7" w:rsidRPr="000B57E4">
        <w:t>The Committee is concerned at the inferior status of women in the family and in the society</w:t>
      </w:r>
      <w:r w:rsidR="00DB738F" w:rsidRPr="000B57E4">
        <w:t xml:space="preserve"> in the State party</w:t>
      </w:r>
      <w:r w:rsidR="00FC49E7" w:rsidRPr="000B57E4">
        <w:t xml:space="preserve">, </w:t>
      </w:r>
      <w:r w:rsidR="00A77289" w:rsidRPr="000B57E4">
        <w:t xml:space="preserve">which is </w:t>
      </w:r>
      <w:r w:rsidR="00FC49E7" w:rsidRPr="000B57E4">
        <w:t xml:space="preserve">reflected in several legal provisions limiting their rights. </w:t>
      </w:r>
      <w:r w:rsidR="00A77289" w:rsidRPr="000B57E4">
        <w:t>It</w:t>
      </w:r>
      <w:r w:rsidR="00FC49E7" w:rsidRPr="000B57E4">
        <w:t xml:space="preserve"> is</w:t>
      </w:r>
      <w:r w:rsidR="00A77289" w:rsidRPr="000B57E4">
        <w:t xml:space="preserve"> also</w:t>
      </w:r>
      <w:r w:rsidR="00FC49E7" w:rsidRPr="000B57E4">
        <w:t xml:space="preserve"> concerned </w:t>
      </w:r>
      <w:r w:rsidR="00DB738F" w:rsidRPr="000B57E4">
        <w:t xml:space="preserve">at the negative impact of this status on women’s access to education, employment, health </w:t>
      </w:r>
      <w:r w:rsidR="00BC1F21">
        <w:t>(</w:t>
      </w:r>
      <w:r w:rsidR="00DB738F" w:rsidRPr="000B57E4">
        <w:t>including women’s autonomy in regard to their health</w:t>
      </w:r>
      <w:r w:rsidR="00BC1F21">
        <w:t>)</w:t>
      </w:r>
      <w:r w:rsidR="00BC3F47" w:rsidRPr="000B57E4">
        <w:t xml:space="preserve"> and vulnerability to violence</w:t>
      </w:r>
      <w:r w:rsidR="00DB738F" w:rsidRPr="000B57E4">
        <w:t>.</w:t>
      </w:r>
      <w:r w:rsidR="006379EB" w:rsidRPr="000B57E4">
        <w:t xml:space="preserve"> </w:t>
      </w:r>
      <w:r w:rsidR="004F66C9" w:rsidRPr="000B57E4">
        <w:t xml:space="preserve">It </w:t>
      </w:r>
      <w:r w:rsidR="00A77289" w:rsidRPr="000B57E4">
        <w:t>notes in particular</w:t>
      </w:r>
      <w:r w:rsidR="004F66C9" w:rsidRPr="000B57E4">
        <w:t xml:space="preserve"> that women are primarily employed in low-skilled jobs and in the informal economy.</w:t>
      </w:r>
      <w:r w:rsidR="00000A61" w:rsidRPr="000B57E4">
        <w:t xml:space="preserve"> (art. 3)</w:t>
      </w:r>
    </w:p>
    <w:p w:rsidR="006379EB" w:rsidRPr="000B57E4" w:rsidRDefault="003A1DAD" w:rsidP="003A1DAD">
      <w:pPr>
        <w:pStyle w:val="SingleTxtG"/>
      </w:pPr>
      <w:r w:rsidRPr="003A1DAD">
        <w:rPr>
          <w:bCs/>
        </w:rPr>
        <w:t>30.</w:t>
      </w:r>
      <w:r>
        <w:rPr>
          <w:b/>
        </w:rPr>
        <w:tab/>
      </w:r>
      <w:r w:rsidR="00C11A81" w:rsidRPr="00696953">
        <w:rPr>
          <w:b/>
        </w:rPr>
        <w:t>Recalling</w:t>
      </w:r>
      <w:r w:rsidR="00C11A81">
        <w:t xml:space="preserve"> </w:t>
      </w:r>
      <w:r w:rsidR="00C11A81" w:rsidRPr="000B57E4">
        <w:rPr>
          <w:b/>
        </w:rPr>
        <w:t xml:space="preserve">its general comment No. 16 (2005) on </w:t>
      </w:r>
      <w:r w:rsidR="00BC1F21">
        <w:rPr>
          <w:b/>
        </w:rPr>
        <w:t xml:space="preserve">the </w:t>
      </w:r>
      <w:r w:rsidR="00C11A81" w:rsidRPr="000B57E4">
        <w:rPr>
          <w:b/>
        </w:rPr>
        <w:t>equal right of men and women to the enjoyment of economic, social and cultural rights</w:t>
      </w:r>
      <w:r w:rsidR="00C11A81">
        <w:rPr>
          <w:b/>
        </w:rPr>
        <w:t>, t</w:t>
      </w:r>
      <w:r w:rsidR="00BC3F47" w:rsidRPr="00D92281">
        <w:rPr>
          <w:b/>
        </w:rPr>
        <w:t xml:space="preserve">he Committee </w:t>
      </w:r>
      <w:r w:rsidR="000B57E4" w:rsidRPr="00D92281">
        <w:rPr>
          <w:b/>
        </w:rPr>
        <w:t>recommends that the State party</w:t>
      </w:r>
      <w:r w:rsidR="00C11A81">
        <w:rPr>
          <w:b/>
        </w:rPr>
        <w:t>:</w:t>
      </w:r>
    </w:p>
    <w:p w:rsidR="006379EB" w:rsidRPr="000B57E4" w:rsidRDefault="00A124EA" w:rsidP="000B57E4">
      <w:pPr>
        <w:pStyle w:val="SingleTxtG"/>
      </w:pPr>
      <w:r w:rsidRPr="000B57E4">
        <w:tab/>
        <w:t>(a)</w:t>
      </w:r>
      <w:r w:rsidRPr="000B57E4">
        <w:tab/>
      </w:r>
      <w:r w:rsidR="005606BF" w:rsidRPr="000B57E4">
        <w:rPr>
          <w:b/>
        </w:rPr>
        <w:t xml:space="preserve">Raise </w:t>
      </w:r>
      <w:r w:rsidR="00BC3F47" w:rsidRPr="000B57E4">
        <w:rPr>
          <w:b/>
        </w:rPr>
        <w:t xml:space="preserve">awareness among lawmakers of equality between men and women </w:t>
      </w:r>
      <w:r w:rsidR="006379EB" w:rsidRPr="000B57E4">
        <w:rPr>
          <w:b/>
        </w:rPr>
        <w:t>and repeal laws that do not conform with article 3 of the Covenant;</w:t>
      </w:r>
    </w:p>
    <w:p w:rsidR="006379EB" w:rsidRPr="000B57E4" w:rsidRDefault="00A124EA">
      <w:pPr>
        <w:pStyle w:val="SingleTxtG"/>
        <w:rPr>
          <w:b/>
        </w:rPr>
      </w:pPr>
      <w:r w:rsidRPr="000B57E4">
        <w:tab/>
        <w:t>(</w:t>
      </w:r>
      <w:r w:rsidR="000B57E4" w:rsidRPr="000B57E4">
        <w:t>b</w:t>
      </w:r>
      <w:r w:rsidRPr="000B57E4">
        <w:t>)</w:t>
      </w:r>
      <w:r w:rsidRPr="000B57E4">
        <w:tab/>
      </w:r>
      <w:r w:rsidR="005606BF" w:rsidRPr="000B57E4">
        <w:rPr>
          <w:b/>
        </w:rPr>
        <w:t xml:space="preserve">Intensify </w:t>
      </w:r>
      <w:r w:rsidR="006379EB" w:rsidRPr="000B57E4">
        <w:rPr>
          <w:b/>
        </w:rPr>
        <w:t>efforts aimed at the elimination of prejudice</w:t>
      </w:r>
      <w:r w:rsidR="00BC1F21">
        <w:rPr>
          <w:b/>
        </w:rPr>
        <w:t xml:space="preserve"> and</w:t>
      </w:r>
      <w:r w:rsidR="006379EB" w:rsidRPr="000B57E4">
        <w:rPr>
          <w:b/>
        </w:rPr>
        <w:t xml:space="preserve"> customary and other practices that perpetuate the notion </w:t>
      </w:r>
      <w:r w:rsidR="00E06D91">
        <w:rPr>
          <w:b/>
        </w:rPr>
        <w:t>that</w:t>
      </w:r>
      <w:r w:rsidR="00E06D91" w:rsidRPr="000B57E4">
        <w:rPr>
          <w:b/>
        </w:rPr>
        <w:t xml:space="preserve"> </w:t>
      </w:r>
      <w:r w:rsidR="006379EB" w:rsidRPr="000B57E4">
        <w:rPr>
          <w:b/>
        </w:rPr>
        <w:t>women</w:t>
      </w:r>
      <w:r w:rsidR="00E06D91">
        <w:rPr>
          <w:b/>
        </w:rPr>
        <w:t xml:space="preserve"> are inferior</w:t>
      </w:r>
      <w:r w:rsidR="006379EB" w:rsidRPr="000B57E4">
        <w:rPr>
          <w:b/>
        </w:rPr>
        <w:t>;</w:t>
      </w:r>
    </w:p>
    <w:p w:rsidR="00E10780" w:rsidRDefault="00A124EA" w:rsidP="000B57E4">
      <w:pPr>
        <w:pStyle w:val="SingleTxtG"/>
        <w:rPr>
          <w:b/>
        </w:rPr>
      </w:pPr>
      <w:r w:rsidRPr="000B57E4">
        <w:tab/>
        <w:t>(</w:t>
      </w:r>
      <w:r w:rsidR="000B57E4" w:rsidRPr="000B57E4">
        <w:t>c</w:t>
      </w:r>
      <w:r w:rsidRPr="000B57E4">
        <w:t>)</w:t>
      </w:r>
      <w:r w:rsidRPr="000B57E4">
        <w:tab/>
      </w:r>
      <w:r w:rsidR="005606BF" w:rsidRPr="000B57E4">
        <w:rPr>
          <w:b/>
        </w:rPr>
        <w:t xml:space="preserve">Promote </w:t>
      </w:r>
      <w:r w:rsidR="00E81FB5" w:rsidRPr="000B57E4">
        <w:rPr>
          <w:b/>
        </w:rPr>
        <w:t>women’s equal representation in public office and decision-making bodies</w:t>
      </w:r>
      <w:r w:rsidR="00E10780">
        <w:rPr>
          <w:b/>
        </w:rPr>
        <w:t>;</w:t>
      </w:r>
    </w:p>
    <w:p w:rsidR="004F66C9" w:rsidRPr="000B57E4" w:rsidRDefault="00D20C57" w:rsidP="000A05CB">
      <w:pPr>
        <w:pStyle w:val="SingleTxtG"/>
      </w:pPr>
      <w:r>
        <w:tab/>
      </w:r>
      <w:r w:rsidR="00E10780">
        <w:t>(</w:t>
      </w:r>
      <w:r>
        <w:t>d)</w:t>
      </w:r>
      <w:r>
        <w:tab/>
      </w:r>
      <w:r w:rsidR="005606BF" w:rsidRPr="00047F08">
        <w:rPr>
          <w:b/>
        </w:rPr>
        <w:t xml:space="preserve">Take </w:t>
      </w:r>
      <w:r w:rsidR="00E10780" w:rsidRPr="00047F08">
        <w:rPr>
          <w:b/>
        </w:rPr>
        <w:t>concrete measures to increase women’s labour participation</w:t>
      </w:r>
      <w:r w:rsidR="004F66C9" w:rsidRPr="00047F08">
        <w:rPr>
          <w:b/>
        </w:rPr>
        <w:t xml:space="preserve"> and ensure that </w:t>
      </w:r>
      <w:r w:rsidR="007E7F18" w:rsidRPr="00047F08">
        <w:rPr>
          <w:b/>
        </w:rPr>
        <w:t>programmes promoting women’s economic rights</w:t>
      </w:r>
      <w:r w:rsidR="00E10780" w:rsidRPr="00047F08">
        <w:rPr>
          <w:b/>
        </w:rPr>
        <w:t xml:space="preserve"> </w:t>
      </w:r>
      <w:r w:rsidR="004F66C9" w:rsidRPr="00047F08">
        <w:rPr>
          <w:b/>
        </w:rPr>
        <w:t>do not perpetuate their concentration in low-skilled jobs and in the informal economy;</w:t>
      </w:r>
    </w:p>
    <w:p w:rsidR="00E81FB5" w:rsidRPr="000B57E4" w:rsidRDefault="00A124EA" w:rsidP="000B57E4">
      <w:pPr>
        <w:pStyle w:val="SingleTxtG"/>
      </w:pPr>
      <w:r w:rsidRPr="000B57E4">
        <w:tab/>
        <w:t>(</w:t>
      </w:r>
      <w:r w:rsidR="00D20C57">
        <w:t>e</w:t>
      </w:r>
      <w:r w:rsidRPr="000B57E4">
        <w:t>)</w:t>
      </w:r>
      <w:r w:rsidRPr="000B57E4">
        <w:tab/>
      </w:r>
      <w:r w:rsidR="005606BF" w:rsidRPr="000B57E4">
        <w:rPr>
          <w:b/>
        </w:rPr>
        <w:t xml:space="preserve">Ensure </w:t>
      </w:r>
      <w:r w:rsidR="00E81FB5" w:rsidRPr="000B57E4">
        <w:rPr>
          <w:b/>
        </w:rPr>
        <w:t xml:space="preserve">that </w:t>
      </w:r>
      <w:r w:rsidR="00363153">
        <w:rPr>
          <w:b/>
        </w:rPr>
        <w:t xml:space="preserve">all </w:t>
      </w:r>
      <w:r w:rsidR="00E81FB5" w:rsidRPr="000B57E4">
        <w:rPr>
          <w:b/>
        </w:rPr>
        <w:t xml:space="preserve">sectoral policies and programmes provide for measures to accelerate women’s </w:t>
      </w:r>
      <w:r w:rsidR="00363153">
        <w:rPr>
          <w:b/>
        </w:rPr>
        <w:t xml:space="preserve">equal </w:t>
      </w:r>
      <w:r w:rsidR="00E81FB5" w:rsidRPr="000B57E4">
        <w:rPr>
          <w:b/>
        </w:rPr>
        <w:t xml:space="preserve">enjoyment of </w:t>
      </w:r>
      <w:r w:rsidR="00C85F9A" w:rsidRPr="000B57E4">
        <w:rPr>
          <w:b/>
        </w:rPr>
        <w:t xml:space="preserve">the </w:t>
      </w:r>
      <w:r w:rsidR="00E81FB5" w:rsidRPr="000B57E4">
        <w:rPr>
          <w:b/>
        </w:rPr>
        <w:t>Covenant rights</w:t>
      </w:r>
      <w:r w:rsidR="00C85F9A" w:rsidRPr="000B57E4">
        <w:rPr>
          <w:b/>
        </w:rPr>
        <w:t>;</w:t>
      </w:r>
    </w:p>
    <w:p w:rsidR="00C85F9A" w:rsidRPr="000B57E4" w:rsidRDefault="00A124EA" w:rsidP="000B57E4">
      <w:pPr>
        <w:pStyle w:val="SingleTxtG"/>
        <w:rPr>
          <w:b/>
        </w:rPr>
      </w:pPr>
      <w:r w:rsidRPr="000B57E4">
        <w:tab/>
        <w:t>(</w:t>
      </w:r>
      <w:r w:rsidR="00D20C57">
        <w:t>f</w:t>
      </w:r>
      <w:r w:rsidRPr="000B57E4">
        <w:t>)</w:t>
      </w:r>
      <w:r w:rsidRPr="000B57E4">
        <w:tab/>
      </w:r>
      <w:r w:rsidR="005606BF" w:rsidRPr="000B57E4">
        <w:rPr>
          <w:b/>
        </w:rPr>
        <w:t xml:space="preserve">Expedite </w:t>
      </w:r>
      <w:r w:rsidR="00A77289" w:rsidRPr="000B57E4">
        <w:rPr>
          <w:b/>
        </w:rPr>
        <w:t xml:space="preserve">the </w:t>
      </w:r>
      <w:r w:rsidR="004F66C9" w:rsidRPr="000B57E4">
        <w:rPr>
          <w:b/>
        </w:rPr>
        <w:t>adopt</w:t>
      </w:r>
      <w:r w:rsidR="00A77289" w:rsidRPr="000B57E4">
        <w:rPr>
          <w:b/>
        </w:rPr>
        <w:t>ion of</w:t>
      </w:r>
      <w:r w:rsidR="004F66C9" w:rsidRPr="000B57E4">
        <w:rPr>
          <w:b/>
        </w:rPr>
        <w:t xml:space="preserve"> </w:t>
      </w:r>
      <w:r w:rsidR="00A77289" w:rsidRPr="000B57E4">
        <w:rPr>
          <w:b/>
        </w:rPr>
        <w:t>the new</w:t>
      </w:r>
      <w:r w:rsidR="004F66C9" w:rsidRPr="000B57E4">
        <w:rPr>
          <w:b/>
        </w:rPr>
        <w:t xml:space="preserve"> law </w:t>
      </w:r>
      <w:r w:rsidR="00A77289" w:rsidRPr="000B57E4">
        <w:rPr>
          <w:b/>
        </w:rPr>
        <w:t xml:space="preserve">to combat </w:t>
      </w:r>
      <w:r w:rsidR="004F66C9" w:rsidRPr="000B57E4">
        <w:rPr>
          <w:b/>
        </w:rPr>
        <w:t>v</w:t>
      </w:r>
      <w:r w:rsidR="00C85F9A" w:rsidRPr="000B57E4">
        <w:rPr>
          <w:b/>
        </w:rPr>
        <w:t>iolence against women</w:t>
      </w:r>
      <w:r w:rsidR="00F91176">
        <w:rPr>
          <w:b/>
        </w:rPr>
        <w:t>.</w:t>
      </w:r>
    </w:p>
    <w:p w:rsidR="001E5473" w:rsidRPr="000B57E4" w:rsidRDefault="0075096D" w:rsidP="000B57E4">
      <w:pPr>
        <w:pStyle w:val="H23G"/>
      </w:pPr>
      <w:r w:rsidRPr="000B57E4">
        <w:tab/>
      </w:r>
      <w:r w:rsidRPr="000B57E4">
        <w:tab/>
      </w:r>
      <w:r w:rsidR="001E5473" w:rsidRPr="000B57E4">
        <w:t>Unemployment</w:t>
      </w:r>
    </w:p>
    <w:p w:rsidR="00E81FB5" w:rsidRPr="000B57E4" w:rsidRDefault="003A1DAD" w:rsidP="003A1DAD">
      <w:pPr>
        <w:pStyle w:val="SingleTxtG"/>
      </w:pPr>
      <w:r>
        <w:t>31.</w:t>
      </w:r>
      <w:r>
        <w:tab/>
      </w:r>
      <w:r w:rsidR="001E5473" w:rsidRPr="000B57E4">
        <w:t xml:space="preserve">The Committee </w:t>
      </w:r>
      <w:r w:rsidR="00E81FB5" w:rsidRPr="000B57E4">
        <w:t>notes with concern the high rate of unemployment among youth and women</w:t>
      </w:r>
      <w:r w:rsidR="00C85F9A" w:rsidRPr="000B57E4">
        <w:t xml:space="preserve"> in the State party</w:t>
      </w:r>
      <w:r w:rsidR="00E81FB5" w:rsidRPr="000B57E4">
        <w:t>. (art. 6)</w:t>
      </w:r>
    </w:p>
    <w:p w:rsidR="00611312" w:rsidRPr="000B57E4" w:rsidRDefault="003A1DAD" w:rsidP="003A1DAD">
      <w:pPr>
        <w:pStyle w:val="SingleTxtG"/>
      </w:pPr>
      <w:r w:rsidRPr="003A1DAD">
        <w:rPr>
          <w:bCs/>
        </w:rPr>
        <w:t>32.</w:t>
      </w:r>
      <w:r>
        <w:rPr>
          <w:b/>
        </w:rPr>
        <w:tab/>
      </w:r>
      <w:r w:rsidR="00C85F9A" w:rsidRPr="000B57E4">
        <w:rPr>
          <w:b/>
        </w:rPr>
        <w:t xml:space="preserve">The Committee </w:t>
      </w:r>
      <w:r w:rsidR="001F34F7" w:rsidRPr="000B57E4">
        <w:rPr>
          <w:b/>
        </w:rPr>
        <w:t>recommends that</w:t>
      </w:r>
      <w:r w:rsidR="00C85F9A" w:rsidRPr="000B57E4">
        <w:rPr>
          <w:b/>
        </w:rPr>
        <w:t xml:space="preserve"> the State party ensure that </w:t>
      </w:r>
      <w:r w:rsidR="001F34F7" w:rsidRPr="000B57E4">
        <w:rPr>
          <w:b/>
        </w:rPr>
        <w:t>its</w:t>
      </w:r>
      <w:r w:rsidR="00C85F9A" w:rsidRPr="000B57E4">
        <w:rPr>
          <w:b/>
        </w:rPr>
        <w:t xml:space="preserve"> </w:t>
      </w:r>
      <w:r w:rsidR="007369F3" w:rsidRPr="000B57E4">
        <w:rPr>
          <w:b/>
        </w:rPr>
        <w:t>development</w:t>
      </w:r>
      <w:r w:rsidR="00C85F9A" w:rsidRPr="000B57E4">
        <w:rPr>
          <w:b/>
        </w:rPr>
        <w:t xml:space="preserve"> policy, including the investment policy, leads to the creation of employment</w:t>
      </w:r>
      <w:r w:rsidR="007369F3" w:rsidRPr="000B57E4">
        <w:rPr>
          <w:b/>
        </w:rPr>
        <w:t xml:space="preserve"> for nationals</w:t>
      </w:r>
      <w:r w:rsidR="00C85F9A" w:rsidRPr="000B57E4">
        <w:rPr>
          <w:b/>
        </w:rPr>
        <w:t xml:space="preserve">, thereby contributing to the realization of the right to work and the right to </w:t>
      </w:r>
      <w:r w:rsidR="007369F3" w:rsidRPr="000B57E4">
        <w:rPr>
          <w:b/>
        </w:rPr>
        <w:t xml:space="preserve">an adequate standard of living. The Committee also recommends that </w:t>
      </w:r>
      <w:r w:rsidR="004F66C9" w:rsidRPr="000B57E4">
        <w:rPr>
          <w:b/>
        </w:rPr>
        <w:t>educational, vocational and professional training programmes offer skills that facilitate access to employment opportunities, particularly in the priority areas of the country’s economic development. The Committee draws the attention of the State party to its general comment No. 18 (2005) on the right to work.</w:t>
      </w:r>
    </w:p>
    <w:p w:rsidR="00611312" w:rsidRPr="000B57E4" w:rsidRDefault="0075096D" w:rsidP="000B57E4">
      <w:pPr>
        <w:pStyle w:val="H23G"/>
      </w:pPr>
      <w:r w:rsidRPr="000B57E4">
        <w:tab/>
      </w:r>
      <w:r w:rsidRPr="000B57E4">
        <w:tab/>
      </w:r>
      <w:r w:rsidR="00611312" w:rsidRPr="000B57E4">
        <w:t>Informal economy</w:t>
      </w:r>
    </w:p>
    <w:p w:rsidR="001E5473" w:rsidRPr="000B57E4" w:rsidRDefault="003A1DAD" w:rsidP="003A1DAD">
      <w:pPr>
        <w:pStyle w:val="SingleTxtG"/>
      </w:pPr>
      <w:r>
        <w:t>33.</w:t>
      </w:r>
      <w:r>
        <w:tab/>
      </w:r>
      <w:r w:rsidR="00E81FB5" w:rsidRPr="000B57E4">
        <w:t>The Committee is concerned at the</w:t>
      </w:r>
      <w:r w:rsidR="00C11A81">
        <w:t xml:space="preserve"> </w:t>
      </w:r>
      <w:r w:rsidR="002A3D20">
        <w:t>extent</w:t>
      </w:r>
      <w:r w:rsidR="00E81FB5" w:rsidRPr="000B57E4">
        <w:t xml:space="preserve"> of the informal economy in the State party, </w:t>
      </w:r>
      <w:r w:rsidR="00BC1F21">
        <w:t>in which</w:t>
      </w:r>
      <w:r w:rsidR="00BC1F21" w:rsidRPr="000B57E4">
        <w:t xml:space="preserve"> </w:t>
      </w:r>
      <w:r w:rsidR="00E81FB5" w:rsidRPr="000B57E4">
        <w:t>labour</w:t>
      </w:r>
      <w:r w:rsidR="004F66C9" w:rsidRPr="000B57E4">
        <w:t>, trade union</w:t>
      </w:r>
      <w:r w:rsidR="00E81FB5" w:rsidRPr="000B57E4">
        <w:t xml:space="preserve"> and social security rights are not protected.</w:t>
      </w:r>
      <w:r w:rsidR="0017656E" w:rsidRPr="000B57E4">
        <w:t xml:space="preserve"> (art</w:t>
      </w:r>
      <w:r w:rsidR="00491D21">
        <w:t>s</w:t>
      </w:r>
      <w:r w:rsidR="0017656E" w:rsidRPr="000B57E4">
        <w:t>. 7, 8 and</w:t>
      </w:r>
      <w:r w:rsidR="008F7AF3">
        <w:t> </w:t>
      </w:r>
      <w:r w:rsidR="0017656E" w:rsidRPr="000B57E4">
        <w:t>9)</w:t>
      </w:r>
    </w:p>
    <w:p w:rsidR="0017656E" w:rsidRPr="00987AAD" w:rsidRDefault="003A1DAD" w:rsidP="003A1DAD">
      <w:pPr>
        <w:pStyle w:val="SingleTxtG"/>
        <w:rPr>
          <w:b/>
        </w:rPr>
      </w:pPr>
      <w:r w:rsidRPr="003A1DAD">
        <w:rPr>
          <w:bCs/>
        </w:rPr>
        <w:t>34.</w:t>
      </w:r>
      <w:r>
        <w:rPr>
          <w:b/>
        </w:rPr>
        <w:tab/>
      </w:r>
      <w:r w:rsidR="0017656E" w:rsidRPr="000B57E4">
        <w:rPr>
          <w:b/>
        </w:rPr>
        <w:t xml:space="preserve">The Committee recommends that the State party address </w:t>
      </w:r>
      <w:r w:rsidR="007A23F8" w:rsidRPr="000B57E4">
        <w:rPr>
          <w:b/>
        </w:rPr>
        <w:t xml:space="preserve">regulatory </w:t>
      </w:r>
      <w:r w:rsidR="00966D23" w:rsidRPr="000B57E4">
        <w:rPr>
          <w:b/>
        </w:rPr>
        <w:t xml:space="preserve">and administrative </w:t>
      </w:r>
      <w:r w:rsidR="0017656E" w:rsidRPr="000B57E4">
        <w:rPr>
          <w:b/>
        </w:rPr>
        <w:t>barriers to the creation of employment</w:t>
      </w:r>
      <w:r w:rsidR="00367074" w:rsidRPr="000B57E4">
        <w:rPr>
          <w:b/>
        </w:rPr>
        <w:t xml:space="preserve"> </w:t>
      </w:r>
      <w:r w:rsidR="0017656E" w:rsidRPr="000B57E4">
        <w:rPr>
          <w:b/>
        </w:rPr>
        <w:t xml:space="preserve">in the </w:t>
      </w:r>
      <w:r w:rsidR="00D33085" w:rsidRPr="000B57E4">
        <w:rPr>
          <w:b/>
        </w:rPr>
        <w:t>in</w:t>
      </w:r>
      <w:r w:rsidR="0017656E" w:rsidRPr="000B57E4">
        <w:rPr>
          <w:b/>
        </w:rPr>
        <w:t xml:space="preserve">formal economy and take measures to progressively enforce labour </w:t>
      </w:r>
      <w:r w:rsidR="00081834">
        <w:rPr>
          <w:b/>
        </w:rPr>
        <w:t>regulations</w:t>
      </w:r>
      <w:r w:rsidR="00081834" w:rsidRPr="000B57E4">
        <w:rPr>
          <w:b/>
        </w:rPr>
        <w:t xml:space="preserve"> </w:t>
      </w:r>
      <w:r w:rsidR="00D33085" w:rsidRPr="000B57E4">
        <w:rPr>
          <w:b/>
        </w:rPr>
        <w:t>therein</w:t>
      </w:r>
      <w:r w:rsidR="0017656E" w:rsidRPr="000B57E4">
        <w:rPr>
          <w:b/>
        </w:rPr>
        <w:t xml:space="preserve">. </w:t>
      </w:r>
      <w:r w:rsidR="00D33085" w:rsidRPr="000B57E4">
        <w:rPr>
          <w:b/>
        </w:rPr>
        <w:t xml:space="preserve">In this regard, the Committee recommends that the State party expand the capacity of its labour inspectorate and train its personnel on how to address working conditions in the informal economy. </w:t>
      </w:r>
      <w:r w:rsidR="00E51086" w:rsidRPr="00987AAD">
        <w:rPr>
          <w:b/>
        </w:rPr>
        <w:t xml:space="preserve">The Committee draws the attention of the State party to </w:t>
      </w:r>
      <w:r w:rsidR="00726420">
        <w:rPr>
          <w:b/>
        </w:rPr>
        <w:t xml:space="preserve">ILO </w:t>
      </w:r>
      <w:r w:rsidR="00BC1F21" w:rsidRPr="00987AAD">
        <w:rPr>
          <w:b/>
        </w:rPr>
        <w:t>Transition from the Informal to the Formal Economy Recommendation, 2015 (No. 204)</w:t>
      </w:r>
      <w:r w:rsidR="00E51086" w:rsidRPr="00987AAD">
        <w:rPr>
          <w:b/>
        </w:rPr>
        <w:t>.</w:t>
      </w:r>
    </w:p>
    <w:p w:rsidR="00145843" w:rsidRPr="000B57E4" w:rsidRDefault="0075096D" w:rsidP="000B57E4">
      <w:pPr>
        <w:pStyle w:val="H23G"/>
      </w:pPr>
      <w:r w:rsidRPr="000B57E4">
        <w:tab/>
      </w:r>
      <w:r w:rsidRPr="000B57E4">
        <w:tab/>
      </w:r>
      <w:r w:rsidR="00145843" w:rsidRPr="000B57E4">
        <w:t>Trade union rights</w:t>
      </w:r>
      <w:r w:rsidR="00966D23" w:rsidRPr="000B57E4">
        <w:t xml:space="preserve"> </w:t>
      </w:r>
    </w:p>
    <w:p w:rsidR="00145843" w:rsidRPr="000B57E4" w:rsidRDefault="003A1DAD" w:rsidP="003A1DAD">
      <w:pPr>
        <w:pStyle w:val="SingleTxtG"/>
      </w:pPr>
      <w:r>
        <w:t>35.</w:t>
      </w:r>
      <w:r>
        <w:tab/>
      </w:r>
      <w:r w:rsidR="006A6B62" w:rsidRPr="000B57E4">
        <w:t xml:space="preserve">The Committee notes </w:t>
      </w:r>
      <w:r w:rsidR="00137598" w:rsidRPr="000B57E4">
        <w:t>with concern that</w:t>
      </w:r>
      <w:r w:rsidR="00891790" w:rsidRPr="000B57E4">
        <w:t xml:space="preserve"> trade union rights are restricted under the State party’s 2010 Trade Union Act</w:t>
      </w:r>
      <w:r w:rsidR="009B203F" w:rsidRPr="000B57E4">
        <w:t>.</w:t>
      </w:r>
      <w:r w:rsidR="00891790" w:rsidRPr="000B57E4">
        <w:t xml:space="preserve"> </w:t>
      </w:r>
      <w:r w:rsidR="001F34F7" w:rsidRPr="000B57E4">
        <w:t xml:space="preserve">It </w:t>
      </w:r>
      <w:r w:rsidR="00891790" w:rsidRPr="000B57E4">
        <w:t xml:space="preserve">also expresses concern </w:t>
      </w:r>
      <w:r w:rsidR="007A23F8" w:rsidRPr="000B57E4">
        <w:t>that workers abstain from engaging in trade union activities out of fear of reprisals</w:t>
      </w:r>
      <w:r w:rsidR="00891790" w:rsidRPr="000B57E4">
        <w:t xml:space="preserve">. </w:t>
      </w:r>
      <w:r w:rsidR="009B203F" w:rsidRPr="000B57E4">
        <w:t>(art. 8)</w:t>
      </w:r>
    </w:p>
    <w:p w:rsidR="009B203F" w:rsidRPr="000B57E4" w:rsidRDefault="003A1DAD" w:rsidP="003A1DAD">
      <w:pPr>
        <w:pStyle w:val="SingleTxtG"/>
      </w:pPr>
      <w:r w:rsidRPr="003A1DAD">
        <w:rPr>
          <w:bCs/>
        </w:rPr>
        <w:t>36.</w:t>
      </w:r>
      <w:r>
        <w:rPr>
          <w:b/>
        </w:rPr>
        <w:tab/>
      </w:r>
      <w:r w:rsidR="009B203F" w:rsidRPr="000B57E4">
        <w:rPr>
          <w:b/>
        </w:rPr>
        <w:t xml:space="preserve">The Committee recommends that the State party </w:t>
      </w:r>
      <w:r w:rsidR="00891790" w:rsidRPr="000B57E4">
        <w:rPr>
          <w:b/>
        </w:rPr>
        <w:t>bring</w:t>
      </w:r>
      <w:r w:rsidR="009B203F" w:rsidRPr="000B57E4">
        <w:rPr>
          <w:b/>
        </w:rPr>
        <w:t xml:space="preserve"> </w:t>
      </w:r>
      <w:r w:rsidR="00891790" w:rsidRPr="000B57E4">
        <w:rPr>
          <w:b/>
        </w:rPr>
        <w:t>its legislation on trade unions</w:t>
      </w:r>
      <w:r w:rsidR="009B203F" w:rsidRPr="000B57E4">
        <w:rPr>
          <w:b/>
        </w:rPr>
        <w:t xml:space="preserve"> into conformity with the provisions of article 8</w:t>
      </w:r>
      <w:r w:rsidR="00891790" w:rsidRPr="000B57E4">
        <w:rPr>
          <w:b/>
        </w:rPr>
        <w:t>, including by guaranteeing workers’ right to freely form and join the trade union of their choice</w:t>
      </w:r>
      <w:r w:rsidR="00D33085" w:rsidRPr="000B57E4">
        <w:rPr>
          <w:b/>
        </w:rPr>
        <w:t xml:space="preserve"> and the free registration of trade unions</w:t>
      </w:r>
      <w:r w:rsidR="00891790" w:rsidRPr="000B57E4">
        <w:rPr>
          <w:b/>
        </w:rPr>
        <w:t xml:space="preserve"> and by subjecting union activities to the</w:t>
      </w:r>
      <w:r w:rsidR="00BC1F21">
        <w:rPr>
          <w:b/>
        </w:rPr>
        <w:t xml:space="preserve"> trade unions’</w:t>
      </w:r>
      <w:r w:rsidR="00891790" w:rsidRPr="000B57E4">
        <w:rPr>
          <w:b/>
        </w:rPr>
        <w:t xml:space="preserve"> own rules</w:t>
      </w:r>
      <w:r w:rsidR="009B203F" w:rsidRPr="000B57E4">
        <w:rPr>
          <w:b/>
        </w:rPr>
        <w:t xml:space="preserve">. The Committee also </w:t>
      </w:r>
      <w:r w:rsidR="00425D75" w:rsidRPr="000B57E4">
        <w:rPr>
          <w:b/>
        </w:rPr>
        <w:t xml:space="preserve">recommends that workers </w:t>
      </w:r>
      <w:r w:rsidR="00363153">
        <w:rPr>
          <w:b/>
        </w:rPr>
        <w:t>be</w:t>
      </w:r>
      <w:r w:rsidR="00425D75" w:rsidRPr="000B57E4">
        <w:rPr>
          <w:b/>
        </w:rPr>
        <w:t xml:space="preserve"> allowed</w:t>
      </w:r>
      <w:r w:rsidR="009B203F" w:rsidRPr="000B57E4">
        <w:rPr>
          <w:b/>
        </w:rPr>
        <w:t xml:space="preserve"> to freely exercise trade union rights</w:t>
      </w:r>
      <w:r w:rsidR="001F34F7" w:rsidRPr="000B57E4">
        <w:rPr>
          <w:b/>
        </w:rPr>
        <w:t xml:space="preserve"> and </w:t>
      </w:r>
      <w:r w:rsidR="00363153">
        <w:rPr>
          <w:b/>
        </w:rPr>
        <w:t>be</w:t>
      </w:r>
      <w:r w:rsidR="00363153" w:rsidRPr="000B57E4">
        <w:rPr>
          <w:b/>
        </w:rPr>
        <w:t xml:space="preserve"> </w:t>
      </w:r>
      <w:r w:rsidR="001F34F7" w:rsidRPr="000B57E4">
        <w:rPr>
          <w:b/>
        </w:rPr>
        <w:t>effectively protected against</w:t>
      </w:r>
      <w:r w:rsidR="009B203F" w:rsidRPr="000B57E4">
        <w:rPr>
          <w:b/>
        </w:rPr>
        <w:t xml:space="preserve"> reprisals.</w:t>
      </w:r>
    </w:p>
    <w:p w:rsidR="001E5473" w:rsidRPr="000B57E4" w:rsidRDefault="0075096D" w:rsidP="000B57E4">
      <w:pPr>
        <w:pStyle w:val="H23G"/>
      </w:pPr>
      <w:r w:rsidRPr="000B57E4">
        <w:tab/>
      </w:r>
      <w:r w:rsidRPr="000B57E4">
        <w:tab/>
      </w:r>
      <w:r w:rsidR="001E5473" w:rsidRPr="000B57E4">
        <w:t xml:space="preserve">Social security </w:t>
      </w:r>
    </w:p>
    <w:p w:rsidR="00145843" w:rsidRPr="000B57E4" w:rsidRDefault="003A1DAD" w:rsidP="003A1DAD">
      <w:pPr>
        <w:pStyle w:val="SingleTxtG"/>
      </w:pPr>
      <w:r>
        <w:t>37.</w:t>
      </w:r>
      <w:r>
        <w:tab/>
      </w:r>
      <w:r w:rsidR="00383309">
        <w:t>While noting</w:t>
      </w:r>
      <w:r w:rsidR="00880B62">
        <w:t xml:space="preserve"> the activities undertaken </w:t>
      </w:r>
      <w:r w:rsidR="00696953">
        <w:t>by</w:t>
      </w:r>
      <w:r w:rsidR="00880B62">
        <w:t xml:space="preserve"> the Zakat Fund, t</w:t>
      </w:r>
      <w:r w:rsidR="001E5473" w:rsidRPr="000B57E4">
        <w:t>he Committee is concerned that only</w:t>
      </w:r>
      <w:r w:rsidR="00891790" w:rsidRPr="000B57E4">
        <w:t xml:space="preserve"> a small fraction of the population</w:t>
      </w:r>
      <w:r w:rsidR="001E5473" w:rsidRPr="000B57E4">
        <w:t xml:space="preserve"> </w:t>
      </w:r>
      <w:r w:rsidR="00366BFE" w:rsidRPr="000B57E4">
        <w:t>is</w:t>
      </w:r>
      <w:r w:rsidR="00891790" w:rsidRPr="000B57E4">
        <w:t xml:space="preserve"> covered by </w:t>
      </w:r>
      <w:r w:rsidR="001E5473" w:rsidRPr="000B57E4">
        <w:t>social security</w:t>
      </w:r>
      <w:r w:rsidR="00891790" w:rsidRPr="000B57E4">
        <w:t xml:space="preserve"> </w:t>
      </w:r>
      <w:r w:rsidR="00D464F6" w:rsidRPr="000B57E4">
        <w:t>in</w:t>
      </w:r>
      <w:r w:rsidR="00891790" w:rsidRPr="000B57E4">
        <w:t xml:space="preserve"> the State party</w:t>
      </w:r>
      <w:r w:rsidR="001E5473" w:rsidRPr="000B57E4">
        <w:t>.</w:t>
      </w:r>
      <w:r w:rsidR="00891790" w:rsidRPr="000B57E4">
        <w:t xml:space="preserve"> (art. 9)</w:t>
      </w:r>
    </w:p>
    <w:p w:rsidR="001E5473" w:rsidRDefault="003A1DAD" w:rsidP="003A1DAD">
      <w:pPr>
        <w:pStyle w:val="SingleTxtG"/>
        <w:rPr>
          <w:b/>
        </w:rPr>
      </w:pPr>
      <w:r w:rsidRPr="003A1DAD">
        <w:rPr>
          <w:bCs/>
        </w:rPr>
        <w:t>38.</w:t>
      </w:r>
      <w:r w:rsidRPr="003A1DAD">
        <w:rPr>
          <w:bCs/>
        </w:rPr>
        <w:tab/>
      </w:r>
      <w:r w:rsidR="000630BB" w:rsidRPr="000630BB">
        <w:rPr>
          <w:b/>
        </w:rPr>
        <w:t xml:space="preserve">The Committee recommends that, </w:t>
      </w:r>
      <w:r w:rsidR="00BC1F21">
        <w:rPr>
          <w:b/>
        </w:rPr>
        <w:t>besides</w:t>
      </w:r>
      <w:r w:rsidR="000630BB" w:rsidRPr="000630BB">
        <w:rPr>
          <w:b/>
        </w:rPr>
        <w:t xml:space="preserve"> the activities of the Zakat Fund, </w:t>
      </w:r>
      <w:r w:rsidR="000630BB">
        <w:rPr>
          <w:b/>
        </w:rPr>
        <w:t xml:space="preserve">measures </w:t>
      </w:r>
      <w:r w:rsidR="00047F08">
        <w:rPr>
          <w:b/>
        </w:rPr>
        <w:t>be</w:t>
      </w:r>
      <w:r w:rsidR="000630BB">
        <w:rPr>
          <w:b/>
        </w:rPr>
        <w:t xml:space="preserve"> taken to </w:t>
      </w:r>
      <w:r w:rsidR="00D67E5E">
        <w:rPr>
          <w:b/>
        </w:rPr>
        <w:t xml:space="preserve">develop </w:t>
      </w:r>
      <w:r w:rsidR="00047F08">
        <w:rPr>
          <w:b/>
        </w:rPr>
        <w:t>a</w:t>
      </w:r>
      <w:r w:rsidR="000630BB">
        <w:rPr>
          <w:b/>
        </w:rPr>
        <w:t xml:space="preserve"> social security system, based </w:t>
      </w:r>
      <w:r w:rsidR="00C11A81">
        <w:rPr>
          <w:b/>
        </w:rPr>
        <w:t>on the right to social security</w:t>
      </w:r>
      <w:r w:rsidR="000630BB">
        <w:rPr>
          <w:b/>
        </w:rPr>
        <w:t xml:space="preserve"> and </w:t>
      </w:r>
      <w:r w:rsidR="00696953">
        <w:rPr>
          <w:b/>
        </w:rPr>
        <w:t xml:space="preserve">with </w:t>
      </w:r>
      <w:r w:rsidR="000630BB">
        <w:rPr>
          <w:b/>
        </w:rPr>
        <w:t>adequate public budget allocations</w:t>
      </w:r>
      <w:r w:rsidR="000630BB" w:rsidRPr="000630BB">
        <w:rPr>
          <w:b/>
        </w:rPr>
        <w:t xml:space="preserve"> with a view to reach</w:t>
      </w:r>
      <w:r w:rsidR="000630BB">
        <w:rPr>
          <w:b/>
        </w:rPr>
        <w:t>ing</w:t>
      </w:r>
      <w:r w:rsidR="000630BB" w:rsidRPr="000630BB">
        <w:rPr>
          <w:b/>
        </w:rPr>
        <w:t xml:space="preserve"> full coverage </w:t>
      </w:r>
      <w:r w:rsidR="000630BB">
        <w:rPr>
          <w:b/>
        </w:rPr>
        <w:t>of</w:t>
      </w:r>
      <w:r w:rsidR="000630BB" w:rsidRPr="000630BB">
        <w:rPr>
          <w:b/>
        </w:rPr>
        <w:t xml:space="preserve"> all the segments of its population.</w:t>
      </w:r>
      <w:r w:rsidR="000630BB">
        <w:rPr>
          <w:b/>
        </w:rPr>
        <w:t xml:space="preserve"> </w:t>
      </w:r>
      <w:r w:rsidR="00C11A81">
        <w:rPr>
          <w:b/>
        </w:rPr>
        <w:t>In this regard, t</w:t>
      </w:r>
      <w:r w:rsidR="00BF6ED1" w:rsidRPr="000B57E4">
        <w:rPr>
          <w:b/>
        </w:rPr>
        <w:t xml:space="preserve">he Committee recommends that the State party consider the establishment of a social protection floor as envisaged </w:t>
      </w:r>
      <w:r w:rsidR="00BF6ED1" w:rsidRPr="00EC05B7">
        <w:rPr>
          <w:b/>
        </w:rPr>
        <w:t xml:space="preserve">in the ILO </w:t>
      </w:r>
      <w:r w:rsidR="00BC1F21" w:rsidRPr="00EC05B7">
        <w:rPr>
          <w:b/>
        </w:rPr>
        <w:t>Social</w:t>
      </w:r>
      <w:r w:rsidR="00BC1F21">
        <w:rPr>
          <w:b/>
        </w:rPr>
        <w:t xml:space="preserve"> Protection Floors R</w:t>
      </w:r>
      <w:r w:rsidR="00BF6ED1" w:rsidRPr="000B57E4">
        <w:rPr>
          <w:b/>
        </w:rPr>
        <w:t>ecommendation</w:t>
      </w:r>
      <w:r w:rsidR="00BC1F21">
        <w:rPr>
          <w:b/>
        </w:rPr>
        <w:t>, 2012</w:t>
      </w:r>
      <w:r w:rsidR="00BF6ED1" w:rsidRPr="000B57E4">
        <w:rPr>
          <w:b/>
        </w:rPr>
        <w:t xml:space="preserve"> </w:t>
      </w:r>
      <w:r w:rsidR="00BC1F21">
        <w:rPr>
          <w:b/>
        </w:rPr>
        <w:t>(</w:t>
      </w:r>
      <w:r w:rsidR="00BF6ED1" w:rsidRPr="000B57E4">
        <w:rPr>
          <w:b/>
        </w:rPr>
        <w:t>No. 202).</w:t>
      </w:r>
      <w:r w:rsidR="00E10780">
        <w:rPr>
          <w:b/>
        </w:rPr>
        <w:t xml:space="preserve"> The Committee refers the State party to its general comment No. 19 (2008) on the right to social security and its statement on social protection floors (2015).</w:t>
      </w:r>
    </w:p>
    <w:p w:rsidR="001E5473" w:rsidRPr="000B57E4" w:rsidRDefault="004B26E7" w:rsidP="000B57E4">
      <w:pPr>
        <w:pStyle w:val="H23G"/>
      </w:pPr>
      <w:r>
        <w:tab/>
      </w:r>
      <w:r>
        <w:tab/>
      </w:r>
      <w:r w:rsidR="00294AB6" w:rsidRPr="000B57E4">
        <w:t>Minimum age of marriage</w:t>
      </w:r>
    </w:p>
    <w:p w:rsidR="00294AB6" w:rsidRPr="000B57E4" w:rsidRDefault="003A1DAD" w:rsidP="003A1DAD">
      <w:pPr>
        <w:pStyle w:val="SingleTxtG"/>
      </w:pPr>
      <w:r>
        <w:t>39.</w:t>
      </w:r>
      <w:r>
        <w:tab/>
      </w:r>
      <w:r w:rsidR="0004289E" w:rsidRPr="000B57E4">
        <w:t>The Committee is concerned at the very low ages of marriage for boys and girls in the State party</w:t>
      </w:r>
      <w:r w:rsidR="00451F5F" w:rsidRPr="000B57E4">
        <w:t>, of 15 and 10</w:t>
      </w:r>
      <w:r w:rsidR="00850389">
        <w:t xml:space="preserve"> years,</w:t>
      </w:r>
      <w:r w:rsidR="00451F5F" w:rsidRPr="000B57E4">
        <w:t xml:space="preserve"> respectively</w:t>
      </w:r>
      <w:r w:rsidR="000B57E4">
        <w:t>. (art. 10)</w:t>
      </w:r>
    </w:p>
    <w:p w:rsidR="0004289E" w:rsidRPr="000B57E4" w:rsidRDefault="003A1DAD" w:rsidP="003A1DAD">
      <w:pPr>
        <w:pStyle w:val="SingleTxtG"/>
      </w:pPr>
      <w:r w:rsidRPr="003A1DAD">
        <w:rPr>
          <w:bCs/>
        </w:rPr>
        <w:t>40.</w:t>
      </w:r>
      <w:r w:rsidRPr="003A1DAD">
        <w:rPr>
          <w:bCs/>
        </w:rPr>
        <w:tab/>
      </w:r>
      <w:r w:rsidR="0004289E" w:rsidRPr="000B57E4">
        <w:rPr>
          <w:b/>
        </w:rPr>
        <w:t xml:space="preserve">The Committee </w:t>
      </w:r>
      <w:r w:rsidR="007A23F8" w:rsidRPr="000B57E4">
        <w:rPr>
          <w:b/>
        </w:rPr>
        <w:t>recommends that</w:t>
      </w:r>
      <w:r w:rsidR="0004289E" w:rsidRPr="000B57E4">
        <w:rPr>
          <w:b/>
        </w:rPr>
        <w:t xml:space="preserve"> the State party raise the legal minimum age for marriage to 18 years for boys and girls to protect children from early and forced marriage.</w:t>
      </w:r>
    </w:p>
    <w:p w:rsidR="00294AB6" w:rsidRPr="000B57E4" w:rsidRDefault="0075096D" w:rsidP="000B57E4">
      <w:pPr>
        <w:pStyle w:val="H23G"/>
      </w:pPr>
      <w:r w:rsidRPr="000B57E4">
        <w:tab/>
      </w:r>
      <w:r w:rsidRPr="000B57E4">
        <w:tab/>
      </w:r>
      <w:r w:rsidR="0004289E" w:rsidRPr="000B57E4">
        <w:t>Female genital mutilation</w:t>
      </w:r>
    </w:p>
    <w:p w:rsidR="00294AB6" w:rsidRPr="000B57E4" w:rsidRDefault="003A1DAD" w:rsidP="003A1DAD">
      <w:pPr>
        <w:pStyle w:val="SingleTxtG"/>
      </w:pPr>
      <w:r>
        <w:t>41.</w:t>
      </w:r>
      <w:r>
        <w:tab/>
      </w:r>
      <w:r w:rsidR="005234F7">
        <w:t>While noting the commitment of the State party to eradicate female genital mutilation by 2018, t</w:t>
      </w:r>
      <w:r w:rsidR="00294AB6" w:rsidRPr="000B57E4">
        <w:t xml:space="preserve">he </w:t>
      </w:r>
      <w:r w:rsidR="0004289E" w:rsidRPr="000B57E4">
        <w:t xml:space="preserve">Committee expresses concern that </w:t>
      </w:r>
      <w:r w:rsidR="005234F7">
        <w:t xml:space="preserve">its </w:t>
      </w:r>
      <w:r w:rsidR="0004289E" w:rsidRPr="000B57E4">
        <w:t xml:space="preserve">prevalence remains high in spite of </w:t>
      </w:r>
      <w:r w:rsidR="00850389">
        <w:t xml:space="preserve">the </w:t>
      </w:r>
      <w:r w:rsidR="0004289E" w:rsidRPr="000B57E4">
        <w:t xml:space="preserve">measures taken. It is also concerned that provisions </w:t>
      </w:r>
      <w:r w:rsidR="005F49C5" w:rsidRPr="000B57E4">
        <w:t xml:space="preserve">criminalizing </w:t>
      </w:r>
      <w:r w:rsidR="00E06D91">
        <w:t>female genital mutilation</w:t>
      </w:r>
      <w:r w:rsidR="00E06D91" w:rsidRPr="000B57E4">
        <w:t xml:space="preserve"> </w:t>
      </w:r>
      <w:r w:rsidR="0004289E" w:rsidRPr="000B57E4">
        <w:t>have been removed</w:t>
      </w:r>
      <w:r w:rsidR="005F49C5" w:rsidRPr="000B57E4">
        <w:t xml:space="preserve"> from the Child Health Act</w:t>
      </w:r>
      <w:r w:rsidR="0004289E" w:rsidRPr="000B57E4">
        <w:t>. (art. 10)</w:t>
      </w:r>
    </w:p>
    <w:p w:rsidR="00294AB6" w:rsidRDefault="003A1DAD" w:rsidP="003A1DAD">
      <w:pPr>
        <w:pStyle w:val="SingleTxtG"/>
        <w:rPr>
          <w:b/>
        </w:rPr>
      </w:pPr>
      <w:r w:rsidRPr="003A1DAD">
        <w:rPr>
          <w:bCs/>
        </w:rPr>
        <w:t>42.</w:t>
      </w:r>
      <w:r>
        <w:rPr>
          <w:b/>
        </w:rPr>
        <w:tab/>
      </w:r>
      <w:r w:rsidR="00294AB6" w:rsidRPr="000B57E4">
        <w:rPr>
          <w:b/>
        </w:rPr>
        <w:t>The Committee recommends that</w:t>
      </w:r>
      <w:r w:rsidR="005F49C5" w:rsidRPr="000B57E4">
        <w:rPr>
          <w:b/>
        </w:rPr>
        <w:t xml:space="preserve"> the State party</w:t>
      </w:r>
      <w:r w:rsidR="00850389">
        <w:rPr>
          <w:b/>
        </w:rPr>
        <w:t>:</w:t>
      </w:r>
      <w:r w:rsidR="005F49C5" w:rsidRPr="000B57E4">
        <w:rPr>
          <w:b/>
        </w:rPr>
        <w:t xml:space="preserve"> (a) </w:t>
      </w:r>
      <w:r w:rsidR="00850389">
        <w:rPr>
          <w:b/>
        </w:rPr>
        <w:t>expedite</w:t>
      </w:r>
      <w:r w:rsidR="00850389" w:rsidRPr="000B57E4">
        <w:rPr>
          <w:b/>
        </w:rPr>
        <w:t xml:space="preserve"> </w:t>
      </w:r>
      <w:r w:rsidR="005F49C5" w:rsidRPr="000B57E4">
        <w:rPr>
          <w:b/>
        </w:rPr>
        <w:t xml:space="preserve">the adoption </w:t>
      </w:r>
      <w:r w:rsidR="000630BB">
        <w:rPr>
          <w:b/>
        </w:rPr>
        <w:t xml:space="preserve">and the application </w:t>
      </w:r>
      <w:r w:rsidR="005F49C5" w:rsidRPr="000B57E4">
        <w:rPr>
          <w:b/>
        </w:rPr>
        <w:t xml:space="preserve">of </w:t>
      </w:r>
      <w:r w:rsidR="000630BB">
        <w:rPr>
          <w:b/>
        </w:rPr>
        <w:t>legislation</w:t>
      </w:r>
      <w:r w:rsidR="005F49C5" w:rsidRPr="000B57E4">
        <w:rPr>
          <w:b/>
        </w:rPr>
        <w:t xml:space="preserve"> against female genital mutilation </w:t>
      </w:r>
      <w:r w:rsidR="00760911">
        <w:rPr>
          <w:b/>
        </w:rPr>
        <w:t>in all</w:t>
      </w:r>
      <w:r w:rsidR="00BC29BA">
        <w:rPr>
          <w:b/>
        </w:rPr>
        <w:t xml:space="preserve"> constituent</w:t>
      </w:r>
      <w:r w:rsidR="00760911">
        <w:rPr>
          <w:b/>
        </w:rPr>
        <w:t xml:space="preserve"> </w:t>
      </w:r>
      <w:r w:rsidR="000630BB">
        <w:rPr>
          <w:b/>
        </w:rPr>
        <w:t>s</w:t>
      </w:r>
      <w:r w:rsidR="00760911">
        <w:rPr>
          <w:b/>
        </w:rPr>
        <w:t>tates</w:t>
      </w:r>
      <w:r w:rsidR="005F49C5" w:rsidRPr="000B57E4">
        <w:rPr>
          <w:b/>
        </w:rPr>
        <w:t xml:space="preserve">; (b) address the obstacles to the abandonment of the practice of </w:t>
      </w:r>
      <w:r w:rsidR="00E06D91">
        <w:rPr>
          <w:b/>
        </w:rPr>
        <w:t>female genital mutilation</w:t>
      </w:r>
      <w:r w:rsidR="005F49C5" w:rsidRPr="000B57E4">
        <w:rPr>
          <w:b/>
        </w:rPr>
        <w:t xml:space="preserve">; (c) continue raising awareness of the harmful consequences of </w:t>
      </w:r>
      <w:r w:rsidR="00E06D91">
        <w:rPr>
          <w:b/>
        </w:rPr>
        <w:t>female genital mutilation</w:t>
      </w:r>
      <w:r w:rsidR="00E06D91" w:rsidRPr="000B57E4">
        <w:rPr>
          <w:b/>
        </w:rPr>
        <w:t xml:space="preserve"> </w:t>
      </w:r>
      <w:r w:rsidR="005F49C5" w:rsidRPr="000B57E4">
        <w:rPr>
          <w:b/>
        </w:rPr>
        <w:t>through culturally</w:t>
      </w:r>
      <w:r w:rsidR="00850389">
        <w:rPr>
          <w:b/>
        </w:rPr>
        <w:t xml:space="preserve"> </w:t>
      </w:r>
      <w:r w:rsidR="005F49C5" w:rsidRPr="000B57E4">
        <w:rPr>
          <w:b/>
        </w:rPr>
        <w:t xml:space="preserve">sensitive campaigns; </w:t>
      </w:r>
      <w:r w:rsidR="004B26E7">
        <w:rPr>
          <w:b/>
        </w:rPr>
        <w:t xml:space="preserve">and </w:t>
      </w:r>
      <w:r w:rsidR="005F49C5" w:rsidRPr="000B57E4">
        <w:rPr>
          <w:b/>
        </w:rPr>
        <w:t xml:space="preserve">(d) provide assistance to victims of </w:t>
      </w:r>
      <w:r w:rsidR="00E06D91">
        <w:rPr>
          <w:b/>
        </w:rPr>
        <w:t>female genital mutilation</w:t>
      </w:r>
      <w:r w:rsidR="005F49C5" w:rsidRPr="000B57E4">
        <w:rPr>
          <w:b/>
        </w:rPr>
        <w:t>, including medical procedures to treat immedia</w:t>
      </w:r>
      <w:r w:rsidR="000B57E4" w:rsidRPr="000B57E4">
        <w:rPr>
          <w:b/>
        </w:rPr>
        <w:t>te and long-term complications.</w:t>
      </w:r>
    </w:p>
    <w:p w:rsidR="00760911" w:rsidRPr="000630BB" w:rsidRDefault="000630BB" w:rsidP="000630BB">
      <w:pPr>
        <w:pStyle w:val="H23G"/>
      </w:pPr>
      <w:r>
        <w:tab/>
      </w:r>
      <w:r>
        <w:tab/>
      </w:r>
      <w:r w:rsidR="00760911" w:rsidRPr="000630BB">
        <w:t>Poverty</w:t>
      </w:r>
    </w:p>
    <w:p w:rsidR="00760911" w:rsidRPr="00696953" w:rsidRDefault="003A1DAD" w:rsidP="003A1DAD">
      <w:pPr>
        <w:pStyle w:val="SingleTxtG"/>
        <w:rPr>
          <w:lang w:val="en-US"/>
        </w:rPr>
      </w:pPr>
      <w:r>
        <w:rPr>
          <w:lang w:val="en-US"/>
        </w:rPr>
        <w:t>43.</w:t>
      </w:r>
      <w:r>
        <w:rPr>
          <w:lang w:val="en-US"/>
        </w:rPr>
        <w:tab/>
      </w:r>
      <w:r w:rsidR="00760911" w:rsidRPr="00696953">
        <w:rPr>
          <w:lang w:val="en-US"/>
        </w:rPr>
        <w:t xml:space="preserve">The Committee is concerned </w:t>
      </w:r>
      <w:r w:rsidR="000630BB" w:rsidRPr="00696953">
        <w:rPr>
          <w:lang w:val="en-US"/>
        </w:rPr>
        <w:t xml:space="preserve">that </w:t>
      </w:r>
      <w:r w:rsidR="00BC29BA">
        <w:rPr>
          <w:lang w:val="en-US"/>
        </w:rPr>
        <w:t xml:space="preserve">poverty, including </w:t>
      </w:r>
      <w:r w:rsidR="000630BB" w:rsidRPr="00696953">
        <w:rPr>
          <w:lang w:val="en-US"/>
        </w:rPr>
        <w:t>extreme poverty</w:t>
      </w:r>
      <w:r w:rsidR="00BC29BA">
        <w:rPr>
          <w:lang w:val="en-US"/>
        </w:rPr>
        <w:t>,</w:t>
      </w:r>
      <w:r w:rsidR="000630BB" w:rsidRPr="00696953">
        <w:rPr>
          <w:lang w:val="en-US"/>
        </w:rPr>
        <w:t xml:space="preserve"> continues to be prevalent in the State party</w:t>
      </w:r>
      <w:r w:rsidR="00760911" w:rsidRPr="00696953">
        <w:rPr>
          <w:lang w:val="en-US"/>
        </w:rPr>
        <w:t xml:space="preserve">. It is </w:t>
      </w:r>
      <w:r w:rsidR="000630BB" w:rsidRPr="00696953">
        <w:rPr>
          <w:lang w:val="en-US"/>
        </w:rPr>
        <w:t>particular</w:t>
      </w:r>
      <w:r w:rsidR="004B26E7">
        <w:rPr>
          <w:lang w:val="en-US"/>
        </w:rPr>
        <w:t>l</w:t>
      </w:r>
      <w:r w:rsidR="000630BB" w:rsidRPr="00696953">
        <w:rPr>
          <w:lang w:val="en-US"/>
        </w:rPr>
        <w:t>y</w:t>
      </w:r>
      <w:r w:rsidR="00760911" w:rsidRPr="00696953">
        <w:rPr>
          <w:lang w:val="en-US"/>
        </w:rPr>
        <w:t xml:space="preserve"> concerned </w:t>
      </w:r>
      <w:r w:rsidR="000630BB" w:rsidRPr="00696953">
        <w:rPr>
          <w:lang w:val="en-US"/>
        </w:rPr>
        <w:t xml:space="preserve">that </w:t>
      </w:r>
      <w:r w:rsidR="000A38FF">
        <w:rPr>
          <w:lang w:val="en-US"/>
        </w:rPr>
        <w:t>it</w:t>
      </w:r>
      <w:r w:rsidR="00760911" w:rsidRPr="00696953">
        <w:rPr>
          <w:lang w:val="en-US"/>
        </w:rPr>
        <w:t xml:space="preserve"> disproportionately affect</w:t>
      </w:r>
      <w:r w:rsidR="000630BB" w:rsidRPr="00696953">
        <w:rPr>
          <w:lang w:val="en-US"/>
        </w:rPr>
        <w:t>s</w:t>
      </w:r>
      <w:r w:rsidR="00760911" w:rsidRPr="00696953">
        <w:rPr>
          <w:lang w:val="en-US"/>
        </w:rPr>
        <w:t xml:space="preserve"> children, women, </w:t>
      </w:r>
      <w:r w:rsidR="000630BB" w:rsidRPr="00696953">
        <w:rPr>
          <w:lang w:val="en-US"/>
        </w:rPr>
        <w:t>internally displaced persons and those living in</w:t>
      </w:r>
      <w:r w:rsidR="00760911" w:rsidRPr="00696953">
        <w:rPr>
          <w:lang w:val="en-US"/>
        </w:rPr>
        <w:t xml:space="preserve"> rural areas.</w:t>
      </w:r>
    </w:p>
    <w:p w:rsidR="00760911" w:rsidRPr="000630BB" w:rsidRDefault="003A1DAD" w:rsidP="003A1DAD">
      <w:pPr>
        <w:pStyle w:val="SingleTxtG"/>
        <w:rPr>
          <w:lang w:val="en-US"/>
        </w:rPr>
      </w:pPr>
      <w:r w:rsidRPr="003A1DAD">
        <w:rPr>
          <w:bCs/>
          <w:lang w:val="en-US"/>
        </w:rPr>
        <w:t>44.</w:t>
      </w:r>
      <w:r w:rsidRPr="003A1DAD">
        <w:rPr>
          <w:bCs/>
          <w:lang w:val="en-US"/>
        </w:rPr>
        <w:tab/>
      </w:r>
      <w:r w:rsidR="000630BB">
        <w:rPr>
          <w:b/>
          <w:lang w:val="en-US"/>
        </w:rPr>
        <w:t>The Committee recommends that the State party i</w:t>
      </w:r>
      <w:r w:rsidR="00760911">
        <w:rPr>
          <w:b/>
          <w:lang w:val="en-US"/>
        </w:rPr>
        <w:t>ntensify efforts to reduce</w:t>
      </w:r>
      <w:r w:rsidR="000630BB">
        <w:rPr>
          <w:b/>
          <w:lang w:val="en-US"/>
        </w:rPr>
        <w:t xml:space="preserve"> poverty</w:t>
      </w:r>
      <w:r w:rsidR="00760911">
        <w:rPr>
          <w:b/>
          <w:lang w:val="en-US"/>
        </w:rPr>
        <w:t>, including by adopting a human-rights approach to</w:t>
      </w:r>
      <w:r w:rsidR="00857311">
        <w:rPr>
          <w:b/>
          <w:lang w:val="en-US"/>
        </w:rPr>
        <w:t xml:space="preserve"> its</w:t>
      </w:r>
      <w:r w:rsidR="00760911">
        <w:rPr>
          <w:b/>
          <w:lang w:val="en-US"/>
        </w:rPr>
        <w:t xml:space="preserve"> poverty reduction strategy that targets the needs of disadvantaged and marginalized individuals and groups</w:t>
      </w:r>
      <w:r w:rsidR="000630BB">
        <w:rPr>
          <w:b/>
          <w:lang w:val="en-US"/>
        </w:rPr>
        <w:t xml:space="preserve"> and</w:t>
      </w:r>
      <w:r w:rsidR="004B26E7">
        <w:rPr>
          <w:b/>
          <w:lang w:val="en-US"/>
        </w:rPr>
        <w:t xml:space="preserve"> </w:t>
      </w:r>
      <w:r w:rsidR="00760911">
        <w:rPr>
          <w:b/>
          <w:lang w:val="en-US"/>
        </w:rPr>
        <w:t>by providing federal and state resources for its</w:t>
      </w:r>
      <w:r w:rsidR="000630BB">
        <w:rPr>
          <w:b/>
          <w:lang w:val="en-US"/>
        </w:rPr>
        <w:t xml:space="preserve"> </w:t>
      </w:r>
      <w:r w:rsidR="00760911">
        <w:rPr>
          <w:b/>
          <w:lang w:val="en-US"/>
        </w:rPr>
        <w:t>implementation. In this regard</w:t>
      </w:r>
      <w:r w:rsidR="00857311">
        <w:rPr>
          <w:b/>
          <w:lang w:val="en-US"/>
        </w:rPr>
        <w:t>,</w:t>
      </w:r>
      <w:r w:rsidR="00760911">
        <w:rPr>
          <w:b/>
          <w:lang w:val="en-US"/>
        </w:rPr>
        <w:t xml:space="preserve"> the Committee draws the attention of the State party to the Committee</w:t>
      </w:r>
      <w:r w:rsidR="00857311">
        <w:rPr>
          <w:b/>
          <w:lang w:val="en-US"/>
        </w:rPr>
        <w:t>’s</w:t>
      </w:r>
      <w:r w:rsidR="00760911">
        <w:rPr>
          <w:b/>
          <w:lang w:val="en-US"/>
        </w:rPr>
        <w:t xml:space="preserve"> statement on poverty</w:t>
      </w:r>
      <w:r w:rsidR="000630BB">
        <w:rPr>
          <w:b/>
          <w:lang w:val="en-US"/>
        </w:rPr>
        <w:t xml:space="preserve"> </w:t>
      </w:r>
      <w:r w:rsidR="00857311">
        <w:rPr>
          <w:b/>
          <w:lang w:val="en-US"/>
        </w:rPr>
        <w:t xml:space="preserve">and the Covenant </w:t>
      </w:r>
      <w:r w:rsidR="000630BB">
        <w:rPr>
          <w:b/>
          <w:lang w:val="en-US"/>
        </w:rPr>
        <w:t>(2001)</w:t>
      </w:r>
      <w:r w:rsidR="00760911">
        <w:rPr>
          <w:b/>
          <w:lang w:val="en-US"/>
        </w:rPr>
        <w:t>.</w:t>
      </w:r>
    </w:p>
    <w:p w:rsidR="00294AB6" w:rsidRPr="000B57E4" w:rsidRDefault="0075096D" w:rsidP="000B57E4">
      <w:pPr>
        <w:pStyle w:val="H23G"/>
      </w:pPr>
      <w:r w:rsidRPr="000B57E4">
        <w:tab/>
      </w:r>
      <w:r w:rsidRPr="000B57E4">
        <w:tab/>
      </w:r>
      <w:r w:rsidR="00294AB6" w:rsidRPr="000B57E4">
        <w:t>Access to affordable housing</w:t>
      </w:r>
    </w:p>
    <w:p w:rsidR="00294AB6" w:rsidRPr="000B57E4" w:rsidRDefault="003A1DAD" w:rsidP="003A1DAD">
      <w:pPr>
        <w:pStyle w:val="SingleTxtG"/>
      </w:pPr>
      <w:r>
        <w:t>45.</w:t>
      </w:r>
      <w:r>
        <w:tab/>
      </w:r>
      <w:r w:rsidR="00294AB6" w:rsidRPr="000B57E4">
        <w:t>The Committee is concerned that</w:t>
      </w:r>
      <w:r w:rsidR="0005669E" w:rsidRPr="000B57E4">
        <w:t xml:space="preserve"> the number of housing units built </w:t>
      </w:r>
      <w:r w:rsidR="001F34F7" w:rsidRPr="000B57E4">
        <w:t xml:space="preserve">and planned </w:t>
      </w:r>
      <w:r w:rsidR="00857311">
        <w:t>by</w:t>
      </w:r>
      <w:r w:rsidR="00857311" w:rsidRPr="000B57E4">
        <w:t xml:space="preserve"> </w:t>
      </w:r>
      <w:r w:rsidR="0005669E" w:rsidRPr="000B57E4">
        <w:t xml:space="preserve">the Housing Fund is not commensurate with </w:t>
      </w:r>
      <w:r w:rsidR="00481CFA" w:rsidRPr="000B57E4">
        <w:t>the acute shortage of housing in the State party</w:t>
      </w:r>
      <w:r w:rsidR="0005669E" w:rsidRPr="000B57E4">
        <w:t>. It is also concerned at</w:t>
      </w:r>
      <w:r w:rsidR="00481CFA" w:rsidRPr="000B57E4">
        <w:t xml:space="preserve"> the resulting increase in </w:t>
      </w:r>
      <w:r w:rsidR="0005669E" w:rsidRPr="000B57E4">
        <w:t xml:space="preserve">housing </w:t>
      </w:r>
      <w:r w:rsidR="00481CFA" w:rsidRPr="000B57E4">
        <w:t>prices</w:t>
      </w:r>
      <w:r w:rsidR="0005669E" w:rsidRPr="000B57E4">
        <w:t>, especially in urban areas</w:t>
      </w:r>
      <w:r w:rsidR="00481CFA" w:rsidRPr="000B57E4">
        <w:t>.</w:t>
      </w:r>
      <w:r w:rsidR="00A5087A" w:rsidRPr="000B57E4">
        <w:t xml:space="preserve"> (art. 11)</w:t>
      </w:r>
    </w:p>
    <w:p w:rsidR="00294AB6" w:rsidRPr="000B57E4" w:rsidRDefault="003A1DAD" w:rsidP="003A1DAD">
      <w:pPr>
        <w:pStyle w:val="SingleTxtG"/>
      </w:pPr>
      <w:r w:rsidRPr="003A1DAD">
        <w:rPr>
          <w:bCs/>
        </w:rPr>
        <w:t>46.</w:t>
      </w:r>
      <w:r w:rsidRPr="003A1DAD">
        <w:rPr>
          <w:bCs/>
        </w:rPr>
        <w:tab/>
      </w:r>
      <w:r w:rsidR="00294AB6" w:rsidRPr="000B57E4">
        <w:rPr>
          <w:b/>
        </w:rPr>
        <w:t>The Committee recommends that</w:t>
      </w:r>
      <w:r w:rsidR="00481CFA" w:rsidRPr="000B57E4">
        <w:rPr>
          <w:b/>
        </w:rPr>
        <w:t xml:space="preserve"> </w:t>
      </w:r>
      <w:r w:rsidR="00A5087A" w:rsidRPr="000B57E4">
        <w:rPr>
          <w:b/>
        </w:rPr>
        <w:t>the State party adopt a human</w:t>
      </w:r>
      <w:r w:rsidR="00857311">
        <w:rPr>
          <w:b/>
        </w:rPr>
        <w:t xml:space="preserve"> </w:t>
      </w:r>
      <w:r w:rsidR="00A5087A" w:rsidRPr="000B57E4">
        <w:rPr>
          <w:b/>
        </w:rPr>
        <w:t>rights</w:t>
      </w:r>
      <w:r w:rsidR="00857311">
        <w:rPr>
          <w:b/>
        </w:rPr>
        <w:t>-</w:t>
      </w:r>
      <w:r w:rsidR="00A5087A" w:rsidRPr="000B57E4">
        <w:rPr>
          <w:b/>
        </w:rPr>
        <w:t>based national housing strategy outlining the measures to be taken and the resources involved to progressively address the housing shortage. The State party should seek the</w:t>
      </w:r>
      <w:r w:rsidR="00481CFA" w:rsidRPr="000B57E4">
        <w:rPr>
          <w:b/>
        </w:rPr>
        <w:t xml:space="preserve"> cooperation </w:t>
      </w:r>
      <w:r w:rsidR="00A5087A" w:rsidRPr="000B57E4">
        <w:rPr>
          <w:b/>
        </w:rPr>
        <w:t>of the private sector in this regard</w:t>
      </w:r>
      <w:r w:rsidR="00481CFA" w:rsidRPr="000B57E4">
        <w:rPr>
          <w:b/>
        </w:rPr>
        <w:t>.</w:t>
      </w:r>
      <w:r w:rsidR="00A5087A" w:rsidRPr="000B57E4">
        <w:rPr>
          <w:b/>
        </w:rPr>
        <w:t xml:space="preserve"> The Committee also recommends that the State party take regulatory and other measures to protect tenants against unreasonable rent or rent increases. The Committee draws the attention of the State party to its general comment No. 4 (1991) on the right to adequate housing.</w:t>
      </w:r>
    </w:p>
    <w:p w:rsidR="00F22B41" w:rsidRPr="000B57E4" w:rsidRDefault="0075096D" w:rsidP="000B57E4">
      <w:pPr>
        <w:pStyle w:val="H23G"/>
      </w:pPr>
      <w:r w:rsidRPr="000B57E4">
        <w:tab/>
      </w:r>
      <w:r w:rsidRPr="000B57E4">
        <w:tab/>
      </w:r>
      <w:r w:rsidR="00F22B41" w:rsidRPr="000B57E4">
        <w:t>Forced eviction</w:t>
      </w:r>
      <w:r w:rsidR="00AB65F9" w:rsidRPr="000B57E4">
        <w:t>s</w:t>
      </w:r>
    </w:p>
    <w:p w:rsidR="00F22B41" w:rsidRPr="000B57E4" w:rsidRDefault="003A1DAD" w:rsidP="003A1DAD">
      <w:pPr>
        <w:pStyle w:val="SingleTxtG"/>
      </w:pPr>
      <w:r>
        <w:t>47.</w:t>
      </w:r>
      <w:r>
        <w:tab/>
      </w:r>
      <w:r w:rsidR="00F22B41" w:rsidRPr="000B57E4">
        <w:t xml:space="preserve">The Committee is concerned </w:t>
      </w:r>
      <w:r w:rsidR="00D12890" w:rsidRPr="000B57E4">
        <w:t>a</w:t>
      </w:r>
      <w:r w:rsidR="00760911">
        <w:t>bout the large number of house demolitions and</w:t>
      </w:r>
      <w:r w:rsidR="00D12890" w:rsidRPr="000B57E4">
        <w:t xml:space="preserve"> forced evictions </w:t>
      </w:r>
      <w:r w:rsidR="00760911">
        <w:t xml:space="preserve">carried out with excessive force by the armed police and </w:t>
      </w:r>
      <w:r w:rsidR="000A05CB">
        <w:t xml:space="preserve">the </w:t>
      </w:r>
      <w:r w:rsidR="00760911">
        <w:t>special force</w:t>
      </w:r>
      <w:r w:rsidR="00760911" w:rsidRPr="000B57E4">
        <w:t xml:space="preserve"> </w:t>
      </w:r>
      <w:r w:rsidR="000630BB">
        <w:t>of</w:t>
      </w:r>
      <w:r w:rsidR="00D12890" w:rsidRPr="000B57E4">
        <w:t xml:space="preserve"> the State party without prior notice, </w:t>
      </w:r>
      <w:r w:rsidR="00760911">
        <w:t>compensation</w:t>
      </w:r>
      <w:r w:rsidR="00D12890" w:rsidRPr="000B57E4">
        <w:t xml:space="preserve"> or </w:t>
      </w:r>
      <w:r w:rsidR="00857311">
        <w:t xml:space="preserve">the provision of </w:t>
      </w:r>
      <w:r w:rsidR="00D12890" w:rsidRPr="000B57E4">
        <w:t>adequate alternative housing. (art.</w:t>
      </w:r>
      <w:r w:rsidR="008F7AF3">
        <w:t> </w:t>
      </w:r>
      <w:r w:rsidR="00D12890" w:rsidRPr="000B57E4">
        <w:t>11)</w:t>
      </w:r>
    </w:p>
    <w:p w:rsidR="00D12890" w:rsidRPr="000B57E4" w:rsidRDefault="003A1DAD" w:rsidP="003A1DAD">
      <w:pPr>
        <w:pStyle w:val="SingleTxtG"/>
      </w:pPr>
      <w:r w:rsidRPr="003A1DAD">
        <w:rPr>
          <w:bCs/>
        </w:rPr>
        <w:t>48.</w:t>
      </w:r>
      <w:r w:rsidRPr="003A1DAD">
        <w:rPr>
          <w:bCs/>
        </w:rPr>
        <w:tab/>
      </w:r>
      <w:r w:rsidR="00D12890" w:rsidRPr="000B57E4">
        <w:rPr>
          <w:b/>
        </w:rPr>
        <w:t>The Committee recommends that the State party</w:t>
      </w:r>
      <w:r w:rsidR="00760911">
        <w:rPr>
          <w:b/>
        </w:rPr>
        <w:t xml:space="preserve"> cease forthwith house demolitions and</w:t>
      </w:r>
      <w:r w:rsidR="005234F7">
        <w:rPr>
          <w:b/>
        </w:rPr>
        <w:t xml:space="preserve"> bring</w:t>
      </w:r>
      <w:r w:rsidR="00D12890" w:rsidRPr="000B57E4">
        <w:rPr>
          <w:b/>
        </w:rPr>
        <w:t xml:space="preserve"> its legislation and regulations on forced evictions into line with international standards and ensure that</w:t>
      </w:r>
      <w:r w:rsidR="00857311">
        <w:rPr>
          <w:b/>
        </w:rPr>
        <w:t>,</w:t>
      </w:r>
      <w:r w:rsidR="00D12890" w:rsidRPr="000B57E4">
        <w:rPr>
          <w:b/>
        </w:rPr>
        <w:t xml:space="preserve"> in law and in practice: (a) evictions are only used as</w:t>
      </w:r>
      <w:r w:rsidR="00E06D91">
        <w:rPr>
          <w:b/>
        </w:rPr>
        <w:t xml:space="preserve"> a measure of</w:t>
      </w:r>
      <w:r w:rsidR="00D12890" w:rsidRPr="000B57E4">
        <w:rPr>
          <w:b/>
        </w:rPr>
        <w:t xml:space="preserve"> last resort; (b) circumstances and safeguards under which evictions can take place are strictly defined</w:t>
      </w:r>
      <w:r w:rsidR="00760911">
        <w:rPr>
          <w:b/>
        </w:rPr>
        <w:t xml:space="preserve"> and observed</w:t>
      </w:r>
      <w:r w:rsidR="00D12890" w:rsidRPr="000B57E4">
        <w:rPr>
          <w:b/>
        </w:rPr>
        <w:t xml:space="preserve">; </w:t>
      </w:r>
      <w:r w:rsidR="00E06D91">
        <w:rPr>
          <w:b/>
        </w:rPr>
        <w:t xml:space="preserve">and </w:t>
      </w:r>
      <w:r w:rsidR="00D12890" w:rsidRPr="000B57E4">
        <w:rPr>
          <w:b/>
        </w:rPr>
        <w:t>(c) victims of forced evictions are</w:t>
      </w:r>
      <w:r w:rsidR="00760911">
        <w:rPr>
          <w:b/>
        </w:rPr>
        <w:t xml:space="preserve"> not subject</w:t>
      </w:r>
      <w:r w:rsidR="00D10DD0">
        <w:rPr>
          <w:b/>
        </w:rPr>
        <w:t>ed</w:t>
      </w:r>
      <w:r w:rsidR="00760911">
        <w:rPr>
          <w:b/>
        </w:rPr>
        <w:t xml:space="preserve"> to excessive force</w:t>
      </w:r>
      <w:r w:rsidR="00D10DD0">
        <w:rPr>
          <w:b/>
        </w:rPr>
        <w:t>,</w:t>
      </w:r>
      <w:r w:rsidR="00D12890" w:rsidRPr="000B57E4">
        <w:rPr>
          <w:b/>
        </w:rPr>
        <w:t xml:space="preserve"> </w:t>
      </w:r>
      <w:r w:rsidR="004B26E7">
        <w:rPr>
          <w:b/>
        </w:rPr>
        <w:t xml:space="preserve">are </w:t>
      </w:r>
      <w:r w:rsidR="00D12890" w:rsidRPr="000B57E4">
        <w:rPr>
          <w:b/>
        </w:rPr>
        <w:t>provided with adequate alternative housing or compensation and have access to effective remedies</w:t>
      </w:r>
      <w:r w:rsidR="00760911">
        <w:rPr>
          <w:b/>
        </w:rPr>
        <w:t xml:space="preserve"> against agents of the State party</w:t>
      </w:r>
      <w:r w:rsidR="00857311">
        <w:rPr>
          <w:b/>
        </w:rPr>
        <w:t>,</w:t>
      </w:r>
      <w:r w:rsidR="00760911">
        <w:rPr>
          <w:b/>
        </w:rPr>
        <w:t xml:space="preserve"> who should be made accountable for their actions and </w:t>
      </w:r>
      <w:r w:rsidR="00D10DD0">
        <w:rPr>
          <w:b/>
        </w:rPr>
        <w:t xml:space="preserve">not </w:t>
      </w:r>
      <w:r w:rsidR="00760911">
        <w:rPr>
          <w:b/>
        </w:rPr>
        <w:t>be immune from criminal prosecution</w:t>
      </w:r>
      <w:r w:rsidR="00D12890" w:rsidRPr="000B57E4">
        <w:rPr>
          <w:b/>
        </w:rPr>
        <w:t>. The Committee refers the State party to its general comment No. 7 (1997) on forced evictions.</w:t>
      </w:r>
    </w:p>
    <w:p w:rsidR="00294AB6" w:rsidRPr="000B57E4" w:rsidRDefault="0075096D" w:rsidP="000B57E4">
      <w:pPr>
        <w:pStyle w:val="H23G"/>
      </w:pPr>
      <w:r w:rsidRPr="000B57E4">
        <w:tab/>
      </w:r>
      <w:r w:rsidRPr="000B57E4">
        <w:tab/>
      </w:r>
      <w:r w:rsidR="00294AB6" w:rsidRPr="000B57E4">
        <w:t>Food insecurity</w:t>
      </w:r>
    </w:p>
    <w:p w:rsidR="00294AB6" w:rsidRPr="000B57E4" w:rsidRDefault="003A1DAD" w:rsidP="003A1DAD">
      <w:pPr>
        <w:pStyle w:val="SingleTxtG"/>
      </w:pPr>
      <w:r>
        <w:t>49.</w:t>
      </w:r>
      <w:r>
        <w:tab/>
      </w:r>
      <w:r w:rsidR="00C9242D" w:rsidRPr="000B57E4">
        <w:t>The Committee is concerned at food insecurity in the State party and particularly at the fact that the minimum essential level of the right to food is not realized for a segment of the population</w:t>
      </w:r>
      <w:r w:rsidR="00565C30" w:rsidRPr="000B57E4">
        <w:t>, including undernourished children and those who depend on humanitarian aid.</w:t>
      </w:r>
      <w:r w:rsidR="00C9242D" w:rsidRPr="000B57E4">
        <w:t xml:space="preserve"> Moreover, the Committee is concerned that </w:t>
      </w:r>
      <w:r w:rsidR="00565C30" w:rsidRPr="000B57E4">
        <w:t>the State party’s agricultural policy is not primarily targeted at the realization of the right to food, as evidenced by the fact that the country is a net exporter of food. (art. 11)</w:t>
      </w:r>
    </w:p>
    <w:p w:rsidR="00F22B41" w:rsidRPr="000B57E4" w:rsidRDefault="003A1DAD" w:rsidP="003A1DAD">
      <w:pPr>
        <w:pStyle w:val="SingleTxtG"/>
      </w:pPr>
      <w:r w:rsidRPr="003A1DAD">
        <w:rPr>
          <w:bCs/>
        </w:rPr>
        <w:t>50.</w:t>
      </w:r>
      <w:r w:rsidRPr="003A1DAD">
        <w:rPr>
          <w:bCs/>
        </w:rPr>
        <w:tab/>
      </w:r>
      <w:r w:rsidR="005234F7">
        <w:rPr>
          <w:b/>
        </w:rPr>
        <w:t>T</w:t>
      </w:r>
      <w:r w:rsidR="00294AB6" w:rsidRPr="000B57E4">
        <w:rPr>
          <w:b/>
        </w:rPr>
        <w:t xml:space="preserve">he Committee </w:t>
      </w:r>
      <w:r w:rsidR="001F34F7" w:rsidRPr="000B57E4">
        <w:rPr>
          <w:b/>
        </w:rPr>
        <w:t>recommends that</w:t>
      </w:r>
      <w:r w:rsidR="00294AB6" w:rsidRPr="000B57E4">
        <w:rPr>
          <w:b/>
        </w:rPr>
        <w:t xml:space="preserve"> the State party</w:t>
      </w:r>
      <w:r w:rsidR="00565C30" w:rsidRPr="000B57E4">
        <w:rPr>
          <w:b/>
        </w:rPr>
        <w:t xml:space="preserve"> allocate the resources </w:t>
      </w:r>
      <w:r w:rsidR="00EB52B1" w:rsidRPr="000B57E4">
        <w:rPr>
          <w:b/>
        </w:rPr>
        <w:t xml:space="preserve">necessary </w:t>
      </w:r>
      <w:r w:rsidR="00565C30" w:rsidRPr="000B57E4">
        <w:rPr>
          <w:b/>
        </w:rPr>
        <w:t>to ensure the satisfaction of the minimum essential level of food required for everyone to be free from hunger. The Committee also recommends that the State party</w:t>
      </w:r>
      <w:r w:rsidR="00C9242D" w:rsidRPr="000B57E4">
        <w:rPr>
          <w:b/>
        </w:rPr>
        <w:t xml:space="preserve"> </w:t>
      </w:r>
      <w:r w:rsidR="00EB52B1">
        <w:rPr>
          <w:b/>
        </w:rPr>
        <w:t>anchor</w:t>
      </w:r>
      <w:r w:rsidR="00EB52B1" w:rsidRPr="000B57E4">
        <w:rPr>
          <w:b/>
        </w:rPr>
        <w:t xml:space="preserve"> </w:t>
      </w:r>
      <w:r w:rsidR="00565C30" w:rsidRPr="000B57E4">
        <w:rPr>
          <w:b/>
        </w:rPr>
        <w:t xml:space="preserve">its food and agriculture policies </w:t>
      </w:r>
      <w:r w:rsidR="00EB52B1">
        <w:rPr>
          <w:b/>
        </w:rPr>
        <w:t>to</w:t>
      </w:r>
      <w:r w:rsidR="00565C30" w:rsidRPr="000B57E4">
        <w:rPr>
          <w:b/>
        </w:rPr>
        <w:t xml:space="preserve"> the realization of the right to adequate food. In this regard,</w:t>
      </w:r>
      <w:r w:rsidR="00C9242D" w:rsidRPr="000B57E4">
        <w:rPr>
          <w:b/>
        </w:rPr>
        <w:t xml:space="preserve"> priority </w:t>
      </w:r>
      <w:r w:rsidR="00565C30" w:rsidRPr="000B57E4">
        <w:rPr>
          <w:b/>
        </w:rPr>
        <w:t>for land use and agricultural projects should be accorded to ensure</w:t>
      </w:r>
      <w:r w:rsidR="00C9242D" w:rsidRPr="000B57E4">
        <w:rPr>
          <w:b/>
        </w:rPr>
        <w:t xml:space="preserve"> domestic </w:t>
      </w:r>
      <w:r w:rsidR="00565C30" w:rsidRPr="000B57E4">
        <w:rPr>
          <w:b/>
        </w:rPr>
        <w:t xml:space="preserve">food and nutrition security. The Committee refers the State party to its general comment No. 12 (1999) </w:t>
      </w:r>
      <w:r w:rsidR="000B57E4" w:rsidRPr="000B57E4">
        <w:rPr>
          <w:b/>
        </w:rPr>
        <w:t>on the right to adequate food.</w:t>
      </w:r>
    </w:p>
    <w:p w:rsidR="00481CFA" w:rsidRPr="000B57E4" w:rsidRDefault="0075096D" w:rsidP="000B57E4">
      <w:pPr>
        <w:pStyle w:val="H23G"/>
      </w:pPr>
      <w:r w:rsidRPr="000B57E4">
        <w:tab/>
      </w:r>
      <w:r w:rsidRPr="000B57E4">
        <w:tab/>
      </w:r>
      <w:r w:rsidR="00481CFA" w:rsidRPr="000B57E4">
        <w:t>Access to health</w:t>
      </w:r>
      <w:r w:rsidR="00EB52B1">
        <w:t>-</w:t>
      </w:r>
      <w:r w:rsidR="00481CFA" w:rsidRPr="000B57E4">
        <w:t>care services</w:t>
      </w:r>
    </w:p>
    <w:p w:rsidR="003B1B68" w:rsidRPr="000B57E4" w:rsidRDefault="003A1DAD" w:rsidP="003A1DAD">
      <w:pPr>
        <w:pStyle w:val="SingleTxtG"/>
      </w:pPr>
      <w:r>
        <w:t>51.</w:t>
      </w:r>
      <w:r>
        <w:tab/>
      </w:r>
      <w:r w:rsidR="003B1B68" w:rsidRPr="000B57E4">
        <w:t xml:space="preserve">The Committee is concerned that half of the population </w:t>
      </w:r>
      <w:r w:rsidR="00E07406" w:rsidRPr="000B57E4">
        <w:t>does not have</w:t>
      </w:r>
      <w:r w:rsidR="003B1B68" w:rsidRPr="000B57E4">
        <w:t xml:space="preserve"> access to basic health services. It is also concerned that</w:t>
      </w:r>
      <w:r w:rsidR="00E07406" w:rsidRPr="000B57E4">
        <w:t xml:space="preserve"> a third of public health facilities are not fully functioning</w:t>
      </w:r>
      <w:r w:rsidR="00EB52B1">
        <w:t>,</w:t>
      </w:r>
      <w:r w:rsidR="00E07406" w:rsidRPr="000B57E4">
        <w:t xml:space="preserve"> </w:t>
      </w:r>
      <w:r w:rsidR="00EB52B1">
        <w:t>owing</w:t>
      </w:r>
      <w:r w:rsidR="00EB52B1" w:rsidRPr="000B57E4">
        <w:t xml:space="preserve"> </w:t>
      </w:r>
      <w:r w:rsidR="00E07406" w:rsidRPr="000B57E4">
        <w:t>to staff shortage and poor physical infrastructure.</w:t>
      </w:r>
      <w:r w:rsidR="005234F7">
        <w:t xml:space="preserve"> The Committee is further concerned </w:t>
      </w:r>
      <w:r w:rsidR="00E918C5">
        <w:t>that, as a result,</w:t>
      </w:r>
      <w:r w:rsidR="005234F7">
        <w:t xml:space="preserve"> maternal </w:t>
      </w:r>
      <w:r w:rsidR="00E918C5">
        <w:t xml:space="preserve">and child </w:t>
      </w:r>
      <w:r w:rsidR="005234F7">
        <w:t>mortality rate</w:t>
      </w:r>
      <w:r w:rsidR="00E918C5">
        <w:t xml:space="preserve">s remain very high in spite of the implementation of policies such as the Roadmap for </w:t>
      </w:r>
      <w:r w:rsidR="00E06D91">
        <w:t xml:space="preserve">Reducing </w:t>
      </w:r>
      <w:r w:rsidR="00E918C5">
        <w:t xml:space="preserve">Maternal and </w:t>
      </w:r>
      <w:r w:rsidR="00E06D91">
        <w:t xml:space="preserve">Newborn </w:t>
      </w:r>
      <w:r w:rsidR="00E918C5">
        <w:t xml:space="preserve">Mortality </w:t>
      </w:r>
      <w:r w:rsidR="00E06D91">
        <w:t>in the Sudan</w:t>
      </w:r>
      <w:r w:rsidR="005234F7">
        <w:t>.</w:t>
      </w:r>
      <w:r w:rsidR="00E07406" w:rsidRPr="000B57E4">
        <w:t xml:space="preserve"> (art.</w:t>
      </w:r>
      <w:r w:rsidR="008F7AF3">
        <w:t xml:space="preserve"> </w:t>
      </w:r>
      <w:r w:rsidR="00E07406" w:rsidRPr="000B57E4">
        <w:t>12)</w:t>
      </w:r>
    </w:p>
    <w:p w:rsidR="00294AB6" w:rsidRPr="000B57E4" w:rsidRDefault="003A1DAD" w:rsidP="003A1DAD">
      <w:pPr>
        <w:pStyle w:val="SingleTxtG"/>
      </w:pPr>
      <w:r w:rsidRPr="003A1DAD">
        <w:rPr>
          <w:bCs/>
        </w:rPr>
        <w:t>52.</w:t>
      </w:r>
      <w:r w:rsidRPr="003A1DAD">
        <w:rPr>
          <w:bCs/>
        </w:rPr>
        <w:tab/>
      </w:r>
      <w:r w:rsidR="00E07406" w:rsidRPr="000B57E4">
        <w:rPr>
          <w:b/>
        </w:rPr>
        <w:t xml:space="preserve">The Committee recommends that the State party take measures to ensure access to the essential primary health package </w:t>
      </w:r>
      <w:r w:rsidR="00EB52B1">
        <w:rPr>
          <w:b/>
        </w:rPr>
        <w:t>for</w:t>
      </w:r>
      <w:r w:rsidR="00EB52B1" w:rsidRPr="000B57E4">
        <w:rPr>
          <w:b/>
        </w:rPr>
        <w:t xml:space="preserve"> </w:t>
      </w:r>
      <w:r w:rsidR="00E07406" w:rsidRPr="000B57E4">
        <w:rPr>
          <w:b/>
        </w:rPr>
        <w:t xml:space="preserve">all. </w:t>
      </w:r>
      <w:r w:rsidR="0077484A" w:rsidRPr="000B57E4">
        <w:rPr>
          <w:b/>
        </w:rPr>
        <w:t>It also recommends that the State party ensure the appropriate training of medical personnel and the provision of a sufficient number of health-care facilities. The Committee draws the attention of the State party to its general comment No. 14 (2000) on the right to the highest attainable standard of health.</w:t>
      </w:r>
    </w:p>
    <w:p w:rsidR="00367074" w:rsidRPr="000B57E4" w:rsidRDefault="00A124EA" w:rsidP="000B57E4">
      <w:pPr>
        <w:pStyle w:val="H23G"/>
      </w:pPr>
      <w:r w:rsidRPr="000B57E4">
        <w:tab/>
      </w:r>
      <w:r w:rsidRPr="000B57E4">
        <w:tab/>
      </w:r>
      <w:r w:rsidR="00367074" w:rsidRPr="000B57E4">
        <w:t>Access to education</w:t>
      </w:r>
    </w:p>
    <w:p w:rsidR="00367074" w:rsidRPr="000B57E4" w:rsidRDefault="003A1DAD" w:rsidP="003A1DAD">
      <w:pPr>
        <w:pStyle w:val="SingleTxtG"/>
      </w:pPr>
      <w:r>
        <w:t>53.</w:t>
      </w:r>
      <w:r>
        <w:tab/>
      </w:r>
      <w:r w:rsidR="00E4340E" w:rsidRPr="000B57E4">
        <w:t>The Committee expresses concern at the large number of children who are not in school</w:t>
      </w:r>
      <w:r w:rsidR="00383309">
        <w:t xml:space="preserve">, including </w:t>
      </w:r>
      <w:r w:rsidR="007058AB">
        <w:t>as</w:t>
      </w:r>
      <w:r w:rsidR="00047F08">
        <w:t xml:space="preserve"> a result of drop</w:t>
      </w:r>
      <w:r w:rsidR="00E06D91">
        <w:t xml:space="preserve">ping </w:t>
      </w:r>
      <w:r w:rsidR="007058AB">
        <w:t>out</w:t>
      </w:r>
      <w:r w:rsidR="00D10DD0">
        <w:t>.</w:t>
      </w:r>
      <w:r w:rsidR="009B0D68" w:rsidRPr="000B57E4">
        <w:t xml:space="preserve"> </w:t>
      </w:r>
      <w:r w:rsidR="00D10DD0">
        <w:t>The Committee is also concerned at</w:t>
      </w:r>
      <w:r w:rsidR="009B0D68" w:rsidRPr="000B57E4">
        <w:t xml:space="preserve"> the slow </w:t>
      </w:r>
      <w:r w:rsidR="00A02548">
        <w:t xml:space="preserve">pace of </w:t>
      </w:r>
      <w:r w:rsidR="009B0D68" w:rsidRPr="000B57E4">
        <w:t>progress made in the provision of primary education free to all</w:t>
      </w:r>
      <w:r w:rsidR="00E4340E" w:rsidRPr="000B57E4">
        <w:t>. (arts</w:t>
      </w:r>
      <w:r w:rsidR="008F7AF3">
        <w:t>.</w:t>
      </w:r>
      <w:r w:rsidR="00E4340E" w:rsidRPr="000B57E4">
        <w:t xml:space="preserve"> 13</w:t>
      </w:r>
      <w:r w:rsidR="00EB52B1">
        <w:t xml:space="preserve"> and</w:t>
      </w:r>
      <w:r w:rsidR="00E4340E" w:rsidRPr="000B57E4">
        <w:t xml:space="preserve"> 14)</w:t>
      </w:r>
    </w:p>
    <w:p w:rsidR="00E4340E" w:rsidRDefault="003A1DAD" w:rsidP="003A1DAD">
      <w:pPr>
        <w:pStyle w:val="SingleTxtG"/>
        <w:rPr>
          <w:b/>
        </w:rPr>
      </w:pPr>
      <w:r w:rsidRPr="003A1DAD">
        <w:rPr>
          <w:bCs/>
        </w:rPr>
        <w:t>54.</w:t>
      </w:r>
      <w:r w:rsidRPr="003A1DAD">
        <w:rPr>
          <w:bCs/>
        </w:rPr>
        <w:tab/>
      </w:r>
      <w:r w:rsidR="00E4340E" w:rsidRPr="000B57E4">
        <w:rPr>
          <w:b/>
        </w:rPr>
        <w:t xml:space="preserve">The Committee recommends that the State party </w:t>
      </w:r>
      <w:r w:rsidR="003F716A" w:rsidRPr="000B57E4">
        <w:rPr>
          <w:b/>
        </w:rPr>
        <w:t xml:space="preserve">ensure that </w:t>
      </w:r>
      <w:r w:rsidR="006C2174" w:rsidRPr="000B57E4">
        <w:rPr>
          <w:b/>
        </w:rPr>
        <w:t xml:space="preserve">action and resource </w:t>
      </w:r>
      <w:r w:rsidR="003F716A" w:rsidRPr="000B57E4">
        <w:rPr>
          <w:b/>
        </w:rPr>
        <w:t>plans are adopted</w:t>
      </w:r>
      <w:r w:rsidR="009B0D68" w:rsidRPr="000B57E4">
        <w:rPr>
          <w:b/>
        </w:rPr>
        <w:t xml:space="preserve"> and implemented</w:t>
      </w:r>
      <w:r w:rsidR="003F716A" w:rsidRPr="000B57E4">
        <w:rPr>
          <w:b/>
        </w:rPr>
        <w:t xml:space="preserve"> at the federal and state levels </w:t>
      </w:r>
      <w:r w:rsidR="00EB52B1">
        <w:rPr>
          <w:b/>
        </w:rPr>
        <w:t>to</w:t>
      </w:r>
      <w:r w:rsidR="00EB52B1" w:rsidRPr="000B57E4">
        <w:rPr>
          <w:b/>
        </w:rPr>
        <w:t xml:space="preserve"> </w:t>
      </w:r>
      <w:r w:rsidR="009B0D68" w:rsidRPr="000B57E4">
        <w:rPr>
          <w:b/>
        </w:rPr>
        <w:t>accelerat</w:t>
      </w:r>
      <w:r w:rsidR="00EB52B1">
        <w:rPr>
          <w:b/>
        </w:rPr>
        <w:t>e</w:t>
      </w:r>
      <w:r w:rsidR="009B0D68" w:rsidRPr="000B57E4">
        <w:rPr>
          <w:b/>
        </w:rPr>
        <w:t xml:space="preserve"> the</w:t>
      </w:r>
      <w:r w:rsidR="003F716A" w:rsidRPr="000B57E4">
        <w:rPr>
          <w:b/>
        </w:rPr>
        <w:t xml:space="preserve"> </w:t>
      </w:r>
      <w:r w:rsidR="00EB52B1" w:rsidRPr="000B57E4">
        <w:rPr>
          <w:b/>
        </w:rPr>
        <w:t>attainment</w:t>
      </w:r>
      <w:r w:rsidR="003F716A" w:rsidRPr="000B57E4">
        <w:rPr>
          <w:b/>
        </w:rPr>
        <w:t xml:space="preserve"> of universal primary education</w:t>
      </w:r>
      <w:r w:rsidR="006C2174" w:rsidRPr="000B57E4">
        <w:rPr>
          <w:b/>
        </w:rPr>
        <w:t>, addressing the obstacles that leave many children without education.</w:t>
      </w:r>
      <w:r w:rsidR="009B0D68" w:rsidRPr="000B57E4">
        <w:rPr>
          <w:b/>
        </w:rPr>
        <w:t xml:space="preserve"> The Committee also recommends that the State party ensure that the federal </w:t>
      </w:r>
      <w:r w:rsidR="00E06D91">
        <w:rPr>
          <w:b/>
        </w:rPr>
        <w:t>G</w:t>
      </w:r>
      <w:r w:rsidR="009B0D68" w:rsidRPr="000B57E4">
        <w:rPr>
          <w:b/>
        </w:rPr>
        <w:t>overnment discharge its obligation to transfer fund</w:t>
      </w:r>
      <w:r w:rsidR="002A3D20">
        <w:rPr>
          <w:b/>
        </w:rPr>
        <w:t>s</w:t>
      </w:r>
      <w:r w:rsidR="009B0D68" w:rsidRPr="000B57E4">
        <w:rPr>
          <w:b/>
        </w:rPr>
        <w:t xml:space="preserve"> to</w:t>
      </w:r>
      <w:r w:rsidR="00BC29BA">
        <w:rPr>
          <w:b/>
        </w:rPr>
        <w:t xml:space="preserve"> constituent</w:t>
      </w:r>
      <w:r w:rsidR="009B0D68" w:rsidRPr="000B57E4">
        <w:rPr>
          <w:b/>
        </w:rPr>
        <w:t xml:space="preserve"> states that rely thereon to finance education.</w:t>
      </w:r>
      <w:r w:rsidR="003F716A" w:rsidRPr="000B57E4">
        <w:rPr>
          <w:b/>
        </w:rPr>
        <w:t xml:space="preserve"> </w:t>
      </w:r>
      <w:r w:rsidR="006C2174" w:rsidRPr="000B57E4">
        <w:rPr>
          <w:b/>
        </w:rPr>
        <w:t xml:space="preserve">The Committee </w:t>
      </w:r>
      <w:r w:rsidR="009B0D68" w:rsidRPr="000B57E4">
        <w:rPr>
          <w:b/>
        </w:rPr>
        <w:t>draws the attention of the State party to its general comment No. 13 (1</w:t>
      </w:r>
      <w:r w:rsidR="000B57E4" w:rsidRPr="000B57E4">
        <w:rPr>
          <w:b/>
        </w:rPr>
        <w:t>999) on the right to education.</w:t>
      </w:r>
    </w:p>
    <w:p w:rsidR="006740F6" w:rsidRPr="006740F6" w:rsidRDefault="006740F6" w:rsidP="006740F6">
      <w:pPr>
        <w:pStyle w:val="H23G"/>
      </w:pPr>
      <w:r>
        <w:rPr>
          <w:b w:val="0"/>
        </w:rPr>
        <w:tab/>
      </w:r>
      <w:r>
        <w:rPr>
          <w:b w:val="0"/>
        </w:rPr>
        <w:tab/>
      </w:r>
      <w:r>
        <w:t>Right to take part in cultural life</w:t>
      </w:r>
    </w:p>
    <w:p w:rsidR="0033123E" w:rsidRDefault="003A1DAD" w:rsidP="003A1DAD">
      <w:pPr>
        <w:pStyle w:val="SingleTxtG"/>
      </w:pPr>
      <w:r>
        <w:t>55.</w:t>
      </w:r>
      <w:r>
        <w:tab/>
      </w:r>
      <w:r w:rsidR="0033123E">
        <w:t>The Committee is concerned that the freedom indispensable for the enjoyment of the right to take part in cultural life</w:t>
      </w:r>
      <w:r w:rsidR="00D10DD0">
        <w:t xml:space="preserve">, required </w:t>
      </w:r>
      <w:r w:rsidR="00EB52B1">
        <w:t xml:space="preserve">in </w:t>
      </w:r>
      <w:r w:rsidR="00D10DD0">
        <w:t>article 15 of the Covenant,</w:t>
      </w:r>
      <w:r w:rsidR="0033123E">
        <w:t xml:space="preserve"> is not sufficiently respected</w:t>
      </w:r>
      <w:r w:rsidR="00235B08">
        <w:t xml:space="preserve"> in the State party</w:t>
      </w:r>
      <w:r w:rsidR="0033123E">
        <w:t>. (art. 15)</w:t>
      </w:r>
    </w:p>
    <w:p w:rsidR="0033123E" w:rsidRPr="0033123E" w:rsidRDefault="003A1DAD" w:rsidP="003A1DAD">
      <w:pPr>
        <w:pStyle w:val="SingleTxtG"/>
        <w:rPr>
          <w:b/>
        </w:rPr>
      </w:pPr>
      <w:r w:rsidRPr="003A1DAD">
        <w:rPr>
          <w:bCs/>
        </w:rPr>
        <w:t>56.</w:t>
      </w:r>
      <w:r w:rsidRPr="003A1DAD">
        <w:rPr>
          <w:bCs/>
        </w:rPr>
        <w:tab/>
      </w:r>
      <w:r w:rsidR="0033123E">
        <w:rPr>
          <w:b/>
        </w:rPr>
        <w:t xml:space="preserve">Recalling its obligation under article 15 of the Covenant, the Committee recommends that the State party fully respect </w:t>
      </w:r>
      <w:r w:rsidR="002A3D20">
        <w:rPr>
          <w:b/>
        </w:rPr>
        <w:t>the freedom indispensable for the enjoyment of the right to take part in cultural life</w:t>
      </w:r>
      <w:r w:rsidR="0033123E">
        <w:rPr>
          <w:b/>
        </w:rPr>
        <w:t>, especially freedom of expression, opinion and creation</w:t>
      </w:r>
      <w:r w:rsidR="00EB52B1">
        <w:rPr>
          <w:b/>
        </w:rPr>
        <w:t>,</w:t>
      </w:r>
      <w:r w:rsidR="0033123E">
        <w:rPr>
          <w:b/>
        </w:rPr>
        <w:t xml:space="preserve"> as well as publication</w:t>
      </w:r>
      <w:r w:rsidR="00EB52B1">
        <w:rPr>
          <w:b/>
        </w:rPr>
        <w:t>,</w:t>
      </w:r>
      <w:r w:rsidR="0033123E">
        <w:rPr>
          <w:b/>
        </w:rPr>
        <w:t xml:space="preserve"> in </w:t>
      </w:r>
      <w:r w:rsidR="00EB52B1">
        <w:rPr>
          <w:b/>
        </w:rPr>
        <w:t xml:space="preserve">the </w:t>
      </w:r>
      <w:r w:rsidR="0033123E">
        <w:rPr>
          <w:b/>
        </w:rPr>
        <w:t xml:space="preserve">press, </w:t>
      </w:r>
      <w:r w:rsidR="00EB52B1">
        <w:rPr>
          <w:b/>
        </w:rPr>
        <w:t xml:space="preserve">in </w:t>
      </w:r>
      <w:r w:rsidR="0033123E">
        <w:rPr>
          <w:b/>
        </w:rPr>
        <w:t>print and on the Internet. The Committee refers the State party to its general comment No. 21 (</w:t>
      </w:r>
      <w:r w:rsidR="00235B08">
        <w:rPr>
          <w:b/>
        </w:rPr>
        <w:t>2009)</w:t>
      </w:r>
      <w:r w:rsidR="004B26E7">
        <w:rPr>
          <w:b/>
        </w:rPr>
        <w:t xml:space="preserve"> on the right of everyone to take part in cultural life</w:t>
      </w:r>
      <w:r w:rsidR="00235B08">
        <w:rPr>
          <w:b/>
        </w:rPr>
        <w:t>.</w:t>
      </w:r>
    </w:p>
    <w:p w:rsidR="00C82F62" w:rsidRPr="000B57E4" w:rsidRDefault="00E41404" w:rsidP="000B57E4">
      <w:pPr>
        <w:pStyle w:val="H1G"/>
      </w:pPr>
      <w:r w:rsidRPr="000B57E4">
        <w:tab/>
      </w:r>
      <w:r w:rsidR="00C82F62" w:rsidRPr="000B57E4">
        <w:t>D.</w:t>
      </w:r>
      <w:r w:rsidR="00C82F62" w:rsidRPr="000B57E4">
        <w:tab/>
        <w:t>Other recommendations</w:t>
      </w:r>
    </w:p>
    <w:p w:rsidR="00C82F62" w:rsidRDefault="003A1DAD" w:rsidP="003A1DAD">
      <w:pPr>
        <w:pStyle w:val="SingleTxtG"/>
        <w:rPr>
          <w:b/>
        </w:rPr>
      </w:pPr>
      <w:r w:rsidRPr="003A1DAD">
        <w:rPr>
          <w:bCs/>
        </w:rPr>
        <w:t>57.</w:t>
      </w:r>
      <w:r w:rsidRPr="003A1DAD">
        <w:rPr>
          <w:bCs/>
        </w:rPr>
        <w:tab/>
      </w:r>
      <w:r w:rsidR="00C82F62" w:rsidRPr="000B57E4">
        <w:rPr>
          <w:b/>
        </w:rPr>
        <w:t>The Committee encourages the State party to ratify the Optional Protocol to the International Covenant on Economic, Social and Cultural Rights</w:t>
      </w:r>
      <w:r w:rsidR="00367074" w:rsidRPr="000B57E4">
        <w:rPr>
          <w:b/>
        </w:rPr>
        <w:t xml:space="preserve"> and the Convention on the Elimination of</w:t>
      </w:r>
      <w:r w:rsidR="002A3D20">
        <w:rPr>
          <w:b/>
        </w:rPr>
        <w:t xml:space="preserve"> All Forms of</w:t>
      </w:r>
      <w:r w:rsidR="00367074" w:rsidRPr="000B57E4">
        <w:rPr>
          <w:b/>
        </w:rPr>
        <w:t xml:space="preserve"> Discrimination against Women.</w:t>
      </w:r>
    </w:p>
    <w:p w:rsidR="00516597" w:rsidRPr="000B57E4" w:rsidRDefault="003A1DAD" w:rsidP="003A1DAD">
      <w:pPr>
        <w:pStyle w:val="SingleTxtG"/>
      </w:pPr>
      <w:r w:rsidRPr="003A1DAD">
        <w:rPr>
          <w:color w:val="000000"/>
          <w:lang w:eastAsia="en-GB"/>
        </w:rPr>
        <w:t>58.</w:t>
      </w:r>
      <w:r w:rsidRPr="003A1DAD">
        <w:rPr>
          <w:color w:val="000000"/>
          <w:lang w:eastAsia="en-GB"/>
        </w:rPr>
        <w:tab/>
      </w:r>
      <w:r w:rsidR="00516597">
        <w:rPr>
          <w:b/>
          <w:bCs/>
          <w:color w:val="000000"/>
          <w:lang w:eastAsia="en-GB"/>
        </w:rPr>
        <w:t>The Committee recommends that the State party collect data and use statistics for human rights indicators, including for economic, social and cultural rights. In this respect, the Committee refers the State party to the conceptual and methodological framework for human rights indicators developed by the Office of the United Nations High Commissioner for Human Rights (</w:t>
      </w:r>
      <w:r w:rsidR="003A3BBA">
        <w:rPr>
          <w:b/>
          <w:bCs/>
          <w:color w:val="000000"/>
          <w:lang w:eastAsia="en-GB"/>
        </w:rPr>
        <w:t xml:space="preserve">see </w:t>
      </w:r>
      <w:r w:rsidR="00516597">
        <w:rPr>
          <w:b/>
          <w:bCs/>
          <w:color w:val="000000"/>
          <w:lang w:eastAsia="en-GB"/>
        </w:rPr>
        <w:t>HRI/MC/2008/3).</w:t>
      </w:r>
    </w:p>
    <w:p w:rsidR="00C82F62" w:rsidRPr="000B57E4" w:rsidRDefault="003A1DAD" w:rsidP="003A1DAD">
      <w:pPr>
        <w:pStyle w:val="SingleTxtG"/>
      </w:pPr>
      <w:r w:rsidRPr="003A1DAD">
        <w:rPr>
          <w:bCs/>
        </w:rPr>
        <w:t>59.</w:t>
      </w:r>
      <w:r w:rsidRPr="003A1DAD">
        <w:rPr>
          <w:bCs/>
        </w:rPr>
        <w:tab/>
      </w:r>
      <w:r w:rsidR="00C82F62" w:rsidRPr="000B57E4">
        <w:rPr>
          <w:b/>
        </w:rPr>
        <w:t>The Committee invites the State party to continue and strengthen its collaboration on issues relating to economic, social and cultural rights with the Office of the United Nations High Commissioner for Human Rights, specialized agencies and the rele</w:t>
      </w:r>
      <w:r w:rsidR="000B57E4" w:rsidRPr="000B57E4">
        <w:rPr>
          <w:b/>
        </w:rPr>
        <w:t>vant United Nations programmes.</w:t>
      </w:r>
    </w:p>
    <w:p w:rsidR="00C82F62" w:rsidRDefault="003A1DAD" w:rsidP="003A1DAD">
      <w:pPr>
        <w:pStyle w:val="SingleTxtG"/>
        <w:rPr>
          <w:b/>
        </w:rPr>
      </w:pPr>
      <w:r w:rsidRPr="003A1DAD">
        <w:rPr>
          <w:bCs/>
        </w:rPr>
        <w:t>60.</w:t>
      </w:r>
      <w:r w:rsidRPr="003A1DAD">
        <w:rPr>
          <w:bCs/>
        </w:rPr>
        <w:tab/>
      </w:r>
      <w:r w:rsidR="00C82F62" w:rsidRPr="000B57E4">
        <w:rPr>
          <w:b/>
        </w:rPr>
        <w:t>The Committee requests the State party to disseminate the present concluding observations widely at all levels of society, particularly among parliamentarians, public officials</w:t>
      </w:r>
      <w:r w:rsidR="003A3BBA">
        <w:rPr>
          <w:b/>
        </w:rPr>
        <w:t xml:space="preserve"> and the</w:t>
      </w:r>
      <w:r w:rsidR="00C82F62" w:rsidRPr="000B57E4">
        <w:rPr>
          <w:b/>
        </w:rPr>
        <w:t xml:space="preserve"> judicial authorities, and to inform the Committee in its next periodic report o</w:t>
      </w:r>
      <w:r w:rsidR="003A3BBA">
        <w:rPr>
          <w:b/>
        </w:rPr>
        <w:t>f</w:t>
      </w:r>
      <w:r w:rsidR="00C82F62" w:rsidRPr="000B57E4">
        <w:rPr>
          <w:b/>
        </w:rPr>
        <w:t xml:space="preserve"> the steps taken to implement them. It also encourages the State party to engage non-governmental organizations and other members of civil society in the process of </w:t>
      </w:r>
      <w:r w:rsidR="00451F5F" w:rsidRPr="000B57E4">
        <w:rPr>
          <w:b/>
        </w:rPr>
        <w:t>discussion at the national level</w:t>
      </w:r>
      <w:r w:rsidR="00C82F62" w:rsidRPr="000B57E4">
        <w:rPr>
          <w:b/>
        </w:rPr>
        <w:t xml:space="preserve"> prior to the submission of its next periodic report.</w:t>
      </w:r>
    </w:p>
    <w:p w:rsidR="00EB7F00" w:rsidRPr="00173A53" w:rsidRDefault="003A1DAD" w:rsidP="003A1DAD">
      <w:pPr>
        <w:pStyle w:val="SingleTxtG"/>
        <w:rPr>
          <w:b/>
        </w:rPr>
      </w:pPr>
      <w:r w:rsidRPr="003A1DAD">
        <w:rPr>
          <w:bCs/>
        </w:rPr>
        <w:t>61.</w:t>
      </w:r>
      <w:r w:rsidRPr="003A1DAD">
        <w:rPr>
          <w:bCs/>
        </w:rPr>
        <w:tab/>
      </w:r>
      <w:r w:rsidR="00173A53">
        <w:rPr>
          <w:b/>
        </w:rPr>
        <w:t>T</w:t>
      </w:r>
      <w:r w:rsidR="00E57891">
        <w:rPr>
          <w:b/>
        </w:rPr>
        <w:t>he C</w:t>
      </w:r>
      <w:r w:rsidR="00E540CD" w:rsidRPr="00173A53">
        <w:rPr>
          <w:b/>
        </w:rPr>
        <w:t xml:space="preserve">ommittee invites the </w:t>
      </w:r>
      <w:r w:rsidR="00383309">
        <w:rPr>
          <w:b/>
        </w:rPr>
        <w:t>S</w:t>
      </w:r>
      <w:r w:rsidR="00E540CD" w:rsidRPr="00173A53">
        <w:rPr>
          <w:b/>
        </w:rPr>
        <w:t>tate party to update its core document in accordance with the harmonized guidelines on reporting under the internat</w:t>
      </w:r>
      <w:r w:rsidR="00173A53">
        <w:rPr>
          <w:b/>
        </w:rPr>
        <w:t>ional human rights treaties (HRI</w:t>
      </w:r>
      <w:r w:rsidR="00E540CD" w:rsidRPr="00173A53">
        <w:rPr>
          <w:b/>
        </w:rPr>
        <w:t>/</w:t>
      </w:r>
      <w:r w:rsidR="00173A53">
        <w:rPr>
          <w:b/>
        </w:rPr>
        <w:t>GEN</w:t>
      </w:r>
      <w:r w:rsidR="00E540CD" w:rsidRPr="00173A53">
        <w:rPr>
          <w:b/>
        </w:rPr>
        <w:t>/2/</w:t>
      </w:r>
      <w:r w:rsidR="00173A53">
        <w:rPr>
          <w:b/>
        </w:rPr>
        <w:t>R</w:t>
      </w:r>
      <w:r w:rsidR="00E540CD" w:rsidRPr="00173A53">
        <w:rPr>
          <w:b/>
        </w:rPr>
        <w:t xml:space="preserve">ev.6, </w:t>
      </w:r>
      <w:r w:rsidR="00173A53">
        <w:rPr>
          <w:b/>
        </w:rPr>
        <w:t>C</w:t>
      </w:r>
      <w:r w:rsidR="00E540CD" w:rsidRPr="00173A53">
        <w:rPr>
          <w:b/>
        </w:rPr>
        <w:t>hap</w:t>
      </w:r>
      <w:r w:rsidR="00173A53">
        <w:rPr>
          <w:b/>
        </w:rPr>
        <w:t>. I</w:t>
      </w:r>
      <w:r w:rsidR="00E540CD" w:rsidRPr="00173A53">
        <w:rPr>
          <w:b/>
        </w:rPr>
        <w:t>).</w:t>
      </w:r>
    </w:p>
    <w:p w:rsidR="00C82F62" w:rsidRDefault="003A1DAD" w:rsidP="003A1DAD">
      <w:pPr>
        <w:pStyle w:val="SingleTxtG"/>
        <w:rPr>
          <w:b/>
        </w:rPr>
      </w:pPr>
      <w:r w:rsidRPr="003A1DAD">
        <w:rPr>
          <w:bCs/>
        </w:rPr>
        <w:t>62.</w:t>
      </w:r>
      <w:r w:rsidRPr="003A1DAD">
        <w:rPr>
          <w:bCs/>
        </w:rPr>
        <w:tab/>
      </w:r>
      <w:r w:rsidR="00C82F62" w:rsidRPr="000B57E4">
        <w:rPr>
          <w:b/>
        </w:rPr>
        <w:t>The Committee request</w:t>
      </w:r>
      <w:r w:rsidR="00EA4386" w:rsidRPr="000B57E4">
        <w:rPr>
          <w:b/>
        </w:rPr>
        <w:t>s the State party to submit its third</w:t>
      </w:r>
      <w:r w:rsidR="00C82F62" w:rsidRPr="000B57E4">
        <w:rPr>
          <w:b/>
        </w:rPr>
        <w:t xml:space="preserve"> periodic report, </w:t>
      </w:r>
      <w:r w:rsidR="00A24CC4">
        <w:rPr>
          <w:b/>
        </w:rPr>
        <w:t xml:space="preserve">to be </w:t>
      </w:r>
      <w:r w:rsidR="00B967A2">
        <w:rPr>
          <w:b/>
        </w:rPr>
        <w:t xml:space="preserve">prepared </w:t>
      </w:r>
      <w:r w:rsidR="00C82F62" w:rsidRPr="000B57E4">
        <w:rPr>
          <w:b/>
        </w:rPr>
        <w:t>in accordance with the</w:t>
      </w:r>
      <w:r w:rsidR="00B967A2">
        <w:rPr>
          <w:b/>
        </w:rPr>
        <w:t xml:space="preserve"> reporting</w:t>
      </w:r>
      <w:r w:rsidR="00C82F62" w:rsidRPr="000B57E4">
        <w:rPr>
          <w:b/>
        </w:rPr>
        <w:t xml:space="preserve"> guidelines adopted by the Committee in 2008 (E/C.12/2008/2), by 3</w:t>
      </w:r>
      <w:r w:rsidR="00A37D88" w:rsidRPr="000B57E4">
        <w:rPr>
          <w:b/>
        </w:rPr>
        <w:t>1</w:t>
      </w:r>
      <w:r w:rsidR="00C82F62" w:rsidRPr="000B57E4">
        <w:rPr>
          <w:b/>
        </w:rPr>
        <w:t xml:space="preserve"> </w:t>
      </w:r>
      <w:r w:rsidR="00A37D88" w:rsidRPr="000B57E4">
        <w:rPr>
          <w:b/>
        </w:rPr>
        <w:t>October</w:t>
      </w:r>
      <w:r w:rsidR="00C82F62" w:rsidRPr="000B57E4">
        <w:rPr>
          <w:b/>
        </w:rPr>
        <w:t xml:space="preserve"> 2020.</w:t>
      </w:r>
    </w:p>
    <w:p w:rsidR="00D92281" w:rsidRPr="00A010E9" w:rsidRDefault="00D92281" w:rsidP="00D92281">
      <w:pPr>
        <w:pStyle w:val="SingleTxtG"/>
        <w:spacing w:before="240" w:after="0"/>
        <w:jc w:val="center"/>
        <w:rPr>
          <w:u w:val="single"/>
        </w:rPr>
      </w:pPr>
      <w:r w:rsidRPr="00A010E9">
        <w:rPr>
          <w:u w:val="single"/>
        </w:rPr>
        <w:tab/>
      </w:r>
      <w:r w:rsidRPr="00A010E9">
        <w:rPr>
          <w:u w:val="single"/>
        </w:rPr>
        <w:tab/>
      </w:r>
      <w:r w:rsidRPr="00A010E9">
        <w:rPr>
          <w:u w:val="single"/>
        </w:rPr>
        <w:tab/>
      </w:r>
    </w:p>
    <w:sectPr w:rsidR="00D92281" w:rsidRPr="00A010E9" w:rsidSect="004713E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7T14:58:00Z" w:initials="Start">
    <w:p w:rsidR="004713EC" w:rsidRDefault="004713E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NO&gt;&gt;N1524480E&lt;&lt;ODS JOB NO&gt;&gt;</w:t>
      </w:r>
    </w:p>
    <w:p w:rsidR="004713EC" w:rsidRDefault="004713EC">
      <w:pPr>
        <w:pStyle w:val="CommentText"/>
      </w:pPr>
      <w:r>
        <w:t>&lt;&lt;ODS DOC SYMBOL1&gt;&gt;E/C.12/SDN/CO/2&lt;&lt;ODS DOC SYMBOL1&gt;&gt;</w:t>
      </w:r>
    </w:p>
    <w:p w:rsidR="004713EC" w:rsidRDefault="004713E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21" w:rsidRDefault="00BC1F21"/>
  </w:endnote>
  <w:endnote w:type="continuationSeparator" w:id="0">
    <w:p w:rsidR="00BC1F21" w:rsidRDefault="00BC1F21"/>
  </w:endnote>
  <w:endnote w:type="continuationNotice" w:id="1">
    <w:p w:rsidR="00BC1F21" w:rsidRDefault="00BC1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21" w:rsidRPr="00CD5AC3" w:rsidRDefault="00BC1F21" w:rsidP="00D61B6F">
    <w:pPr>
      <w:pStyle w:val="Footer"/>
      <w:tabs>
        <w:tab w:val="right" w:pos="9598"/>
        <w:tab w:val="right" w:pos="9638"/>
      </w:tabs>
      <w:rPr>
        <w:b/>
        <w:bCs/>
      </w:rPr>
    </w:pPr>
    <w:r w:rsidRPr="00CD5AC3">
      <w:rPr>
        <w:b/>
        <w:bCs/>
        <w:sz w:val="18"/>
      </w:rPr>
      <w:fldChar w:fldCharType="begin"/>
    </w:r>
    <w:r w:rsidRPr="00CD5AC3">
      <w:rPr>
        <w:b/>
        <w:bCs/>
        <w:sz w:val="18"/>
      </w:rPr>
      <w:instrText xml:space="preserve"> PAGE  \* MERGEFORMAT </w:instrText>
    </w:r>
    <w:r w:rsidRPr="00CD5AC3">
      <w:rPr>
        <w:b/>
        <w:bCs/>
        <w:sz w:val="18"/>
      </w:rPr>
      <w:fldChar w:fldCharType="separate"/>
    </w:r>
    <w:r w:rsidR="00614371">
      <w:rPr>
        <w:b/>
        <w:bCs/>
        <w:noProof/>
        <w:sz w:val="18"/>
      </w:rPr>
      <w:t>10</w:t>
    </w:r>
    <w:r w:rsidRPr="00CD5AC3">
      <w:rP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21" w:rsidRPr="00CD5AC3" w:rsidRDefault="00BC1F21" w:rsidP="00D61B6F">
    <w:pPr>
      <w:pStyle w:val="Footer"/>
      <w:tabs>
        <w:tab w:val="right" w:pos="9598"/>
        <w:tab w:val="right" w:pos="9638"/>
      </w:tabs>
      <w:rPr>
        <w:b/>
        <w:bCs/>
        <w:sz w:val="18"/>
      </w:rPr>
    </w:pPr>
    <w:r>
      <w:rPr>
        <w:b/>
        <w:sz w:val="20"/>
      </w:rPr>
      <w:tab/>
    </w:r>
    <w:r w:rsidRPr="00CD5AC3">
      <w:rPr>
        <w:b/>
        <w:bCs/>
        <w:sz w:val="18"/>
      </w:rPr>
      <w:fldChar w:fldCharType="begin"/>
    </w:r>
    <w:r w:rsidRPr="00CD5AC3">
      <w:rPr>
        <w:b/>
        <w:bCs/>
        <w:sz w:val="18"/>
      </w:rPr>
      <w:instrText xml:space="preserve"> PAGE  \* MERGEFORMAT </w:instrText>
    </w:r>
    <w:r w:rsidRPr="00CD5AC3">
      <w:rPr>
        <w:b/>
        <w:bCs/>
        <w:sz w:val="18"/>
      </w:rPr>
      <w:fldChar w:fldCharType="separate"/>
    </w:r>
    <w:r w:rsidR="00614371">
      <w:rPr>
        <w:b/>
        <w:bCs/>
        <w:noProof/>
        <w:sz w:val="18"/>
      </w:rPr>
      <w:t>9</w:t>
    </w:r>
    <w:r w:rsidRPr="00CD5AC3">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713EC" w:rsidTr="004713EC">
      <w:tc>
        <w:tcPr>
          <w:tcW w:w="3614" w:type="dxa"/>
          <w:shd w:val="clear" w:color="auto" w:fill="auto"/>
        </w:tcPr>
        <w:p w:rsidR="004713EC" w:rsidRDefault="004713EC" w:rsidP="004713EC">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12/SDN/CO/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SDN/CO/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GE.15-18518(E)</w:t>
          </w:r>
        </w:p>
        <w:p w:rsidR="004713EC" w:rsidRPr="004713EC" w:rsidRDefault="004713EC" w:rsidP="004713EC">
          <w:pPr>
            <w:pStyle w:val="Footer"/>
            <w:rPr>
              <w:rFonts w:ascii="Barcode 3 of 9 by request" w:hAnsi="Barcode 3 of 9 by request"/>
              <w:sz w:val="24"/>
            </w:rPr>
          </w:pPr>
          <w:r>
            <w:rPr>
              <w:rFonts w:ascii="Barcode 3 of 9 by request" w:hAnsi="Barcode 3 of 9 by request"/>
              <w:sz w:val="24"/>
            </w:rPr>
            <w:t>*1518518*</w:t>
          </w:r>
        </w:p>
      </w:tc>
      <w:tc>
        <w:tcPr>
          <w:tcW w:w="4752" w:type="dxa"/>
          <w:shd w:val="clear" w:color="auto" w:fill="auto"/>
        </w:tcPr>
        <w:p w:rsidR="004713EC" w:rsidRDefault="004713EC" w:rsidP="004713EC">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713EC" w:rsidRPr="004713EC" w:rsidRDefault="004713EC" w:rsidP="004713E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21" w:rsidRPr="000B175B" w:rsidRDefault="00BC1F21" w:rsidP="000B175B">
      <w:pPr>
        <w:tabs>
          <w:tab w:val="right" w:pos="2155"/>
        </w:tabs>
        <w:spacing w:after="80"/>
        <w:ind w:left="680"/>
        <w:rPr>
          <w:u w:val="single"/>
        </w:rPr>
      </w:pPr>
      <w:r>
        <w:rPr>
          <w:u w:val="single"/>
        </w:rPr>
        <w:tab/>
      </w:r>
    </w:p>
  </w:footnote>
  <w:footnote w:type="continuationSeparator" w:id="0">
    <w:p w:rsidR="00BC1F21" w:rsidRPr="00FC68B7" w:rsidRDefault="00BC1F21" w:rsidP="00FC68B7">
      <w:pPr>
        <w:tabs>
          <w:tab w:val="left" w:pos="2155"/>
        </w:tabs>
        <w:spacing w:after="80"/>
        <w:ind w:left="680"/>
        <w:rPr>
          <w:u w:val="single"/>
        </w:rPr>
      </w:pPr>
      <w:r>
        <w:rPr>
          <w:u w:val="single"/>
        </w:rPr>
        <w:tab/>
      </w:r>
    </w:p>
  </w:footnote>
  <w:footnote w:type="continuationNotice" w:id="1">
    <w:p w:rsidR="00BC1F21" w:rsidRDefault="00BC1F21"/>
  </w:footnote>
  <w:footnote w:id="2">
    <w:p w:rsidR="00BC1F21" w:rsidRPr="00694AC8" w:rsidRDefault="00BC1F21" w:rsidP="00CA35C0">
      <w:pPr>
        <w:pStyle w:val="FootnoteText"/>
        <w:rPr>
          <w:lang w:val="en-US"/>
        </w:rPr>
      </w:pPr>
      <w:r>
        <w:tab/>
      </w:r>
      <w:r w:rsidRPr="00694AC8">
        <w:rPr>
          <w:rStyle w:val="FootnoteReference"/>
          <w:sz w:val="20"/>
          <w:vertAlign w:val="baseline"/>
        </w:rPr>
        <w:t>*</w:t>
      </w:r>
      <w:r>
        <w:rPr>
          <w:sz w:val="20"/>
        </w:rPr>
        <w:tab/>
      </w:r>
      <w:r w:rsidRPr="00E057FE">
        <w:t xml:space="preserve">Adopted by the Committee at its </w:t>
      </w:r>
      <w:r w:rsidRPr="00997965">
        <w:t>fifty-</w:t>
      </w:r>
      <w:r>
        <w:t>sixth</w:t>
      </w:r>
      <w:r w:rsidRPr="00997965">
        <w:t xml:space="preserve"> session (</w:t>
      </w:r>
      <w:r>
        <w:t>21 September-9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21" w:rsidRPr="003D2931" w:rsidRDefault="00BC1F21" w:rsidP="0024165B">
    <w:pPr>
      <w:pStyle w:val="Header"/>
      <w:rPr>
        <w:lang w:val="fr-CH"/>
      </w:rPr>
    </w:pPr>
    <w:r>
      <w:rPr>
        <w:lang w:val="fr-CH"/>
      </w:rPr>
      <w:t>E/C.12/SDN/CO/2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21" w:rsidRPr="003D2931" w:rsidRDefault="00BC1F21" w:rsidP="00D61B6F">
    <w:pPr>
      <w:pStyle w:val="Header"/>
      <w:jc w:val="right"/>
      <w:rPr>
        <w:lang w:val="fr-CH"/>
      </w:rPr>
    </w:pPr>
    <w:r>
      <w:rPr>
        <w:lang w:val="fr-CH"/>
      </w:rPr>
      <w:t>E/C.12/SDN/CO/2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D42F5C"/>
    <w:multiLevelType w:val="hybridMultilevel"/>
    <w:tmpl w:val="473AFE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090106"/>
    <w:multiLevelType w:val="hybridMultilevel"/>
    <w:tmpl w:val="0FD0FF9E"/>
    <w:lvl w:ilvl="0" w:tplc="5578373E">
      <w:start w:val="1"/>
      <w:numFmt w:val="decimal"/>
      <w:lvlText w:val="%1."/>
      <w:lvlJc w:val="left"/>
      <w:pPr>
        <w:ind w:left="1353" w:hanging="360"/>
      </w:pPr>
      <w:rPr>
        <w:b w:val="0"/>
        <w:color w:val="auto"/>
      </w:rPr>
    </w:lvl>
    <w:lvl w:ilvl="1" w:tplc="135E5D30">
      <w:start w:val="1"/>
      <w:numFmt w:val="lowerLetter"/>
      <w:lvlText w:val="(%2)"/>
      <w:lvlJc w:val="left"/>
      <w:pPr>
        <w:ind w:left="2574" w:hanging="360"/>
      </w:pPr>
      <w:rPr>
        <w:rFonts w:hint="default"/>
        <w:b w:val="0"/>
        <w:color w:val="auto"/>
      </w:r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nsid w:val="3B991499"/>
    <w:multiLevelType w:val="hybridMultilevel"/>
    <w:tmpl w:val="E252FA32"/>
    <w:lvl w:ilvl="0" w:tplc="5578373E">
      <w:start w:val="1"/>
      <w:numFmt w:val="decimal"/>
      <w:lvlText w:val="%1."/>
      <w:lvlJc w:val="left"/>
      <w:pPr>
        <w:ind w:left="1353" w:hanging="360"/>
      </w:pPr>
      <w:rPr>
        <w:b w:val="0"/>
        <w:color w:val="auto"/>
      </w:rPr>
    </w:lvl>
    <w:lvl w:ilvl="1" w:tplc="135E5D30">
      <w:start w:val="1"/>
      <w:numFmt w:val="lowerLetter"/>
      <w:lvlText w:val="(%2)"/>
      <w:lvlJc w:val="left"/>
      <w:pPr>
        <w:ind w:left="2574" w:hanging="360"/>
      </w:pPr>
      <w:rPr>
        <w:rFonts w:hint="default"/>
        <w:b w:val="0"/>
        <w:color w:val="auto"/>
      </w:r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8">
    <w:nsid w:val="3BCF2330"/>
    <w:multiLevelType w:val="hybridMultilevel"/>
    <w:tmpl w:val="0FD0FF9E"/>
    <w:lvl w:ilvl="0" w:tplc="5578373E">
      <w:start w:val="1"/>
      <w:numFmt w:val="decimal"/>
      <w:lvlText w:val="%1."/>
      <w:lvlJc w:val="left"/>
      <w:pPr>
        <w:ind w:left="1353" w:hanging="360"/>
      </w:pPr>
      <w:rPr>
        <w:b w:val="0"/>
        <w:color w:val="auto"/>
      </w:rPr>
    </w:lvl>
    <w:lvl w:ilvl="1" w:tplc="135E5D30">
      <w:start w:val="1"/>
      <w:numFmt w:val="lowerLetter"/>
      <w:lvlText w:val="(%2)"/>
      <w:lvlJc w:val="left"/>
      <w:pPr>
        <w:ind w:left="2574" w:hanging="360"/>
      </w:pPr>
      <w:rPr>
        <w:rFonts w:hint="default"/>
        <w:b w:val="0"/>
        <w:color w:val="auto"/>
      </w:r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9">
    <w:nsid w:val="412A3760"/>
    <w:multiLevelType w:val="hybridMultilevel"/>
    <w:tmpl w:val="25EAFD26"/>
    <w:lvl w:ilvl="0" w:tplc="135E5D30">
      <w:start w:val="1"/>
      <w:numFmt w:val="lowerLetter"/>
      <w:lvlText w:val="(%1)"/>
      <w:lvlJc w:val="left"/>
      <w:pPr>
        <w:ind w:left="2574"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091615"/>
    <w:multiLevelType w:val="hybridMultilevel"/>
    <w:tmpl w:val="8EEA307E"/>
    <w:lvl w:ilvl="0" w:tplc="D8721A0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CE74F13"/>
    <w:multiLevelType w:val="hybridMultilevel"/>
    <w:tmpl w:val="25EAFD26"/>
    <w:lvl w:ilvl="0" w:tplc="135E5D30">
      <w:start w:val="1"/>
      <w:numFmt w:val="lowerLetter"/>
      <w:lvlText w:val="(%1)"/>
      <w:lvlJc w:val="left"/>
      <w:pPr>
        <w:ind w:left="2574"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22"/>
  </w:num>
  <w:num w:numId="15">
    <w:abstractNumId w:val="13"/>
  </w:num>
  <w:num w:numId="16">
    <w:abstractNumId w:val="11"/>
  </w:num>
  <w:num w:numId="17">
    <w:abstractNumId w:val="17"/>
  </w:num>
  <w:num w:numId="18">
    <w:abstractNumId w:val="16"/>
  </w:num>
  <w:num w:numId="19">
    <w:abstractNumId w:val="18"/>
  </w:num>
  <w:num w:numId="20">
    <w:abstractNumId w:val="19"/>
  </w:num>
  <w:num w:numId="21">
    <w:abstractNumId w:val="21"/>
  </w:num>
  <w:num w:numId="22">
    <w:abstractNumId w:val="12"/>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00A61"/>
    <w:rsid w:val="0000147F"/>
    <w:rsid w:val="00002C6A"/>
    <w:rsid w:val="00003591"/>
    <w:rsid w:val="00003796"/>
    <w:rsid w:val="00013DE0"/>
    <w:rsid w:val="00014165"/>
    <w:rsid w:val="00016AA6"/>
    <w:rsid w:val="00030B99"/>
    <w:rsid w:val="000343BC"/>
    <w:rsid w:val="000411BC"/>
    <w:rsid w:val="0004289E"/>
    <w:rsid w:val="00047F08"/>
    <w:rsid w:val="00050F6B"/>
    <w:rsid w:val="0005669E"/>
    <w:rsid w:val="000577AF"/>
    <w:rsid w:val="000630BB"/>
    <w:rsid w:val="000673E9"/>
    <w:rsid w:val="000726E8"/>
    <w:rsid w:val="00072C8C"/>
    <w:rsid w:val="000742BB"/>
    <w:rsid w:val="000748AB"/>
    <w:rsid w:val="00081834"/>
    <w:rsid w:val="00087A15"/>
    <w:rsid w:val="000931C0"/>
    <w:rsid w:val="000A05CB"/>
    <w:rsid w:val="000A2266"/>
    <w:rsid w:val="000A2AAB"/>
    <w:rsid w:val="000A38FF"/>
    <w:rsid w:val="000B175B"/>
    <w:rsid w:val="000B3A0F"/>
    <w:rsid w:val="000B57E4"/>
    <w:rsid w:val="000B7C86"/>
    <w:rsid w:val="000C3162"/>
    <w:rsid w:val="000C4C55"/>
    <w:rsid w:val="000E0415"/>
    <w:rsid w:val="00100F46"/>
    <w:rsid w:val="00102AB9"/>
    <w:rsid w:val="00137598"/>
    <w:rsid w:val="00140E7E"/>
    <w:rsid w:val="00145843"/>
    <w:rsid w:val="0016416F"/>
    <w:rsid w:val="001715CF"/>
    <w:rsid w:val="00173234"/>
    <w:rsid w:val="00173A53"/>
    <w:rsid w:val="0017656E"/>
    <w:rsid w:val="00183058"/>
    <w:rsid w:val="0018694B"/>
    <w:rsid w:val="001879BF"/>
    <w:rsid w:val="00192722"/>
    <w:rsid w:val="001937A7"/>
    <w:rsid w:val="001A5543"/>
    <w:rsid w:val="001A5F06"/>
    <w:rsid w:val="001B02DA"/>
    <w:rsid w:val="001B12C6"/>
    <w:rsid w:val="001B4B04"/>
    <w:rsid w:val="001B4BE0"/>
    <w:rsid w:val="001C18D6"/>
    <w:rsid w:val="001C24F9"/>
    <w:rsid w:val="001C3BFB"/>
    <w:rsid w:val="001C5291"/>
    <w:rsid w:val="001C5462"/>
    <w:rsid w:val="001C6663"/>
    <w:rsid w:val="001C7895"/>
    <w:rsid w:val="001D1861"/>
    <w:rsid w:val="001D26DF"/>
    <w:rsid w:val="001E5473"/>
    <w:rsid w:val="001F34F7"/>
    <w:rsid w:val="001F3FDF"/>
    <w:rsid w:val="001F74B2"/>
    <w:rsid w:val="0020272B"/>
    <w:rsid w:val="00202AF1"/>
    <w:rsid w:val="00204081"/>
    <w:rsid w:val="00205E77"/>
    <w:rsid w:val="00211E0B"/>
    <w:rsid w:val="00215A3C"/>
    <w:rsid w:val="00224E28"/>
    <w:rsid w:val="00235B08"/>
    <w:rsid w:val="0024165B"/>
    <w:rsid w:val="00242A93"/>
    <w:rsid w:val="00246FD4"/>
    <w:rsid w:val="002708F0"/>
    <w:rsid w:val="002844CC"/>
    <w:rsid w:val="00294AB6"/>
    <w:rsid w:val="0029638D"/>
    <w:rsid w:val="002A0555"/>
    <w:rsid w:val="002A3D20"/>
    <w:rsid w:val="002A66E8"/>
    <w:rsid w:val="002C1690"/>
    <w:rsid w:val="002C5732"/>
    <w:rsid w:val="002D46CF"/>
    <w:rsid w:val="002D63B1"/>
    <w:rsid w:val="002D6E00"/>
    <w:rsid w:val="002E0825"/>
    <w:rsid w:val="002E0EBC"/>
    <w:rsid w:val="002E416E"/>
    <w:rsid w:val="002E4711"/>
    <w:rsid w:val="002F3320"/>
    <w:rsid w:val="002F68E2"/>
    <w:rsid w:val="002F6E5E"/>
    <w:rsid w:val="003014E1"/>
    <w:rsid w:val="00307651"/>
    <w:rsid w:val="003107FA"/>
    <w:rsid w:val="00310C1B"/>
    <w:rsid w:val="00313BB7"/>
    <w:rsid w:val="003156A0"/>
    <w:rsid w:val="00315D28"/>
    <w:rsid w:val="003229D8"/>
    <w:rsid w:val="0032397A"/>
    <w:rsid w:val="0033123E"/>
    <w:rsid w:val="003335E1"/>
    <w:rsid w:val="00351568"/>
    <w:rsid w:val="0036020F"/>
    <w:rsid w:val="00363153"/>
    <w:rsid w:val="00366AAC"/>
    <w:rsid w:val="00366BFE"/>
    <w:rsid w:val="00367074"/>
    <w:rsid w:val="003710F6"/>
    <w:rsid w:val="00371B04"/>
    <w:rsid w:val="00377645"/>
    <w:rsid w:val="00383309"/>
    <w:rsid w:val="003925D6"/>
    <w:rsid w:val="0039277A"/>
    <w:rsid w:val="0039527A"/>
    <w:rsid w:val="00396D66"/>
    <w:rsid w:val="003972E0"/>
    <w:rsid w:val="003A0D94"/>
    <w:rsid w:val="003A1DAD"/>
    <w:rsid w:val="003A3758"/>
    <w:rsid w:val="003A3BBA"/>
    <w:rsid w:val="003A565B"/>
    <w:rsid w:val="003B1B68"/>
    <w:rsid w:val="003C2CC4"/>
    <w:rsid w:val="003D2931"/>
    <w:rsid w:val="003D4B23"/>
    <w:rsid w:val="003D740A"/>
    <w:rsid w:val="003F111F"/>
    <w:rsid w:val="003F716A"/>
    <w:rsid w:val="004072C4"/>
    <w:rsid w:val="0041099C"/>
    <w:rsid w:val="004170E9"/>
    <w:rsid w:val="00425D75"/>
    <w:rsid w:val="004313BF"/>
    <w:rsid w:val="004325CB"/>
    <w:rsid w:val="0043490F"/>
    <w:rsid w:val="00434C94"/>
    <w:rsid w:val="004353C3"/>
    <w:rsid w:val="004367C0"/>
    <w:rsid w:val="004373D2"/>
    <w:rsid w:val="004400F3"/>
    <w:rsid w:val="004464E0"/>
    <w:rsid w:val="00446DE4"/>
    <w:rsid w:val="004474BB"/>
    <w:rsid w:val="004478B2"/>
    <w:rsid w:val="00451F5F"/>
    <w:rsid w:val="00452E3C"/>
    <w:rsid w:val="00457830"/>
    <w:rsid w:val="00464A5A"/>
    <w:rsid w:val="004713EC"/>
    <w:rsid w:val="00474444"/>
    <w:rsid w:val="004769AE"/>
    <w:rsid w:val="00477CE1"/>
    <w:rsid w:val="00477F15"/>
    <w:rsid w:val="00480DD8"/>
    <w:rsid w:val="00481CFA"/>
    <w:rsid w:val="00484328"/>
    <w:rsid w:val="00490000"/>
    <w:rsid w:val="004906B5"/>
    <w:rsid w:val="00491D21"/>
    <w:rsid w:val="00496707"/>
    <w:rsid w:val="004969D2"/>
    <w:rsid w:val="004A41CA"/>
    <w:rsid w:val="004B26E7"/>
    <w:rsid w:val="004B453B"/>
    <w:rsid w:val="004B7FC9"/>
    <w:rsid w:val="004C78E1"/>
    <w:rsid w:val="004D279C"/>
    <w:rsid w:val="004D6867"/>
    <w:rsid w:val="004F66C9"/>
    <w:rsid w:val="0050370D"/>
    <w:rsid w:val="00516597"/>
    <w:rsid w:val="005174F3"/>
    <w:rsid w:val="005234F7"/>
    <w:rsid w:val="00523A8A"/>
    <w:rsid w:val="00540E79"/>
    <w:rsid w:val="005420F2"/>
    <w:rsid w:val="00542D8C"/>
    <w:rsid w:val="00556848"/>
    <w:rsid w:val="005606BF"/>
    <w:rsid w:val="00565C30"/>
    <w:rsid w:val="005734AA"/>
    <w:rsid w:val="0059694F"/>
    <w:rsid w:val="00597B2E"/>
    <w:rsid w:val="005A1ED0"/>
    <w:rsid w:val="005B0630"/>
    <w:rsid w:val="005B3DB3"/>
    <w:rsid w:val="005B4080"/>
    <w:rsid w:val="005B5BA3"/>
    <w:rsid w:val="005B72B6"/>
    <w:rsid w:val="005C2935"/>
    <w:rsid w:val="005C4C57"/>
    <w:rsid w:val="005D7A78"/>
    <w:rsid w:val="005E74C7"/>
    <w:rsid w:val="005F0D1D"/>
    <w:rsid w:val="005F2374"/>
    <w:rsid w:val="005F49C5"/>
    <w:rsid w:val="005F4C7C"/>
    <w:rsid w:val="00611312"/>
    <w:rsid w:val="00611EB3"/>
    <w:rsid w:val="00611FC4"/>
    <w:rsid w:val="00614371"/>
    <w:rsid w:val="0061628C"/>
    <w:rsid w:val="006176FB"/>
    <w:rsid w:val="00622F91"/>
    <w:rsid w:val="00626024"/>
    <w:rsid w:val="006263DE"/>
    <w:rsid w:val="00627711"/>
    <w:rsid w:val="00627ED0"/>
    <w:rsid w:val="00630BA0"/>
    <w:rsid w:val="00637580"/>
    <w:rsid w:val="006379EB"/>
    <w:rsid w:val="00640B26"/>
    <w:rsid w:val="00646B4B"/>
    <w:rsid w:val="00650E27"/>
    <w:rsid w:val="00652599"/>
    <w:rsid w:val="00662121"/>
    <w:rsid w:val="00665595"/>
    <w:rsid w:val="006740F6"/>
    <w:rsid w:val="00684DCE"/>
    <w:rsid w:val="006920EE"/>
    <w:rsid w:val="00695137"/>
    <w:rsid w:val="00696953"/>
    <w:rsid w:val="006A6B62"/>
    <w:rsid w:val="006A7392"/>
    <w:rsid w:val="006B0C88"/>
    <w:rsid w:val="006B2009"/>
    <w:rsid w:val="006B3F26"/>
    <w:rsid w:val="006C2174"/>
    <w:rsid w:val="006C27BD"/>
    <w:rsid w:val="006C3036"/>
    <w:rsid w:val="006D613F"/>
    <w:rsid w:val="006E0A73"/>
    <w:rsid w:val="006E2762"/>
    <w:rsid w:val="006E564B"/>
    <w:rsid w:val="006F2455"/>
    <w:rsid w:val="007005CE"/>
    <w:rsid w:val="007008CD"/>
    <w:rsid w:val="0070280B"/>
    <w:rsid w:val="00704AF6"/>
    <w:rsid w:val="007058AB"/>
    <w:rsid w:val="00706350"/>
    <w:rsid w:val="00716D0E"/>
    <w:rsid w:val="007232A9"/>
    <w:rsid w:val="0072332E"/>
    <w:rsid w:val="0072534B"/>
    <w:rsid w:val="0072632A"/>
    <w:rsid w:val="00726420"/>
    <w:rsid w:val="007369F3"/>
    <w:rsid w:val="00747D37"/>
    <w:rsid w:val="0075096D"/>
    <w:rsid w:val="00760911"/>
    <w:rsid w:val="00765ADB"/>
    <w:rsid w:val="0077484A"/>
    <w:rsid w:val="00781D9E"/>
    <w:rsid w:val="00784C0B"/>
    <w:rsid w:val="00792DC9"/>
    <w:rsid w:val="007A1923"/>
    <w:rsid w:val="007A23F8"/>
    <w:rsid w:val="007A690C"/>
    <w:rsid w:val="007B1D40"/>
    <w:rsid w:val="007B6BA5"/>
    <w:rsid w:val="007C1FBF"/>
    <w:rsid w:val="007C3390"/>
    <w:rsid w:val="007C4F4B"/>
    <w:rsid w:val="007C79DD"/>
    <w:rsid w:val="007D77B5"/>
    <w:rsid w:val="007E2C6D"/>
    <w:rsid w:val="007E7F18"/>
    <w:rsid w:val="007F0B83"/>
    <w:rsid w:val="007F1E0C"/>
    <w:rsid w:val="007F6611"/>
    <w:rsid w:val="00803C67"/>
    <w:rsid w:val="00815781"/>
    <w:rsid w:val="008175E9"/>
    <w:rsid w:val="008242D7"/>
    <w:rsid w:val="008260BB"/>
    <w:rsid w:val="008311A3"/>
    <w:rsid w:val="00831653"/>
    <w:rsid w:val="0083263E"/>
    <w:rsid w:val="008370BE"/>
    <w:rsid w:val="00840224"/>
    <w:rsid w:val="00840E49"/>
    <w:rsid w:val="00843AE9"/>
    <w:rsid w:val="0084515C"/>
    <w:rsid w:val="00846D89"/>
    <w:rsid w:val="00850389"/>
    <w:rsid w:val="00854F71"/>
    <w:rsid w:val="00857311"/>
    <w:rsid w:val="00871FD5"/>
    <w:rsid w:val="00880B62"/>
    <w:rsid w:val="0088137A"/>
    <w:rsid w:val="00891790"/>
    <w:rsid w:val="00891CE4"/>
    <w:rsid w:val="008929AB"/>
    <w:rsid w:val="008979B1"/>
    <w:rsid w:val="008A315F"/>
    <w:rsid w:val="008A6B25"/>
    <w:rsid w:val="008A6C4F"/>
    <w:rsid w:val="008B4BA4"/>
    <w:rsid w:val="008B7A3C"/>
    <w:rsid w:val="008D7012"/>
    <w:rsid w:val="008D74FE"/>
    <w:rsid w:val="008E0E46"/>
    <w:rsid w:val="008E0FD0"/>
    <w:rsid w:val="008E4FCB"/>
    <w:rsid w:val="008E653C"/>
    <w:rsid w:val="008F1555"/>
    <w:rsid w:val="008F78EE"/>
    <w:rsid w:val="008F79B2"/>
    <w:rsid w:val="008F7AF3"/>
    <w:rsid w:val="00903522"/>
    <w:rsid w:val="00907AD2"/>
    <w:rsid w:val="00922B52"/>
    <w:rsid w:val="00925E4E"/>
    <w:rsid w:val="00933165"/>
    <w:rsid w:val="00933AC2"/>
    <w:rsid w:val="0094167E"/>
    <w:rsid w:val="00943979"/>
    <w:rsid w:val="009460CC"/>
    <w:rsid w:val="00951AD2"/>
    <w:rsid w:val="009539C8"/>
    <w:rsid w:val="009559BE"/>
    <w:rsid w:val="00963CBA"/>
    <w:rsid w:val="00965EA6"/>
    <w:rsid w:val="00966D23"/>
    <w:rsid w:val="00967060"/>
    <w:rsid w:val="00973D8F"/>
    <w:rsid w:val="00974A8D"/>
    <w:rsid w:val="00976348"/>
    <w:rsid w:val="00981118"/>
    <w:rsid w:val="00986F7D"/>
    <w:rsid w:val="00987AAD"/>
    <w:rsid w:val="00991261"/>
    <w:rsid w:val="009A60AE"/>
    <w:rsid w:val="009B0D68"/>
    <w:rsid w:val="009B203F"/>
    <w:rsid w:val="009B77C3"/>
    <w:rsid w:val="009C35F4"/>
    <w:rsid w:val="009C43CE"/>
    <w:rsid w:val="009D2EFF"/>
    <w:rsid w:val="009E4FED"/>
    <w:rsid w:val="009E7C2A"/>
    <w:rsid w:val="009F0CE0"/>
    <w:rsid w:val="009F22A1"/>
    <w:rsid w:val="009F3A17"/>
    <w:rsid w:val="009F5146"/>
    <w:rsid w:val="009F6191"/>
    <w:rsid w:val="00A010E9"/>
    <w:rsid w:val="00A02548"/>
    <w:rsid w:val="00A0261C"/>
    <w:rsid w:val="00A0351A"/>
    <w:rsid w:val="00A103B5"/>
    <w:rsid w:val="00A11821"/>
    <w:rsid w:val="00A124EA"/>
    <w:rsid w:val="00A1427D"/>
    <w:rsid w:val="00A14809"/>
    <w:rsid w:val="00A200CB"/>
    <w:rsid w:val="00A21ADA"/>
    <w:rsid w:val="00A244FE"/>
    <w:rsid w:val="00A2496B"/>
    <w:rsid w:val="00A24CC4"/>
    <w:rsid w:val="00A3242F"/>
    <w:rsid w:val="00A37D88"/>
    <w:rsid w:val="00A40696"/>
    <w:rsid w:val="00A4594D"/>
    <w:rsid w:val="00A5087A"/>
    <w:rsid w:val="00A50F86"/>
    <w:rsid w:val="00A609FF"/>
    <w:rsid w:val="00A64E4F"/>
    <w:rsid w:val="00A7150E"/>
    <w:rsid w:val="00A71E5A"/>
    <w:rsid w:val="00A72F22"/>
    <w:rsid w:val="00A748A6"/>
    <w:rsid w:val="00A77059"/>
    <w:rsid w:val="00A77289"/>
    <w:rsid w:val="00A879A4"/>
    <w:rsid w:val="00A87DD2"/>
    <w:rsid w:val="00A91C78"/>
    <w:rsid w:val="00A9232E"/>
    <w:rsid w:val="00AA5025"/>
    <w:rsid w:val="00AB3955"/>
    <w:rsid w:val="00AB65F9"/>
    <w:rsid w:val="00AB7DD6"/>
    <w:rsid w:val="00AD4202"/>
    <w:rsid w:val="00AD4C72"/>
    <w:rsid w:val="00AE3ADD"/>
    <w:rsid w:val="00AF1D3E"/>
    <w:rsid w:val="00B056AC"/>
    <w:rsid w:val="00B06459"/>
    <w:rsid w:val="00B10F56"/>
    <w:rsid w:val="00B148ED"/>
    <w:rsid w:val="00B20255"/>
    <w:rsid w:val="00B20D2F"/>
    <w:rsid w:val="00B222CE"/>
    <w:rsid w:val="00B23C5F"/>
    <w:rsid w:val="00B27AF8"/>
    <w:rsid w:val="00B30179"/>
    <w:rsid w:val="00B33EC0"/>
    <w:rsid w:val="00B40BDD"/>
    <w:rsid w:val="00B44C3B"/>
    <w:rsid w:val="00B500C0"/>
    <w:rsid w:val="00B51A77"/>
    <w:rsid w:val="00B648AF"/>
    <w:rsid w:val="00B707E4"/>
    <w:rsid w:val="00B81E12"/>
    <w:rsid w:val="00B90106"/>
    <w:rsid w:val="00B92736"/>
    <w:rsid w:val="00B967A2"/>
    <w:rsid w:val="00BA0659"/>
    <w:rsid w:val="00BA3A0E"/>
    <w:rsid w:val="00BB476A"/>
    <w:rsid w:val="00BB5280"/>
    <w:rsid w:val="00BC0578"/>
    <w:rsid w:val="00BC1F21"/>
    <w:rsid w:val="00BC29BA"/>
    <w:rsid w:val="00BC3F47"/>
    <w:rsid w:val="00BC74E9"/>
    <w:rsid w:val="00BD07EF"/>
    <w:rsid w:val="00BD1F27"/>
    <w:rsid w:val="00BE4F74"/>
    <w:rsid w:val="00BE595D"/>
    <w:rsid w:val="00BE5A5B"/>
    <w:rsid w:val="00BE618E"/>
    <w:rsid w:val="00BF6ED1"/>
    <w:rsid w:val="00C043D8"/>
    <w:rsid w:val="00C11A81"/>
    <w:rsid w:val="00C11B6B"/>
    <w:rsid w:val="00C367FA"/>
    <w:rsid w:val="00C43863"/>
    <w:rsid w:val="00C463DD"/>
    <w:rsid w:val="00C46F80"/>
    <w:rsid w:val="00C67CEE"/>
    <w:rsid w:val="00C728BC"/>
    <w:rsid w:val="00C745C3"/>
    <w:rsid w:val="00C7649E"/>
    <w:rsid w:val="00C82F62"/>
    <w:rsid w:val="00C85A4D"/>
    <w:rsid w:val="00C85F9A"/>
    <w:rsid w:val="00C9242D"/>
    <w:rsid w:val="00C92FDA"/>
    <w:rsid w:val="00C97AA3"/>
    <w:rsid w:val="00CA35C0"/>
    <w:rsid w:val="00CB08A6"/>
    <w:rsid w:val="00CC0BB1"/>
    <w:rsid w:val="00CD406A"/>
    <w:rsid w:val="00CD5AC3"/>
    <w:rsid w:val="00CE4A8F"/>
    <w:rsid w:val="00CE55A0"/>
    <w:rsid w:val="00CE6C07"/>
    <w:rsid w:val="00CF2478"/>
    <w:rsid w:val="00D01959"/>
    <w:rsid w:val="00D10DD0"/>
    <w:rsid w:val="00D127D6"/>
    <w:rsid w:val="00D12890"/>
    <w:rsid w:val="00D13424"/>
    <w:rsid w:val="00D14E4C"/>
    <w:rsid w:val="00D2031B"/>
    <w:rsid w:val="00D20C57"/>
    <w:rsid w:val="00D25FE2"/>
    <w:rsid w:val="00D317BB"/>
    <w:rsid w:val="00D33085"/>
    <w:rsid w:val="00D43252"/>
    <w:rsid w:val="00D464F6"/>
    <w:rsid w:val="00D46FD2"/>
    <w:rsid w:val="00D55288"/>
    <w:rsid w:val="00D61B6F"/>
    <w:rsid w:val="00D67E5E"/>
    <w:rsid w:val="00D80302"/>
    <w:rsid w:val="00D90D0F"/>
    <w:rsid w:val="00D92281"/>
    <w:rsid w:val="00D968F0"/>
    <w:rsid w:val="00D978C6"/>
    <w:rsid w:val="00D97D35"/>
    <w:rsid w:val="00DA67AD"/>
    <w:rsid w:val="00DB05EC"/>
    <w:rsid w:val="00DB0F0D"/>
    <w:rsid w:val="00DB17E0"/>
    <w:rsid w:val="00DB31DE"/>
    <w:rsid w:val="00DB4A2B"/>
    <w:rsid w:val="00DB738F"/>
    <w:rsid w:val="00DC242D"/>
    <w:rsid w:val="00DC494F"/>
    <w:rsid w:val="00DD1051"/>
    <w:rsid w:val="00DD1566"/>
    <w:rsid w:val="00DD7E6D"/>
    <w:rsid w:val="00DF12F7"/>
    <w:rsid w:val="00E02C81"/>
    <w:rsid w:val="00E04FFD"/>
    <w:rsid w:val="00E0678D"/>
    <w:rsid w:val="00E06D91"/>
    <w:rsid w:val="00E07406"/>
    <w:rsid w:val="00E10780"/>
    <w:rsid w:val="00E11495"/>
    <w:rsid w:val="00E130AB"/>
    <w:rsid w:val="00E134E2"/>
    <w:rsid w:val="00E16E20"/>
    <w:rsid w:val="00E23842"/>
    <w:rsid w:val="00E4080E"/>
    <w:rsid w:val="00E4087F"/>
    <w:rsid w:val="00E40F25"/>
    <w:rsid w:val="00E41404"/>
    <w:rsid w:val="00E4340E"/>
    <w:rsid w:val="00E471CE"/>
    <w:rsid w:val="00E51086"/>
    <w:rsid w:val="00E5203C"/>
    <w:rsid w:val="00E540CD"/>
    <w:rsid w:val="00E55FE5"/>
    <w:rsid w:val="00E57021"/>
    <w:rsid w:val="00E57891"/>
    <w:rsid w:val="00E62C9D"/>
    <w:rsid w:val="00E7260F"/>
    <w:rsid w:val="00E72A51"/>
    <w:rsid w:val="00E73015"/>
    <w:rsid w:val="00E7325B"/>
    <w:rsid w:val="00E76B60"/>
    <w:rsid w:val="00E76ED5"/>
    <w:rsid w:val="00E81FB5"/>
    <w:rsid w:val="00E82F77"/>
    <w:rsid w:val="00E87921"/>
    <w:rsid w:val="00E905FF"/>
    <w:rsid w:val="00E918C5"/>
    <w:rsid w:val="00E96630"/>
    <w:rsid w:val="00EA31A6"/>
    <w:rsid w:val="00EA4386"/>
    <w:rsid w:val="00EB52B1"/>
    <w:rsid w:val="00EB7F00"/>
    <w:rsid w:val="00EC05B7"/>
    <w:rsid w:val="00EC67D7"/>
    <w:rsid w:val="00ED64BA"/>
    <w:rsid w:val="00ED7A2A"/>
    <w:rsid w:val="00EE2474"/>
    <w:rsid w:val="00EE7280"/>
    <w:rsid w:val="00EF1D7F"/>
    <w:rsid w:val="00EF215B"/>
    <w:rsid w:val="00EF2BC2"/>
    <w:rsid w:val="00EF49A8"/>
    <w:rsid w:val="00F07ABD"/>
    <w:rsid w:val="00F10DCA"/>
    <w:rsid w:val="00F126D8"/>
    <w:rsid w:val="00F1616A"/>
    <w:rsid w:val="00F22B41"/>
    <w:rsid w:val="00F32B10"/>
    <w:rsid w:val="00F410F5"/>
    <w:rsid w:val="00F4662D"/>
    <w:rsid w:val="00F53EDA"/>
    <w:rsid w:val="00F53F8C"/>
    <w:rsid w:val="00F61A5F"/>
    <w:rsid w:val="00F634F2"/>
    <w:rsid w:val="00F66DA1"/>
    <w:rsid w:val="00F71580"/>
    <w:rsid w:val="00F718C0"/>
    <w:rsid w:val="00F751CA"/>
    <w:rsid w:val="00F7753D"/>
    <w:rsid w:val="00F85F34"/>
    <w:rsid w:val="00F9054F"/>
    <w:rsid w:val="00F91176"/>
    <w:rsid w:val="00FA00D2"/>
    <w:rsid w:val="00FA06F7"/>
    <w:rsid w:val="00FB1138"/>
    <w:rsid w:val="00FB12D3"/>
    <w:rsid w:val="00FB171A"/>
    <w:rsid w:val="00FB2C1E"/>
    <w:rsid w:val="00FB5B8F"/>
    <w:rsid w:val="00FB6EFF"/>
    <w:rsid w:val="00FC0DB9"/>
    <w:rsid w:val="00FC49E7"/>
    <w:rsid w:val="00FC68B7"/>
    <w:rsid w:val="00FD2B55"/>
    <w:rsid w:val="00FD3F14"/>
    <w:rsid w:val="00FD48E7"/>
    <w:rsid w:val="00FD533A"/>
    <w:rsid w:val="00FD7592"/>
    <w:rsid w:val="00FD7BF6"/>
    <w:rsid w:val="00FF1B15"/>
    <w:rsid w:val="00FF4F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H23G"/>
    <w:next w:val="Normal"/>
    <w:qFormat/>
    <w:rsid w:val="009B77C3"/>
    <w:pPr>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character" w:customStyle="1" w:styleId="highlight1">
    <w:name w:val="highlight1"/>
    <w:rsid w:val="003F716A"/>
    <w:rPr>
      <w:shd w:val="clear" w:color="auto" w:fill="FFCC33"/>
    </w:rPr>
  </w:style>
  <w:style w:type="paragraph" w:styleId="CommentSubject">
    <w:name w:val="annotation subject"/>
    <w:basedOn w:val="CommentText"/>
    <w:next w:val="CommentText"/>
    <w:link w:val="CommentSubjectChar"/>
    <w:rsid w:val="000577AF"/>
    <w:rPr>
      <w:b/>
      <w:bCs/>
    </w:rPr>
  </w:style>
  <w:style w:type="character" w:customStyle="1" w:styleId="CommentTextChar">
    <w:name w:val="Comment Text Char"/>
    <w:link w:val="CommentText"/>
    <w:semiHidden/>
    <w:rsid w:val="000577AF"/>
    <w:rPr>
      <w:lang w:eastAsia="en-US"/>
    </w:rPr>
  </w:style>
  <w:style w:type="character" w:customStyle="1" w:styleId="CommentSubjectChar">
    <w:name w:val="Comment Subject Char"/>
    <w:link w:val="CommentSubject"/>
    <w:rsid w:val="000577AF"/>
    <w:rPr>
      <w:b/>
      <w:bCs/>
      <w:lang w:eastAsia="en-US"/>
    </w:rPr>
  </w:style>
  <w:style w:type="paragraph" w:styleId="Revision">
    <w:name w:val="Revision"/>
    <w:hidden/>
    <w:uiPriority w:val="99"/>
    <w:semiHidden/>
    <w:rsid w:val="004B26E7"/>
    <w:rPr>
      <w:lang w:eastAsia="en-US"/>
    </w:rPr>
  </w:style>
  <w:style w:type="character" w:customStyle="1" w:styleId="preferred">
    <w:name w:val="preferred"/>
    <w:basedOn w:val="DefaultParagraphFont"/>
    <w:rsid w:val="00792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H23G"/>
    <w:next w:val="Normal"/>
    <w:qFormat/>
    <w:rsid w:val="009B77C3"/>
    <w:pPr>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character" w:customStyle="1" w:styleId="highlight1">
    <w:name w:val="highlight1"/>
    <w:rsid w:val="003F716A"/>
    <w:rPr>
      <w:shd w:val="clear" w:color="auto" w:fill="FFCC33"/>
    </w:rPr>
  </w:style>
  <w:style w:type="paragraph" w:styleId="CommentSubject">
    <w:name w:val="annotation subject"/>
    <w:basedOn w:val="CommentText"/>
    <w:next w:val="CommentText"/>
    <w:link w:val="CommentSubjectChar"/>
    <w:rsid w:val="000577AF"/>
    <w:rPr>
      <w:b/>
      <w:bCs/>
    </w:rPr>
  </w:style>
  <w:style w:type="character" w:customStyle="1" w:styleId="CommentTextChar">
    <w:name w:val="Comment Text Char"/>
    <w:link w:val="CommentText"/>
    <w:semiHidden/>
    <w:rsid w:val="000577AF"/>
    <w:rPr>
      <w:lang w:eastAsia="en-US"/>
    </w:rPr>
  </w:style>
  <w:style w:type="character" w:customStyle="1" w:styleId="CommentSubjectChar">
    <w:name w:val="Comment Subject Char"/>
    <w:link w:val="CommentSubject"/>
    <w:rsid w:val="000577AF"/>
    <w:rPr>
      <w:b/>
      <w:bCs/>
      <w:lang w:eastAsia="en-US"/>
    </w:rPr>
  </w:style>
  <w:style w:type="paragraph" w:styleId="Revision">
    <w:name w:val="Revision"/>
    <w:hidden/>
    <w:uiPriority w:val="99"/>
    <w:semiHidden/>
    <w:rsid w:val="004B26E7"/>
    <w:rPr>
      <w:lang w:eastAsia="en-US"/>
    </w:rPr>
  </w:style>
  <w:style w:type="character" w:customStyle="1" w:styleId="preferred">
    <w:name w:val="preferred"/>
    <w:basedOn w:val="DefaultParagraphFont"/>
    <w:rsid w:val="0079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71634">
      <w:bodyDiv w:val="1"/>
      <w:marLeft w:val="0"/>
      <w:marRight w:val="0"/>
      <w:marTop w:val="0"/>
      <w:marBottom w:val="0"/>
      <w:divBdr>
        <w:top w:val="none" w:sz="0" w:space="0" w:color="auto"/>
        <w:left w:val="none" w:sz="0" w:space="0" w:color="auto"/>
        <w:bottom w:val="none" w:sz="0" w:space="0" w:color="auto"/>
        <w:right w:val="none" w:sz="0" w:space="0" w:color="auto"/>
      </w:divBdr>
    </w:div>
    <w:div w:id="1423795212">
      <w:bodyDiv w:val="1"/>
      <w:marLeft w:val="0"/>
      <w:marRight w:val="0"/>
      <w:marTop w:val="0"/>
      <w:marBottom w:val="0"/>
      <w:divBdr>
        <w:top w:val="none" w:sz="0" w:space="0" w:color="auto"/>
        <w:left w:val="none" w:sz="0" w:space="0" w:color="auto"/>
        <w:bottom w:val="none" w:sz="0" w:space="0" w:color="auto"/>
        <w:right w:val="none" w:sz="0" w:space="0" w:color="auto"/>
      </w:divBdr>
      <w:divsChild>
        <w:div w:id="1270511253">
          <w:marLeft w:val="0"/>
          <w:marRight w:val="0"/>
          <w:marTop w:val="0"/>
          <w:marBottom w:val="0"/>
          <w:divBdr>
            <w:top w:val="none" w:sz="0" w:space="0" w:color="auto"/>
            <w:left w:val="none" w:sz="0" w:space="0" w:color="auto"/>
            <w:bottom w:val="none" w:sz="0" w:space="0" w:color="auto"/>
            <w:right w:val="none" w:sz="0" w:space="0" w:color="auto"/>
          </w:divBdr>
          <w:divsChild>
            <w:div w:id="911041775">
              <w:marLeft w:val="0"/>
              <w:marRight w:val="0"/>
              <w:marTop w:val="0"/>
              <w:marBottom w:val="0"/>
              <w:divBdr>
                <w:top w:val="none" w:sz="0" w:space="0" w:color="auto"/>
                <w:left w:val="none" w:sz="0" w:space="0" w:color="auto"/>
                <w:bottom w:val="none" w:sz="0" w:space="0" w:color="auto"/>
                <w:right w:val="none" w:sz="0" w:space="0" w:color="auto"/>
              </w:divBdr>
              <w:divsChild>
                <w:div w:id="1177309451">
                  <w:marLeft w:val="0"/>
                  <w:marRight w:val="0"/>
                  <w:marTop w:val="0"/>
                  <w:marBottom w:val="0"/>
                  <w:divBdr>
                    <w:top w:val="none" w:sz="0" w:space="0" w:color="auto"/>
                    <w:left w:val="none" w:sz="0" w:space="0" w:color="auto"/>
                    <w:bottom w:val="none" w:sz="0" w:space="0" w:color="auto"/>
                    <w:right w:val="none" w:sz="0" w:space="0" w:color="auto"/>
                  </w:divBdr>
                  <w:divsChild>
                    <w:div w:id="1567106456">
                      <w:marLeft w:val="0"/>
                      <w:marRight w:val="0"/>
                      <w:marTop w:val="0"/>
                      <w:marBottom w:val="0"/>
                      <w:divBdr>
                        <w:top w:val="none" w:sz="0" w:space="0" w:color="auto"/>
                        <w:left w:val="none" w:sz="0" w:space="0" w:color="auto"/>
                        <w:bottom w:val="none" w:sz="0" w:space="0" w:color="auto"/>
                        <w:right w:val="none" w:sz="0" w:space="0" w:color="auto"/>
                      </w:divBdr>
                      <w:divsChild>
                        <w:div w:id="1818300333">
                          <w:marLeft w:val="0"/>
                          <w:marRight w:val="0"/>
                          <w:marTop w:val="0"/>
                          <w:marBottom w:val="0"/>
                          <w:divBdr>
                            <w:top w:val="none" w:sz="0" w:space="0" w:color="auto"/>
                            <w:left w:val="none" w:sz="0" w:space="0" w:color="auto"/>
                            <w:bottom w:val="none" w:sz="0" w:space="0" w:color="auto"/>
                            <w:right w:val="none" w:sz="0" w:space="0" w:color="auto"/>
                          </w:divBdr>
                          <w:divsChild>
                            <w:div w:id="532614464">
                              <w:marLeft w:val="0"/>
                              <w:marRight w:val="0"/>
                              <w:marTop w:val="0"/>
                              <w:marBottom w:val="0"/>
                              <w:divBdr>
                                <w:top w:val="none" w:sz="0" w:space="0" w:color="auto"/>
                                <w:left w:val="none" w:sz="0" w:space="0" w:color="auto"/>
                                <w:bottom w:val="none" w:sz="0" w:space="0" w:color="auto"/>
                                <w:right w:val="none" w:sz="0" w:space="0" w:color="auto"/>
                              </w:divBdr>
                              <w:divsChild>
                                <w:div w:id="180821178">
                                  <w:marLeft w:val="0"/>
                                  <w:marRight w:val="0"/>
                                  <w:marTop w:val="0"/>
                                  <w:marBottom w:val="0"/>
                                  <w:divBdr>
                                    <w:top w:val="none" w:sz="0" w:space="0" w:color="auto"/>
                                    <w:left w:val="none" w:sz="0" w:space="0" w:color="auto"/>
                                    <w:bottom w:val="none" w:sz="0" w:space="0" w:color="auto"/>
                                    <w:right w:val="none" w:sz="0" w:space="0" w:color="auto"/>
                                  </w:divBdr>
                                  <w:divsChild>
                                    <w:div w:id="1358896247">
                                      <w:marLeft w:val="0"/>
                                      <w:marRight w:val="0"/>
                                      <w:marTop w:val="0"/>
                                      <w:marBottom w:val="0"/>
                                      <w:divBdr>
                                        <w:top w:val="none" w:sz="0" w:space="0" w:color="auto"/>
                                        <w:left w:val="none" w:sz="0" w:space="0" w:color="auto"/>
                                        <w:bottom w:val="none" w:sz="0" w:space="0" w:color="auto"/>
                                        <w:right w:val="none" w:sz="0" w:space="0" w:color="auto"/>
                                      </w:divBdr>
                                      <w:divsChild>
                                        <w:div w:id="716585953">
                                          <w:marLeft w:val="0"/>
                                          <w:marRight w:val="0"/>
                                          <w:marTop w:val="0"/>
                                          <w:marBottom w:val="0"/>
                                          <w:divBdr>
                                            <w:top w:val="none" w:sz="0" w:space="0" w:color="auto"/>
                                            <w:left w:val="none" w:sz="0" w:space="0" w:color="auto"/>
                                            <w:bottom w:val="none" w:sz="0" w:space="0" w:color="auto"/>
                                            <w:right w:val="none" w:sz="0" w:space="0" w:color="auto"/>
                                          </w:divBdr>
                                          <w:divsChild>
                                            <w:div w:id="1423917565">
                                              <w:marLeft w:val="0"/>
                                              <w:marRight w:val="0"/>
                                              <w:marTop w:val="0"/>
                                              <w:marBottom w:val="0"/>
                                              <w:divBdr>
                                                <w:top w:val="none" w:sz="0" w:space="0" w:color="auto"/>
                                                <w:left w:val="none" w:sz="0" w:space="0" w:color="auto"/>
                                                <w:bottom w:val="none" w:sz="0" w:space="0" w:color="auto"/>
                                                <w:right w:val="none" w:sz="0" w:space="0" w:color="auto"/>
                                              </w:divBdr>
                                              <w:divsChild>
                                                <w:div w:id="1653438281">
                                                  <w:marLeft w:val="0"/>
                                                  <w:marRight w:val="0"/>
                                                  <w:marTop w:val="0"/>
                                                  <w:marBottom w:val="0"/>
                                                  <w:divBdr>
                                                    <w:top w:val="none" w:sz="0" w:space="0" w:color="auto"/>
                                                    <w:left w:val="none" w:sz="0" w:space="0" w:color="auto"/>
                                                    <w:bottom w:val="none" w:sz="0" w:space="0" w:color="auto"/>
                                                    <w:right w:val="none" w:sz="0" w:space="0" w:color="auto"/>
                                                  </w:divBdr>
                                                  <w:divsChild>
                                                    <w:div w:id="1382901606">
                                                      <w:marLeft w:val="0"/>
                                                      <w:marRight w:val="0"/>
                                                      <w:marTop w:val="0"/>
                                                      <w:marBottom w:val="0"/>
                                                      <w:divBdr>
                                                        <w:top w:val="none" w:sz="0" w:space="0" w:color="auto"/>
                                                        <w:left w:val="none" w:sz="0" w:space="0" w:color="auto"/>
                                                        <w:bottom w:val="none" w:sz="0" w:space="0" w:color="auto"/>
                                                        <w:right w:val="none" w:sz="0" w:space="0" w:color="auto"/>
                                                      </w:divBdr>
                                                      <w:divsChild>
                                                        <w:div w:id="593973286">
                                                          <w:marLeft w:val="0"/>
                                                          <w:marRight w:val="0"/>
                                                          <w:marTop w:val="0"/>
                                                          <w:marBottom w:val="0"/>
                                                          <w:divBdr>
                                                            <w:top w:val="none" w:sz="0" w:space="0" w:color="auto"/>
                                                            <w:left w:val="none" w:sz="0" w:space="0" w:color="auto"/>
                                                            <w:bottom w:val="none" w:sz="0" w:space="0" w:color="auto"/>
                                                            <w:right w:val="none" w:sz="0" w:space="0" w:color="auto"/>
                                                          </w:divBdr>
                                                          <w:divsChild>
                                                            <w:div w:id="1918593009">
                                                              <w:marLeft w:val="0"/>
                                                              <w:marRight w:val="0"/>
                                                              <w:marTop w:val="0"/>
                                                              <w:marBottom w:val="0"/>
                                                              <w:divBdr>
                                                                <w:top w:val="none" w:sz="0" w:space="0" w:color="auto"/>
                                                                <w:left w:val="none" w:sz="0" w:space="0" w:color="auto"/>
                                                                <w:bottom w:val="none" w:sz="0" w:space="0" w:color="auto"/>
                                                                <w:right w:val="none" w:sz="0" w:space="0" w:color="auto"/>
                                                              </w:divBdr>
                                                              <w:divsChild>
                                                                <w:div w:id="1081100443">
                                                                  <w:marLeft w:val="0"/>
                                                                  <w:marRight w:val="0"/>
                                                                  <w:marTop w:val="0"/>
                                                                  <w:marBottom w:val="0"/>
                                                                  <w:divBdr>
                                                                    <w:top w:val="none" w:sz="0" w:space="0" w:color="auto"/>
                                                                    <w:left w:val="none" w:sz="0" w:space="0" w:color="auto"/>
                                                                    <w:bottom w:val="none" w:sz="0" w:space="0" w:color="auto"/>
                                                                    <w:right w:val="none" w:sz="0" w:space="0" w:color="auto"/>
                                                                  </w:divBdr>
                                                                  <w:divsChild>
                                                                    <w:div w:id="408429112">
                                                                      <w:marLeft w:val="0"/>
                                                                      <w:marRight w:val="0"/>
                                                                      <w:marTop w:val="0"/>
                                                                      <w:marBottom w:val="0"/>
                                                                      <w:divBdr>
                                                                        <w:top w:val="none" w:sz="0" w:space="0" w:color="auto"/>
                                                                        <w:left w:val="none" w:sz="0" w:space="0" w:color="auto"/>
                                                                        <w:bottom w:val="none" w:sz="0" w:space="0" w:color="auto"/>
                                                                        <w:right w:val="none" w:sz="0" w:space="0" w:color="auto"/>
                                                                      </w:divBdr>
                                                                      <w:divsChild>
                                                                        <w:div w:id="59325338">
                                                                          <w:marLeft w:val="0"/>
                                                                          <w:marRight w:val="0"/>
                                                                          <w:marTop w:val="0"/>
                                                                          <w:marBottom w:val="0"/>
                                                                          <w:divBdr>
                                                                            <w:top w:val="none" w:sz="0" w:space="0" w:color="auto"/>
                                                                            <w:left w:val="none" w:sz="0" w:space="0" w:color="auto"/>
                                                                            <w:bottom w:val="none" w:sz="0" w:space="0" w:color="auto"/>
                                                                            <w:right w:val="none" w:sz="0" w:space="0" w:color="auto"/>
                                                                          </w:divBdr>
                                                                          <w:divsChild>
                                                                            <w:div w:id="795611371">
                                                                              <w:marLeft w:val="0"/>
                                                                              <w:marRight w:val="0"/>
                                                                              <w:marTop w:val="0"/>
                                                                              <w:marBottom w:val="0"/>
                                                                              <w:divBdr>
                                                                                <w:top w:val="none" w:sz="0" w:space="0" w:color="auto"/>
                                                                                <w:left w:val="none" w:sz="0" w:space="0" w:color="auto"/>
                                                                                <w:bottom w:val="none" w:sz="0" w:space="0" w:color="auto"/>
                                                                                <w:right w:val="none" w:sz="0" w:space="0" w:color="auto"/>
                                                                              </w:divBdr>
                                                                              <w:divsChild>
                                                                                <w:div w:id="156043826">
                                                                                  <w:marLeft w:val="0"/>
                                                                                  <w:marRight w:val="0"/>
                                                                                  <w:marTop w:val="0"/>
                                                                                  <w:marBottom w:val="0"/>
                                                                                  <w:divBdr>
                                                                                    <w:top w:val="none" w:sz="0" w:space="0" w:color="auto"/>
                                                                                    <w:left w:val="none" w:sz="0" w:space="0" w:color="auto"/>
                                                                                    <w:bottom w:val="none" w:sz="0" w:space="0" w:color="auto"/>
                                                                                    <w:right w:val="none" w:sz="0" w:space="0" w:color="auto"/>
                                                                                  </w:divBdr>
                                                                                  <w:divsChild>
                                                                                    <w:div w:id="171577102">
                                                                                      <w:marLeft w:val="0"/>
                                                                                      <w:marRight w:val="0"/>
                                                                                      <w:marTop w:val="0"/>
                                                                                      <w:marBottom w:val="0"/>
                                                                                      <w:divBdr>
                                                                                        <w:top w:val="single" w:sz="6" w:space="0" w:color="A7B3BD"/>
                                                                                        <w:left w:val="none" w:sz="0" w:space="0" w:color="auto"/>
                                                                                        <w:bottom w:val="none" w:sz="0" w:space="0" w:color="auto"/>
                                                                                        <w:right w:val="none" w:sz="0" w:space="0" w:color="auto"/>
                                                                                      </w:divBdr>
                                                                                      <w:divsChild>
                                                                                        <w:div w:id="5663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942687">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E3EB-867B-428E-9BAD-68556FE7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PlainPage.dot</Template>
  <TotalTime>0</TotalTime>
  <Pages>10</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dc:description>final</dc:description>
  <cp:lastModifiedBy>pdfeng</cp:lastModifiedBy>
  <cp:revision>3</cp:revision>
  <cp:lastPrinted>2015-10-27T13:58:00Z</cp:lastPrinted>
  <dcterms:created xsi:type="dcterms:W3CDTF">2015-10-27T13:58:00Z</dcterms:created>
  <dcterms:modified xsi:type="dcterms:W3CDTF">2015-10-27T13:58:00Z</dcterms:modified>
</cp:coreProperties>
</file>