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12" w:space="0" w:color="auto"/>
            </w:tcBorders>
          </w:tcPr>
          <w:p w:rsidR="00000000" w:rsidRDefault="00000000">
            <w:pPr>
              <w:rPr>
                <w:lang w:val="fr-FR"/>
              </w:rPr>
            </w:pPr>
          </w:p>
        </w:tc>
        <w:tc>
          <w:tcPr>
            <w:tcW w:w="2273" w:type="dxa"/>
            <w:tcBorders>
              <w:bottom w:val="single" w:sz="12" w:space="0" w:color="auto"/>
            </w:tcBorders>
            <w:vAlign w:val="bottom"/>
          </w:tcPr>
          <w:p w:rsidR="00000000" w:rsidRDefault="00000000">
            <w:pPr>
              <w:spacing w:after="80" w:line="300" w:lineRule="exact"/>
              <w:rPr>
                <w:sz w:val="28"/>
                <w:lang w:val="fr-FR"/>
              </w:rPr>
            </w:pPr>
            <w:r>
              <w:rPr>
                <w:sz w:val="28"/>
                <w:lang w:val="fr-FR"/>
              </w:rPr>
              <w:t>Nations Unies</w:t>
            </w:r>
          </w:p>
        </w:tc>
        <w:tc>
          <w:tcPr>
            <w:tcW w:w="6086" w:type="dxa"/>
            <w:gridSpan w:val="2"/>
            <w:tcBorders>
              <w:bottom w:val="single" w:sz="12" w:space="0" w:color="auto"/>
            </w:tcBorders>
            <w:vAlign w:val="bottom"/>
          </w:tcPr>
          <w:p w:rsidR="00000000" w:rsidRDefault="00000000">
            <w:pPr>
              <w:spacing w:after="20"/>
              <w:jc w:val="right"/>
              <w:rPr>
                <w:lang w:val="fr-FR"/>
              </w:rPr>
            </w:pPr>
            <w:r>
              <w:rPr>
                <w:sz w:val="40"/>
                <w:lang w:val="fr-FR"/>
              </w:rPr>
              <w:t>E</w:t>
            </w:r>
            <w:r>
              <w:rPr>
                <w:lang w:val="fr-FR"/>
              </w:rPr>
              <w:t>/C.12/2010/SR.27</w:t>
            </w:r>
          </w:p>
        </w:tc>
      </w:tr>
      <w:tr w:rsidR="00000000">
        <w:trPr>
          <w:trHeight w:hRule="exact" w:val="2835"/>
        </w:trPr>
        <w:tc>
          <w:tcPr>
            <w:tcW w:w="1280" w:type="dxa"/>
            <w:tcBorders>
              <w:top w:val="single" w:sz="12" w:space="0" w:color="auto"/>
              <w:bottom w:val="single" w:sz="12" w:space="0" w:color="auto"/>
            </w:tcBorders>
          </w:tcPr>
          <w:p w:rsidR="00000000" w:rsidRDefault="00000000">
            <w:pPr>
              <w:spacing w:before="120"/>
              <w:jc w:val="cente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000000" w:rsidRDefault="00000000">
            <w:pPr>
              <w:spacing w:before="120" w:line="420" w:lineRule="exact"/>
              <w:rPr>
                <w:b/>
                <w:sz w:val="40"/>
                <w:szCs w:val="40"/>
                <w:lang w:val="fr-FR"/>
              </w:rPr>
            </w:pPr>
            <w:r>
              <w:rPr>
                <w:b/>
                <w:sz w:val="40"/>
                <w:szCs w:val="40"/>
                <w:lang w:val="fr-FR"/>
              </w:rPr>
              <w:t>Conseil économique</w:t>
            </w:r>
          </w:p>
          <w:p w:rsidR="00000000" w:rsidRDefault="00000000">
            <w:pPr>
              <w:spacing w:before="120" w:line="420" w:lineRule="exact"/>
              <w:rPr>
                <w:b/>
                <w:sz w:val="40"/>
                <w:szCs w:val="40"/>
                <w:lang w:val="fr-FR"/>
              </w:rPr>
            </w:pPr>
            <w:r>
              <w:rPr>
                <w:b/>
                <w:sz w:val="40"/>
                <w:szCs w:val="40"/>
                <w:lang w:val="fr-FR"/>
              </w:rPr>
              <w:t>et social</w:t>
            </w:r>
          </w:p>
        </w:tc>
        <w:tc>
          <w:tcPr>
            <w:tcW w:w="2819" w:type="dxa"/>
            <w:tcBorders>
              <w:top w:val="single" w:sz="12" w:space="0" w:color="auto"/>
              <w:bottom w:val="single" w:sz="12" w:space="0" w:color="auto"/>
            </w:tcBorders>
          </w:tcPr>
          <w:p w:rsidR="00000000" w:rsidRDefault="00000000">
            <w:pPr>
              <w:spacing w:before="240"/>
              <w:rPr>
                <w:lang w:val="fr-FR"/>
              </w:rPr>
            </w:pPr>
            <w:r>
              <w:rPr>
                <w:lang w:val="fr-FR"/>
              </w:rPr>
              <w:t>Distr. générale</w:t>
            </w:r>
          </w:p>
          <w:p w:rsidR="00000000" w:rsidRDefault="00000000">
            <w:pPr>
              <w:rPr>
                <w:lang w:val="fr-FR"/>
              </w:rPr>
            </w:pPr>
            <w:r>
              <w:rPr>
                <w:lang w:val="fr-FR"/>
              </w:rPr>
              <w:t>12 octobre 2010</w:t>
            </w:r>
          </w:p>
          <w:p w:rsidR="00000000" w:rsidRDefault="00000000">
            <w:pPr>
              <w:rPr>
                <w:lang w:val="fr-FR"/>
              </w:rPr>
            </w:pPr>
            <w:r>
              <w:rPr>
                <w:lang w:val="fr-FR"/>
              </w:rPr>
              <w:t>Français</w:t>
            </w:r>
          </w:p>
          <w:p w:rsidR="00000000" w:rsidRDefault="00000000">
            <w:pPr>
              <w:rPr>
                <w:lang w:val="fr-FR"/>
              </w:rPr>
            </w:pPr>
            <w:r>
              <w:rPr>
                <w:lang w:val="fr-FR"/>
              </w:rPr>
              <w:t>Original: anglais</w:t>
            </w:r>
          </w:p>
        </w:tc>
      </w:tr>
    </w:tbl>
    <w:p w:rsidR="00000000" w:rsidRDefault="00000000">
      <w:pPr>
        <w:spacing w:before="120"/>
        <w:rPr>
          <w:b/>
          <w:sz w:val="24"/>
          <w:lang w:val="fr-FR"/>
        </w:rPr>
      </w:pPr>
      <w:r>
        <w:rPr>
          <w:b/>
          <w:sz w:val="24"/>
          <w:lang w:val="fr-FR"/>
        </w:rPr>
        <w:t xml:space="preserve">Comité des droits économiques, sociaux et culturels </w:t>
      </w:r>
    </w:p>
    <w:p w:rsidR="00000000" w:rsidRDefault="00000000">
      <w:pPr>
        <w:spacing w:after="120"/>
        <w:rPr>
          <w:b/>
          <w:lang w:val="fr-FR"/>
        </w:rPr>
      </w:pPr>
      <w:r>
        <w:rPr>
          <w:b/>
          <w:lang w:val="fr-FR"/>
        </w:rPr>
        <w:t>Quarante-quatrième session</w:t>
      </w:r>
    </w:p>
    <w:p w:rsidR="00000000" w:rsidRDefault="00000000">
      <w:pPr>
        <w:rPr>
          <w:b/>
          <w:lang w:val="fr-FR"/>
        </w:rPr>
      </w:pPr>
      <w:r>
        <w:rPr>
          <w:b/>
          <w:lang w:val="fr-FR"/>
        </w:rPr>
        <w:t>Compte rendu analytique (partiel)</w:t>
      </w:r>
      <w:r>
        <w:rPr>
          <w:rStyle w:val="FootnoteReference"/>
          <w:b/>
          <w:sz w:val="20"/>
          <w:vertAlign w:val="baseline"/>
          <w:lang w:val="fr-FR"/>
        </w:rPr>
        <w:footnoteReference w:customMarkFollows="1" w:id="1"/>
        <w:t>*</w:t>
      </w:r>
      <w:r>
        <w:rPr>
          <w:b/>
          <w:lang w:val="fr-FR"/>
        </w:rPr>
        <w:t xml:space="preserve"> de la 27e séance</w:t>
      </w:r>
      <w:r>
        <w:rPr>
          <w:rStyle w:val="FootnoteReference"/>
          <w:b/>
          <w:sz w:val="20"/>
          <w:vertAlign w:val="baseline"/>
          <w:lang w:val="fr-FR"/>
        </w:rPr>
        <w:footnoteReference w:customMarkFollows="1" w:id="2"/>
        <w:t>**</w:t>
      </w:r>
      <w:r>
        <w:rPr>
          <w:b/>
          <w:lang w:val="fr-FR"/>
        </w:rPr>
        <w:t xml:space="preserve"> </w:t>
      </w:r>
    </w:p>
    <w:p w:rsidR="00000000" w:rsidRDefault="00000000">
      <w:pPr>
        <w:spacing w:after="120"/>
        <w:rPr>
          <w:lang w:val="fr-FR"/>
        </w:rPr>
      </w:pPr>
      <w:r>
        <w:rPr>
          <w:lang w:val="fr-FR"/>
        </w:rPr>
        <w:t>Tenue au Palais Wilson à Genève, le vendredi 21 mai 2010 à 10 heures</w:t>
      </w:r>
    </w:p>
    <w:p w:rsidR="00000000" w:rsidRDefault="00000000">
      <w:pPr>
        <w:tabs>
          <w:tab w:val="right" w:pos="992"/>
          <w:tab w:val="left" w:pos="1276"/>
          <w:tab w:val="right" w:leader="dot" w:pos="8504"/>
        </w:tabs>
        <w:spacing w:after="120"/>
        <w:rPr>
          <w:lang w:val="fr-FR"/>
        </w:rPr>
      </w:pPr>
      <w:r>
        <w:rPr>
          <w:i/>
          <w:lang w:val="fr-FR"/>
        </w:rPr>
        <w:t xml:space="preserve">Président </w:t>
      </w:r>
      <w:r>
        <w:rPr>
          <w:lang w:val="fr-FR"/>
        </w:rPr>
        <w:t>:</w:t>
      </w:r>
      <w:r>
        <w:rPr>
          <w:lang w:val="fr-FR"/>
        </w:rPr>
        <w:tab/>
        <w:t>M. Marchán Romero</w:t>
      </w:r>
    </w:p>
    <w:p w:rsidR="00000000" w:rsidRDefault="00000000">
      <w:pPr>
        <w:tabs>
          <w:tab w:val="right" w:pos="992"/>
          <w:tab w:val="left" w:pos="1276"/>
          <w:tab w:val="right" w:leader="dot" w:pos="8504"/>
        </w:tabs>
        <w:spacing w:before="360" w:after="240"/>
        <w:rPr>
          <w:sz w:val="28"/>
          <w:lang w:val="fr-FR"/>
        </w:rPr>
      </w:pPr>
      <w:r>
        <w:rPr>
          <w:sz w:val="28"/>
          <w:lang w:val="fr-FR"/>
        </w:rPr>
        <w:t xml:space="preserve">Sommaire </w:t>
      </w:r>
    </w:p>
    <w:p w:rsidR="00000000" w:rsidRDefault="00000000">
      <w:pPr>
        <w:pStyle w:val="SingleTxtG"/>
        <w:jc w:val="left"/>
        <w:rPr>
          <w:lang w:val="fr-FR"/>
        </w:rPr>
      </w:pPr>
      <w:r>
        <w:rPr>
          <w:lang w:val="fr-FR"/>
        </w:rPr>
        <w:t xml:space="preserve">Examen des rapports </w:t>
      </w:r>
    </w:p>
    <w:p w:rsidR="00000000" w:rsidRDefault="00000000">
      <w:pPr>
        <w:pStyle w:val="SingleTxtG"/>
        <w:ind w:left="1701" w:hanging="567"/>
        <w:jc w:val="left"/>
        <w:rPr>
          <w:lang w:val="fr-FR"/>
        </w:rPr>
      </w:pPr>
      <w:r>
        <w:rPr>
          <w:lang w:val="fr-FR"/>
        </w:rPr>
        <w:t>a)</w:t>
      </w:r>
      <w:r>
        <w:rPr>
          <w:lang w:val="fr-FR"/>
        </w:rPr>
        <w:tab/>
        <w:t>Rapports présentés par les États parties conformément aux articles 16 et 17 du Pacte (</w:t>
      </w:r>
      <w:r>
        <w:rPr>
          <w:i/>
          <w:lang w:val="fr-FR"/>
        </w:rPr>
        <w:t>suite</w:t>
      </w:r>
      <w:r>
        <w:rPr>
          <w:lang w:val="fr-FR"/>
        </w:rPr>
        <w:t xml:space="preserve">) </w:t>
      </w:r>
    </w:p>
    <w:p w:rsidR="00000000" w:rsidRDefault="00000000">
      <w:pPr>
        <w:pStyle w:val="SingleTxtG"/>
        <w:jc w:val="left"/>
        <w:rPr>
          <w:lang w:val="fr-FR"/>
        </w:rPr>
      </w:pPr>
      <w:r>
        <w:rPr>
          <w:lang w:val="fr-FR"/>
        </w:rPr>
        <w:t>Questions de fond concernant la mise en œuvre du Pacte international relatif aux droits économiques, sociaux et culturels  (</w:t>
      </w:r>
      <w:r>
        <w:rPr>
          <w:i/>
          <w:lang w:val="fr-FR"/>
        </w:rPr>
        <w:t>suite</w:t>
      </w:r>
      <w:r>
        <w:rPr>
          <w:lang w:val="fr-FR"/>
        </w:rPr>
        <w:t>)</w:t>
      </w:r>
    </w:p>
    <w:p w:rsidR="00000000" w:rsidRDefault="00000000">
      <w:pPr>
        <w:pStyle w:val="SingleTxtG"/>
        <w:jc w:val="left"/>
        <w:rPr>
          <w:lang w:val="fr-FR"/>
        </w:rPr>
      </w:pPr>
      <w:r>
        <w:rPr>
          <w:lang w:val="fr-FR"/>
        </w:rPr>
        <w:t xml:space="preserve">Hommage à feu Javier Wimer Zambrano, ancien membre du Comité </w:t>
      </w:r>
    </w:p>
    <w:p w:rsidR="00000000" w:rsidRDefault="00000000">
      <w:pPr>
        <w:pStyle w:val="SingleTxtG"/>
        <w:jc w:val="left"/>
        <w:rPr>
          <w:lang w:val="fr-FR"/>
        </w:rPr>
      </w:pPr>
      <w:r>
        <w:rPr>
          <w:lang w:val="fr-FR"/>
        </w:rPr>
        <w:t>Clôture de la session</w:t>
      </w:r>
    </w:p>
    <w:p w:rsidR="00000000" w:rsidRDefault="00000000">
      <w:pPr>
        <w:pStyle w:val="SingleTxtG"/>
        <w:jc w:val="left"/>
        <w:rPr>
          <w:i/>
          <w:lang w:val="fr-FR"/>
        </w:rPr>
      </w:pPr>
      <w:r>
        <w:rPr>
          <w:i/>
          <w:lang w:val="fr-FR"/>
        </w:rPr>
        <w:br w:type="page"/>
        <w:t>Le débat résumé commence à 12h50</w:t>
      </w:r>
    </w:p>
    <w:p w:rsidR="00000000" w:rsidRDefault="00000000">
      <w:pPr>
        <w:pStyle w:val="H23G"/>
        <w:rPr>
          <w:lang w:val="fr-FR"/>
        </w:rPr>
      </w:pPr>
      <w:r>
        <w:rPr>
          <w:lang w:val="fr-FR"/>
        </w:rPr>
        <w:tab/>
      </w:r>
      <w:r>
        <w:rPr>
          <w:lang w:val="fr-FR"/>
        </w:rPr>
        <w:tab/>
        <w:t>Examen des rapports</w:t>
      </w:r>
    </w:p>
    <w:p w:rsidR="00000000" w:rsidRDefault="00000000">
      <w:pPr>
        <w:pStyle w:val="H23G"/>
        <w:ind w:left="1701" w:hanging="567"/>
        <w:rPr>
          <w:b w:val="0"/>
          <w:lang w:val="fr-FR"/>
        </w:rPr>
      </w:pPr>
      <w:r>
        <w:rPr>
          <w:lang w:val="fr-FR"/>
        </w:rPr>
        <w:t>a)</w:t>
      </w:r>
      <w:r>
        <w:rPr>
          <w:lang w:val="fr-FR"/>
        </w:rPr>
        <w:tab/>
        <w:t xml:space="preserve">Rapports présentés par les États parties conformément aux articles 16 et 17 du Pacte </w:t>
      </w:r>
      <w:r>
        <w:rPr>
          <w:b w:val="0"/>
          <w:lang w:val="fr-FR"/>
        </w:rPr>
        <w:t xml:space="preserve"> (</w:t>
      </w:r>
      <w:r>
        <w:rPr>
          <w:b w:val="0"/>
          <w:i/>
          <w:lang w:val="fr-FR"/>
        </w:rPr>
        <w:t>suite</w:t>
      </w:r>
      <w:r>
        <w:rPr>
          <w:b w:val="0"/>
          <w:lang w:val="fr-FR"/>
        </w:rPr>
        <w:t>) (E/C.12/AFG/CO/2-4; E/C.12/DZA/CO/4; E/C.12/COL/CO/5; E/C.12/KAZ/CO/1; E/C.12/MUS/CO/4)</w:t>
      </w:r>
    </w:p>
    <w:p w:rsidR="00000000" w:rsidRPr="00A333E2" w:rsidRDefault="00000000">
      <w:pPr>
        <w:pStyle w:val="ParaNoG"/>
      </w:pPr>
      <w:r>
        <w:t>1.</w:t>
      </w:r>
      <w:r>
        <w:tab/>
      </w:r>
      <w:r>
        <w:rPr>
          <w:b/>
        </w:rPr>
        <w:t>Le Président</w:t>
      </w:r>
      <w:r w:rsidRPr="00A333E2">
        <w:t xml:space="preserve"> </w:t>
      </w:r>
      <w:r>
        <w:t xml:space="preserve">dit comprendre que le Comité souhaite adopter les observations finales concernant les rapports de l'Afghanistan, de l'Algérie, de la Colombie, du Kazakhstan et de Maurice. </w:t>
      </w:r>
    </w:p>
    <w:p w:rsidR="00000000" w:rsidRDefault="00000000">
      <w:pPr>
        <w:pStyle w:val="ParaNoG"/>
      </w:pPr>
      <w:r>
        <w:t>2.</w:t>
      </w:r>
      <w:r>
        <w:tab/>
      </w:r>
      <w:r>
        <w:rPr>
          <w:i/>
        </w:rPr>
        <w:t>Il en est ainsi décidé</w:t>
      </w:r>
      <w:r>
        <w:t xml:space="preserve">. </w:t>
      </w:r>
    </w:p>
    <w:p w:rsidR="00000000" w:rsidRDefault="00000000">
      <w:pPr>
        <w:pStyle w:val="ParaNoG"/>
      </w:pPr>
      <w:r>
        <w:t>3.</w:t>
      </w:r>
      <w:r>
        <w:tab/>
      </w:r>
      <w:r>
        <w:rPr>
          <w:b/>
        </w:rPr>
        <w:t xml:space="preserve">Le Président </w:t>
      </w:r>
      <w:r w:rsidRPr="00976F3F">
        <w:t>déclare que les observations finales qui viennent d'être adoptées seront communiqué</w:t>
      </w:r>
      <w:r>
        <w:t>e</w:t>
      </w:r>
      <w:r w:rsidRPr="00976F3F">
        <w:t>s aux États parties concernés et publiées</w:t>
      </w:r>
      <w:r>
        <w:rPr>
          <w:b/>
        </w:rPr>
        <w:t xml:space="preserve">. </w:t>
      </w:r>
    </w:p>
    <w:p w:rsidR="00000000" w:rsidRDefault="00000000">
      <w:pPr>
        <w:pStyle w:val="SingleTxtG"/>
        <w:spacing w:before="240"/>
        <w:jc w:val="left"/>
        <w:rPr>
          <w:lang w:val="fr-FR"/>
        </w:rPr>
      </w:pPr>
      <w:r>
        <w:rPr>
          <w:b/>
          <w:lang w:val="fr-FR"/>
        </w:rPr>
        <w:t>Questions de fond concernant la mise en œuvre du Pacte international relatif aux droits économiques, sociaux et culturels</w:t>
      </w:r>
      <w:r>
        <w:rPr>
          <w:lang w:val="fr-FR"/>
        </w:rPr>
        <w:t xml:space="preserve">  (</w:t>
      </w:r>
      <w:r>
        <w:rPr>
          <w:i/>
          <w:lang w:val="fr-FR"/>
        </w:rPr>
        <w:t>suite</w:t>
      </w:r>
      <w:r>
        <w:rPr>
          <w:lang w:val="fr-FR"/>
        </w:rPr>
        <w:t>)</w:t>
      </w:r>
    </w:p>
    <w:p w:rsidR="00000000" w:rsidRDefault="00000000">
      <w:pPr>
        <w:pStyle w:val="ParaNoG"/>
      </w:pPr>
      <w:r>
        <w:t>4.</w:t>
      </w:r>
      <w:r>
        <w:tab/>
      </w:r>
      <w:r>
        <w:rPr>
          <w:b/>
        </w:rPr>
        <w:t xml:space="preserve">Le Président </w:t>
      </w:r>
      <w:r w:rsidRPr="00976F3F">
        <w:t>appelle l'attention sur les questions de fond dont a traité le Comité au cours de cette session</w:t>
      </w:r>
      <w:r>
        <w:rPr>
          <w:b/>
        </w:rPr>
        <w:t xml:space="preserve">. </w:t>
      </w:r>
      <w:r w:rsidRPr="00976F3F">
        <w:t xml:space="preserve">Il a tenu des réunions </w:t>
      </w:r>
      <w:r>
        <w:t xml:space="preserve">sur la mortalité et la morbidité maternelles avec le Programme des Nations Unies sur la famille et le Centre pour les droits reproductifs dans le but de jeter les bases d'une observation générale sur les droits en matière de sexualité et de procréation; sur l'environnement, les changements climatiques et les droits de l'homme avec </w:t>
      </w:r>
      <w:smartTag w:uri="urn:schemas-microsoft-com:office:smarttags" w:element="PersonName">
        <w:smartTagPr>
          <w:attr w:name="ProductID" w:val="la Fondation Friedrich Ebert"/>
        </w:smartTagPr>
        <w:r>
          <w:t>la Fondation Friedrich Ebert</w:t>
        </w:r>
      </w:smartTag>
      <w:r>
        <w:t xml:space="preserve">; et sur les indicateurs relatifs aux droits économiques, sociaux et culturels et l'harmonisation avec d'autres organes conventionnels, avec l'Expert indépendant sur la question des droits de l'homme et de l'extrême pauvreté et le Directeur de la Division des instruments relatifs aux droits de l'homme du Haut-Commissariat des Nations Unies aux droits de l'homme. </w:t>
      </w:r>
    </w:p>
    <w:p w:rsidR="00000000" w:rsidRDefault="00000000">
      <w:pPr>
        <w:pStyle w:val="H23G"/>
        <w:ind w:firstLine="0"/>
        <w:rPr>
          <w:lang w:val="fr-FR"/>
        </w:rPr>
      </w:pPr>
      <w:r>
        <w:rPr>
          <w:lang w:val="fr-FR"/>
        </w:rPr>
        <w:t xml:space="preserve">Hommage à feu Javier Wimer Zambrano, ancien membre du Comité </w:t>
      </w:r>
    </w:p>
    <w:p w:rsidR="00000000" w:rsidRDefault="00000000">
      <w:pPr>
        <w:pStyle w:val="ParaNoG"/>
      </w:pPr>
      <w:r>
        <w:t>5.</w:t>
      </w:r>
      <w:r>
        <w:tab/>
      </w:r>
      <w:r>
        <w:rPr>
          <w:i/>
        </w:rPr>
        <w:t>À l'invitation du Président, les membres du Comité observent une minute de silence.</w:t>
      </w:r>
    </w:p>
    <w:p w:rsidR="00000000" w:rsidRDefault="00000000">
      <w:pPr>
        <w:pStyle w:val="H23G"/>
        <w:rPr>
          <w:lang w:val="fr-FR"/>
        </w:rPr>
      </w:pPr>
      <w:r>
        <w:rPr>
          <w:lang w:val="fr-FR"/>
        </w:rPr>
        <w:tab/>
      </w:r>
      <w:r>
        <w:rPr>
          <w:lang w:val="fr-FR"/>
        </w:rPr>
        <w:tab/>
        <w:t>Clôture de la session</w:t>
      </w:r>
    </w:p>
    <w:p w:rsidR="00000000" w:rsidRDefault="00000000">
      <w:pPr>
        <w:pStyle w:val="ParaNoG"/>
      </w:pPr>
      <w:r>
        <w:t>6.</w:t>
      </w:r>
      <w:r>
        <w:tab/>
        <w:t xml:space="preserve">Après l'échange de politesses habituel, </w:t>
      </w:r>
      <w:r w:rsidRPr="003E0166">
        <w:rPr>
          <w:b/>
        </w:rPr>
        <w:t>le Président</w:t>
      </w:r>
      <w:r>
        <w:t xml:space="preserve"> déclare close la 44e session du Comité des droits économiques, sociaux et culturels. </w:t>
      </w:r>
    </w:p>
    <w:p w:rsidR="00000000" w:rsidRDefault="00000000">
      <w:pPr>
        <w:pStyle w:val="SingleTxtG"/>
        <w:jc w:val="left"/>
        <w:rPr>
          <w:i/>
          <w:lang w:val="fr-FR"/>
        </w:rPr>
      </w:pPr>
      <w:r>
        <w:rPr>
          <w:i/>
          <w:lang w:val="fr-FR"/>
        </w:rPr>
        <w:t>La séance est levée à 13 h 5.</w:t>
      </w:r>
    </w:p>
    <w:p w:rsidR="00000000" w:rsidRDefault="00000000">
      <w:pPr>
        <w:rPr>
          <w:lang w:val="fr-FR"/>
        </w:rPr>
      </w:pPr>
    </w:p>
    <w:p w:rsidR="00000000" w:rsidRDefault="00000000">
      <w:pPr>
        <w:rPr>
          <w:lang w:val="fr-FR"/>
        </w:rPr>
      </w:pPr>
    </w:p>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GE.10-42597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GE.42-597 (EXT)</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noteText"/>
      <w:pBdr>
        <w:top w:val="single" w:sz="4" w:space="1" w:color="auto"/>
      </w:pBdr>
      <w:ind w:left="0" w:right="0" w:firstLine="0"/>
      <w:rPr>
        <w:lang w:val="fr-FR"/>
      </w:rPr>
    </w:pPr>
  </w:p>
  <w:p w:rsidR="00000000" w:rsidRDefault="00000000">
    <w:pPr>
      <w:pStyle w:val="FootnoteText"/>
      <w:spacing w:after="120"/>
      <w:ind w:firstLine="0"/>
      <w:rPr>
        <w:lang w:val="fr-FR"/>
      </w:rPr>
    </w:pPr>
    <w:r>
      <w:rPr>
        <w:lang w:val="fr-FR"/>
      </w:rPr>
      <w:t xml:space="preserve">Le présent compte rendu est sujet à rectifications. </w:t>
    </w:r>
  </w:p>
  <w:p w:rsidR="00000000" w:rsidRDefault="00000000">
    <w:pPr>
      <w:pStyle w:val="FootnoteText"/>
      <w:spacing w:after="120"/>
      <w:ind w:firstLine="0"/>
      <w:rPr>
        <w:lang w:val="fr-FR"/>
      </w:rPr>
    </w:pPr>
    <w:r>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Pr>
        <w:i/>
        <w:lang w:val="fr-FR"/>
      </w:rPr>
      <w:t>une semaine au plus tard à compter de la date du présent document,</w:t>
    </w:r>
    <w:r>
      <w:rPr>
        <w:lang w:val="fr-FR"/>
      </w:rPr>
      <w:t xml:space="preserve"> au Groupe d'édition, bureau E.4108, Palais des Nations, Genève.</w:t>
    </w:r>
  </w:p>
  <w:p w:rsidR="00000000" w:rsidRDefault="00000000">
    <w:pPr>
      <w:pStyle w:val="FootnoteText"/>
      <w:tabs>
        <w:tab w:val="clear" w:pos="1021"/>
      </w:tabs>
      <w:spacing w:after="240"/>
      <w:ind w:firstLine="0"/>
      <w:rPr>
        <w:lang w:val="fr-FR"/>
      </w:rPr>
    </w:pPr>
    <w:r>
      <w:rPr>
        <w:lang w:val="fr-FR"/>
      </w:rPr>
      <w:t>Les rectifications aux comptes rendus des séances publiques du Comité seront groupées dans un rectificatif unique qui sera publié peu après la session.</w:t>
    </w:r>
  </w:p>
  <w:p w:rsidR="00000000" w:rsidRDefault="00000000">
    <w:pPr>
      <w:pStyle w:val="Footer"/>
      <w:rPr>
        <w:sz w:val="20"/>
        <w:lang w:val="fr-FR"/>
      </w:rPr>
    </w:pPr>
  </w:p>
  <w:p w:rsidR="00000000" w:rsidRDefault="00000000">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9pt;width:86.95pt;height:18.35pt;z-index:1">
          <v:imagedata r:id="rId1" o:title="recycle_French"/>
        </v:shape>
      </w:pict>
    </w:r>
    <w:r>
      <w:rPr>
        <w:sz w:val="20"/>
      </w:rPr>
      <w:t xml:space="preserve">GE.10-42597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Pr="001075E9"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tabs>
          <w:tab w:val="clear" w:pos="1021"/>
          <w:tab w:val="right" w:pos="1020"/>
        </w:tabs>
        <w:rPr>
          <w:sz w:val="20"/>
          <w:lang w:val="fr-FR"/>
        </w:rPr>
      </w:pPr>
      <w:r>
        <w:tab/>
      </w:r>
      <w:r>
        <w:rPr>
          <w:rStyle w:val="FootnoteReference"/>
          <w:sz w:val="20"/>
          <w:vertAlign w:val="baseline"/>
          <w:lang w:val="fr-FR"/>
        </w:rPr>
        <w:t>*</w:t>
      </w:r>
      <w:r>
        <w:rPr>
          <w:lang w:val="fr-FR"/>
        </w:rPr>
        <w:tab/>
        <w:t>Il n’est pas établi de compte rendu analytique pour le reste de la séance.</w:t>
      </w:r>
    </w:p>
  </w:footnote>
  <w:footnote w:id="2">
    <w:p w:rsidR="00000000" w:rsidRDefault="00000000">
      <w:pPr>
        <w:pStyle w:val="FootnoteText"/>
        <w:rPr>
          <w:szCs w:val="18"/>
          <w:lang w:val="fr-FR"/>
        </w:rPr>
      </w:pPr>
      <w:r>
        <w:tab/>
      </w:r>
      <w:r>
        <w:rPr>
          <w:rStyle w:val="FootnoteReference"/>
          <w:sz w:val="20"/>
          <w:vertAlign w:val="baseline"/>
          <w:lang w:val="fr-FR"/>
        </w:rPr>
        <w:t>**</w:t>
      </w:r>
      <w:r>
        <w:rPr>
          <w:lang w:val="fr-FR"/>
        </w:rPr>
        <w:tab/>
        <w:t>Il n’a pas été établi de comptes rendus analytiques pour les 18</w:t>
      </w:r>
      <w:r>
        <w:rPr>
          <w:szCs w:val="18"/>
          <w:vertAlign w:val="superscript"/>
          <w:lang w:val="fr-FR"/>
        </w:rPr>
        <w:t>e</w:t>
      </w:r>
      <w:r>
        <w:rPr>
          <w:lang w:val="fr-FR"/>
        </w:rPr>
        <w:t xml:space="preserve"> à 26</w:t>
      </w:r>
      <w:r>
        <w:rPr>
          <w:szCs w:val="18"/>
          <w:vertAlign w:val="superscript"/>
          <w:lang w:val="fr-FR"/>
        </w:rPr>
        <w:t xml:space="preserve">e </w:t>
      </w:r>
      <w:r>
        <w:rPr>
          <w:szCs w:val="18"/>
          <w:lang w:val="fr-FR"/>
        </w:rPr>
        <w:t>séances.</w:t>
      </w:r>
    </w:p>
    <w:p w:rsidR="00000000" w:rsidRDefault="00000000">
      <w:pPr>
        <w:pStyle w:val="FootnoteText"/>
        <w:rPr>
          <w:sz w:val="20"/>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E/C.12/2010/SR.27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E/C.12/2010/SR.27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075A6416">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pPr>
      <w:suppressAutoHyphens/>
    </w:pPr>
    <w:rPr>
      <w:lang w:val="fr-FR"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9</TotalTime>
  <Pages>1</Pages>
  <Words>406</Words>
  <Characters>2239</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Naciones Unidas</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user</cp:lastModifiedBy>
  <cp:revision>9</cp:revision>
  <cp:lastPrinted>2008-01-15T07:58:00Z</cp:lastPrinted>
  <dcterms:created xsi:type="dcterms:W3CDTF">2010-10-08T08:24:00Z</dcterms:created>
  <dcterms:modified xsi:type="dcterms:W3CDTF">2010-10-08T15:08:00Z</dcterms:modified>
</cp:coreProperties>
</file>