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C933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F60487" w:rsidP="00F60487">
            <w:pPr>
              <w:suppressAutoHyphens w:val="0"/>
              <w:spacing w:after="20"/>
              <w:jc w:val="right"/>
            </w:pPr>
            <w:r w:rsidRPr="00F60487">
              <w:rPr>
                <w:sz w:val="40"/>
              </w:rPr>
              <w:t>E</w:t>
            </w:r>
            <w:r>
              <w:t>/C.12/ISR/4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D70D5E9" wp14:editId="5CCB120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C9336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C9336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C9336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F60487" w:rsidP="00F60487">
            <w:pPr>
              <w:spacing w:before="240"/>
            </w:pPr>
            <w:r>
              <w:t>Distr.:</w:t>
            </w:r>
            <w:r w:rsidR="00C9336A">
              <w:t xml:space="preserve"> </w:t>
            </w:r>
            <w:r>
              <w:t>General</w:t>
            </w:r>
          </w:p>
          <w:p w:rsidR="00F60487" w:rsidRDefault="00766024" w:rsidP="00F60487">
            <w:pPr>
              <w:suppressAutoHyphens w:val="0"/>
            </w:pPr>
            <w:r>
              <w:t xml:space="preserve">14 </w:t>
            </w:r>
            <w:r w:rsidR="00F60487">
              <w:t>January</w:t>
            </w:r>
            <w:r w:rsidR="00C9336A">
              <w:t xml:space="preserve"> </w:t>
            </w:r>
            <w:r w:rsidR="00F60487">
              <w:t>2019</w:t>
            </w:r>
          </w:p>
          <w:p w:rsidR="00F60487" w:rsidRDefault="00F60487" w:rsidP="00F60487">
            <w:pPr>
              <w:suppressAutoHyphens w:val="0"/>
            </w:pPr>
          </w:p>
          <w:p w:rsidR="00F60487" w:rsidRDefault="00F60487" w:rsidP="00F60487">
            <w:pPr>
              <w:suppressAutoHyphens w:val="0"/>
            </w:pPr>
            <w:r>
              <w:t>Original:</w:t>
            </w:r>
            <w:r w:rsidR="00C9336A">
              <w:t xml:space="preserve"> </w:t>
            </w:r>
            <w:r>
              <w:t>English</w:t>
            </w:r>
          </w:p>
          <w:p w:rsidR="00F60487" w:rsidRDefault="00F60487" w:rsidP="00F60487">
            <w:pPr>
              <w:suppressAutoHyphens w:val="0"/>
            </w:pPr>
            <w:r>
              <w:t>English,</w:t>
            </w:r>
            <w:r w:rsidR="00C9336A">
              <w:t xml:space="preserve"> </w:t>
            </w:r>
            <w:r>
              <w:t>French</w:t>
            </w:r>
            <w:r w:rsidR="00C9336A">
              <w:t xml:space="preserve"> </w:t>
            </w:r>
            <w:r>
              <w:t>and</w:t>
            </w:r>
            <w:r w:rsidR="00C9336A">
              <w:t xml:space="preserve"> </w:t>
            </w:r>
            <w:r>
              <w:t>Spanish</w:t>
            </w:r>
            <w:r w:rsidR="00C9336A">
              <w:t xml:space="preserve"> </w:t>
            </w:r>
            <w:r>
              <w:t>only</w:t>
            </w:r>
          </w:p>
        </w:tc>
      </w:tr>
    </w:tbl>
    <w:p w:rsidR="00B342F3" w:rsidRPr="009625F2" w:rsidRDefault="00B342F3" w:rsidP="00283EF9">
      <w:pPr>
        <w:spacing w:before="120"/>
        <w:rPr>
          <w:b/>
          <w:bCs/>
          <w:sz w:val="24"/>
          <w:szCs w:val="24"/>
        </w:rPr>
      </w:pPr>
      <w:r w:rsidRPr="009625F2">
        <w:rPr>
          <w:b/>
          <w:bCs/>
          <w:sz w:val="24"/>
          <w:szCs w:val="24"/>
        </w:rPr>
        <w:t>Committee</w:t>
      </w:r>
      <w:r w:rsidR="00C9336A" w:rsidRPr="009625F2">
        <w:rPr>
          <w:b/>
          <w:bCs/>
          <w:sz w:val="24"/>
          <w:szCs w:val="24"/>
        </w:rPr>
        <w:t xml:space="preserve"> </w:t>
      </w:r>
      <w:r w:rsidRPr="009625F2">
        <w:rPr>
          <w:b/>
          <w:bCs/>
          <w:sz w:val="24"/>
          <w:szCs w:val="24"/>
        </w:rPr>
        <w:t>on</w:t>
      </w:r>
      <w:r w:rsidR="00C9336A" w:rsidRPr="009625F2">
        <w:rPr>
          <w:b/>
          <w:bCs/>
          <w:sz w:val="24"/>
          <w:szCs w:val="24"/>
        </w:rPr>
        <w:t xml:space="preserve"> </w:t>
      </w:r>
      <w:r w:rsidRPr="009625F2">
        <w:rPr>
          <w:b/>
          <w:bCs/>
          <w:sz w:val="24"/>
          <w:szCs w:val="24"/>
        </w:rPr>
        <w:t>Economic,</w:t>
      </w:r>
      <w:r w:rsidR="00C9336A" w:rsidRPr="009625F2">
        <w:rPr>
          <w:b/>
          <w:bCs/>
          <w:sz w:val="24"/>
          <w:szCs w:val="24"/>
        </w:rPr>
        <w:t xml:space="preserve"> </w:t>
      </w:r>
      <w:r w:rsidRPr="009625F2">
        <w:rPr>
          <w:b/>
          <w:bCs/>
          <w:sz w:val="24"/>
          <w:szCs w:val="24"/>
        </w:rPr>
        <w:t>Social</w:t>
      </w:r>
      <w:r w:rsidR="00C9336A" w:rsidRPr="009625F2">
        <w:rPr>
          <w:b/>
          <w:bCs/>
          <w:sz w:val="24"/>
          <w:szCs w:val="24"/>
        </w:rPr>
        <w:t xml:space="preserve"> </w:t>
      </w:r>
      <w:r w:rsidRPr="009625F2">
        <w:rPr>
          <w:b/>
          <w:bCs/>
          <w:sz w:val="24"/>
          <w:szCs w:val="24"/>
        </w:rPr>
        <w:t>and</w:t>
      </w:r>
      <w:r w:rsidR="00C9336A" w:rsidRPr="009625F2">
        <w:rPr>
          <w:b/>
          <w:bCs/>
          <w:sz w:val="24"/>
          <w:szCs w:val="24"/>
        </w:rPr>
        <w:t xml:space="preserve"> </w:t>
      </w:r>
      <w:r w:rsidRPr="009625F2">
        <w:rPr>
          <w:b/>
          <w:bCs/>
          <w:sz w:val="24"/>
          <w:szCs w:val="24"/>
        </w:rPr>
        <w:t>Cultural</w:t>
      </w:r>
      <w:r w:rsidR="00C9336A" w:rsidRPr="009625F2">
        <w:rPr>
          <w:b/>
          <w:bCs/>
          <w:sz w:val="24"/>
          <w:szCs w:val="24"/>
        </w:rPr>
        <w:t xml:space="preserve"> </w:t>
      </w:r>
      <w:r w:rsidRPr="009625F2">
        <w:rPr>
          <w:b/>
          <w:bCs/>
          <w:sz w:val="24"/>
          <w:szCs w:val="24"/>
        </w:rPr>
        <w:t>Rights</w:t>
      </w:r>
    </w:p>
    <w:p w:rsidR="00B342F3" w:rsidRPr="009625F2" w:rsidRDefault="00B342F3" w:rsidP="00EB537D">
      <w:pPr>
        <w:pStyle w:val="HMG"/>
        <w:rPr>
          <w:b w:val="0"/>
          <w:bCs/>
          <w:sz w:val="20"/>
        </w:rPr>
      </w:pPr>
      <w:r w:rsidRPr="009625F2">
        <w:tab/>
      </w:r>
      <w:r w:rsidRPr="009625F2">
        <w:tab/>
        <w:t>Fourth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articles</w:t>
      </w:r>
      <w:r w:rsidR="00C9336A" w:rsidRPr="009625F2">
        <w:t xml:space="preserve"> </w:t>
      </w:r>
      <w:r w:rsidRPr="009625F2">
        <w:t>16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17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Covenant,</w:t>
      </w:r>
      <w:r w:rsidR="00C9336A" w:rsidRPr="009625F2">
        <w:t xml:space="preserve"> </w:t>
      </w:r>
      <w:r w:rsidRPr="009625F2">
        <w:t>due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</w:t>
      </w:r>
      <w:r w:rsidR="00EB537D" w:rsidRPr="009625F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625F2">
        <w:rPr>
          <w:b w:val="0"/>
          <w:bCs/>
          <w:position w:val="8"/>
          <w:sz w:val="20"/>
        </w:rPr>
        <w:t>,</w:t>
      </w:r>
      <w:r w:rsidR="00C9336A" w:rsidRPr="009625F2">
        <w:rPr>
          <w:b w:val="0"/>
          <w:bCs/>
          <w:sz w:val="20"/>
        </w:rPr>
        <w:t xml:space="preserve"> </w:t>
      </w:r>
      <w:r w:rsidR="00EB537D" w:rsidRPr="009625F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B342F3" w:rsidRPr="009625F2" w:rsidRDefault="00B342F3" w:rsidP="00283EF9">
      <w:pPr>
        <w:pStyle w:val="SingleTxtG"/>
        <w:jc w:val="right"/>
      </w:pPr>
      <w:r w:rsidRPr="009625F2">
        <w:t>[Date</w:t>
      </w:r>
      <w:r w:rsidR="00C9336A" w:rsidRPr="009625F2">
        <w:t xml:space="preserve"> </w:t>
      </w:r>
      <w:r w:rsidRPr="009625F2">
        <w:t>received:</w:t>
      </w:r>
      <w:r w:rsidR="00C9336A" w:rsidRPr="009625F2">
        <w:t xml:space="preserve"> </w:t>
      </w:r>
      <w:r w:rsidRPr="009625F2">
        <w:t>30</w:t>
      </w:r>
      <w:r w:rsidR="00C9336A" w:rsidRPr="009625F2">
        <w:t xml:space="preserve"> </w:t>
      </w:r>
      <w:r w:rsidRPr="009625F2">
        <w:t>July</w:t>
      </w:r>
      <w:r w:rsidR="00C9336A" w:rsidRPr="009625F2">
        <w:t xml:space="preserve"> </w:t>
      </w:r>
      <w:r w:rsidRPr="009625F2">
        <w:t>2018]</w:t>
      </w:r>
    </w:p>
    <w:p w:rsidR="00B342F3" w:rsidRPr="009625F2" w:rsidRDefault="00B342F3" w:rsidP="000C04D5">
      <w:pPr>
        <w:pStyle w:val="HChG"/>
      </w:pPr>
      <w:bookmarkStart w:id="0" w:name="_GoBack"/>
      <w:bookmarkEnd w:id="0"/>
      <w:r w:rsidRPr="009625F2">
        <w:br w:type="page"/>
      </w:r>
      <w:bookmarkStart w:id="1" w:name="_Toc216674207"/>
      <w:r w:rsidRPr="009625F2">
        <w:lastRenderedPageBreak/>
        <w:tab/>
      </w:r>
      <w:r w:rsidRPr="009625F2">
        <w:tab/>
        <w:t>Introduction</w:t>
      </w:r>
      <w:bookmarkEnd w:id="1"/>
    </w:p>
    <w:p w:rsidR="00B342F3" w:rsidRPr="009625F2" w:rsidRDefault="00B342F3" w:rsidP="00EB53EF">
      <w:pPr>
        <w:pStyle w:val="SingleTxtG"/>
      </w:pPr>
      <w:r w:rsidRPr="009625F2">
        <w:t>1.</w:t>
      </w:r>
      <w:r w:rsidRPr="009625F2">
        <w:tab/>
        <w:t>Hereinafter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Fourth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United</w:t>
      </w:r>
      <w:r w:rsidR="00C9336A" w:rsidRPr="009625F2">
        <w:t xml:space="preserve"> </w:t>
      </w:r>
      <w:r w:rsidRPr="009625F2">
        <w:t>Nations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Economic,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Rights,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requirements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Articles</w:t>
      </w:r>
      <w:r w:rsidR="00C9336A" w:rsidRPr="009625F2">
        <w:t xml:space="preserve"> </w:t>
      </w:r>
      <w:r w:rsidRPr="009625F2">
        <w:t>16</w:t>
      </w:r>
      <w:r w:rsidR="00703880" w:rsidRPr="009625F2">
        <w:t>–</w:t>
      </w:r>
      <w:r w:rsidRPr="009625F2">
        <w:t>17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Economic,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(hereinafter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D311F6">
        <w:t>“</w:t>
      </w:r>
      <w:r w:rsidRPr="009625F2">
        <w:t>Covenant</w:t>
      </w:r>
      <w:r w:rsidR="00D311F6">
        <w:t>”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D311F6">
        <w:t>“</w:t>
      </w:r>
      <w:r w:rsidRPr="009625F2">
        <w:t>CESCR</w:t>
      </w:r>
      <w:r w:rsidR="00D311F6">
        <w:t>”</w:t>
      </w:r>
      <w:r w:rsidRPr="009625F2">
        <w:t>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2.</w:t>
      </w:r>
      <w:r w:rsidRPr="009625F2">
        <w:tab/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place.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comprehensive</w:t>
      </w:r>
      <w:r w:rsidR="00C9336A" w:rsidRPr="009625F2">
        <w:t xml:space="preserve"> </w:t>
      </w:r>
      <w:r w:rsidRPr="009625F2">
        <w:t>account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most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developments.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addresses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comments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(E/C.12/ISR/CO/3)</w:t>
      </w:r>
      <w:r w:rsidR="00C9336A" w:rsidRPr="009625F2">
        <w:t xml:space="preserve"> </w:t>
      </w:r>
      <w:r w:rsidRPr="009625F2">
        <w:t>dated</w:t>
      </w:r>
      <w:r w:rsidR="00C9336A" w:rsidRPr="009625F2">
        <w:t xml:space="preserve"> </w:t>
      </w:r>
      <w:r w:rsidRPr="009625F2">
        <w:t>December</w:t>
      </w:r>
      <w:r w:rsidR="00C9336A" w:rsidRPr="009625F2">
        <w:t xml:space="preserve"> </w:t>
      </w:r>
      <w:r w:rsidRPr="009625F2">
        <w:t>2,</w:t>
      </w:r>
      <w:r w:rsidR="00C9336A" w:rsidRPr="009625F2">
        <w:t xml:space="preserve"> </w:t>
      </w:r>
      <w:r w:rsidRPr="009625F2">
        <w:t>2011.</w:t>
      </w:r>
    </w:p>
    <w:p w:rsidR="00B342F3" w:rsidRPr="009625F2" w:rsidRDefault="00B342F3" w:rsidP="00EB53EF">
      <w:pPr>
        <w:pStyle w:val="SingleTxtG"/>
      </w:pPr>
      <w:r w:rsidRPr="009625F2">
        <w:t>3.</w:t>
      </w:r>
      <w:r w:rsidRPr="009625F2">
        <w:tab/>
        <w:t>Israeli</w:t>
      </w:r>
      <w:r w:rsidR="00C9336A" w:rsidRPr="009625F2">
        <w:t xml:space="preserve"> </w:t>
      </w:r>
      <w:r w:rsidRPr="009625F2">
        <w:t>Non-Governmental</w:t>
      </w:r>
      <w:r w:rsidR="00C9336A" w:rsidRPr="009625F2">
        <w:t xml:space="preserve"> </w:t>
      </w:r>
      <w:r w:rsidRPr="009625F2">
        <w:t>Organizations</w:t>
      </w:r>
      <w:r w:rsidR="00C9336A" w:rsidRPr="009625F2">
        <w:t xml:space="preserve"> </w:t>
      </w:r>
      <w:r w:rsidRPr="009625F2">
        <w:t>(</w:t>
      </w:r>
      <w:r w:rsidR="00D311F6">
        <w:t>“</w:t>
      </w:r>
      <w:r w:rsidRPr="009625F2">
        <w:t>NGOs</w:t>
      </w:r>
      <w:r w:rsidR="00D311F6">
        <w:t>”</w:t>
      </w:r>
      <w:r w:rsidRPr="009625F2">
        <w:t>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invited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submit</w:t>
      </w:r>
      <w:r w:rsidR="00C9336A" w:rsidRPr="009625F2">
        <w:t xml:space="preserve"> </w:t>
      </w:r>
      <w:r w:rsidRPr="009625F2">
        <w:t>comments</w:t>
      </w:r>
      <w:r w:rsidR="00C9336A" w:rsidRPr="009625F2">
        <w:t xml:space="preserve"> </w:t>
      </w:r>
      <w:r w:rsidRPr="009625F2">
        <w:t>prior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compilation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direct</w:t>
      </w:r>
      <w:r w:rsidR="00C9336A" w:rsidRPr="009625F2">
        <w:t xml:space="preserve"> </w:t>
      </w:r>
      <w:r w:rsidRPr="009625F2">
        <w:t>application,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invitation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submit</w:t>
      </w:r>
      <w:r w:rsidR="00C9336A" w:rsidRPr="009625F2">
        <w:t xml:space="preserve"> </w:t>
      </w:r>
      <w:r w:rsidRPr="009625F2">
        <w:t>remarks</w:t>
      </w:r>
      <w:r w:rsidR="00C9336A" w:rsidRPr="009625F2">
        <w:t xml:space="preserve"> </w:t>
      </w:r>
      <w:r w:rsidRPr="009625F2">
        <w:t>posted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Justice</w:t>
      </w:r>
      <w:r w:rsidR="00C9336A" w:rsidRPr="009625F2">
        <w:t xml:space="preserve"> </w:t>
      </w:r>
      <w:r w:rsidRPr="009625F2">
        <w:t>(MoJ)</w:t>
      </w:r>
      <w:r w:rsidR="00C9336A" w:rsidRPr="009625F2">
        <w:t xml:space="preserve"> </w:t>
      </w:r>
      <w:r w:rsidRPr="009625F2">
        <w:t>website.</w:t>
      </w:r>
    </w:p>
    <w:p w:rsidR="00B342F3" w:rsidRPr="009625F2" w:rsidRDefault="00B342F3" w:rsidP="007F50C0">
      <w:pPr>
        <w:pStyle w:val="HChG"/>
      </w:pPr>
      <w:r w:rsidRPr="009625F2">
        <w:tab/>
      </w:r>
      <w:r w:rsidRPr="009625F2">
        <w:tab/>
        <w:t>General</w:t>
      </w:r>
    </w:p>
    <w:p w:rsidR="00B342F3" w:rsidRPr="009625F2" w:rsidRDefault="00B342F3" w:rsidP="00EB53EF">
      <w:pPr>
        <w:pStyle w:val="SingleTxtG"/>
      </w:pPr>
      <w:r w:rsidRPr="009625F2">
        <w:t>4.</w:t>
      </w:r>
      <w:r w:rsidRPr="009625F2">
        <w:tab/>
        <w:t>Incorporation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fundamental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protected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effectively</w:t>
      </w:r>
      <w:r w:rsidR="00C9336A" w:rsidRPr="009625F2">
        <w:t xml:space="preserve"> </w:t>
      </w:r>
      <w:r w:rsidRPr="009625F2">
        <w:t>protected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legislation,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decisions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otherwise.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enacted</w:t>
      </w:r>
      <w:r w:rsidR="00C9336A" w:rsidRPr="009625F2">
        <w:t xml:space="preserve"> </w:t>
      </w:r>
      <w:r w:rsidRPr="009625F2">
        <w:t>any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rPr>
          <w:i/>
          <w:iCs/>
        </w:rPr>
        <w:t>basic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laws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economic,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legislation,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institutional</w:t>
      </w:r>
      <w:r w:rsidR="00C9336A" w:rsidRPr="009625F2">
        <w:t xml:space="preserve"> </w:t>
      </w:r>
      <w:r w:rsidRPr="009625F2">
        <w:t>frameworks,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below.</w:t>
      </w:r>
    </w:p>
    <w:p w:rsidR="00B342F3" w:rsidRPr="009625F2" w:rsidRDefault="00B342F3" w:rsidP="00EB53EF">
      <w:pPr>
        <w:pStyle w:val="SingleTxtG"/>
      </w:pPr>
      <w:r w:rsidRPr="009625F2">
        <w:t>5.</w:t>
      </w:r>
      <w:r w:rsidRPr="009625F2">
        <w:tab/>
        <w:t>Review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joint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team,</w:t>
      </w:r>
      <w:r w:rsidR="00C9336A" w:rsidRPr="009625F2">
        <w:t xml:space="preserve"> </w:t>
      </w:r>
      <w:r w:rsidRPr="009625F2">
        <w:t>headed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Deputy</w:t>
      </w:r>
      <w:r w:rsidR="00C9336A" w:rsidRPr="009625F2">
        <w:t xml:space="preserve"> </w:t>
      </w:r>
      <w:r w:rsidRPr="009625F2">
        <w:t>Attorney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(International</w:t>
      </w:r>
      <w:r w:rsidR="00C9336A" w:rsidRPr="009625F2">
        <w:t xml:space="preserve"> </w:t>
      </w:r>
      <w:r w:rsidRPr="009625F2">
        <w:t>Law),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2011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UN</w:t>
      </w:r>
      <w:r w:rsidR="00C9336A" w:rsidRPr="009625F2">
        <w:t xml:space="preserve"> </w:t>
      </w:r>
      <w:r w:rsidRPr="009625F2">
        <w:rPr>
          <w:i/>
          <w:iCs/>
        </w:rPr>
        <w:t>human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committees.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team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brought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changes.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examples,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6.</w:t>
      </w:r>
      <w:r w:rsidRPr="009625F2">
        <w:tab/>
        <w:t>Training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application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reference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recommendation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programmes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profession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rPr>
          <w:i/>
          <w:iCs/>
        </w:rPr>
        <w:t>judiciary</w:t>
      </w:r>
      <w:r w:rsidRPr="009625F2">
        <w:t>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wide</w:t>
      </w:r>
      <w:r w:rsidR="00C9336A" w:rsidRPr="009625F2">
        <w:t xml:space="preserve"> </w:t>
      </w:r>
      <w:r w:rsidRPr="009625F2">
        <w:t>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days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Conventions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held.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7.</w:t>
      </w:r>
      <w:r w:rsidRPr="009625F2">
        <w:tab/>
        <w:t>Independent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institution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institutions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operate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rights,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Comptroller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Ombudsman,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Equal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Opportunities</w:t>
      </w:r>
      <w:r w:rsidR="00C9336A" w:rsidRPr="009625F2">
        <w:t xml:space="preserve"> </w:t>
      </w:r>
      <w:r w:rsidRPr="009625F2">
        <w:rPr>
          <w:i/>
          <w:iCs/>
        </w:rPr>
        <w:t>Commission</w:t>
      </w:r>
      <w:r w:rsidR="00C9336A" w:rsidRPr="009625F2">
        <w:t xml:space="preserve"> </w:t>
      </w:r>
      <w:r w:rsidRPr="009625F2">
        <w:t>(EEOC),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Commission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Equal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(AASW)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8.</w:t>
      </w:r>
      <w:r w:rsidRPr="009625F2">
        <w:tab/>
        <w:t>Non-application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D311F6">
        <w:t>“</w:t>
      </w:r>
      <w:r w:rsidRPr="009625F2">
        <w:t>Occupied</w:t>
      </w:r>
      <w:r w:rsidR="00C9336A" w:rsidRPr="009625F2">
        <w:t xml:space="preserve"> </w:t>
      </w:r>
      <w:r w:rsidRPr="009625F2">
        <w:t>Palestinian</w:t>
      </w:r>
      <w:r w:rsidR="00C9336A" w:rsidRPr="009625F2">
        <w:t xml:space="preserve"> </w:t>
      </w:r>
      <w:r w:rsidRPr="009625F2">
        <w:t>Territory</w:t>
      </w:r>
      <w:r w:rsidR="00D311F6">
        <w:t>”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position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applicable</w:t>
      </w:r>
      <w:r w:rsidR="00C9336A" w:rsidRPr="009625F2">
        <w:t xml:space="preserve"> </w:t>
      </w:r>
      <w:r w:rsidRPr="009625F2">
        <w:t>beyond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State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territory.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elaboration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position,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Second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pp.</w:t>
      </w:r>
      <w:r w:rsidR="00C9336A" w:rsidRPr="009625F2">
        <w:t xml:space="preserve"> </w:t>
      </w:r>
      <w:r w:rsidRPr="009625F2">
        <w:t>3</w:t>
      </w:r>
      <w:r w:rsidR="00703880" w:rsidRPr="009625F2">
        <w:t>–</w:t>
      </w:r>
      <w:r w:rsidRPr="009625F2">
        <w:t>4.</w:t>
      </w:r>
      <w:r w:rsidR="00C9336A" w:rsidRPr="009625F2">
        <w:t xml:space="preserve"> </w:t>
      </w:r>
    </w:p>
    <w:p w:rsidR="00B342F3" w:rsidRPr="009625F2" w:rsidRDefault="00B342F3" w:rsidP="00C110F8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1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9.</w:t>
      </w:r>
      <w:r w:rsidRPr="009625F2">
        <w:tab/>
      </w:r>
      <w:r w:rsidR="00957C11" w:rsidRPr="009625F2">
        <w:t>Self-determination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change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occurred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area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report.</w:t>
      </w:r>
      <w:r w:rsidR="00C9336A" w:rsidRPr="009625F2">
        <w:t xml:space="preserve"> </w:t>
      </w:r>
    </w:p>
    <w:p w:rsidR="00B342F3" w:rsidRPr="009625F2" w:rsidRDefault="00B342F3" w:rsidP="00C110F8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2</w:t>
      </w:r>
    </w:p>
    <w:p w:rsidR="00B342F3" w:rsidRPr="009625F2" w:rsidRDefault="00B342F3" w:rsidP="00EB53EF">
      <w:pPr>
        <w:pStyle w:val="SingleTxtG"/>
      </w:pPr>
      <w:r w:rsidRPr="009625F2">
        <w:t>10.</w:t>
      </w:r>
      <w:r w:rsidRPr="009625F2">
        <w:tab/>
        <w:t>International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technical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Agency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Pr="009625F2">
        <w:t>(MASHAV)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MASHAV</w:t>
      </w:r>
      <w:r w:rsidR="00C9336A" w:rsidRPr="009625F2">
        <w:t xml:space="preserve"> </w:t>
      </w:r>
      <w:r w:rsidRPr="009625F2">
        <w:t>aims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contribute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prosperity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well-being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facing</w:t>
      </w:r>
      <w:r w:rsidR="00C9336A" w:rsidRPr="009625F2">
        <w:t xml:space="preserve"> </w:t>
      </w:r>
      <w:r w:rsidRPr="009625F2">
        <w:t>severe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challenges.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end,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promotes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engages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cooperation.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MASHAV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extensive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lastRenderedPageBreak/>
        <w:t>11.</w:t>
      </w:r>
      <w:r w:rsidRPr="009625F2">
        <w:tab/>
        <w:t>International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conventions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maintain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move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country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prevent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duplication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contributions.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12.</w:t>
      </w:r>
      <w:r w:rsidRPr="009625F2">
        <w:tab/>
        <w:t>International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trafficking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6;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workers,</w:t>
      </w:r>
      <w:r w:rsidR="00C9336A" w:rsidRPr="009625F2">
        <w:t xml:space="preserve"> </w:t>
      </w:r>
      <w:r w:rsidRPr="009625F2">
        <w:t>specifically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means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bilateral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countries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origin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6;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preservation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nutritional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pertaining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animal</w:t>
      </w:r>
      <w:r w:rsidR="00C9336A" w:rsidRPr="009625F2">
        <w:t xml:space="preserve"> </w:t>
      </w:r>
      <w:r w:rsidRPr="009625F2">
        <w:t>products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11B;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disease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12;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Fields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15.</w:t>
      </w:r>
    </w:p>
    <w:p w:rsidR="00B342F3" w:rsidRPr="009625F2" w:rsidRDefault="00B342F3" w:rsidP="00EB53EF">
      <w:pPr>
        <w:pStyle w:val="SingleTxtG"/>
      </w:pPr>
      <w:r w:rsidRPr="009625F2">
        <w:t>13.</w:t>
      </w:r>
      <w:r w:rsidRPr="009625F2">
        <w:tab/>
        <w:t>Statistical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enjoyment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progress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securing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enjoyment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Covenant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throughout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report.</w:t>
      </w:r>
    </w:p>
    <w:p w:rsidR="00B342F3" w:rsidRPr="009625F2" w:rsidRDefault="00B342F3" w:rsidP="00C110F8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3</w:t>
      </w:r>
      <w:r w:rsidR="00C9336A" w:rsidRPr="009625F2">
        <w:t xml:space="preserve"> </w:t>
      </w:r>
    </w:p>
    <w:p w:rsidR="00B342F3" w:rsidRPr="009625F2" w:rsidRDefault="00B342F3" w:rsidP="00C110F8">
      <w:pPr>
        <w:pStyle w:val="H23G"/>
      </w:pPr>
      <w:r w:rsidRPr="009625F2">
        <w:tab/>
      </w:r>
      <w:r w:rsidRPr="009625F2">
        <w:tab/>
        <w:t>Developments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–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</w:p>
    <w:p w:rsidR="00B342F3" w:rsidRPr="009625F2" w:rsidRDefault="00B342F3" w:rsidP="00C110F8">
      <w:pPr>
        <w:pStyle w:val="H23G"/>
      </w:pPr>
      <w:r w:rsidRPr="009625F2">
        <w:tab/>
      </w:r>
      <w:r w:rsidRPr="009625F2">
        <w:tab/>
        <w:t>Israel</w:t>
      </w:r>
      <w:r w:rsidR="00C9336A" w:rsidRPr="009625F2">
        <w:t xml:space="preserve"> </w:t>
      </w:r>
      <w:r w:rsidRPr="009625F2">
        <w:t>recently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sixth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CEDAW</w:t>
      </w:r>
      <w:r w:rsidR="00C9336A" w:rsidRPr="009625F2">
        <w:t xml:space="preserve"> </w:t>
      </w:r>
      <w:r w:rsidRPr="009625F2">
        <w:t>committee,</w:t>
      </w:r>
      <w:r w:rsidR="00C9336A" w:rsidRPr="009625F2">
        <w:t xml:space="preserve"> </w:t>
      </w:r>
      <w:r w:rsidRPr="009625F2">
        <w:t>outlining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detail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legislation.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highlights</w:t>
      </w:r>
    </w:p>
    <w:p w:rsidR="00B342F3" w:rsidRPr="009625F2" w:rsidRDefault="00B342F3" w:rsidP="00EB53EF">
      <w:pPr>
        <w:pStyle w:val="SingleTxtG"/>
      </w:pPr>
      <w:r w:rsidRPr="009625F2">
        <w:t>14.</w:t>
      </w:r>
      <w:r w:rsidRPr="009625F2">
        <w:tab/>
        <w:t>Restructuring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2331</w:t>
      </w:r>
      <w:r w:rsidR="00C9336A" w:rsidRPr="009625F2">
        <w:t xml:space="preserve"> </w:t>
      </w:r>
      <w:r w:rsidRPr="009625F2">
        <w:t>(December</w:t>
      </w:r>
      <w:r w:rsidR="00C9336A" w:rsidRPr="009625F2">
        <w:t xml:space="preserve"> </w:t>
      </w:r>
      <w:r w:rsidRPr="009625F2">
        <w:t>14,</w:t>
      </w:r>
      <w:r w:rsidR="00C9336A" w:rsidRPr="009625F2">
        <w:t xml:space="preserve"> </w:t>
      </w:r>
      <w:r w:rsidRPr="009625F2">
        <w:t>2014),</w:t>
      </w:r>
      <w:r w:rsidR="00C9336A" w:rsidRPr="009625F2">
        <w:t xml:space="preserve"> </w:t>
      </w:r>
      <w:r w:rsidR="00D311F6">
        <w:t>“</w:t>
      </w:r>
      <w:r w:rsidRPr="009625F2">
        <w:t>Promoting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thinking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ordered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restructuring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AASW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defined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main</w:t>
      </w:r>
      <w:r w:rsidR="00C9336A" w:rsidRPr="009625F2">
        <w:t xml:space="preserve"> </w:t>
      </w:r>
      <w:r w:rsidRPr="009625F2">
        <w:t>tasks,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promoting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private</w:t>
      </w:r>
      <w:r w:rsidR="00C9336A" w:rsidRPr="009625F2">
        <w:t xml:space="preserve"> </w:t>
      </w:r>
      <w:r w:rsidRPr="009625F2">
        <w:t>sectors;</w:t>
      </w:r>
      <w:r w:rsidR="00C9336A" w:rsidRPr="009625F2">
        <w:t xml:space="preserve"> </w:t>
      </w:r>
      <w:r w:rsidRPr="009625F2">
        <w:t>presenting</w:t>
      </w:r>
      <w:r w:rsidR="00C9336A" w:rsidRPr="009625F2">
        <w:t xml:space="preserve"> </w:t>
      </w:r>
      <w:r w:rsidRPr="009625F2">
        <w:t>opinions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aspects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legislation,</w:t>
      </w:r>
      <w:r w:rsidR="00C9336A" w:rsidRPr="009625F2">
        <w:t xml:space="preserve"> </w:t>
      </w:r>
      <w:r w:rsidRPr="009625F2">
        <w:t>resolutions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creating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knowledge</w:t>
      </w:r>
      <w:r w:rsidR="00C9336A" w:rsidRPr="009625F2">
        <w:t xml:space="preserve"> </w:t>
      </w:r>
      <w:r w:rsidRPr="009625F2">
        <w:t>center.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AASW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outlined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relation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  <w:r w:rsidRPr="009625F2">
        <w:t>(below);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opportunities</w:t>
      </w:r>
      <w:r w:rsidR="00C9336A" w:rsidRPr="009625F2">
        <w:t xml:space="preserve"> </w:t>
      </w:r>
      <w:r w:rsidRPr="009625F2">
        <w:t>(Article</w:t>
      </w:r>
      <w:r w:rsidR="00C9336A" w:rsidRPr="009625F2">
        <w:t xml:space="preserve"> </w:t>
      </w:r>
      <w:r w:rsidRPr="009625F2">
        <w:t>6)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(Article</w:t>
      </w:r>
      <w:r w:rsidR="00C9336A" w:rsidRPr="009625F2">
        <w:t xml:space="preserve"> </w:t>
      </w:r>
      <w:r w:rsidRPr="009625F2">
        <w:t>7).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15.</w:t>
      </w:r>
      <w:r w:rsidRPr="009625F2">
        <w:tab/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AASW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budget,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  <w:r w:rsidRPr="009625F2">
        <w:t>Note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very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annual</w:t>
      </w:r>
      <w:r w:rsidR="00C9336A" w:rsidRPr="009625F2">
        <w:t xml:space="preserve"> </w:t>
      </w:r>
      <w:r w:rsidRPr="009625F2">
        <w:t>budget.</w:t>
      </w:r>
    </w:p>
    <w:p w:rsidR="00B342F3" w:rsidRPr="009625F2" w:rsidRDefault="00B342F3" w:rsidP="00EB53EF">
      <w:pPr>
        <w:pStyle w:val="SingleTxtG"/>
      </w:pPr>
      <w:r w:rsidRPr="009625F2">
        <w:t>16.</w:t>
      </w:r>
      <w:r w:rsidRPr="009625F2">
        <w:tab/>
        <w:t>Implementing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Mainstreaming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Ministries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AASW</w:t>
      </w:r>
      <w:r w:rsidR="00C9336A" w:rsidRPr="009625F2">
        <w:t xml:space="preserve"> </w:t>
      </w:r>
      <w:r w:rsidRPr="009625F2">
        <w:t>promulgated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Mainstreaming</w:t>
      </w:r>
      <w:r w:rsidR="00C9336A" w:rsidRPr="009625F2">
        <w:t xml:space="preserve"> </w:t>
      </w:r>
      <w:r w:rsidRPr="009625F2">
        <w:t>Guide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policies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examination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plans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budgets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perspective.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17.</w:t>
      </w:r>
      <w:r w:rsidRPr="009625F2">
        <w:tab/>
        <w:t>An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Team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Action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team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formulate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action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2013.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18.</w:t>
      </w:r>
      <w:r w:rsidRPr="009625F2">
        <w:tab/>
        <w:t>Gender</w:t>
      </w:r>
      <w:r w:rsidR="00C9336A" w:rsidRPr="009625F2">
        <w:t xml:space="preserve"> </w:t>
      </w:r>
      <w:r w:rsidRPr="009625F2">
        <w:t>Mainstreaming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170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enrolled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employment;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empowerment;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key</w:t>
      </w:r>
      <w:r w:rsidR="00C9336A" w:rsidRPr="009625F2">
        <w:t xml:space="preserve"> </w:t>
      </w:r>
      <w:r w:rsidRPr="009625F2">
        <w:t>positions;</w:t>
      </w:r>
      <w:r w:rsidR="00C9336A" w:rsidRPr="009625F2">
        <w:t xml:space="preserve"> </w:t>
      </w:r>
      <w:r w:rsidRPr="009625F2">
        <w:t>gender-related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issues;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project</w:t>
      </w:r>
      <w:r w:rsidR="00C9336A" w:rsidRPr="009625F2">
        <w:t xml:space="preserve"> </w:t>
      </w:r>
      <w:r w:rsidRPr="009625F2">
        <w:t>began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2017.</w:t>
      </w:r>
    </w:p>
    <w:p w:rsidR="00B342F3" w:rsidRPr="009625F2" w:rsidRDefault="00B342F3" w:rsidP="00EB53EF">
      <w:pPr>
        <w:pStyle w:val="SingleTxtG"/>
      </w:pPr>
      <w:r w:rsidRPr="009625F2">
        <w:t>19.</w:t>
      </w:r>
      <w:r w:rsidRPr="009625F2">
        <w:tab/>
        <w:t>Establishing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Ministerial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36</w:t>
      </w:r>
      <w:r w:rsidR="00C9336A" w:rsidRPr="009625F2">
        <w:t xml:space="preserve"> </w:t>
      </w:r>
      <w:r w:rsidRPr="009625F2">
        <w:t>(May</w:t>
      </w:r>
      <w:r w:rsidR="00C9336A" w:rsidRPr="009625F2">
        <w:t xml:space="preserve"> </w:t>
      </w:r>
      <w:r w:rsidRPr="009625F2">
        <w:t>26,</w:t>
      </w:r>
      <w:r w:rsidR="00C9336A" w:rsidRPr="009625F2">
        <w:t xml:space="preserve"> </w:t>
      </w:r>
      <w:r w:rsidRPr="009625F2">
        <w:t>2015),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Ministerial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charged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promoting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examples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meetings,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20.</w:t>
      </w:r>
      <w:r w:rsidRPr="009625F2">
        <w:tab/>
        <w:t>Gender</w:t>
      </w:r>
      <w:r w:rsidR="00C9336A" w:rsidRPr="009625F2">
        <w:t xml:space="preserve"> </w:t>
      </w:r>
      <w:r w:rsidRPr="009625F2">
        <w:t>Responsive</w:t>
      </w:r>
      <w:r w:rsidR="00C9336A" w:rsidRPr="009625F2">
        <w:t xml:space="preserve"> </w:t>
      </w:r>
      <w:r w:rsidRPr="009625F2">
        <w:t>Budgeting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2084</w:t>
      </w:r>
      <w:r w:rsidR="00C9336A" w:rsidRPr="009625F2">
        <w:t xml:space="preserve"> </w:t>
      </w:r>
      <w:r w:rsidRPr="009625F2">
        <w:t>(October</w:t>
      </w:r>
      <w:r w:rsidR="00C9336A" w:rsidRPr="009625F2">
        <w:t xml:space="preserve"> </w:t>
      </w:r>
      <w:r w:rsidRPr="009625F2">
        <w:t>7,</w:t>
      </w:r>
      <w:r w:rsidR="00C9336A" w:rsidRPr="009625F2">
        <w:t xml:space="preserve"> </w:t>
      </w:r>
      <w:r w:rsidRPr="009625F2">
        <w:t>2014)</w:t>
      </w:r>
      <w:r w:rsidR="00C9336A" w:rsidRPr="009625F2">
        <w:t xml:space="preserve"> </w:t>
      </w:r>
      <w:r w:rsidRPr="009625F2">
        <w:t>adopted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conclusions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Evaluating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Aspects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Budget,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July</w:t>
      </w:r>
      <w:r w:rsidR="00C9336A" w:rsidRPr="009625F2">
        <w:t xml:space="preserve"> </w:t>
      </w:r>
      <w:r w:rsidRPr="009625F2">
        <w:t>2014.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21.</w:t>
      </w:r>
      <w:r w:rsidRPr="009625F2">
        <w:tab/>
        <w:t>Civil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Targets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July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Commission</w:t>
      </w:r>
      <w:r w:rsidR="00C9336A" w:rsidRPr="009625F2">
        <w:t xml:space="preserve"> </w:t>
      </w:r>
      <w:r w:rsidRPr="009625F2">
        <w:t>(CSC)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individual</w:t>
      </w:r>
      <w:r w:rsidR="00C9336A" w:rsidRPr="009625F2">
        <w:t xml:space="preserve"> </w:t>
      </w:r>
      <w:r w:rsidRPr="009625F2">
        <w:t>targets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reported</w:t>
      </w:r>
      <w:r w:rsidR="00C9336A" w:rsidRPr="009625F2">
        <w:t xml:space="preserve"> </w:t>
      </w:r>
      <w:r w:rsidRPr="009625F2">
        <w:t>upon</w:t>
      </w:r>
      <w:r w:rsidR="00C9336A" w:rsidRPr="009625F2">
        <w:t xml:space="preserve"> </w:t>
      </w:r>
      <w:r w:rsidRPr="009625F2">
        <w:t>twice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year.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Commissioner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distributed</w:t>
      </w:r>
      <w:r w:rsidR="00C9336A" w:rsidRPr="009625F2">
        <w:t xml:space="preserve"> </w:t>
      </w:r>
      <w:r w:rsidRPr="009625F2">
        <w:t>operating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gaps.</w:t>
      </w:r>
    </w:p>
    <w:p w:rsidR="00B342F3" w:rsidRPr="009625F2" w:rsidRDefault="00B342F3" w:rsidP="00EB53EF">
      <w:pPr>
        <w:pStyle w:val="SingleTxtG"/>
      </w:pPr>
      <w:r w:rsidRPr="009625F2">
        <w:lastRenderedPageBreak/>
        <w:t>22.</w:t>
      </w:r>
      <w:r w:rsidRPr="009625F2">
        <w:tab/>
        <w:t>Call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proposals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Science,</w:t>
      </w:r>
      <w:r w:rsidR="00C9336A" w:rsidRPr="009625F2">
        <w:t xml:space="preserve"> </w:t>
      </w:r>
      <w:r w:rsidRPr="009625F2">
        <w:t>Technology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Space</w:t>
      </w:r>
      <w:r w:rsidR="00C9336A" w:rsidRPr="009625F2">
        <w:t xml:space="preserve"> </w:t>
      </w:r>
      <w:r w:rsidRPr="009625F2">
        <w:t>(MoSTaS)</w:t>
      </w:r>
      <w:r w:rsidR="00C9336A" w:rsidRPr="009625F2">
        <w:t xml:space="preserve"> </w:t>
      </w:r>
      <w:r w:rsidRPr="009625F2">
        <w:t>calls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proposals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2B3FC8">
      <w:pPr>
        <w:pStyle w:val="H23G"/>
      </w:pPr>
      <w:r w:rsidRPr="009625F2">
        <w:tab/>
      </w:r>
      <w:r w:rsidRPr="009625F2">
        <w:tab/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23.</w:t>
      </w:r>
      <w:r w:rsidRPr="009625F2">
        <w:tab/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sixth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CEDAW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Service.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2B3FC8">
      <w:pPr>
        <w:pStyle w:val="H23G"/>
      </w:pPr>
      <w:r w:rsidRPr="009625F2">
        <w:tab/>
      </w:r>
      <w:r w:rsidRPr="009625F2">
        <w:tab/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sphere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24.</w:t>
      </w:r>
      <w:r w:rsidRPr="009625F2">
        <w:tab/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sixth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CEDAW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contains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contend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incidents</w:t>
      </w:r>
      <w:r w:rsidR="00C9336A" w:rsidRPr="009625F2">
        <w:t xml:space="preserve"> </w:t>
      </w:r>
      <w:r w:rsidRPr="009625F2">
        <w:t>involving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exclusion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sphere.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EB53EF">
      <w:pPr>
        <w:pStyle w:val="SingleTxtG"/>
      </w:pPr>
      <w:r w:rsidRPr="009625F2">
        <w:t>25.</w:t>
      </w:r>
      <w:r w:rsidRPr="009625F2">
        <w:tab/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women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rights,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Articles</w:t>
      </w:r>
      <w:r w:rsidR="00C9336A" w:rsidRPr="009625F2">
        <w:t xml:space="preserve"> </w:t>
      </w:r>
      <w:r w:rsidRPr="009625F2">
        <w:t>6,</w:t>
      </w:r>
      <w:r w:rsidR="00C9336A" w:rsidRPr="009625F2">
        <w:t xml:space="preserve"> </w:t>
      </w:r>
      <w:r w:rsidRPr="009625F2">
        <w:t>7,</w:t>
      </w:r>
      <w:r w:rsidR="00C9336A" w:rsidRPr="009625F2">
        <w:t xml:space="preserve"> </w:t>
      </w:r>
      <w:r w:rsidRPr="009625F2">
        <w:t>9,</w:t>
      </w:r>
      <w:r w:rsidR="00C9336A" w:rsidRPr="009625F2">
        <w:t xml:space="preserve"> </w:t>
      </w:r>
      <w:r w:rsidRPr="009625F2">
        <w:t>12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13.</w:t>
      </w:r>
    </w:p>
    <w:p w:rsidR="00B342F3" w:rsidRPr="009625F2" w:rsidRDefault="00B342F3" w:rsidP="002B3FC8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6</w:t>
      </w:r>
      <w:r w:rsidR="00C9336A" w:rsidRPr="009625F2">
        <w:t xml:space="preserve"> </w:t>
      </w:r>
    </w:p>
    <w:p w:rsidR="00B342F3" w:rsidRPr="009625F2" w:rsidRDefault="00B342F3" w:rsidP="002B3FC8">
      <w:pPr>
        <w:pStyle w:val="H23G"/>
      </w:pPr>
      <w:r w:rsidRPr="009625F2">
        <w:tab/>
      </w:r>
      <w:r w:rsidRPr="009625F2">
        <w:tab/>
        <w:t>Employment</w:t>
      </w:r>
      <w:r w:rsidR="00C9336A" w:rsidRPr="009625F2">
        <w:t xml:space="preserve"> </w:t>
      </w:r>
      <w:r w:rsidRPr="009625F2">
        <w:t>data</w:t>
      </w:r>
    </w:p>
    <w:p w:rsidR="00B342F3" w:rsidRPr="009625F2" w:rsidRDefault="00B342F3" w:rsidP="00EB53EF">
      <w:pPr>
        <w:pStyle w:val="SingleTxtG"/>
      </w:pPr>
      <w:r w:rsidRPr="009625F2">
        <w:t>26.</w:t>
      </w:r>
      <w:r w:rsidRPr="009625F2">
        <w:tab/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average</w:t>
      </w:r>
      <w:r w:rsidR="00C9336A" w:rsidRPr="009625F2">
        <w:t xml:space="preserve"> </w:t>
      </w:r>
      <w:r w:rsidRPr="009625F2">
        <w:t>wages,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2B3FC8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service</w:t>
      </w:r>
    </w:p>
    <w:p w:rsidR="00B342F3" w:rsidRPr="009625F2" w:rsidRDefault="00B342F3" w:rsidP="00EB53EF">
      <w:pPr>
        <w:pStyle w:val="SingleTxtG"/>
      </w:pPr>
      <w:r w:rsidRPr="009625F2">
        <w:t>27.</w:t>
      </w:r>
      <w:r w:rsidRPr="009625F2">
        <w:tab/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recommendations,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take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strengthen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Service.</w:t>
      </w:r>
      <w:r w:rsidR="00C9336A" w:rsidRPr="009625F2">
        <w:t xml:space="preserve"> </w:t>
      </w:r>
      <w:r w:rsidRPr="009625F2">
        <w:t>We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pleased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almost</w:t>
      </w:r>
      <w:r w:rsidR="00C9336A" w:rsidRPr="009625F2">
        <w:t xml:space="preserve"> </w:t>
      </w:r>
      <w:r w:rsidRPr="009625F2">
        <w:t>doubled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now</w:t>
      </w:r>
      <w:r w:rsidR="00C9336A" w:rsidRPr="009625F2">
        <w:t xml:space="preserve"> </w:t>
      </w:r>
      <w:r w:rsidRPr="009625F2">
        <w:t>operates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greater</w:t>
      </w:r>
      <w:r w:rsidR="00C9336A" w:rsidRPr="009625F2">
        <w:t xml:space="preserve"> </w:t>
      </w:r>
      <w:r w:rsidRPr="009625F2">
        <w:t>variety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means.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main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programs: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28.</w:t>
      </w:r>
      <w:r w:rsidRPr="009625F2">
        <w:tab/>
      </w:r>
      <w:r w:rsidR="00D311F6">
        <w:t>“</w:t>
      </w:r>
      <w:r w:rsidRPr="009625F2">
        <w:t>Employment</w:t>
      </w:r>
      <w:r w:rsidR="00C9336A" w:rsidRPr="009625F2">
        <w:t xml:space="preserve"> </w:t>
      </w:r>
      <w:r w:rsidRPr="009625F2">
        <w:t>circles</w:t>
      </w:r>
      <w:r w:rsidR="00D311F6">
        <w:t>”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program,</w:t>
      </w:r>
      <w:r w:rsidR="00C9336A" w:rsidRPr="009625F2">
        <w:t xml:space="preserve"> </w:t>
      </w:r>
      <w:r w:rsidRPr="009625F2">
        <w:t>launched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aims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facilitate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recipients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supplement</w:t>
      </w:r>
      <w:r w:rsidR="00C9336A" w:rsidRPr="009625F2">
        <w:t xml:space="preserve"> </w:t>
      </w:r>
      <w:r w:rsidRPr="009625F2">
        <w:t>benefits,</w:t>
      </w:r>
      <w:r w:rsidR="00C9336A" w:rsidRPr="009625F2">
        <w:t xml:space="preserve"> </w:t>
      </w:r>
      <w:r w:rsidRPr="009625F2">
        <w:t>thus</w:t>
      </w:r>
      <w:r w:rsidR="00C9336A" w:rsidRPr="009625F2">
        <w:t xml:space="preserve"> </w:t>
      </w:r>
      <w:r w:rsidRPr="009625F2">
        <w:t>decreasing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rPr>
          <w:i/>
          <w:iCs/>
        </w:rPr>
        <w:t>dependency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benefits.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impressive</w:t>
      </w:r>
      <w:r w:rsidR="00C9336A" w:rsidRPr="009625F2">
        <w:t xml:space="preserve"> </w:t>
      </w:r>
      <w:r w:rsidRPr="009625F2">
        <w:t>reduction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numbers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recipients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supplements</w:t>
      </w:r>
      <w:r w:rsidR="00C9336A" w:rsidRPr="009625F2">
        <w:t xml:space="preserve"> </w:t>
      </w:r>
      <w:r w:rsidRPr="009625F2">
        <w:t>seeking</w:t>
      </w:r>
      <w:r w:rsidR="00C9336A" w:rsidRPr="009625F2">
        <w:t xml:space="preserve"> </w:t>
      </w:r>
      <w:r w:rsidRPr="009625F2">
        <w:t>employment.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29.</w:t>
      </w:r>
      <w:r w:rsidRPr="009625F2">
        <w:tab/>
        <w:t>Employment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grant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outlying</w:t>
      </w:r>
      <w:r w:rsidR="00C9336A" w:rsidRPr="009625F2">
        <w:t xml:space="preserve"> </w:t>
      </w:r>
      <w:r w:rsidRPr="009625F2">
        <w:t>areas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pilot</w:t>
      </w:r>
      <w:r w:rsidR="00C9336A" w:rsidRPr="009625F2">
        <w:t xml:space="preserve"> </w:t>
      </w:r>
      <w:r w:rsidRPr="009625F2">
        <w:t>program,</w:t>
      </w:r>
      <w:r w:rsidR="00C9336A" w:rsidRPr="009625F2">
        <w:t xml:space="preserve"> </w:t>
      </w:r>
      <w:r w:rsidRPr="009625F2">
        <w:t>launched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job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live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outlying</w:t>
      </w:r>
      <w:r w:rsidR="00C9336A" w:rsidRPr="009625F2">
        <w:t xml:space="preserve"> </w:t>
      </w:r>
      <w:r w:rsidRPr="009625F2">
        <w:t>areas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manage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find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far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home.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30.</w:t>
      </w:r>
      <w:r w:rsidRPr="009625F2">
        <w:tab/>
        <w:t>Training</w:t>
      </w:r>
      <w:r w:rsidR="00C9336A" w:rsidRPr="009625F2">
        <w:t xml:space="preserve"> </w:t>
      </w:r>
      <w:r w:rsidRPr="009625F2">
        <w:t>vouchers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eligible,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supplement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unemployment</w:t>
      </w:r>
      <w:r w:rsidR="00C9336A" w:rsidRPr="009625F2">
        <w:t xml:space="preserve"> </w:t>
      </w:r>
      <w:r w:rsidRPr="009625F2">
        <w:t>benefits.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used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wide</w:t>
      </w:r>
      <w:r w:rsidR="00C9336A" w:rsidRPr="009625F2">
        <w:t xml:space="preserve"> </w:t>
      </w:r>
      <w:r w:rsidRPr="009625F2">
        <w:t>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courses,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event</w:t>
      </w:r>
      <w:r w:rsidR="00C9336A" w:rsidRPr="009625F2">
        <w:t xml:space="preserve"> </w:t>
      </w:r>
      <w:r w:rsidRPr="009625F2">
        <w:t>photography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tour</w:t>
      </w:r>
      <w:r w:rsidR="00C9336A" w:rsidRPr="009625F2">
        <w:t xml:space="preserve"> </w:t>
      </w:r>
      <w:r w:rsidRPr="009625F2">
        <w:t>guiding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rPr>
          <w:b/>
          <w:bCs/>
          <w:i/>
          <w:iCs/>
        </w:rPr>
        <w:t>vehicle</w:t>
      </w:r>
      <w:r w:rsidR="00C9336A" w:rsidRPr="009625F2">
        <w:t xml:space="preserve"> </w:t>
      </w:r>
      <w:r w:rsidRPr="009625F2">
        <w:t>driving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accounts</w:t>
      </w:r>
      <w:r w:rsidR="00C9336A" w:rsidRPr="009625F2">
        <w:t xml:space="preserve"> </w:t>
      </w:r>
      <w:r w:rsidRPr="009625F2">
        <w:t>management.</w:t>
      </w:r>
      <w:r w:rsidR="00C9336A" w:rsidRPr="009625F2">
        <w:t xml:space="preserve"> 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957C11"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</w:t>
      </w:r>
      <w:r w:rsidR="00C9336A" w:rsidRPr="009625F2">
        <w:t xml:space="preserve"> </w:t>
      </w:r>
    </w:p>
    <w:p w:rsidR="00B342F3" w:rsidRPr="009625F2" w:rsidRDefault="00B342F3" w:rsidP="009625F2">
      <w:pPr>
        <w:pStyle w:val="SingleTxtG"/>
      </w:pPr>
      <w:r w:rsidRPr="009625F2">
        <w:t>31.</w:t>
      </w:r>
      <w:r w:rsidRPr="009625F2">
        <w:tab/>
        <w:t>Occupational</w:t>
      </w:r>
      <w:r w:rsidR="00C9336A" w:rsidRPr="009625F2">
        <w:t xml:space="preserve"> </w:t>
      </w:r>
      <w:r w:rsidRPr="009625F2">
        <w:t>Guidance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twenty</w:t>
      </w:r>
      <w:r w:rsidR="009625F2">
        <w:t>-</w:t>
      </w:r>
      <w:r w:rsidRPr="009625F2">
        <w:t>one</w:t>
      </w:r>
      <w:r w:rsidR="00C9336A" w:rsidRPr="009625F2">
        <w:t xml:space="preserve"> </w:t>
      </w:r>
      <w:r w:rsidRPr="009625F2">
        <w:t>occupational</w:t>
      </w:r>
      <w:r w:rsidR="00C9336A" w:rsidRPr="009625F2">
        <w:t xml:space="preserve"> </w:t>
      </w:r>
      <w:r w:rsidRPr="009625F2">
        <w:t>guidance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serving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established,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200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(55.6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served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17,000</w:t>
      </w:r>
      <w:r w:rsidR="00C9336A" w:rsidRPr="009625F2">
        <w:t xml:space="preserve"> </w:t>
      </w:r>
      <w:r w:rsidRPr="009625F2">
        <w:t>applicants,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10,000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found</w:t>
      </w:r>
      <w:r w:rsidR="00C9336A" w:rsidRPr="009625F2">
        <w:t xml:space="preserve"> </w:t>
      </w:r>
      <w:r w:rsidRPr="009625F2">
        <w:t>employment.</w:t>
      </w:r>
    </w:p>
    <w:p w:rsidR="00B342F3" w:rsidRPr="009625F2" w:rsidRDefault="00B342F3" w:rsidP="00EB53EF">
      <w:pPr>
        <w:pStyle w:val="SingleTxtG"/>
      </w:pPr>
      <w:r w:rsidRPr="009625F2">
        <w:t>32.</w:t>
      </w:r>
      <w:r w:rsidRPr="009625F2">
        <w:tab/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Beit-Hanina,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1,200</w:t>
      </w:r>
      <w:r w:rsidR="00C9336A" w:rsidRPr="009625F2">
        <w:t xml:space="preserve"> </w:t>
      </w:r>
      <w:r w:rsidRPr="009625F2">
        <w:t>residents.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33.</w:t>
      </w:r>
      <w:r w:rsidRPr="009625F2">
        <w:tab/>
        <w:t>Other</w:t>
      </w:r>
      <w:r w:rsidR="00C9336A" w:rsidRPr="009625F2">
        <w:t xml:space="preserve"> </w:t>
      </w:r>
      <w:r w:rsidRPr="009625F2">
        <w:t>Placement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Minorities</w:t>
      </w:r>
      <w:r w:rsidR="00C9336A" w:rsidRPr="009625F2">
        <w:t xml:space="preserve"> </w:t>
      </w:r>
      <w:r w:rsidRPr="009625F2">
        <w:t>Sector</w:t>
      </w:r>
      <w:r w:rsidR="00C9336A" w:rsidRPr="009625F2">
        <w:t xml:space="preserve"> </w:t>
      </w:r>
      <w:r w:rsidRPr="009625F2">
        <w:t>(AEDMS)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NGO</w:t>
      </w:r>
      <w:r w:rsidR="00C9336A" w:rsidRPr="009625F2">
        <w:t xml:space="preserve"> </w:t>
      </w:r>
      <w:r w:rsidR="00D311F6">
        <w:t>“</w:t>
      </w:r>
      <w:r w:rsidRPr="009625F2">
        <w:t>Kav</w:t>
      </w:r>
      <w:r w:rsidR="00C9336A" w:rsidRPr="009625F2">
        <w:t xml:space="preserve"> </w:t>
      </w:r>
      <w:r w:rsidRPr="009625F2">
        <w:t>Mashve</w:t>
      </w:r>
      <w:r w:rsidR="00D311F6">
        <w:t>”</w:t>
      </w:r>
      <w:r w:rsidR="00C9336A" w:rsidRPr="009625F2">
        <w:t xml:space="preserve"> </w:t>
      </w:r>
      <w:r w:rsidRPr="009625F2">
        <w:t>operate</w:t>
      </w:r>
      <w:r w:rsidR="00C9336A" w:rsidRPr="009625F2">
        <w:t xml:space="preserve"> </w:t>
      </w:r>
      <w:r w:rsidRPr="009625F2">
        <w:t>career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universities</w:t>
      </w:r>
      <w:r w:rsidR="00C9336A" w:rsidRPr="009625F2">
        <w:t xml:space="preserve"> </w:t>
      </w:r>
      <w:r w:rsidRPr="009625F2">
        <w:t>candidates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populations.</w:t>
      </w:r>
      <w:r w:rsidR="00C9336A" w:rsidRPr="009625F2">
        <w:t xml:space="preserve"> </w:t>
      </w:r>
      <w:r w:rsidRPr="009625F2">
        <w:t>1,017</w:t>
      </w:r>
      <w:r w:rsidR="00C9336A" w:rsidRPr="009625F2">
        <w:t xml:space="preserve"> </w:t>
      </w:r>
      <w:r w:rsidRPr="009625F2">
        <w:t>placements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programs.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NGOs</w:t>
      </w:r>
      <w:r w:rsidR="00C9336A" w:rsidRPr="009625F2">
        <w:t xml:space="preserve"> </w:t>
      </w:r>
      <w:r w:rsidRPr="009625F2">
        <w:t>(</w:t>
      </w:r>
      <w:r w:rsidRPr="009625F2">
        <w:rPr>
          <w:i/>
          <w:iCs/>
        </w:rPr>
        <w:t>Tsofen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rPr>
          <w:i/>
          <w:iCs/>
        </w:rPr>
        <w:t>ITWORKS</w:t>
      </w:r>
      <w:r w:rsidRPr="009625F2">
        <w:t>)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selected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assist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placements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hi-tech</w:t>
      </w:r>
      <w:r w:rsidR="00C9336A" w:rsidRPr="009625F2">
        <w:t xml:space="preserve"> </w:t>
      </w:r>
      <w:r w:rsidRPr="009625F2">
        <w:t>companies.</w:t>
      </w:r>
    </w:p>
    <w:p w:rsidR="00B342F3" w:rsidRPr="009625F2" w:rsidRDefault="00B342F3" w:rsidP="00EB53EF">
      <w:pPr>
        <w:pStyle w:val="SingleTxtG"/>
      </w:pPr>
      <w:r w:rsidRPr="009625F2">
        <w:t>34.</w:t>
      </w:r>
      <w:r w:rsidRPr="009625F2">
        <w:tab/>
        <w:t>Additional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universities</w:t>
      </w:r>
      <w:r w:rsidR="00C9336A" w:rsidRPr="009625F2">
        <w:t xml:space="preserve"> </w:t>
      </w:r>
      <w:r w:rsidRPr="009625F2">
        <w:t>graduates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sector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incentives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businesses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employ</w:t>
      </w:r>
      <w:r w:rsidR="00C9336A" w:rsidRPr="009625F2">
        <w:t xml:space="preserve"> </w:t>
      </w:r>
      <w:r w:rsidRPr="009625F2">
        <w:lastRenderedPageBreak/>
        <w:t>populations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unemployment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improvements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transportation,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35.</w:t>
      </w:r>
      <w:r w:rsidRPr="009625F2">
        <w:tab/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attention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investment.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result,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rise.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information,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36.</w:t>
      </w:r>
      <w:r w:rsidRPr="009625F2">
        <w:tab/>
        <w:t>Five-year</w:t>
      </w:r>
      <w:r w:rsidR="00C9336A" w:rsidRPr="009625F2">
        <w:t xml:space="preserve"> </w:t>
      </w:r>
      <w:r w:rsidRPr="009625F2">
        <w:t>Interministerial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4193</w:t>
      </w:r>
      <w:r w:rsidR="00C9336A" w:rsidRPr="009625F2">
        <w:t xml:space="preserve"> </w:t>
      </w:r>
      <w:r w:rsidRPr="009625F2">
        <w:t>(January,</w:t>
      </w:r>
      <w:r w:rsidR="00C9336A" w:rsidRPr="009625F2">
        <w:t xml:space="preserve"> </w:t>
      </w:r>
      <w:r w:rsidRPr="009625F2">
        <w:t>2012)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forth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five-year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raising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particularly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budgetary</w:t>
      </w:r>
      <w:r w:rsidR="00C9336A" w:rsidRPr="009625F2">
        <w:t xml:space="preserve"> </w:t>
      </w:r>
      <w:r w:rsidRPr="009625F2">
        <w:t>scope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730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(203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(approximately</w:t>
      </w:r>
      <w:r w:rsidR="00C9336A" w:rsidRPr="009625F2">
        <w:t xml:space="preserve"> </w:t>
      </w:r>
      <w:r w:rsidRPr="009625F2">
        <w:t>85%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committed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being</w:t>
      </w:r>
      <w:r w:rsidR="00C9336A" w:rsidRPr="009625F2">
        <w:t xml:space="preserve"> </w:t>
      </w:r>
      <w:r w:rsidRPr="009625F2">
        <w:t>authorized).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37.</w:t>
      </w:r>
      <w:r w:rsidRPr="009625F2">
        <w:tab/>
        <w:t>Day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Communities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enables</w:t>
      </w:r>
      <w:r w:rsidR="00C9336A" w:rsidRPr="009625F2">
        <w:t xml:space="preserve"> </w:t>
      </w:r>
      <w:r w:rsidRPr="009625F2">
        <w:t>communities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low</w:t>
      </w:r>
      <w:r w:rsidR="00C9336A" w:rsidRPr="009625F2">
        <w:t xml:space="preserve"> </w:t>
      </w:r>
      <w:r w:rsidRPr="009625F2">
        <w:t>socioeconomic</w:t>
      </w:r>
      <w:r w:rsidR="00C9336A" w:rsidRPr="009625F2">
        <w:t xml:space="preserve"> </w:t>
      </w:r>
      <w:r w:rsidRPr="009625F2">
        <w:t>index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benefit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100%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centers.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4193,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places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part-time</w:t>
      </w:r>
      <w:r w:rsidR="00C9336A" w:rsidRPr="009625F2">
        <w:t xml:space="preserve"> </w:t>
      </w:r>
      <w:r w:rsidRPr="009625F2">
        <w:t>positions.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38.</w:t>
      </w:r>
      <w:r w:rsidRPr="009625F2">
        <w:tab/>
      </w:r>
      <w:r w:rsidR="00D311F6">
        <w:t>“</w:t>
      </w:r>
      <w:r w:rsidRPr="009625F2">
        <w:t>Women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Valor</w:t>
      </w:r>
      <w:r w:rsidR="00D311F6">
        <w:t>”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particularly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less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12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seeking</w:t>
      </w:r>
      <w:r w:rsidR="00C9336A" w:rsidRPr="009625F2">
        <w:t xml:space="preserve"> </w:t>
      </w:r>
      <w:r w:rsidRPr="009625F2">
        <w:t>employment.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39.</w:t>
      </w:r>
      <w:r w:rsidRPr="009625F2">
        <w:tab/>
        <w:t>Additional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nursing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South;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loan</w:t>
      </w:r>
      <w:r w:rsidR="00C9336A" w:rsidRPr="009625F2">
        <w:t xml:space="preserve"> </w:t>
      </w:r>
      <w:r w:rsidRPr="009625F2">
        <w:t>foundation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small</w:t>
      </w:r>
      <w:r w:rsidR="00C9336A" w:rsidRPr="009625F2">
        <w:t xml:space="preserve"> </w:t>
      </w:r>
      <w:r w:rsidRPr="009625F2">
        <w:t>businesses</w:t>
      </w:r>
      <w:r w:rsidR="00C9336A" w:rsidRPr="009625F2">
        <w:t xml:space="preserve"> </w:t>
      </w:r>
      <w:r w:rsidRPr="009625F2">
        <w:t>owned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populations;</w:t>
      </w:r>
      <w:r w:rsidR="00C9336A" w:rsidRPr="009625F2">
        <w:t xml:space="preserve"> </w:t>
      </w:r>
      <w:r w:rsidRPr="009625F2">
        <w:t>professional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vouchers,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media</w:t>
      </w:r>
      <w:r w:rsidR="00C9336A" w:rsidRPr="009625F2">
        <w:t xml:space="preserve"> </w:t>
      </w:r>
      <w:r w:rsidRPr="009625F2">
        <w:t>campaign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minorities,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1A2002"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</w:t>
      </w:r>
    </w:p>
    <w:p w:rsidR="00B342F3" w:rsidRPr="009625F2" w:rsidRDefault="00B342F3" w:rsidP="00EB53EF">
      <w:pPr>
        <w:pStyle w:val="SingleTxtG"/>
      </w:pPr>
      <w:r w:rsidRPr="009625F2">
        <w:t>40.</w:t>
      </w:r>
      <w:r w:rsidRPr="009625F2">
        <w:tab/>
        <w:t>A</w:t>
      </w:r>
      <w:r w:rsidR="00C9336A" w:rsidRPr="009625F2">
        <w:t xml:space="preserve"> </w:t>
      </w:r>
      <w:r w:rsidRPr="009625F2">
        <w:t>five-year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growth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implemented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2012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tota</w:t>
      </w:r>
      <w:r w:rsidR="00703880" w:rsidRPr="009625F2">
        <w:t>l</w:t>
      </w:r>
      <w:r w:rsidR="00C9336A" w:rsidRPr="009625F2">
        <w:t xml:space="preserve"> </w:t>
      </w:r>
      <w:r w:rsidR="00703880" w:rsidRPr="009625F2">
        <w:t>budget</w:t>
      </w:r>
      <w:r w:rsidR="00C9336A" w:rsidRPr="009625F2">
        <w:t xml:space="preserve"> </w:t>
      </w:r>
      <w:r w:rsidR="00703880" w:rsidRPr="009625F2">
        <w:t>of</w:t>
      </w:r>
      <w:r w:rsidR="00C9336A" w:rsidRPr="009625F2">
        <w:t xml:space="preserve"> </w:t>
      </w:r>
      <w:r w:rsidR="00703880" w:rsidRPr="009625F2">
        <w:t>1,263</w:t>
      </w:r>
      <w:r w:rsidR="00C9336A" w:rsidRPr="009625F2">
        <w:t xml:space="preserve"> </w:t>
      </w:r>
      <w:r w:rsidR="00703880" w:rsidRPr="009625F2">
        <w:t>Billion</w:t>
      </w:r>
      <w:r w:rsidR="00C9336A" w:rsidRPr="009625F2">
        <w:t xml:space="preserve"> </w:t>
      </w:r>
      <w:r w:rsidR="00703880" w:rsidRPr="009625F2">
        <w:t>NIS</w:t>
      </w:r>
      <w:r w:rsidR="00C9336A" w:rsidRPr="009625F2">
        <w:t xml:space="preserve"> </w:t>
      </w:r>
      <w:r w:rsidR="00703880" w:rsidRPr="009625F2">
        <w:t>(</w:t>
      </w:r>
      <w:r w:rsidRPr="009625F2">
        <w:t>350.83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(Government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3708,</w:t>
      </w:r>
      <w:r w:rsidR="00C9336A" w:rsidRPr="009625F2">
        <w:t xml:space="preserve"> </w:t>
      </w:r>
      <w:r w:rsidRPr="009625F2">
        <w:t>September,</w:t>
      </w:r>
      <w:r w:rsidR="00C9336A" w:rsidRPr="009625F2">
        <w:t xml:space="preserve"> </w:t>
      </w:r>
      <w:r w:rsidRPr="009625F2">
        <w:t>2011).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programs: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41.</w:t>
      </w:r>
      <w:r w:rsidRPr="009625F2">
        <w:tab/>
        <w:t>Employment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first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opened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Hura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2010.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September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nine</w:t>
      </w:r>
      <w:r w:rsidR="00C9336A" w:rsidRPr="009625F2">
        <w:t xml:space="preserve"> </w:t>
      </w:r>
      <w:r w:rsidRPr="009625F2">
        <w:t>(9)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guidance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placements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data,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C17548">
      <w:pPr>
        <w:pStyle w:val="SingleTxtG"/>
      </w:pPr>
      <w:r w:rsidRPr="009625F2">
        <w:t>42.</w:t>
      </w:r>
      <w:r w:rsidRPr="009625F2">
        <w:tab/>
        <w:t>Reimbursement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Wages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factory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entrepreneurial</w:t>
      </w:r>
      <w:r w:rsidR="00C9336A" w:rsidRPr="009625F2">
        <w:t xml:space="preserve"> </w:t>
      </w:r>
      <w:r w:rsidRPr="009625F2">
        <w:t>business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industrial,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tourism</w:t>
      </w:r>
      <w:r w:rsidR="00C9336A" w:rsidRPr="009625F2">
        <w:t xml:space="preserve"> </w:t>
      </w:r>
      <w:r w:rsidRPr="009625F2">
        <w:t>fields,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employs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least</w:t>
      </w:r>
      <w:r w:rsidR="00C9336A" w:rsidRPr="009625F2">
        <w:t xml:space="preserve"> </w:t>
      </w:r>
      <w:r w:rsidRPr="009625F2">
        <w:t>four</w:t>
      </w:r>
      <w:r w:rsidR="00C9336A" w:rsidRPr="009625F2">
        <w:t xml:space="preserve"> </w:t>
      </w:r>
      <w:r w:rsidRPr="009625F2">
        <w:t>(4)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employees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reimbursement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15%</w:t>
      </w:r>
      <w:r w:rsidR="00703880" w:rsidRPr="009625F2">
        <w:t>–</w:t>
      </w:r>
      <w:r w:rsidRPr="009625F2">
        <w:t>20%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workers</w:t>
      </w:r>
      <w:r w:rsidR="00D311F6">
        <w:t>’</w:t>
      </w:r>
      <w:r w:rsidR="00C9336A" w:rsidRPr="009625F2">
        <w:t xml:space="preserve"> </w:t>
      </w:r>
      <w:r w:rsidRPr="009625F2">
        <w:t>monthly</w:t>
      </w:r>
      <w:r w:rsidR="00C9336A" w:rsidRPr="009625F2">
        <w:t xml:space="preserve"> </w:t>
      </w:r>
      <w:r w:rsidRPr="009625F2">
        <w:t>wages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five</w:t>
      </w:r>
      <w:r w:rsidR="00C9336A" w:rsidRPr="009625F2">
        <w:t xml:space="preserve"> </w:t>
      </w:r>
      <w:r w:rsidRPr="009625F2">
        <w:t>(5)</w:t>
      </w:r>
      <w:r w:rsidR="00C9336A" w:rsidRPr="009625F2">
        <w:t xml:space="preserve"> </w:t>
      </w:r>
      <w:r w:rsidRPr="009625F2">
        <w:t>years.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employer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reimbursed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costs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organized</w:t>
      </w:r>
      <w:r w:rsidR="00C9336A" w:rsidRPr="009625F2">
        <w:t xml:space="preserve"> </w:t>
      </w:r>
      <w:r w:rsidRPr="009625F2">
        <w:t>transportation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3,000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(U.S.</w:t>
      </w:r>
      <w:r w:rsidR="00C9336A" w:rsidRPr="009625F2">
        <w:t xml:space="preserve"> </w:t>
      </w:r>
      <w:r w:rsidRPr="009625F2">
        <w:t>$811)</w:t>
      </w:r>
      <w:r w:rsidR="00C9336A" w:rsidRPr="009625F2">
        <w:t xml:space="preserve"> </w:t>
      </w:r>
      <w:r w:rsidRPr="009625F2">
        <w:t>per</w:t>
      </w:r>
      <w:r w:rsidR="00C9336A" w:rsidRPr="009625F2">
        <w:t xml:space="preserve"> </w:t>
      </w:r>
      <w:r w:rsidRPr="009625F2">
        <w:t>worker,</w:t>
      </w:r>
      <w:r w:rsidR="00C9336A" w:rsidRPr="009625F2">
        <w:t xml:space="preserve"> </w:t>
      </w:r>
      <w:r w:rsidRPr="009625F2">
        <w:t>annually.</w:t>
      </w:r>
    </w:p>
    <w:p w:rsidR="00B342F3" w:rsidRPr="009625F2" w:rsidRDefault="00B342F3" w:rsidP="00EB53EF">
      <w:pPr>
        <w:pStyle w:val="SingleTxtG"/>
      </w:pPr>
      <w:r w:rsidRPr="009625F2">
        <w:t>43.</w:t>
      </w:r>
      <w:r w:rsidRPr="009625F2">
        <w:tab/>
        <w:t>Additional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vocational</w:t>
      </w:r>
      <w:r w:rsidR="00C9336A" w:rsidRPr="009625F2">
        <w:t xml:space="preserve"> </w:t>
      </w:r>
      <w:r w:rsidRPr="009625F2">
        <w:t>training,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industrial</w:t>
      </w:r>
      <w:r w:rsidR="00C9336A" w:rsidRPr="009625F2">
        <w:t xml:space="preserve"> </w:t>
      </w:r>
      <w:r w:rsidRPr="009625F2">
        <w:t>parks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localities,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officials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others;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entrepreneurship;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improvements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transport,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="001A2002"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44.</w:t>
      </w:r>
      <w:r w:rsidRPr="009625F2">
        <w:tab/>
        <w:t>There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people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now</w:t>
      </w:r>
      <w:r w:rsidR="00C9336A" w:rsidRPr="009625F2">
        <w:t xml:space="preserve"> </w:t>
      </w:r>
      <w:r w:rsidRPr="009625F2">
        <w:t>similar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65.3%</w:t>
      </w:r>
      <w:r w:rsidR="00C9336A" w:rsidRPr="009625F2">
        <w:t xml:space="preserve"> </w:t>
      </w:r>
      <w:r w:rsidRPr="009625F2">
        <w:t>compared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64.2%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although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average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remains</w:t>
      </w:r>
      <w:r w:rsidR="00C9336A" w:rsidRPr="009625F2">
        <w:t xml:space="preserve"> </w:t>
      </w:r>
      <w:r w:rsidRPr="009625F2">
        <w:t>lower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average.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45.</w:t>
      </w:r>
      <w:r w:rsidRPr="009625F2">
        <w:tab/>
        <w:t>Employment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(MoE),</w:t>
      </w:r>
      <w:r w:rsidR="00C9336A" w:rsidRPr="009625F2">
        <w:t xml:space="preserve"> </w:t>
      </w:r>
      <w:r w:rsidRPr="009625F2">
        <w:t>together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American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Joint</w:t>
      </w:r>
      <w:r w:rsidR="00C9336A" w:rsidRPr="009625F2">
        <w:t xml:space="preserve"> </w:t>
      </w:r>
      <w:r w:rsidRPr="009625F2">
        <w:t>Distribution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(JDC),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initiated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four</w:t>
      </w:r>
      <w:r w:rsidR="00C9336A" w:rsidRPr="009625F2">
        <w:t xml:space="preserve"> </w:t>
      </w:r>
      <w:r w:rsidRPr="009625F2">
        <w:t>(4)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promote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training,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(4.2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June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nine</w:t>
      </w:r>
      <w:r w:rsidR="00C9336A" w:rsidRPr="009625F2">
        <w:t xml:space="preserve"> </w:t>
      </w:r>
      <w:r w:rsidRPr="009625F2">
        <w:t>(9)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specially</w:t>
      </w:r>
      <w:r w:rsidR="00C9336A" w:rsidRPr="009625F2">
        <w:t xml:space="preserve"> </w:t>
      </w:r>
      <w:r w:rsidRPr="009625F2">
        <w:t>geared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needs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population.</w:t>
      </w:r>
    </w:p>
    <w:p w:rsidR="00B342F3" w:rsidRPr="009625F2" w:rsidRDefault="00B342F3" w:rsidP="00EB53EF">
      <w:pPr>
        <w:pStyle w:val="SingleTxtG"/>
      </w:pPr>
      <w:r w:rsidRPr="009625F2">
        <w:lastRenderedPageBreak/>
        <w:t>46.</w:t>
      </w:r>
      <w:r w:rsidRPr="009625F2">
        <w:tab/>
        <w:t>Additional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vocational</w:t>
      </w:r>
      <w:r w:rsidR="00C9336A" w:rsidRPr="009625F2">
        <w:t xml:space="preserve"> </w:t>
      </w:r>
      <w:r w:rsidRPr="009625F2">
        <w:t>training;</w:t>
      </w:r>
      <w:r w:rsidR="00C9336A" w:rsidRPr="009625F2">
        <w:t xml:space="preserve"> </w:t>
      </w:r>
      <w:r w:rsidRPr="009625F2">
        <w:t>placement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university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college</w:t>
      </w:r>
      <w:r w:rsidR="00C9336A" w:rsidRPr="009625F2">
        <w:t xml:space="preserve"> </w:t>
      </w:r>
      <w:r w:rsidRPr="009625F2">
        <w:t>graduates;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promoting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</w:t>
      </w:r>
    </w:p>
    <w:p w:rsidR="00B342F3" w:rsidRPr="009625F2" w:rsidRDefault="00B342F3" w:rsidP="00EB53EF">
      <w:pPr>
        <w:pStyle w:val="SingleTxtG"/>
      </w:pPr>
      <w:r w:rsidRPr="009625F2">
        <w:t>47.</w:t>
      </w:r>
      <w:r w:rsidRPr="009625F2">
        <w:tab/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initial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Convention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(CRPD),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contains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account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highlights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affirmative</w:t>
      </w:r>
      <w:r w:rsidR="00C9336A" w:rsidRPr="009625F2">
        <w:t xml:space="preserve"> </w:t>
      </w:r>
      <w:r w:rsidRPr="009625F2">
        <w:t>action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large</w:t>
      </w:r>
      <w:r w:rsidR="00C9336A" w:rsidRPr="009625F2">
        <w:t xml:space="preserve"> </w:t>
      </w:r>
      <w:r w:rsidRPr="009625F2">
        <w:t>employers,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employers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(PWD)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48.</w:t>
      </w:r>
      <w:r w:rsidRPr="009625F2">
        <w:tab/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sub-committee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appointed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August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Strategic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49.</w:t>
      </w:r>
      <w:r w:rsidRPr="009625F2">
        <w:tab/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834</w:t>
      </w:r>
      <w:r w:rsidR="00C9336A" w:rsidRPr="009625F2">
        <w:t xml:space="preserve"> </w:t>
      </w:r>
      <w:r w:rsidRPr="009625F2">
        <w:t>(December</w:t>
      </w:r>
      <w:r w:rsidR="00C9336A" w:rsidRPr="009625F2">
        <w:t xml:space="preserve"> </w:t>
      </w:r>
      <w:r w:rsidRPr="009625F2">
        <w:t>2015)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Outlines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employment.</w:t>
      </w:r>
      <w:r w:rsidR="00C9336A" w:rsidRPr="009625F2">
        <w:t xml:space="preserve"> </w:t>
      </w:r>
      <w:r w:rsidRPr="009625F2">
        <w:t>Ongoing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="00D311F6">
        <w:t>“</w:t>
      </w:r>
      <w:r w:rsidRPr="009625F2">
        <w:t>The</w:t>
      </w:r>
      <w:r w:rsidR="00C9336A" w:rsidRPr="009625F2">
        <w:t xml:space="preserve"> </w:t>
      </w:r>
      <w:r w:rsidRPr="009625F2">
        <w:t>Experience-Required</w:t>
      </w:r>
      <w:r w:rsidR="00D311F6">
        <w:t>”</w:t>
      </w:r>
      <w:r w:rsidR="00C9336A" w:rsidRPr="009625F2">
        <w:t xml:space="preserve"> </w:t>
      </w:r>
      <w:r w:rsidRPr="009625F2">
        <w:t>Program.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job</w:t>
      </w:r>
      <w:r w:rsidR="00C9336A" w:rsidRPr="009625F2">
        <w:t xml:space="preserve"> </w:t>
      </w:r>
      <w:r w:rsidRPr="009625F2">
        <w:t>placement</w:t>
      </w:r>
      <w:r w:rsidR="00C9336A" w:rsidRPr="009625F2">
        <w:t xml:space="preserve"> </w:t>
      </w:r>
      <w:r w:rsidRPr="009625F2">
        <w:t>website</w:t>
      </w:r>
      <w:r w:rsidR="00C9336A" w:rsidRPr="009625F2">
        <w:t xml:space="preserve"> </w:t>
      </w:r>
      <w:r w:rsidRPr="009625F2">
        <w:t>adapted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call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offers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aspects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job</w:t>
      </w:r>
      <w:r w:rsidR="00C9336A" w:rsidRPr="009625F2">
        <w:t xml:space="preserve"> </w:t>
      </w:r>
      <w:r w:rsidRPr="009625F2">
        <w:t>seeking.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refers</w:t>
      </w:r>
      <w:r w:rsidR="00C9336A" w:rsidRPr="009625F2">
        <w:t xml:space="preserve"> </w:t>
      </w:r>
      <w:r w:rsidRPr="009625F2">
        <w:t>job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workshops,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computer</w:t>
      </w:r>
      <w:r w:rsidR="00C9336A" w:rsidRPr="009625F2">
        <w:t xml:space="preserve"> </w:t>
      </w:r>
      <w:r w:rsidRPr="009625F2">
        <w:t>skills.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offers</w:t>
      </w:r>
      <w:r w:rsidR="00C9336A" w:rsidRPr="009625F2">
        <w:t xml:space="preserve"> </w:t>
      </w:r>
      <w:r w:rsidRPr="009625F2">
        <w:t>dozens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lectures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workshops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preparing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retirement.</w:t>
      </w:r>
    </w:p>
    <w:p w:rsidR="00B342F3" w:rsidRPr="009625F2" w:rsidRDefault="00B342F3" w:rsidP="00EB53EF">
      <w:pPr>
        <w:pStyle w:val="SingleTxtG"/>
      </w:pPr>
      <w:r w:rsidRPr="009625F2">
        <w:t>50.</w:t>
      </w:r>
      <w:r w:rsidRPr="009625F2">
        <w:tab/>
        <w:t>Media</w:t>
      </w:r>
      <w:r w:rsidR="00C9336A" w:rsidRPr="009625F2">
        <w:t xml:space="preserve"> </w:t>
      </w:r>
      <w:r w:rsidRPr="009625F2">
        <w:t>Campaign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August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media</w:t>
      </w:r>
      <w:r w:rsidR="00C9336A" w:rsidRPr="009625F2">
        <w:t xml:space="preserve"> </w:t>
      </w:r>
      <w:r w:rsidRPr="009625F2">
        <w:t>campaign</w:t>
      </w:r>
      <w:r w:rsidR="00C9336A" w:rsidRPr="009625F2">
        <w:t xml:space="preserve"> </w:t>
      </w:r>
      <w:r w:rsidRPr="009625F2">
        <w:t>seeking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challenge</w:t>
      </w:r>
      <w:r w:rsidR="00C9336A" w:rsidRPr="009625F2">
        <w:t xml:space="preserve"> </w:t>
      </w:r>
      <w:r w:rsidRPr="009625F2">
        <w:t>stereotypes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employing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51.</w:t>
      </w:r>
      <w:r w:rsidRPr="009625F2">
        <w:tab/>
        <w:t>Additional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citizens,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entrepreneurship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corporate</w:t>
      </w:r>
      <w:r w:rsidR="00C9336A" w:rsidRPr="009625F2">
        <w:t xml:space="preserve"> </w:t>
      </w:r>
      <w:r w:rsidRPr="009625F2">
        <w:t>responsibility,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Employment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run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labour,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affairs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</w:t>
      </w:r>
    </w:p>
    <w:p w:rsidR="00B342F3" w:rsidRPr="009625F2" w:rsidRDefault="00B342F3" w:rsidP="00EB53EF">
      <w:pPr>
        <w:pStyle w:val="SingleTxtG"/>
      </w:pPr>
      <w:r w:rsidRPr="009625F2">
        <w:t>52.</w:t>
      </w:r>
      <w:r w:rsidRPr="009625F2">
        <w:tab/>
        <w:t>(The</w:t>
      </w:r>
      <w:r w:rsidR="00C9336A" w:rsidRPr="009625F2">
        <w:t xml:space="preserve"> </w:t>
      </w:r>
      <w:r w:rsidRPr="009625F2">
        <w:t>MoLSAaSS)</w:t>
      </w:r>
      <w:r w:rsidR="00C9336A" w:rsidRPr="009625F2">
        <w:t xml:space="preserve"> </w:t>
      </w:r>
      <w:r w:rsidRPr="009625F2">
        <w:t>runs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specific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young</w:t>
      </w:r>
      <w:r w:rsidR="00C9336A" w:rsidRPr="009625F2">
        <w:t xml:space="preserve"> </w:t>
      </w:r>
      <w:r w:rsidRPr="009625F2">
        <w:t>families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risk,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violence,</w:t>
      </w:r>
      <w:r w:rsidR="00C9336A" w:rsidRPr="009625F2">
        <w:t xml:space="preserve"> </w:t>
      </w:r>
      <w:r w:rsidRPr="009625F2">
        <w:t>etc.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runs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help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people</w:t>
      </w:r>
      <w:r w:rsidR="00C9336A" w:rsidRPr="009625F2">
        <w:t xml:space="preserve"> </w:t>
      </w:r>
      <w:r w:rsidRPr="009625F2">
        <w:t>escape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cycle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poverty.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Legal</w:t>
      </w:r>
      <w:r w:rsidR="00C9336A" w:rsidRPr="009625F2">
        <w:t xml:space="preserve"> </w:t>
      </w:r>
      <w:r w:rsidRPr="009625F2">
        <w:t>safeguards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protect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unfair</w:t>
      </w:r>
      <w:r w:rsidR="00C9336A" w:rsidRPr="009625F2">
        <w:t xml:space="preserve"> </w:t>
      </w:r>
      <w:r w:rsidRPr="009625F2">
        <w:t>dismissal</w:t>
      </w:r>
    </w:p>
    <w:p w:rsidR="00B342F3" w:rsidRPr="009625F2" w:rsidRDefault="00B342F3" w:rsidP="00EB53EF">
      <w:pPr>
        <w:pStyle w:val="SingleTxtG"/>
      </w:pPr>
      <w:r w:rsidRPr="009625F2">
        <w:t>53.</w:t>
      </w:r>
      <w:r w:rsidRPr="009625F2">
        <w:tab/>
        <w:t>This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addition,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rulings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Courts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last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decades,</w:t>
      </w:r>
      <w:r w:rsidR="00C9336A" w:rsidRPr="009625F2">
        <w:t xml:space="preserve"> </w:t>
      </w:r>
      <w:r w:rsidRPr="009625F2">
        <w:t>employers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seek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fire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obligated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conduct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hearing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allow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present</w:t>
      </w:r>
      <w:r w:rsidR="00C9336A" w:rsidRPr="009625F2">
        <w:t xml:space="preserve"> </w:t>
      </w:r>
      <w:r w:rsidRPr="009625F2">
        <w:t>his/her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dismissal.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requirement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conduct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hearing,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</w:t>
      </w:r>
    </w:p>
    <w:p w:rsidR="00B342F3" w:rsidRPr="009625F2" w:rsidRDefault="00B342F3" w:rsidP="00703880">
      <w:pPr>
        <w:pStyle w:val="SingleTxtG"/>
      </w:pPr>
      <w:r w:rsidRPr="009625F2">
        <w:t>54.</w:t>
      </w:r>
      <w:r w:rsidRPr="009625F2">
        <w:tab/>
        <w:t>Enforcement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Prior</w:t>
      </w:r>
      <w:r w:rsidR="00C9336A" w:rsidRPr="009625F2">
        <w:t xml:space="preserve"> </w:t>
      </w:r>
      <w:r w:rsidRPr="009625F2">
        <w:t>Notice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Dismissal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Resignation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5761-2001,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B342F3" w:rsidP="009B38E0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7</w:t>
      </w:r>
    </w:p>
    <w:p w:rsidR="00B342F3" w:rsidRPr="009625F2" w:rsidRDefault="00B342F3" w:rsidP="009B38E0">
      <w:pPr>
        <w:pStyle w:val="H23G"/>
      </w:pPr>
      <w:r w:rsidRPr="009625F2">
        <w:tab/>
      </w:r>
      <w:r w:rsidRPr="009625F2">
        <w:tab/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55.</w:t>
      </w:r>
      <w:r w:rsidRPr="009625F2">
        <w:tab/>
        <w:t>The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framework</w:t>
      </w:r>
      <w:r w:rsidR="00C9336A" w:rsidRPr="009625F2">
        <w:t xml:space="preserve"> </w:t>
      </w:r>
      <w:r w:rsidRPr="009625F2">
        <w:t>governing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outlined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</w:p>
    <w:p w:rsidR="00B342F3" w:rsidRPr="009625F2" w:rsidRDefault="00B342F3" w:rsidP="00EB53EF">
      <w:pPr>
        <w:pStyle w:val="SingleTxtG"/>
      </w:pPr>
      <w:r w:rsidRPr="009625F2">
        <w:t>56.</w:t>
      </w:r>
      <w:r w:rsidRPr="009625F2">
        <w:tab/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late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early</w:t>
      </w:r>
      <w:r w:rsidR="00C9336A" w:rsidRPr="009625F2">
        <w:t xml:space="preserve"> </w:t>
      </w:r>
      <w:r w:rsidRPr="009625F2">
        <w:t>2015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Presidium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Business</w:t>
      </w:r>
      <w:r w:rsidR="00C9336A" w:rsidRPr="009625F2">
        <w:t xml:space="preserve"> </w:t>
      </w:r>
      <w:r w:rsidRPr="009625F2">
        <w:t>Organizations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Federation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Unions</w:t>
      </w:r>
      <w:r w:rsidR="00C9336A" w:rsidRPr="009625F2">
        <w:t xml:space="preserve"> </w:t>
      </w:r>
      <w:r w:rsidRPr="009625F2">
        <w:t>(</w:t>
      </w:r>
      <w:r w:rsidR="00D311F6">
        <w:t>“</w:t>
      </w:r>
      <w:r w:rsidRPr="009625F2">
        <w:t>Histadrut</w:t>
      </w:r>
      <w:r w:rsidR="00D311F6">
        <w:t>”</w:t>
      </w:r>
      <w:r w:rsidRPr="009625F2">
        <w:t>),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later</w:t>
      </w:r>
      <w:r w:rsidR="00C9336A" w:rsidRPr="009625F2">
        <w:t xml:space="preserve"> </w:t>
      </w:r>
      <w:r w:rsidRPr="009625F2">
        <w:t>anchored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legislation,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incrementally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4,300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5,300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(1,195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1470</w:t>
      </w:r>
      <w:r w:rsidR="00C9336A" w:rsidRPr="009625F2">
        <w:t xml:space="preserve"> </w:t>
      </w:r>
      <w:r w:rsidRPr="009625F2">
        <w:t>USD</w:t>
      </w:r>
      <w:r w:rsidR="00C9336A" w:rsidRPr="009625F2">
        <w:t xml:space="preserve"> </w:t>
      </w:r>
      <w:r w:rsidRPr="009625F2">
        <w:t>respectively).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youth,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lastRenderedPageBreak/>
        <w:t>57.</w:t>
      </w:r>
      <w:r w:rsidRPr="009625F2">
        <w:tab/>
      </w:r>
      <w:r w:rsidRPr="009625F2">
        <w:rPr>
          <w:b/>
          <w:bCs/>
        </w:rPr>
        <w:t>Persons</w:t>
      </w:r>
      <w:r w:rsidR="00C9336A" w:rsidRPr="009625F2">
        <w:rPr>
          <w:b/>
          <w:bCs/>
        </w:rPr>
        <w:t xml:space="preserve"> </w:t>
      </w:r>
      <w:r w:rsidRPr="009625F2">
        <w:rPr>
          <w:b/>
          <w:bCs/>
        </w:rPr>
        <w:t>with</w:t>
      </w:r>
      <w:r w:rsidR="00C9336A" w:rsidRPr="009625F2">
        <w:rPr>
          <w:b/>
          <w:bCs/>
        </w:rPr>
        <w:t xml:space="preserve"> </w:t>
      </w:r>
      <w:r w:rsidRPr="009625F2">
        <w:rPr>
          <w:b/>
          <w:bCs/>
        </w:rPr>
        <w:t>disabilities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distinguished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fully</w:t>
      </w:r>
      <w:r w:rsidR="00C9336A" w:rsidRPr="009625F2">
        <w:t xml:space="preserve"> </w:t>
      </w:r>
      <w:r w:rsidRPr="009625F2">
        <w:t>applicable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PWD,</w:t>
      </w:r>
      <w:r w:rsidR="00C9336A" w:rsidRPr="009625F2">
        <w:t xml:space="preserve"> </w:t>
      </w:r>
      <w:r w:rsidRPr="009625F2">
        <w:t>whilst</w:t>
      </w:r>
      <w:r w:rsidR="00C9336A" w:rsidRPr="009625F2">
        <w:t xml:space="preserve"> </w:t>
      </w:r>
      <w:r w:rsidRPr="009625F2">
        <w:t>ensuring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result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reduction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opportunities.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please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(section</w:t>
      </w:r>
      <w:r w:rsidR="00C9336A" w:rsidRPr="009625F2">
        <w:t xml:space="preserve"> </w:t>
      </w:r>
      <w:r w:rsidRPr="009625F2">
        <w:t>102).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defines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PWD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recognized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being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process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(rehabilitee).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evaluated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less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81%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regular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capacity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same</w:t>
      </w:r>
      <w:r w:rsidR="00C9336A" w:rsidRPr="009625F2">
        <w:t xml:space="preserve"> </w:t>
      </w:r>
      <w:r w:rsidRPr="009625F2">
        <w:t>job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workplace.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worker-employer</w:t>
      </w:r>
      <w:r w:rsidR="00C9336A" w:rsidRPr="009625F2">
        <w:t xml:space="preserve"> </w:t>
      </w:r>
      <w:r w:rsidRPr="009625F2">
        <w:t>relationship,</w:t>
      </w:r>
      <w:r w:rsidR="00C9336A" w:rsidRPr="009625F2">
        <w:t xml:space="preserve"> </w:t>
      </w:r>
      <w:r w:rsidRPr="009625F2">
        <w:t>yet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laws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employees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certain</w:t>
      </w:r>
      <w:r w:rsidR="00C9336A" w:rsidRPr="009625F2">
        <w:t xml:space="preserve"> </w:t>
      </w:r>
      <w:r w:rsidRPr="009625F2">
        <w:t>amount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remuneration</w:t>
      </w:r>
      <w:r w:rsidR="00C9336A" w:rsidRPr="009625F2">
        <w:t xml:space="preserve"> </w:t>
      </w:r>
      <w:r w:rsidRPr="009625F2">
        <w:t>(occupational</w:t>
      </w:r>
      <w:r w:rsidR="00C9336A" w:rsidRPr="009625F2">
        <w:t xml:space="preserve"> </w:t>
      </w:r>
      <w:r w:rsidRPr="009625F2">
        <w:t>remuneration)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certain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days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leave,</w:t>
      </w:r>
      <w:r w:rsidR="00C9336A" w:rsidRPr="009625F2">
        <w:t xml:space="preserve"> </w:t>
      </w:r>
      <w:r w:rsidRPr="009625F2">
        <w:t>sick</w:t>
      </w:r>
      <w:r w:rsidR="00C9336A" w:rsidRPr="009625F2">
        <w:t xml:space="preserve"> </w:t>
      </w:r>
      <w:r w:rsidRPr="009625F2">
        <w:t>days,</w:t>
      </w:r>
      <w:r w:rsidR="00C9336A" w:rsidRPr="009625F2">
        <w:t xml:space="preserve"> </w:t>
      </w:r>
      <w:r w:rsidRPr="009625F2">
        <w:t>travel</w:t>
      </w:r>
      <w:r w:rsidR="00C9336A" w:rsidRPr="009625F2">
        <w:t xml:space="preserve"> </w:t>
      </w:r>
      <w:r w:rsidRPr="009625F2">
        <w:t>expenses,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58.</w:t>
      </w:r>
      <w:r w:rsidRPr="009625F2">
        <w:tab/>
        <w:t>Apart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exceptions</w:t>
      </w:r>
      <w:r w:rsidR="00C9336A" w:rsidRPr="009625F2">
        <w:t xml:space="preserve"> </w:t>
      </w:r>
      <w:r w:rsidRPr="009625F2">
        <w:t>(i.e.</w:t>
      </w:r>
      <w:r w:rsidR="00C9336A" w:rsidRPr="009625F2">
        <w:t xml:space="preserve"> </w:t>
      </w:r>
      <w:r w:rsidRPr="009625F2">
        <w:t>rehabilitees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reduced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capacity),</w:t>
      </w:r>
      <w:r w:rsidR="00C9336A" w:rsidRPr="009625F2">
        <w:t xml:space="preserve"> </w:t>
      </w:r>
      <w:r w:rsidRPr="009625F2">
        <w:t>PWD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same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any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employee,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must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compensated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suitable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least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wage.</w:t>
      </w:r>
      <w:r w:rsidR="00C9336A" w:rsidRPr="009625F2">
        <w:t xml:space="preserve"> </w:t>
      </w:r>
      <w:r w:rsidRPr="009625F2">
        <w:t>Failure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pay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wage,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applicable</w:t>
      </w:r>
      <w:r w:rsidR="00C9336A" w:rsidRPr="009625F2">
        <w:t xml:space="preserve"> </w:t>
      </w:r>
      <w:r w:rsidRPr="009625F2">
        <w:t>adjusted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wage,</w:t>
      </w:r>
      <w:r w:rsidR="00C9336A" w:rsidRPr="009625F2">
        <w:t xml:space="preserve"> </w:t>
      </w:r>
      <w:r w:rsidRPr="009625F2">
        <w:t>constitutes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administrative</w:t>
      </w:r>
      <w:r w:rsidR="00C9336A" w:rsidRPr="009625F2">
        <w:t xml:space="preserve"> </w:t>
      </w:r>
      <w:r w:rsidRPr="009625F2">
        <w:t>violation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subject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sanction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35,000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(9,162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appropriate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prosecution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violator.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violator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liable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penalty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(1)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imprisonment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criminal</w:t>
      </w:r>
      <w:r w:rsidR="00C9336A" w:rsidRPr="009625F2">
        <w:t xml:space="preserve"> </w:t>
      </w:r>
      <w:r w:rsidRPr="009625F2">
        <w:t>fine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226,000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(59,162</w:t>
      </w:r>
      <w:r w:rsidR="00C9336A" w:rsidRPr="009625F2">
        <w:t xml:space="preserve"> </w:t>
      </w:r>
      <w:r w:rsidRPr="009625F2">
        <w:t>USD).</w:t>
      </w:r>
    </w:p>
    <w:p w:rsidR="00B342F3" w:rsidRPr="009625F2" w:rsidRDefault="00B342F3" w:rsidP="00EB53EF">
      <w:pPr>
        <w:pStyle w:val="SingleTxtG"/>
      </w:pPr>
      <w:r w:rsidRPr="009625F2">
        <w:t>59.</w:t>
      </w:r>
      <w:r w:rsidRPr="009625F2">
        <w:tab/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data,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60.</w:t>
      </w:r>
      <w:r w:rsidRPr="009625F2">
        <w:tab/>
        <w:t>Enforcement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B342F3" w:rsidP="008F054C">
      <w:pPr>
        <w:pStyle w:val="H23G"/>
      </w:pPr>
      <w:r w:rsidRPr="009625F2">
        <w:tab/>
      </w:r>
      <w:r w:rsidRPr="009625F2">
        <w:tab/>
        <w:t>Conditions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61.</w:t>
      </w:r>
      <w:r w:rsidRPr="009625F2">
        <w:tab/>
        <w:t>Conditions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workers,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overtime,</w:t>
      </w:r>
      <w:r w:rsidR="00C9336A" w:rsidRPr="009625F2">
        <w:t xml:space="preserve"> </w:t>
      </w:r>
      <w:r w:rsidRPr="009625F2">
        <w:t>paid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unpaid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updates.</w:t>
      </w:r>
    </w:p>
    <w:p w:rsidR="00B342F3" w:rsidRPr="009625F2" w:rsidRDefault="00B342F3" w:rsidP="00EB53EF">
      <w:pPr>
        <w:pStyle w:val="SingleTxtG"/>
      </w:pPr>
      <w:r w:rsidRPr="009625F2">
        <w:t>62.</w:t>
      </w:r>
      <w:r w:rsidRPr="009625F2">
        <w:tab/>
        <w:t>Enhancing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Laws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5772-2011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administrative</w:t>
      </w:r>
      <w:r w:rsidR="00C9336A" w:rsidRPr="009625F2">
        <w:t xml:space="preserve"> </w:t>
      </w:r>
      <w:r w:rsidRPr="009625F2">
        <w:t>fines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violation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laws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imposed</w:t>
      </w:r>
      <w:r w:rsidR="00C9336A" w:rsidRPr="009625F2">
        <w:t xml:space="preserve"> </w:t>
      </w:r>
      <w:r w:rsidRPr="009625F2">
        <w:t>direct</w:t>
      </w:r>
      <w:r w:rsidR="00C9336A" w:rsidRPr="009625F2">
        <w:t xml:space="preserve"> </w:t>
      </w:r>
      <w:r w:rsidRPr="009625F2">
        <w:t>responsibility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certain</w:t>
      </w:r>
      <w:r w:rsidR="00C9336A" w:rsidRPr="009625F2">
        <w:t xml:space="preserve"> </w:t>
      </w:r>
      <w:r w:rsidRPr="009625F2">
        <w:t>workers</w:t>
      </w:r>
      <w:r w:rsidR="00D311F6">
        <w:t>’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recipients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security,</w:t>
      </w:r>
      <w:r w:rsidR="00C9336A" w:rsidRPr="009625F2">
        <w:t xml:space="preserve"> </w:t>
      </w:r>
      <w:r w:rsidRPr="009625F2">
        <w:t>cleaning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catering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contractors.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63.</w:t>
      </w:r>
      <w:r w:rsidRPr="009625F2">
        <w:tab/>
        <w:t>Prohibition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Receiving</w:t>
      </w:r>
      <w:r w:rsidR="00C9336A" w:rsidRPr="009625F2">
        <w:t xml:space="preserve"> </w:t>
      </w:r>
      <w:r w:rsidRPr="009625F2">
        <w:t>Collateral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Employee</w:t>
      </w:r>
      <w:r w:rsidR="00C9336A" w:rsidRPr="009625F2">
        <w:t xml:space="preserve"> </w:t>
      </w:r>
      <w:r w:rsidRPr="009625F2">
        <w:t>5772-2012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prohibits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employer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receiving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collateral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employee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condition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guarantee</w:t>
      </w:r>
      <w:r w:rsidR="00C9336A" w:rsidRPr="009625F2">
        <w:t xml:space="preserve"> </w:t>
      </w:r>
      <w:r w:rsidRPr="009625F2">
        <w:t>continued</w:t>
      </w:r>
      <w:r w:rsidR="00C9336A" w:rsidRPr="009625F2">
        <w:t xml:space="preserve"> </w:t>
      </w:r>
      <w:r w:rsidRPr="009625F2">
        <w:t>employment.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applies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employees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via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contracting</w:t>
      </w:r>
      <w:r w:rsidR="00C9336A" w:rsidRPr="009625F2">
        <w:t xml:space="preserve"> </w:t>
      </w:r>
      <w:r w:rsidRPr="009625F2">
        <w:t>company.</w:t>
      </w:r>
      <w:bookmarkStart w:id="2" w:name="Rov12"/>
      <w:bookmarkStart w:id="3" w:name="Seif3"/>
      <w:bookmarkEnd w:id="2"/>
      <w:bookmarkEnd w:id="3"/>
    </w:p>
    <w:p w:rsidR="00B342F3" w:rsidRPr="009625F2" w:rsidRDefault="00B342F3" w:rsidP="00EB53EF">
      <w:pPr>
        <w:pStyle w:val="SingleTxtG"/>
      </w:pPr>
      <w:r w:rsidRPr="009625F2">
        <w:t>64.</w:t>
      </w:r>
      <w:r w:rsidRPr="009625F2">
        <w:tab/>
        <w:t>Amendment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5761-1991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directs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making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establish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methods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paid.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authorizes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Ombudswomen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revoke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indictment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filed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serious</w:t>
      </w:r>
      <w:r w:rsidR="00C9336A" w:rsidRPr="009625F2">
        <w:t xml:space="preserve"> </w:t>
      </w:r>
      <w:r w:rsidRPr="009625F2">
        <w:t>offense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implies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employer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worthy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permit.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amendments,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65.</w:t>
      </w:r>
      <w:r w:rsidRPr="009625F2">
        <w:tab/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conditions,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II;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conditions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care-workers,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8F054C">
      <w:pPr>
        <w:pStyle w:val="H23G"/>
      </w:pPr>
      <w:r w:rsidRPr="009625F2">
        <w:tab/>
      </w:r>
      <w:r w:rsidRPr="009625F2">
        <w:tab/>
        <w:t>Reconciliation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personal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66.</w:t>
      </w:r>
      <w:r w:rsidRPr="009625F2">
        <w:tab/>
        <w:t>Regulations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Promoting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Adapting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Women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Needs</w:t>
      </w:r>
      <w:r w:rsidR="00C9336A" w:rsidRPr="009625F2">
        <w:t xml:space="preserve"> </w:t>
      </w:r>
      <w:r w:rsidRPr="009625F2">
        <w:t>5774-2013</w:t>
      </w:r>
      <w:r w:rsidR="00C9336A" w:rsidRPr="009625F2">
        <w:t xml:space="preserve"> </w:t>
      </w:r>
      <w:r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Adapting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Women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Needs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5768-2008,</w:t>
      </w:r>
      <w:r w:rsidR="00C9336A" w:rsidRPr="009625F2">
        <w:t xml:space="preserve"> </w:t>
      </w:r>
      <w:r w:rsidRPr="009625F2">
        <w:t>empowers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grant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awards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employers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out</w:t>
      </w:r>
      <w:r w:rsidR="00C9336A" w:rsidRPr="009625F2">
        <w:t xml:space="preserve"> </w:t>
      </w:r>
      <w:r w:rsidRPr="009625F2">
        <w:t>criteria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granting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awards,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official</w:t>
      </w:r>
      <w:r w:rsidR="00C9336A" w:rsidRPr="009625F2">
        <w:t xml:space="preserve"> </w:t>
      </w:r>
      <w:r w:rsidRPr="009625F2">
        <w:t>employer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work-family</w:t>
      </w:r>
      <w:r w:rsidR="00C9336A" w:rsidRPr="009625F2">
        <w:t xml:space="preserve"> </w:t>
      </w:r>
      <w:r w:rsidRPr="009625F2">
        <w:t>balance,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pregnant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career</w:t>
      </w:r>
      <w:r w:rsidR="00C9336A" w:rsidRPr="009625F2">
        <w:t xml:space="preserve"> </w:t>
      </w:r>
      <w:r w:rsidRPr="009625F2">
        <w:t>paths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67.</w:t>
      </w:r>
      <w:r w:rsidRPr="009625F2">
        <w:tab/>
        <w:t>Parental</w:t>
      </w:r>
      <w:r w:rsidR="00C9336A" w:rsidRPr="009625F2">
        <w:t xml:space="preserve"> </w:t>
      </w:r>
      <w:r w:rsidRPr="009625F2">
        <w:t>Hour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Women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5714-1954</w:t>
      </w:r>
      <w:r w:rsidR="00C9336A" w:rsidRPr="009625F2">
        <w:t xml:space="preserve"> </w:t>
      </w:r>
      <w:r w:rsidRPr="009625F2">
        <w:t>extends</w:t>
      </w:r>
      <w:r w:rsidR="00C9336A" w:rsidRPr="009625F2">
        <w:t xml:space="preserve"> </w:t>
      </w:r>
      <w:r w:rsidRPr="009625F2">
        <w:t>eligibility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shorter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first</w:t>
      </w:r>
      <w:r w:rsidR="00C9336A" w:rsidRPr="009625F2">
        <w:t xml:space="preserve"> </w:t>
      </w:r>
      <w:r w:rsidRPr="009625F2">
        <w:t>four</w:t>
      </w:r>
      <w:r w:rsidR="00C9336A" w:rsidRPr="009625F2">
        <w:t xml:space="preserve"> </w:t>
      </w:r>
      <w:r w:rsidRPr="009625F2">
        <w:t>(4)</w:t>
      </w:r>
      <w:r w:rsidR="00C9336A" w:rsidRPr="009625F2">
        <w:t xml:space="preserve"> </w:t>
      </w:r>
      <w:r w:rsidRPr="009625F2">
        <w:t>months</w:t>
      </w:r>
      <w:r w:rsidR="00C9336A" w:rsidRPr="009625F2">
        <w:t xml:space="preserve"> </w:t>
      </w:r>
      <w:r w:rsidRPr="009625F2">
        <w:t>after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do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full-time,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specified.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lastRenderedPageBreak/>
        <w:t>provides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shorter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used</w:t>
      </w:r>
      <w:r w:rsidR="00C9336A" w:rsidRPr="009625F2">
        <w:t xml:space="preserve"> </w:t>
      </w:r>
      <w:r w:rsidRPr="009625F2">
        <w:t>alternately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father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mother,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parent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surrogacy</w:t>
      </w:r>
      <w:r w:rsidR="00C9336A" w:rsidRPr="009625F2">
        <w:t xml:space="preserve"> </w:t>
      </w:r>
      <w:r w:rsidRPr="009625F2">
        <w:t>process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adoptive</w:t>
      </w:r>
      <w:r w:rsidR="00C9336A" w:rsidRPr="009625F2">
        <w:t xml:space="preserve"> </w:t>
      </w:r>
      <w:r w:rsidRPr="009625F2">
        <w:t>parent.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68.</w:t>
      </w:r>
      <w:r w:rsidRPr="009625F2">
        <w:tab/>
        <w:t>In</w:t>
      </w:r>
      <w:r w:rsidR="00C9336A" w:rsidRPr="009625F2">
        <w:t xml:space="preserve"> </w:t>
      </w:r>
      <w:r w:rsidRPr="009625F2">
        <w:t>July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CSC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shorter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parent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(1)</w:t>
      </w:r>
      <w:r w:rsidR="00C9336A" w:rsidRPr="009625F2">
        <w:t xml:space="preserve"> </w:t>
      </w:r>
      <w:r w:rsidRPr="009625F2">
        <w:t>year-old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men</w:t>
      </w:r>
      <w:r w:rsidR="00C9336A" w:rsidRPr="009625F2">
        <w:t xml:space="preserve"> </w:t>
      </w:r>
      <w:r w:rsidRPr="009625F2">
        <w:t>whose</w:t>
      </w:r>
      <w:r w:rsidR="00C9336A" w:rsidRPr="009625F2">
        <w:t xml:space="preserve"> </w:t>
      </w:r>
      <w:r w:rsidRPr="009625F2">
        <w:t>spouse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69.</w:t>
      </w:r>
      <w:r w:rsidRPr="009625F2">
        <w:tab/>
        <w:t>Maternity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updates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10</w:t>
      </w:r>
      <w:r w:rsidR="00C9336A" w:rsidRPr="009625F2">
        <w:t xml:space="preserve"> </w:t>
      </w:r>
      <w:r w:rsidRPr="009625F2">
        <w:t>below.</w:t>
      </w:r>
    </w:p>
    <w:p w:rsidR="00B342F3" w:rsidRPr="009625F2" w:rsidRDefault="00B342F3" w:rsidP="00EB53EF">
      <w:pPr>
        <w:pStyle w:val="SingleTxtG"/>
      </w:pPr>
      <w:r w:rsidRPr="009625F2">
        <w:t>70.</w:t>
      </w:r>
      <w:r w:rsidRPr="009625F2">
        <w:tab/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promote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better</w:t>
      </w:r>
      <w:r w:rsidR="00C9336A" w:rsidRPr="009625F2">
        <w:t xml:space="preserve"> </w:t>
      </w:r>
      <w:r w:rsidRPr="009625F2">
        <w:t>work-life</w:t>
      </w:r>
      <w:r w:rsidR="00C9336A" w:rsidRPr="009625F2">
        <w:t xml:space="preserve"> </w:t>
      </w:r>
      <w:r w:rsidRPr="009625F2">
        <w:t>balance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sector,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8F054C">
      <w:pPr>
        <w:pStyle w:val="H23G"/>
      </w:pPr>
      <w:r w:rsidRPr="009625F2">
        <w:tab/>
      </w:r>
      <w:r w:rsidRPr="009625F2">
        <w:tab/>
        <w:t>Equal</w:t>
      </w:r>
      <w:r w:rsidR="00C9336A" w:rsidRPr="009625F2">
        <w:t xml:space="preserve"> </w:t>
      </w:r>
      <w:r w:rsidRPr="009625F2">
        <w:t>pay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equal</w:t>
      </w:r>
      <w:r w:rsidR="00C9336A" w:rsidRPr="009625F2">
        <w:t xml:space="preserve"> </w:t>
      </w:r>
      <w:r w:rsidRPr="009625F2">
        <w:t>value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71.</w:t>
      </w:r>
      <w:r w:rsidRPr="009625F2">
        <w:tab/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sixth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CEDAW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presentation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issue.</w:t>
      </w:r>
      <w:r w:rsidR="00C9336A" w:rsidRPr="009625F2">
        <w:t xml:space="preserve"> </w:t>
      </w:r>
      <w:r w:rsidRPr="009625F2">
        <w:t>Below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most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developments.</w:t>
      </w:r>
    </w:p>
    <w:p w:rsidR="00B342F3" w:rsidRPr="009625F2" w:rsidRDefault="00B342F3" w:rsidP="00EB53EF">
      <w:pPr>
        <w:pStyle w:val="SingleTxtG"/>
      </w:pPr>
      <w:bookmarkStart w:id="4" w:name="OLE_LINK8"/>
      <w:bookmarkStart w:id="5" w:name="OLE_LINK9"/>
      <w:r w:rsidRPr="009625F2">
        <w:t>72.</w:t>
      </w:r>
      <w:r w:rsidRPr="009625F2">
        <w:tab/>
        <w:t>Male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Female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(Equal</w:t>
      </w:r>
      <w:r w:rsidR="00C9336A" w:rsidRPr="009625F2">
        <w:t xml:space="preserve"> </w:t>
      </w:r>
      <w:r w:rsidRPr="009625F2">
        <w:t>Pay)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5756-1996</w:t>
      </w:r>
      <w:bookmarkEnd w:id="4"/>
      <w:bookmarkEnd w:id="5"/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requires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bodies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employees</w:t>
      </w:r>
      <w:r w:rsidR="00D311F6">
        <w:t>’</w:t>
      </w:r>
      <w:r w:rsidR="00C9336A" w:rsidRPr="009625F2">
        <w:t xml:space="preserve"> </w:t>
      </w:r>
      <w:r w:rsidRPr="009625F2">
        <w:t>salaries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salaries</w:t>
      </w:r>
      <w:r w:rsidR="00C9336A" w:rsidRPr="009625F2">
        <w:t xml:space="preserve"> </w:t>
      </w:r>
      <w:r w:rsidRPr="009625F2">
        <w:t>account.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same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authorizes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Courts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award</w:t>
      </w:r>
      <w:r w:rsidR="00C9336A" w:rsidRPr="009625F2">
        <w:t xml:space="preserve"> </w:t>
      </w:r>
      <w:r w:rsidRPr="009625F2">
        <w:t>monetary</w:t>
      </w:r>
      <w:r w:rsidR="00C9336A" w:rsidRPr="009625F2">
        <w:t xml:space="preserve"> </w:t>
      </w:r>
      <w:r w:rsidRPr="009625F2">
        <w:t>compensation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violation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even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monetary</w:t>
      </w:r>
      <w:r w:rsidR="00C9336A" w:rsidRPr="009625F2">
        <w:t xml:space="preserve"> </w:t>
      </w:r>
      <w:r w:rsidRPr="009625F2">
        <w:t>damage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incurred.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73.</w:t>
      </w:r>
      <w:r w:rsidRPr="009625F2">
        <w:tab/>
        <w:t>Gender</w:t>
      </w:r>
      <w:r w:rsidR="00C9336A" w:rsidRPr="009625F2">
        <w:t xml:space="preserve"> </w:t>
      </w:r>
      <w:r w:rsidRPr="009625F2">
        <w:t>Salary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Survey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</w:t>
      </w:r>
      <w:r w:rsidR="00703880" w:rsidRPr="009625F2">
        <w:t>–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EEOC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survey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examined</w:t>
      </w:r>
      <w:r w:rsidR="00C9336A" w:rsidRPr="009625F2">
        <w:t xml:space="preserve"> </w:t>
      </w:r>
      <w:r w:rsidRPr="009625F2">
        <w:t>prevailing</w:t>
      </w:r>
      <w:r w:rsidR="00C9336A" w:rsidRPr="009625F2">
        <w:t xml:space="preserve"> </w:t>
      </w:r>
      <w:r w:rsidRPr="009625F2">
        <w:t>perceptions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employers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salary</w:t>
      </w:r>
      <w:r w:rsidR="00C9336A" w:rsidRPr="009625F2">
        <w:t xml:space="preserve"> </w:t>
      </w:r>
      <w:r w:rsidRPr="009625F2">
        <w:t>gaps.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examples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salary,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8F054C">
      <w:pPr>
        <w:pStyle w:val="H23G"/>
      </w:pPr>
      <w:r w:rsidRPr="009625F2">
        <w:tab/>
      </w:r>
      <w:r w:rsidRPr="009625F2">
        <w:tab/>
        <w:t>Programs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promote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wages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EEOC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74.</w:t>
      </w:r>
      <w:r w:rsidRPr="009625F2">
        <w:tab/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individual</w:t>
      </w:r>
      <w:r w:rsidR="00C9336A" w:rsidRPr="009625F2">
        <w:t xml:space="preserve"> </w:t>
      </w:r>
      <w:r w:rsidRPr="009625F2">
        <w:t>complaints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EEOC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actions,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EB53EF">
      <w:pPr>
        <w:pStyle w:val="SingleTxtG"/>
      </w:pPr>
      <w:r w:rsidRPr="009625F2">
        <w:t>75.</w:t>
      </w:r>
      <w:r w:rsidRPr="009625F2">
        <w:tab/>
      </w:r>
      <w:r w:rsidR="00D311F6">
        <w:t>“</w:t>
      </w:r>
      <w:r w:rsidRPr="009625F2">
        <w:t>Of</w:t>
      </w:r>
      <w:r w:rsidR="00C9336A" w:rsidRPr="009625F2">
        <w:t xml:space="preserve"> </w:t>
      </w:r>
      <w:r w:rsidRPr="009625F2">
        <w:t>Equal</w:t>
      </w:r>
      <w:r w:rsidR="00C9336A" w:rsidRPr="009625F2">
        <w:t xml:space="preserve"> </w:t>
      </w:r>
      <w:r w:rsidRPr="009625F2">
        <w:t>Worth</w:t>
      </w:r>
      <w:r w:rsidR="00D311F6">
        <w:t>”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2012</w:t>
      </w:r>
      <w:r w:rsidR="00703880" w:rsidRPr="009625F2">
        <w:t>–</w:t>
      </w:r>
      <w:r w:rsidRPr="009625F2">
        <w:t>2015</w:t>
      </w:r>
      <w:r w:rsidR="00C9336A" w:rsidRPr="009625F2">
        <w:t xml:space="preserve"> </w:t>
      </w:r>
      <w:r w:rsidRPr="009625F2">
        <w:t>joint</w:t>
      </w:r>
      <w:r w:rsidR="00C9336A" w:rsidRPr="009625F2">
        <w:t xml:space="preserve"> </w:t>
      </w:r>
      <w:r w:rsidRPr="009625F2">
        <w:t>venture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EEOC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NGOs</w:t>
      </w:r>
      <w:r w:rsidR="00C9336A" w:rsidRPr="009625F2">
        <w:t xml:space="preserve"> </w:t>
      </w:r>
      <w:r w:rsidRPr="009625F2">
        <w:t>(</w:t>
      </w:r>
      <w:r w:rsidR="00D311F6">
        <w:t>“</w:t>
      </w:r>
      <w:r w:rsidRPr="009625F2">
        <w:t>Shatil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Network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="00D311F6">
        <w:t>“</w:t>
      </w:r>
      <w:r w:rsidRPr="009625F2">
        <w:t>Adva</w:t>
      </w:r>
      <w:r w:rsidR="00D311F6">
        <w:t>”</w:t>
      </w:r>
      <w:r w:rsidRPr="009625F2">
        <w:t>),</w:t>
      </w:r>
      <w:r w:rsidR="00C9336A" w:rsidRPr="009625F2">
        <w:t xml:space="preserve"> </w:t>
      </w:r>
      <w:r w:rsidRPr="009625F2">
        <w:t>funded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EU,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pay</w:t>
      </w:r>
      <w:r w:rsidR="00C9336A" w:rsidRPr="009625F2">
        <w:t xml:space="preserve"> </w:t>
      </w:r>
      <w:r w:rsidRPr="009625F2">
        <w:t>gaps.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products</w:t>
      </w:r>
      <w:r w:rsidR="00C9336A" w:rsidRPr="009625F2">
        <w:t xml:space="preserve"> </w:t>
      </w:r>
      <w:r w:rsidRPr="009625F2">
        <w:t>developed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venture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D311F6">
        <w:t>“</w:t>
      </w:r>
      <w:r w:rsidRPr="009625F2">
        <w:t>Salary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Calculator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innovative</w:t>
      </w:r>
      <w:r w:rsidR="00C9336A" w:rsidRPr="009625F2">
        <w:t xml:space="preserve"> </w:t>
      </w:r>
      <w:r w:rsidRPr="009625F2">
        <w:t>tool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gender-related</w:t>
      </w:r>
      <w:r w:rsidR="00C9336A" w:rsidRPr="009625F2">
        <w:t xml:space="preserve"> </w:t>
      </w:r>
      <w:r w:rsidRPr="009625F2">
        <w:t>analysis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organization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pay</w:t>
      </w:r>
      <w:r w:rsidR="00C9336A" w:rsidRPr="009625F2">
        <w:t xml:space="preserve"> </w:t>
      </w:r>
      <w:r w:rsidRPr="009625F2">
        <w:t>data.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76.</w:t>
      </w:r>
      <w:r w:rsidRPr="009625F2">
        <w:tab/>
        <w:t>MoSTaS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kit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late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MoSTaS,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Google,</w:t>
      </w:r>
      <w:r w:rsidR="00C9336A" w:rsidRPr="009625F2">
        <w:t xml:space="preserve"> </w:t>
      </w:r>
      <w:r w:rsidRPr="009625F2">
        <w:t>launched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kit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implicit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unconscious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biases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downloaded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website.</w:t>
      </w:r>
    </w:p>
    <w:p w:rsidR="00B342F3" w:rsidRPr="009625F2" w:rsidRDefault="00B342F3" w:rsidP="008F054C">
      <w:pPr>
        <w:pStyle w:val="H23G"/>
      </w:pPr>
      <w:r w:rsidRPr="009625F2">
        <w:tab/>
      </w:r>
      <w:r w:rsidRPr="009625F2">
        <w:tab/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77.</w:t>
      </w:r>
      <w:r w:rsidRPr="009625F2">
        <w:tab/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updates.</w:t>
      </w:r>
    </w:p>
    <w:p w:rsidR="00B342F3" w:rsidRPr="009625F2" w:rsidRDefault="00B342F3" w:rsidP="00EB53EF">
      <w:pPr>
        <w:pStyle w:val="SingleTxtG"/>
      </w:pPr>
      <w:r w:rsidRPr="009625F2">
        <w:t>78.</w:t>
      </w:r>
      <w:r w:rsidRPr="009625F2">
        <w:tab/>
        <w:t>A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="00703880" w:rsidRPr="009625F2">
        <w:t>–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decision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Ministerial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(No.</w:t>
      </w:r>
      <w:r w:rsidR="00C9336A" w:rsidRPr="009625F2">
        <w:t xml:space="preserve"> </w:t>
      </w:r>
      <w:r w:rsidRPr="009625F2">
        <w:t>3229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December</w:t>
      </w:r>
      <w:r w:rsidR="00C9336A" w:rsidRPr="009625F2">
        <w:t xml:space="preserve"> </w:t>
      </w:r>
      <w:r w:rsidRPr="009625F2">
        <w:t>7,</w:t>
      </w:r>
      <w:r w:rsidR="00C9336A" w:rsidRPr="009625F2">
        <w:t xml:space="preserve"> </w:t>
      </w:r>
      <w:r w:rsidRPr="009625F2">
        <w:t>2017),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formulate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harassment,</w:t>
      </w:r>
      <w:r w:rsidR="00C9336A" w:rsidRPr="009625F2">
        <w:t xml:space="preserve"> </w:t>
      </w:r>
      <w:r w:rsidRPr="009625F2">
        <w:t>headed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Director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79.</w:t>
      </w:r>
      <w:r w:rsidRPr="009625F2">
        <w:tab/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5758-1998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statute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limitations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  <w:r w:rsidRPr="009625F2">
        <w:t>lawsuit,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claim</w:t>
      </w:r>
      <w:r w:rsidR="00C9336A" w:rsidRPr="009625F2">
        <w:t xml:space="preserve"> </w:t>
      </w:r>
      <w:r w:rsidRPr="009625F2">
        <w:t>compensation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proof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damages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definition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dependency.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80.</w:t>
      </w:r>
      <w:r w:rsidRPr="009625F2">
        <w:tab/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(Amendment)</w:t>
      </w:r>
      <w:r w:rsidR="00C9336A" w:rsidRPr="009625F2">
        <w:t xml:space="preserve"> </w:t>
      </w:r>
      <w:r w:rsidRPr="009625F2">
        <w:t>5774-2014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obliges</w:t>
      </w:r>
      <w:r w:rsidR="00C9336A" w:rsidRPr="009625F2">
        <w:t xml:space="preserve"> </w:t>
      </w:r>
      <w:r w:rsidRPr="009625F2">
        <w:t>institutions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take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prevent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harassment.</w:t>
      </w:r>
      <w:r w:rsidR="00C9336A" w:rsidRPr="009625F2">
        <w:t xml:space="preserve"> </w:t>
      </w:r>
      <w:r w:rsidRPr="009625F2">
        <w:t>Institutions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2,000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obliged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appoint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trained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responsible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issue.</w:t>
      </w:r>
    </w:p>
    <w:p w:rsidR="00B342F3" w:rsidRPr="009625F2" w:rsidRDefault="00B342F3" w:rsidP="00EB53EF">
      <w:pPr>
        <w:pStyle w:val="SingleTxtG"/>
      </w:pPr>
      <w:r w:rsidRPr="009625F2">
        <w:t>81.</w:t>
      </w:r>
      <w:r w:rsidRPr="009625F2">
        <w:tab/>
        <w:t>A</w:t>
      </w:r>
      <w:r w:rsidR="00C9336A" w:rsidRPr="009625F2">
        <w:t xml:space="preserve"> </w:t>
      </w:r>
      <w:r w:rsidRPr="009625F2">
        <w:t>Voluntary</w:t>
      </w:r>
      <w:r w:rsidR="00C9336A" w:rsidRPr="009625F2">
        <w:t xml:space="preserve"> </w:t>
      </w:r>
      <w:r w:rsidRPr="009625F2">
        <w:t>Code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Association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Rape</w:t>
      </w:r>
      <w:r w:rsidR="00C9336A" w:rsidRPr="009625F2">
        <w:t xml:space="preserve"> </w:t>
      </w:r>
      <w:r w:rsidRPr="009625F2">
        <w:t>Crisis</w:t>
      </w:r>
      <w:r w:rsidR="00C9336A" w:rsidRPr="009625F2">
        <w:t xml:space="preserve"> </w:t>
      </w:r>
      <w:r w:rsidRPr="009625F2">
        <w:t>Centers,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collaboration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MoEI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Standards</w:t>
      </w:r>
      <w:r w:rsidR="00C9336A" w:rsidRPr="009625F2">
        <w:t xml:space="preserve"> </w:t>
      </w:r>
      <w:r w:rsidRPr="009625F2">
        <w:t>Institution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="00D311F6">
        <w:t>“</w:t>
      </w:r>
      <w:r w:rsidRPr="009625F2">
        <w:t>Voluntary</w:t>
      </w:r>
      <w:r w:rsidR="00C9336A" w:rsidRPr="009625F2">
        <w:t xml:space="preserve"> </w:t>
      </w:r>
      <w:r w:rsidRPr="009625F2">
        <w:t>Code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Work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elaborating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does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address.</w:t>
      </w:r>
    </w:p>
    <w:p w:rsidR="00B342F3" w:rsidRPr="009625F2" w:rsidRDefault="00B342F3" w:rsidP="00EB53EF">
      <w:pPr>
        <w:pStyle w:val="SingleTxtG"/>
      </w:pPr>
      <w:r w:rsidRPr="009625F2">
        <w:lastRenderedPageBreak/>
        <w:t>82.</w:t>
      </w:r>
      <w:r w:rsidRPr="009625F2">
        <w:tab/>
        <w:t>Insurance</w:t>
      </w:r>
      <w:r w:rsidR="00C9336A" w:rsidRPr="009625F2">
        <w:t xml:space="preserve"> </w:t>
      </w:r>
      <w:r w:rsidRPr="009625F2">
        <w:t>Indemnity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Finance</w:t>
      </w:r>
      <w:r w:rsidR="00C9336A" w:rsidRPr="009625F2">
        <w:t xml:space="preserve"> </w:t>
      </w:r>
      <w:r w:rsidRPr="009625F2">
        <w:t>(MoF)</w:t>
      </w:r>
      <w:r w:rsidR="00C9336A" w:rsidRPr="009625F2">
        <w:t xml:space="preserve"> </w:t>
      </w:r>
      <w:r w:rsidRPr="009625F2">
        <w:t>issued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binding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companies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grant</w:t>
      </w:r>
      <w:r w:rsidR="00C9336A" w:rsidRPr="009625F2">
        <w:t xml:space="preserve"> </w:t>
      </w:r>
      <w:r w:rsidRPr="009625F2">
        <w:t>indemnity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defendant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costs</w:t>
      </w:r>
      <w:r w:rsidR="00C9336A" w:rsidRPr="009625F2">
        <w:t xml:space="preserve"> </w:t>
      </w:r>
      <w:r w:rsidRPr="009625F2">
        <w:t>incurred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83.</w:t>
      </w:r>
      <w:r w:rsidRPr="009625F2">
        <w:tab/>
        <w:t>Activities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AASW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84.</w:t>
      </w:r>
      <w:r w:rsidRPr="009625F2">
        <w:tab/>
        <w:t>Enforcement</w:t>
      </w:r>
      <w:r w:rsidR="00C9336A" w:rsidRPr="009625F2">
        <w:t xml:space="preserve"> </w:t>
      </w:r>
      <w:r w:rsidRPr="009625F2">
        <w:t>Statistics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Harassment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B342F3" w:rsidP="008F054C">
      <w:pPr>
        <w:pStyle w:val="H23G"/>
      </w:pPr>
      <w:r w:rsidRPr="009625F2">
        <w:tab/>
      </w:r>
      <w:r w:rsidRPr="009625F2">
        <w:tab/>
        <w:t>Health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safety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85.</w:t>
      </w:r>
      <w:r w:rsidRPr="009625F2">
        <w:tab/>
        <w:t>A</w:t>
      </w:r>
      <w:r w:rsidR="00C9336A" w:rsidRPr="009625F2">
        <w:t xml:space="preserve"> </w:t>
      </w:r>
      <w:r w:rsidRPr="009625F2">
        <w:t>long</w:t>
      </w:r>
      <w:r w:rsidR="00C9336A" w:rsidRPr="009625F2">
        <w:t xml:space="preserve"> </w:t>
      </w:r>
      <w:r w:rsidRPr="009625F2">
        <w:t>list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legislation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safety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recently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added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frameworks,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86.</w:t>
      </w:r>
      <w:r w:rsidRPr="009625F2">
        <w:tab/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activity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Inspection</w:t>
      </w:r>
      <w:r w:rsidR="00C9336A" w:rsidRPr="009625F2">
        <w:t xml:space="preserve"> </w:t>
      </w:r>
      <w:r w:rsidRPr="009625F2">
        <w:t>Service,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B342F3" w:rsidP="008F054C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8</w:t>
      </w:r>
    </w:p>
    <w:p w:rsidR="00B342F3" w:rsidRPr="009625F2" w:rsidRDefault="00B342F3" w:rsidP="008F054C">
      <w:pPr>
        <w:pStyle w:val="H23G"/>
      </w:pPr>
      <w:bookmarkStart w:id="6" w:name="_Toc92204381"/>
      <w:bookmarkStart w:id="7" w:name="_Toc97641919"/>
      <w:bookmarkStart w:id="8" w:name="_Toc459121652"/>
      <w:r w:rsidRPr="009625F2">
        <w:tab/>
      </w:r>
      <w:r w:rsidRPr="009625F2">
        <w:tab/>
        <w:t>Trade</w:t>
      </w:r>
      <w:r w:rsidR="00C9336A" w:rsidRPr="009625F2">
        <w:t xml:space="preserve"> </w:t>
      </w:r>
      <w:r w:rsidRPr="009625F2">
        <w:t>unions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87.</w:t>
      </w:r>
      <w:r w:rsidRPr="009625F2">
        <w:tab/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dozens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established,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fields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communications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industries.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follows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decisions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courts</w:t>
      </w:r>
      <w:r w:rsidR="00C9336A" w:rsidRPr="009625F2">
        <w:t xml:space="preserve"> </w:t>
      </w:r>
      <w:r w:rsidRPr="009625F2">
        <w:t>ruled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employees</w:t>
      </w:r>
      <w:r w:rsidR="00C9336A" w:rsidRPr="009625F2">
        <w:t xml:space="preserve"> </w:t>
      </w:r>
      <w:r w:rsidRPr="009625F2">
        <w:t>should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prohibited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unionizing,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competition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unions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employees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rights.</w:t>
      </w:r>
    </w:p>
    <w:p w:rsidR="00B342F3" w:rsidRPr="009625F2" w:rsidRDefault="00B342F3" w:rsidP="00EB53EF">
      <w:pPr>
        <w:pStyle w:val="SingleTxtG"/>
      </w:pPr>
      <w:r w:rsidRPr="009625F2">
        <w:t>88.</w:t>
      </w:r>
      <w:r w:rsidRPr="009625F2">
        <w:tab/>
        <w:t>Freedom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form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change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occurred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report.</w:t>
      </w:r>
    </w:p>
    <w:p w:rsidR="00B342F3" w:rsidRPr="009625F2" w:rsidRDefault="00B342F3" w:rsidP="00EB53EF">
      <w:pPr>
        <w:pStyle w:val="SingleTxtG"/>
      </w:pPr>
      <w:r w:rsidRPr="009625F2">
        <w:t>89.</w:t>
      </w:r>
      <w:r w:rsidRPr="009625F2">
        <w:tab/>
        <w:t>Individual</w:t>
      </w:r>
      <w:r w:rsidR="00C9336A" w:rsidRPr="009625F2">
        <w:t xml:space="preserve"> </w:t>
      </w:r>
      <w:r w:rsidRPr="009625F2">
        <w:t>Freedom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join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2009,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Collective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5717-1957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impose</w:t>
      </w:r>
      <w:r w:rsidR="00C9336A" w:rsidRPr="009625F2">
        <w:t xml:space="preserve"> </w:t>
      </w:r>
      <w:r w:rsidRPr="009625F2">
        <w:t>criminal</w:t>
      </w:r>
      <w:r w:rsidR="00C9336A" w:rsidRPr="009625F2">
        <w:t xml:space="preserve"> </w:t>
      </w:r>
      <w:r w:rsidRPr="009625F2">
        <w:t>liability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employer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refrained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hiring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person,</w:t>
      </w:r>
      <w:r w:rsidR="00C9336A" w:rsidRPr="009625F2">
        <w:t xml:space="preserve"> </w:t>
      </w:r>
      <w:r w:rsidRPr="009625F2">
        <w:t>worsened</w:t>
      </w:r>
      <w:r w:rsidR="00C9336A" w:rsidRPr="009625F2">
        <w:t xml:space="preserve"> </w:t>
      </w:r>
      <w:r w:rsidRPr="009625F2">
        <w:t>terms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dismissed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employee</w:t>
      </w:r>
      <w:r w:rsidR="00C9336A" w:rsidRPr="009625F2">
        <w:t xml:space="preserve"> </w:t>
      </w:r>
      <w:r w:rsidRPr="009625F2">
        <w:t>because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membership,</w:t>
      </w:r>
      <w:r w:rsidR="00C9336A" w:rsidRPr="009625F2">
        <w:t xml:space="preserve"> </w:t>
      </w:r>
      <w:r w:rsidRPr="009625F2">
        <w:t>non-membership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discontinuance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membership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union.</w:t>
      </w:r>
    </w:p>
    <w:p w:rsidR="00B342F3" w:rsidRPr="009625F2" w:rsidRDefault="00B342F3" w:rsidP="00EB53EF">
      <w:pPr>
        <w:pStyle w:val="SingleTxtG"/>
      </w:pPr>
      <w:r w:rsidRPr="009625F2">
        <w:t>90.</w:t>
      </w:r>
      <w:r w:rsidRPr="009625F2">
        <w:tab/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Histadrut</w:t>
      </w:r>
      <w:r w:rsidR="00C9336A" w:rsidRPr="009625F2">
        <w:t xml:space="preserve"> </w:t>
      </w:r>
      <w:r w:rsidRPr="009625F2">
        <w:t>constitution,</w:t>
      </w:r>
      <w:r w:rsidR="00C9336A" w:rsidRPr="009625F2">
        <w:t xml:space="preserve"> </w:t>
      </w:r>
      <w:r w:rsidRPr="009625F2">
        <w:t>any</w:t>
      </w:r>
      <w:r w:rsidR="00C9336A" w:rsidRPr="009625F2">
        <w:t xml:space="preserve"> </w:t>
      </w:r>
      <w:r w:rsidRPr="009625F2">
        <w:t>worker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18,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civilian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resident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migrant</w:t>
      </w:r>
      <w:r w:rsidR="00C9336A" w:rsidRPr="009625F2">
        <w:t xml:space="preserve"> </w:t>
      </w:r>
      <w:r w:rsidRPr="009625F2">
        <w:t>worker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lawfully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undertakes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accept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Histadrut</w:t>
      </w:r>
      <w:r w:rsidR="00C9336A" w:rsidRPr="009625F2">
        <w:t xml:space="preserve"> </w:t>
      </w:r>
      <w:r w:rsidRPr="009625F2">
        <w:t>Constitution,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principles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decisions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institutions,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become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Histadrut.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  <w:r w:rsidRPr="009625F2">
        <w:t>(Visa</w:t>
      </w:r>
      <w:r w:rsidR="00C9336A" w:rsidRPr="009625F2">
        <w:t xml:space="preserve"> </w:t>
      </w:r>
      <w:r w:rsidRPr="009625F2">
        <w:t>2(A)(5))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prohibition</w:t>
      </w:r>
      <w:r w:rsidR="00C9336A" w:rsidRPr="009625F2">
        <w:t xml:space="preserve"> </w:t>
      </w:r>
      <w:r w:rsidRPr="009625F2">
        <w:t>and/or</w:t>
      </w:r>
      <w:r w:rsidR="00C9336A" w:rsidRPr="009625F2">
        <w:t xml:space="preserve"> </w:t>
      </w:r>
      <w:r w:rsidRPr="009625F2">
        <w:t>restrictions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allowed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work,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decided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hold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valid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kind,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accepted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members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Histadrut.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Histadrut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Tel</w:t>
      </w:r>
      <w:r w:rsidR="00C9336A" w:rsidRPr="009625F2">
        <w:t xml:space="preserve"> </w:t>
      </w:r>
      <w:r w:rsidRPr="009625F2">
        <w:t>Aviv-Jaffa</w:t>
      </w:r>
      <w:r w:rsidR="00C9336A" w:rsidRPr="009625F2">
        <w:t xml:space="preserve"> </w:t>
      </w:r>
      <w:r w:rsidRPr="009625F2">
        <w:t>District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serve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professional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community.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decision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matter,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</w:t>
      </w:r>
      <w:r w:rsidR="00C245C2" w:rsidRPr="009625F2">
        <w:t>.</w:t>
      </w:r>
    </w:p>
    <w:bookmarkEnd w:id="6"/>
    <w:bookmarkEnd w:id="7"/>
    <w:bookmarkEnd w:id="8"/>
    <w:p w:rsidR="00B342F3" w:rsidRPr="009625F2" w:rsidRDefault="00B342F3" w:rsidP="00EB53EF">
      <w:pPr>
        <w:pStyle w:val="SingleTxtG"/>
      </w:pPr>
      <w:r w:rsidRPr="009625F2">
        <w:t>91.</w:t>
      </w:r>
      <w:r w:rsidRPr="009625F2">
        <w:tab/>
        <w:t>Independence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change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occurred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report.</w:t>
      </w:r>
      <w:r w:rsidR="00C9336A" w:rsidRPr="009625F2">
        <w:t xml:space="preserve"> </w:t>
      </w:r>
    </w:p>
    <w:p w:rsidR="00B342F3" w:rsidRPr="009625F2" w:rsidRDefault="00B342F3" w:rsidP="003447EB">
      <w:pPr>
        <w:pStyle w:val="H23G"/>
      </w:pPr>
      <w:r w:rsidRPr="009625F2">
        <w:tab/>
      </w:r>
      <w:r w:rsidRPr="009625F2">
        <w:tab/>
        <w:t>Collective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92.</w:t>
      </w:r>
      <w:r w:rsidRPr="009625F2">
        <w:tab/>
        <w:t>In</w:t>
      </w:r>
      <w:r w:rsidR="00C9336A" w:rsidRPr="009625F2">
        <w:t xml:space="preserve"> </w:t>
      </w:r>
      <w:r w:rsidRPr="009625F2">
        <w:t>2009,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Collective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5717-1957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require</w:t>
      </w:r>
      <w:r w:rsidR="00C9336A" w:rsidRPr="009625F2">
        <w:t xml:space="preserve"> </w:t>
      </w:r>
      <w:r w:rsidRPr="009625F2">
        <w:t>employers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negotiate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unions,</w:t>
      </w:r>
      <w:r w:rsidR="00C9336A" w:rsidRPr="009625F2">
        <w:t xml:space="preserve"> </w:t>
      </w:r>
      <w:r w:rsidRPr="009625F2">
        <w:t>although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obligation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reach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agreement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collective</w:t>
      </w:r>
      <w:r w:rsidR="00C9336A" w:rsidRPr="009625F2">
        <w:t xml:space="preserve"> </w:t>
      </w:r>
      <w:r w:rsidRPr="009625F2">
        <w:t>agreement.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93.</w:t>
      </w:r>
      <w:r w:rsidRPr="009625F2">
        <w:tab/>
        <w:t>New</w:t>
      </w:r>
      <w:r w:rsidR="00C9336A" w:rsidRPr="009625F2">
        <w:t xml:space="preserve"> </w:t>
      </w:r>
      <w:r w:rsidRPr="009625F2">
        <w:t>Collective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collective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signed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time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time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employers,</w:t>
      </w:r>
      <w:r w:rsidR="00C9336A" w:rsidRPr="009625F2">
        <w:t xml:space="preserve"> </w:t>
      </w:r>
      <w:r w:rsidRPr="009625F2">
        <w:t>employees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trade</w:t>
      </w:r>
      <w:r w:rsidR="00C9336A" w:rsidRPr="009625F2">
        <w:t xml:space="preserve"> </w:t>
      </w:r>
      <w:r w:rsidRPr="009625F2">
        <w:t>unions.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collective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recently</w:t>
      </w:r>
      <w:r w:rsidR="00C9336A" w:rsidRPr="009625F2">
        <w:t xml:space="preserve"> </w:t>
      </w:r>
      <w:r w:rsidRPr="009625F2">
        <w:t>registered,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3447EB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strike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94.</w:t>
      </w:r>
      <w:r w:rsidRPr="009625F2">
        <w:tab/>
        <w:t>No</w:t>
      </w:r>
      <w:r w:rsidR="00C9336A" w:rsidRPr="009625F2">
        <w:t xml:space="preserve"> </w:t>
      </w:r>
      <w:r w:rsidRPr="009625F2">
        <w:t>change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occurred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area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report.</w:t>
      </w:r>
    </w:p>
    <w:p w:rsidR="00B342F3" w:rsidRPr="009625F2" w:rsidRDefault="00B342F3" w:rsidP="00EB53EF">
      <w:pPr>
        <w:pStyle w:val="SingleTxtG"/>
      </w:pPr>
      <w:r w:rsidRPr="009625F2">
        <w:t>95.</w:t>
      </w:r>
      <w:r w:rsidRPr="009625F2">
        <w:tab/>
        <w:t>Public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="00D311F6">
        <w:t>“</w:t>
      </w:r>
      <w:r w:rsidRPr="009625F2">
        <w:t>public</w:t>
      </w:r>
      <w:r w:rsidR="00C9336A" w:rsidRPr="009625F2">
        <w:t xml:space="preserve"> </w:t>
      </w:r>
      <w:r w:rsidRPr="009625F2">
        <w:t>services</w:t>
      </w:r>
      <w:r w:rsidR="00D311F6">
        <w:t>”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lastRenderedPageBreak/>
        <w:t>96.</w:t>
      </w:r>
      <w:r w:rsidRPr="009625F2">
        <w:tab/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strikes,</w:t>
      </w:r>
      <w:r w:rsidR="00C9336A" w:rsidRPr="009625F2">
        <w:t xml:space="preserve"> </w:t>
      </w:r>
      <w:r w:rsidRPr="009625F2">
        <w:t>industrial</w:t>
      </w:r>
      <w:r w:rsidR="00C9336A" w:rsidRPr="009625F2">
        <w:t xml:space="preserve"> </w:t>
      </w:r>
      <w:r w:rsidRPr="009625F2">
        <w:t>sanctions,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involved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days</w:t>
      </w:r>
      <w:r w:rsidR="00C9336A" w:rsidRPr="009625F2">
        <w:t xml:space="preserve"> </w:t>
      </w:r>
      <w:r w:rsidRPr="009625F2">
        <w:t>lost,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ruling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constitutional</w:t>
      </w:r>
      <w:r w:rsidR="00C9336A" w:rsidRPr="009625F2">
        <w:t xml:space="preserve"> </w:t>
      </w:r>
      <w:r w:rsidRPr="009625F2">
        <w:t>nature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strike,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  <w:r w:rsidR="00C9336A" w:rsidRPr="009625F2">
        <w:t xml:space="preserve"> </w:t>
      </w:r>
    </w:p>
    <w:p w:rsidR="00B342F3" w:rsidRPr="009625F2" w:rsidRDefault="00B342F3" w:rsidP="000C67A4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9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coverage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97.</w:t>
      </w:r>
      <w:r w:rsidRPr="009625F2">
        <w:tab/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branches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covered: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care,</w:t>
      </w:r>
      <w:r w:rsidR="00C9336A" w:rsidRPr="009625F2">
        <w:t xml:space="preserve"> </w:t>
      </w:r>
      <w:r w:rsidRPr="009625F2">
        <w:t>sickness,</w:t>
      </w:r>
      <w:r w:rsidR="00C9336A" w:rsidRPr="009625F2">
        <w:t xml:space="preserve"> </w:t>
      </w:r>
      <w:r w:rsidRPr="009625F2">
        <w:t>old</w:t>
      </w:r>
      <w:r w:rsidR="00C9336A" w:rsidRPr="009625F2">
        <w:t xml:space="preserve"> </w:t>
      </w:r>
      <w:r w:rsidRPr="009625F2">
        <w:t>age,</w:t>
      </w:r>
      <w:r w:rsidR="00C9336A" w:rsidRPr="009625F2">
        <w:t xml:space="preserve"> </w:t>
      </w:r>
      <w:r w:rsidRPr="009625F2">
        <w:t>unemployment,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injury,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support,</w:t>
      </w:r>
      <w:r w:rsidR="00C9336A" w:rsidRPr="009625F2">
        <w:t xml:space="preserve"> </w:t>
      </w:r>
      <w:r w:rsidRPr="009625F2">
        <w:t>maternity,</w:t>
      </w:r>
      <w:r w:rsidR="00C9336A" w:rsidRPr="009625F2">
        <w:t xml:space="preserve"> </w:t>
      </w:r>
      <w:r w:rsidRPr="009625F2">
        <w:t>disability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survivors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orphans.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entitlement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last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98.</w:t>
      </w:r>
      <w:r w:rsidRPr="009625F2">
        <w:tab/>
        <w:t>Holocaust</w:t>
      </w:r>
      <w:r w:rsidR="00C9336A" w:rsidRPr="009625F2">
        <w:t xml:space="preserve"> </w:t>
      </w:r>
      <w:r w:rsidRPr="009625F2">
        <w:t>survivors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April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1568</w:t>
      </w:r>
      <w:r w:rsidR="00C9336A" w:rsidRPr="009625F2">
        <w:t xml:space="preserve"> </w:t>
      </w:r>
      <w:r w:rsidRPr="009625F2">
        <w:t>titled</w:t>
      </w:r>
      <w:r w:rsidR="00C9336A" w:rsidRPr="009625F2">
        <w:t xml:space="preserve"> </w:t>
      </w:r>
      <w:r w:rsidR="00D311F6">
        <w:t>“</w:t>
      </w:r>
      <w:r w:rsidRPr="009625F2">
        <w:t>National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Assisting</w:t>
      </w:r>
      <w:r w:rsidR="00C9336A" w:rsidRPr="009625F2">
        <w:t xml:space="preserve"> </w:t>
      </w:r>
      <w:r w:rsidRPr="009625F2">
        <w:t>Holocaust</w:t>
      </w:r>
      <w:r w:rsidR="00C9336A" w:rsidRPr="009625F2">
        <w:t xml:space="preserve"> </w:t>
      </w:r>
      <w:r w:rsidRPr="009625F2">
        <w:t>Survivors</w:t>
      </w:r>
      <w:r w:rsidR="00D311F6">
        <w:t>”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designed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created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result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formers</w:t>
      </w:r>
      <w:r w:rsidR="00C9336A" w:rsidRPr="009625F2">
        <w:t xml:space="preserve"> </w:t>
      </w:r>
      <w:r w:rsidRPr="009625F2">
        <w:t>agreements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equalize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entitlement</w:t>
      </w:r>
      <w:r w:rsidR="00C9336A" w:rsidRPr="009625F2">
        <w:t xml:space="preserve"> </w:t>
      </w:r>
      <w:r w:rsidRPr="009625F2">
        <w:t>conditions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Holocaust</w:t>
      </w:r>
      <w:r w:rsidR="00C9336A" w:rsidRPr="009625F2">
        <w:t xml:space="preserve"> </w:t>
      </w:r>
      <w:r w:rsidRPr="009625F2">
        <w:t>survivors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information,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99.</w:t>
      </w:r>
      <w:r w:rsidRPr="009625F2">
        <w:tab/>
        <w:t>General</w:t>
      </w:r>
      <w:r w:rsidR="00C9336A" w:rsidRPr="009625F2">
        <w:t xml:space="preserve"> </w:t>
      </w:r>
      <w:r w:rsidRPr="009625F2">
        <w:t>disability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introduced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field,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them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201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2018,</w:t>
      </w:r>
      <w:r w:rsidR="00C9336A" w:rsidRPr="009625F2">
        <w:t xml:space="preserve"> </w:t>
      </w:r>
      <w:r w:rsidRPr="009625F2">
        <w:t>determines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2018,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disability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gradually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2021,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annual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attached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average</w:t>
      </w:r>
      <w:r w:rsidR="00C9336A" w:rsidRPr="009625F2">
        <w:t xml:space="preserve"> </w:t>
      </w:r>
      <w:r w:rsidRPr="009625F2">
        <w:t>salary</w:t>
      </w:r>
      <w:r w:rsidR="00C9336A" w:rsidRPr="009625F2">
        <w:t xml:space="preserve"> </w:t>
      </w:r>
      <w:r w:rsidRPr="009625F2">
        <w:t>(on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1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year).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information,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Periodic</w:t>
      </w:r>
      <w:r w:rsidR="00C9336A" w:rsidRPr="009625F2">
        <w:t xml:space="preserve"> </w:t>
      </w:r>
      <w:r w:rsidRPr="009625F2">
        <w:t>review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100.</w:t>
      </w:r>
      <w:r w:rsidRPr="009625F2">
        <w:tab/>
        <w:t>Section</w:t>
      </w:r>
      <w:r w:rsidR="00C9336A" w:rsidRPr="009625F2">
        <w:t xml:space="preserve"> </w:t>
      </w:r>
      <w:r w:rsidRPr="009625F2">
        <w:t>1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requires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D311F6">
        <w:t>“</w:t>
      </w:r>
      <w:r w:rsidRPr="009625F2">
        <w:t>basic</w:t>
      </w:r>
      <w:r w:rsidR="00C9336A" w:rsidRPr="009625F2">
        <w:t xml:space="preserve"> </w:t>
      </w:r>
      <w:r w:rsidRPr="009625F2">
        <w:t>amount</w:t>
      </w:r>
      <w:r w:rsidR="00D311F6">
        <w:t>”</w:t>
      </w:r>
      <w:r w:rsidR="00C9336A" w:rsidRPr="009625F2">
        <w:t xml:space="preserve"> </w:t>
      </w:r>
      <w:r w:rsidRPr="009625F2">
        <w:t>defined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basis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calculation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NII</w:t>
      </w:r>
      <w:r w:rsidR="00C9336A" w:rsidRPr="009625F2">
        <w:t xml:space="preserve"> </w:t>
      </w:r>
      <w:r w:rsidRPr="009625F2">
        <w:t>allowances,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updated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year.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2006,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done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consumer</w:t>
      </w:r>
      <w:r w:rsidR="00C9336A" w:rsidRPr="009625F2">
        <w:t xml:space="preserve"> </w:t>
      </w:r>
      <w:r w:rsidRPr="009625F2">
        <w:t>index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year.</w:t>
      </w:r>
      <w:r w:rsidR="00C9336A" w:rsidRPr="009625F2">
        <w:t xml:space="preserve"> </w:t>
      </w:r>
      <w:r w:rsidRPr="009625F2">
        <w:t>Additionally,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NII</w:t>
      </w:r>
      <w:r w:rsidR="00C9336A" w:rsidRPr="009625F2">
        <w:t xml:space="preserve"> </w:t>
      </w:r>
      <w:r w:rsidRPr="009625F2">
        <w:t>frequently</w:t>
      </w:r>
      <w:r w:rsidR="00C9336A" w:rsidRPr="009625F2">
        <w:t xml:space="preserve"> </w:t>
      </w:r>
      <w:r w:rsidRPr="009625F2">
        <w:t>assesses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scope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allowances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light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changes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  <w:r w:rsidRPr="009625F2">
        <w:t>line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effect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allowances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overcoming</w:t>
      </w:r>
      <w:r w:rsidR="00C9336A" w:rsidRPr="009625F2">
        <w:t xml:space="preserve"> </w:t>
      </w:r>
      <w:r w:rsidRPr="009625F2">
        <w:t>poverty.</w:t>
      </w:r>
      <w:r w:rsidR="00C9336A" w:rsidRPr="009625F2">
        <w:t xml:space="preserve"> </w:t>
      </w:r>
      <w:r w:rsidRPr="009625F2">
        <w:t>Recently,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Efficiency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(Legislation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Achieving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Goals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2019),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changes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area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long-term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benefits,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information,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changes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consequence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increases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restructuring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entitlement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long-term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same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nursing</w:t>
      </w:r>
      <w:r w:rsidR="00C9336A" w:rsidRPr="009625F2">
        <w:t xml:space="preserve"> </w:t>
      </w:r>
      <w:r w:rsidRPr="009625F2">
        <w:t>hours,</w:t>
      </w:r>
      <w:r w:rsidR="00C9336A" w:rsidRPr="009625F2">
        <w:t xml:space="preserve"> </w:t>
      </w:r>
      <w:r w:rsidRPr="009625F2">
        <w:t>even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care,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Non-contributory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101.</w:t>
      </w:r>
      <w:r w:rsidRPr="009625F2">
        <w:tab/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rule,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obliged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pay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fees,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working.</w:t>
      </w:r>
      <w:r w:rsidR="00C9336A" w:rsidRPr="009625F2">
        <w:t xml:space="preserve"> </w:t>
      </w:r>
      <w:r w:rsidRPr="009625F2">
        <w:t>Exceptions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rule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married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widows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do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outside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home.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latter</w:t>
      </w:r>
      <w:r w:rsidR="00C9336A" w:rsidRPr="009625F2">
        <w:t xml:space="preserve"> </w:t>
      </w:r>
      <w:r w:rsidRPr="009625F2">
        <w:t>group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nevertheless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great</w:t>
      </w:r>
      <w:r w:rsidR="00C9336A" w:rsidRPr="009625F2">
        <w:t xml:space="preserve"> </w:t>
      </w:r>
      <w:r w:rsidRPr="009625F2">
        <w:t>majority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allowances,</w:t>
      </w:r>
      <w:r w:rsidR="00C9336A" w:rsidRPr="009625F2">
        <w:t xml:space="preserve"> </w:t>
      </w:r>
      <w:r w:rsidRPr="009625F2">
        <w:t>except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intended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employees,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accumulation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privileges</w:t>
      </w:r>
      <w:r w:rsidR="00C9336A" w:rsidRPr="009625F2">
        <w:t xml:space="preserve"> </w:t>
      </w:r>
      <w:r w:rsidRPr="009625F2">
        <w:t>attached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employment.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102.</w:t>
      </w:r>
      <w:r w:rsidRPr="009625F2">
        <w:tab/>
        <w:t>Moreover,</w:t>
      </w:r>
      <w:r w:rsidR="00C9336A" w:rsidRPr="009625F2">
        <w:t xml:space="preserve"> </w:t>
      </w:r>
      <w:r w:rsidRPr="009625F2">
        <w:t>certain</w:t>
      </w:r>
      <w:r w:rsidR="00C9336A" w:rsidRPr="009625F2">
        <w:t xml:space="preserve"> </w:t>
      </w:r>
      <w:r w:rsidRPr="009625F2">
        <w:t>allowances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financed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MoF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dependent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payments.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support,</w:t>
      </w:r>
      <w:r w:rsidR="00C9336A" w:rsidRPr="009625F2">
        <w:t xml:space="preserve"> </w:t>
      </w:r>
      <w:r w:rsidRPr="009625F2">
        <w:t>alimony,</w:t>
      </w:r>
      <w:r w:rsidR="00C9336A" w:rsidRPr="009625F2">
        <w:t xml:space="preserve"> </w:t>
      </w:r>
      <w:r w:rsidRPr="009625F2">
        <w:t>old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survivors</w:t>
      </w:r>
      <w:r w:rsidR="00D311F6">
        <w:t>’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elderly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immigrants,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affected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ringworm,</w:t>
      </w:r>
      <w:r w:rsidR="00C9336A" w:rsidRPr="009625F2">
        <w:t xml:space="preserve"> </w:t>
      </w:r>
      <w:r w:rsidRPr="009625F2">
        <w:t>polio,</w:t>
      </w:r>
      <w:r w:rsidR="00C9336A" w:rsidRPr="009625F2">
        <w:t xml:space="preserve"> </w:t>
      </w:r>
      <w:r w:rsidRPr="009625F2">
        <w:t>acts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hostility,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more.</w:t>
      </w:r>
      <w:r w:rsidR="00C9336A" w:rsidRPr="009625F2">
        <w:t xml:space="preserve"> 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Private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103.</w:t>
      </w:r>
      <w:r w:rsidRPr="009625F2">
        <w:tab/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private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schemes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Equal</w:t>
      </w:r>
      <w:r w:rsidR="00C9336A" w:rsidRPr="009625F2">
        <w:t xml:space="preserve"> </w:t>
      </w:r>
      <w:r w:rsidRPr="009625F2">
        <w:t>enjoyment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104.</w:t>
      </w:r>
      <w:r w:rsidRPr="009625F2">
        <w:tab/>
        <w:t>Entitlement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distinction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enjoyment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women.</w:t>
      </w:r>
      <w:r w:rsidR="00C9336A" w:rsidRPr="009625F2">
        <w:t xml:space="preserve"> </w:t>
      </w:r>
      <w:r w:rsidRPr="009625F2">
        <w:t>Note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generation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lastRenderedPageBreak/>
        <w:t>were</w:t>
      </w:r>
      <w:r w:rsidR="00C9336A" w:rsidRPr="009625F2">
        <w:t xml:space="preserve"> </w:t>
      </w:r>
      <w:r w:rsidRPr="009625F2">
        <w:t>closed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1995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withdraw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pensions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62</w:t>
      </w:r>
      <w:r w:rsidR="00C9336A" w:rsidRPr="009625F2">
        <w:t xml:space="preserve"> </w:t>
      </w:r>
      <w:r w:rsidRPr="009625F2">
        <w:t>rather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67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existing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Funds.</w:t>
      </w:r>
    </w:p>
    <w:p w:rsidR="00B342F3" w:rsidRPr="009625F2" w:rsidRDefault="00B342F3" w:rsidP="00EB53EF">
      <w:pPr>
        <w:pStyle w:val="SingleTxtG"/>
      </w:pPr>
      <w:r w:rsidRPr="009625F2">
        <w:t>105.</w:t>
      </w:r>
      <w:r w:rsidRPr="009625F2">
        <w:tab/>
        <w:t>Retirement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Old-Age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Retirement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5763-2004,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retirement</w:t>
      </w:r>
      <w:r w:rsidR="00C9336A" w:rsidRPr="009625F2">
        <w:t xml:space="preserve"> </w:t>
      </w:r>
      <w:r w:rsidRPr="009625F2">
        <w:t>age,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consequently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entitlement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old-age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benefits,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67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62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mechanism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supposed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raise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retirement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incrementally,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64.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mechanism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conditional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Finance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recommendation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Finance</w:t>
      </w:r>
      <w:r w:rsidR="00C9336A" w:rsidRPr="009625F2">
        <w:t xml:space="preserve"> </w:t>
      </w:r>
      <w:r w:rsidRPr="009625F2">
        <w:t>Committee,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professional,</w:t>
      </w:r>
      <w:r w:rsidR="00C9336A" w:rsidRPr="009625F2">
        <w:t xml:space="preserve"> </w:t>
      </w:r>
      <w:r w:rsidRPr="009625F2">
        <w:t>interdisciplinary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Committee.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Retirement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address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later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February</w:t>
      </w:r>
      <w:r w:rsidR="00C9336A" w:rsidRPr="009625F2">
        <w:t xml:space="preserve"> </w:t>
      </w:r>
      <w:r w:rsidRPr="009625F2">
        <w:t>2018.</w:t>
      </w:r>
    </w:p>
    <w:p w:rsidR="00B342F3" w:rsidRPr="009625F2" w:rsidRDefault="00B342F3" w:rsidP="00EB53EF">
      <w:pPr>
        <w:pStyle w:val="SingleTxtG"/>
      </w:pPr>
      <w:r w:rsidRPr="009625F2">
        <w:t>106.</w:t>
      </w:r>
      <w:r w:rsidRPr="009625F2">
        <w:tab/>
        <w:t>Regardless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developments,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D311F6">
        <w:t>“</w:t>
      </w:r>
      <w:r w:rsidRPr="009625F2">
        <w:t>entitlement</w:t>
      </w:r>
      <w:r w:rsidR="00C9336A" w:rsidRPr="009625F2">
        <w:t xml:space="preserve"> </w:t>
      </w:r>
      <w:r w:rsidRPr="009625F2">
        <w:t>age</w:t>
      </w:r>
      <w:r w:rsidR="00D311F6">
        <w:t>”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say,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woman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old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regardless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qualifying</w:t>
      </w:r>
      <w:r w:rsidR="00C9336A" w:rsidRPr="009625F2">
        <w:t xml:space="preserve"> </w:t>
      </w:r>
      <w:r w:rsidRPr="009625F2">
        <w:t>period,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being</w:t>
      </w:r>
      <w:r w:rsidR="00C9336A" w:rsidRPr="009625F2">
        <w:t xml:space="preserve"> </w:t>
      </w:r>
      <w:r w:rsidRPr="009625F2">
        <w:t>raised,</w:t>
      </w:r>
      <w:r w:rsidR="00C9336A" w:rsidRPr="009625F2">
        <w:t xml:space="preserve"> </w:t>
      </w:r>
      <w:r w:rsidRPr="009625F2">
        <w:t>incrementally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equal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men</w:t>
      </w:r>
      <w:r w:rsidR="00C9336A" w:rsidRPr="009625F2">
        <w:t xml:space="preserve"> </w:t>
      </w:r>
      <w:r w:rsidRPr="009625F2">
        <w:t>(70</w:t>
      </w:r>
      <w:r w:rsidR="00C9336A" w:rsidRPr="009625F2">
        <w:t xml:space="preserve"> </w:t>
      </w:r>
      <w:r w:rsidRPr="009625F2">
        <w:t>years).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107.</w:t>
      </w:r>
      <w:r w:rsidRPr="009625F2">
        <w:tab/>
        <w:t>No</w:t>
      </w:r>
      <w:r w:rsidR="00C9336A" w:rsidRPr="009625F2">
        <w:t xml:space="preserve"> </w:t>
      </w:r>
      <w:r w:rsidRPr="009625F2">
        <w:t>distinction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qualifying</w:t>
      </w:r>
      <w:r w:rsidR="00C9336A" w:rsidRPr="009625F2">
        <w:t xml:space="preserve"> </w:t>
      </w:r>
      <w:r w:rsidRPr="009625F2">
        <w:t>periods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amounts.</w:t>
      </w:r>
    </w:p>
    <w:p w:rsidR="00B342F3" w:rsidRPr="009625F2" w:rsidRDefault="00B342F3" w:rsidP="00EB53EF">
      <w:pPr>
        <w:pStyle w:val="SingleTxtG"/>
      </w:pPr>
      <w:r w:rsidRPr="009625F2">
        <w:t>108.</w:t>
      </w:r>
      <w:r w:rsidRPr="009625F2">
        <w:tab/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old-age</w:t>
      </w:r>
      <w:r w:rsidR="00C9336A" w:rsidRPr="009625F2">
        <w:t xml:space="preserve"> </w:t>
      </w:r>
      <w:r w:rsidRPr="009625F2">
        <w:t>pension</w:t>
      </w:r>
      <w:r w:rsidR="00C9336A" w:rsidRPr="009625F2">
        <w:t xml:space="preserve"> </w:t>
      </w:r>
      <w:r w:rsidRPr="009625F2">
        <w:t>benefit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reduction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qualifying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required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="00D311F6">
        <w:t>“</w:t>
      </w:r>
      <w:r w:rsidRPr="009625F2">
        <w:t>seniority</w:t>
      </w:r>
      <w:r w:rsidR="00C9336A" w:rsidRPr="009625F2">
        <w:t xml:space="preserve"> </w:t>
      </w:r>
      <w:r w:rsidRPr="009625F2">
        <w:t>supplement</w:t>
      </w:r>
      <w:r w:rsidR="00D311F6">
        <w:t>”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pension,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decisions,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  <w:r w:rsidR="00C9336A" w:rsidRPr="009625F2">
        <w:t xml:space="preserve"> 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entitlements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non-nationals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109.</w:t>
      </w:r>
      <w:r w:rsidRPr="009625F2">
        <w:tab/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apply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residents.</w:t>
      </w:r>
      <w:r w:rsidR="00C9336A" w:rsidRPr="009625F2">
        <w:t xml:space="preserve"> </w:t>
      </w:r>
      <w:r w:rsidRPr="009625F2">
        <w:t>Section</w:t>
      </w:r>
      <w:r w:rsidR="00C9336A" w:rsidRPr="009625F2">
        <w:t xml:space="preserve"> </w:t>
      </w:r>
      <w:r w:rsidRPr="009625F2">
        <w:t>2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defines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considered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resident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regard.</w:t>
      </w:r>
    </w:p>
    <w:p w:rsidR="00B342F3" w:rsidRPr="009625F2" w:rsidRDefault="00B342F3" w:rsidP="00EB53EF">
      <w:pPr>
        <w:pStyle w:val="SingleTxtG"/>
      </w:pPr>
      <w:r w:rsidRPr="009625F2">
        <w:t>110.</w:t>
      </w:r>
      <w:r w:rsidRPr="009625F2">
        <w:tab/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but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(mostly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workers)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granted</w:t>
      </w:r>
      <w:r w:rsidR="00C9336A" w:rsidRPr="009625F2">
        <w:t xml:space="preserve"> </w:t>
      </w:r>
      <w:r w:rsidRPr="009625F2">
        <w:t>NII</w:t>
      </w:r>
      <w:r w:rsidR="00C9336A" w:rsidRPr="009625F2">
        <w:t xml:space="preserve"> </w:t>
      </w:r>
      <w:r w:rsidRPr="009625F2">
        <w:t>coverage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categories: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insurance,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accident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bankruptcy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employer.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addition,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111.</w:t>
      </w:r>
      <w:r w:rsidRPr="009625F2">
        <w:tab/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below,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12;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conventions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above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2;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rulings,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Expiration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112.</w:t>
      </w:r>
      <w:r w:rsidRPr="009625F2">
        <w:tab/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concern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revocation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permanent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context</w:t>
      </w:r>
      <w:r w:rsidR="00C9336A" w:rsidRPr="009625F2">
        <w:t xml:space="preserve"> </w:t>
      </w:r>
      <w:r w:rsidRPr="009625F2">
        <w:t>we</w:t>
      </w:r>
      <w:r w:rsidR="00C9336A" w:rsidRPr="009625F2">
        <w:t xml:space="preserve"> </w:t>
      </w:r>
      <w:r w:rsidRPr="009625F2">
        <w:t>wish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clarify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permanent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expire</w:t>
      </w:r>
      <w:r w:rsidR="00C9336A" w:rsidRPr="009625F2">
        <w:t xml:space="preserve"> </w:t>
      </w:r>
      <w:r w:rsidRPr="009625F2">
        <w:t>when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person</w:t>
      </w:r>
      <w:r w:rsidR="00C9336A" w:rsidRPr="009625F2">
        <w:t xml:space="preserve"> </w:t>
      </w:r>
      <w:r w:rsidRPr="009625F2">
        <w:t>leaves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longer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seven</w:t>
      </w:r>
      <w:r w:rsidR="00C9336A" w:rsidRPr="009625F2">
        <w:t xml:space="preserve"> </w:t>
      </w:r>
      <w:r w:rsidRPr="009625F2">
        <w:t>(7)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acquires</w:t>
      </w:r>
      <w:r w:rsidR="00C9336A" w:rsidRPr="009625F2">
        <w:t xml:space="preserve"> </w:t>
      </w:r>
      <w:r w:rsidRPr="009625F2">
        <w:t>citizenship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another</w:t>
      </w:r>
      <w:r w:rsidR="00C9336A" w:rsidRPr="009625F2">
        <w:t xml:space="preserve"> </w:t>
      </w:r>
      <w:r w:rsidRPr="009625F2">
        <w:t>country.</w:t>
      </w:r>
      <w:r w:rsidR="00C9336A" w:rsidRPr="009625F2">
        <w:t xml:space="preserve"> </w:t>
      </w:r>
      <w:r w:rsidRPr="009625F2">
        <w:t>Expiration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residence</w:t>
      </w:r>
      <w:r w:rsidR="00C9336A" w:rsidRPr="009625F2">
        <w:t xml:space="preserve"> </w:t>
      </w:r>
      <w:r w:rsidRPr="009625F2">
        <w:t>abroad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longer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seven</w:t>
      </w:r>
      <w:r w:rsidR="00C9336A" w:rsidRPr="009625F2">
        <w:t xml:space="preserve"> </w:t>
      </w:r>
      <w:r w:rsidRPr="009625F2">
        <w:t>(7)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rather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abroad.</w:t>
      </w:r>
      <w:r w:rsidR="00C9336A" w:rsidRPr="009625F2">
        <w:t xml:space="preserve"> </w:t>
      </w:r>
      <w:r w:rsidRPr="009625F2">
        <w:t>Moreover,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person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regain</w:t>
      </w:r>
      <w:r w:rsidR="00C9336A" w:rsidRPr="009625F2">
        <w:t xml:space="preserve"> </w:t>
      </w:r>
      <w:r w:rsidRPr="009625F2">
        <w:t>residency,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he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she</w:t>
      </w:r>
      <w:r w:rsidR="00C9336A" w:rsidRPr="009625F2">
        <w:t xml:space="preserve"> </w:t>
      </w:r>
      <w:r w:rsidRPr="009625F2">
        <w:t>maintains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affinity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despite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  <w:r w:rsidRPr="009625F2">
        <w:t>abroad,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he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she</w:t>
      </w:r>
      <w:r w:rsidR="00C9336A" w:rsidRPr="009625F2">
        <w:t xml:space="preserve"> </w:t>
      </w:r>
      <w:r w:rsidRPr="009625F2">
        <w:t>lived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consecutive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certain</w:t>
      </w:r>
      <w:r w:rsidR="00C9336A" w:rsidRPr="009625F2">
        <w:t xml:space="preserve"> </w:t>
      </w:r>
      <w:r w:rsidRPr="009625F2">
        <w:t>conditions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met</w:t>
      </w:r>
      <w:r w:rsidR="00C9336A" w:rsidRPr="009625F2">
        <w:t xml:space="preserve"> </w:t>
      </w:r>
      <w:r w:rsidRPr="009625F2">
        <w:t>(this</w:t>
      </w:r>
      <w:r w:rsidR="00C9336A" w:rsidRPr="009625F2">
        <w:t xml:space="preserve"> </w:t>
      </w:r>
      <w:r w:rsidRPr="009625F2">
        <w:t>however</w:t>
      </w:r>
      <w:r w:rsidR="00C9336A" w:rsidRPr="009625F2">
        <w:t xml:space="preserve"> </w:t>
      </w:r>
      <w:r w:rsidRPr="009625F2">
        <w:t>does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relate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revocation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due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terrorist</w:t>
      </w:r>
      <w:r w:rsidR="00C9336A" w:rsidRPr="009625F2">
        <w:t xml:space="preserve"> </w:t>
      </w:r>
      <w:r w:rsidRPr="009625F2">
        <w:t>activity).</w:t>
      </w:r>
    </w:p>
    <w:p w:rsidR="00B342F3" w:rsidRPr="009625F2" w:rsidRDefault="00B342F3" w:rsidP="00EB53EF">
      <w:pPr>
        <w:pStyle w:val="SingleTxtG"/>
      </w:pPr>
      <w:r w:rsidRPr="009625F2">
        <w:t>113.</w:t>
      </w:r>
      <w:r w:rsidRPr="009625F2">
        <w:tab/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statistics</w:t>
      </w:r>
      <w:r w:rsidR="00C9336A" w:rsidRPr="009625F2">
        <w:t xml:space="preserve"> </w:t>
      </w:r>
      <w:r w:rsidRPr="009625F2">
        <w:t>relate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</w:t>
      </w:r>
      <w:r w:rsidR="00C9336A" w:rsidRPr="009625F2">
        <w:t xml:space="preserve"> </w:t>
      </w:r>
      <w:r w:rsidRPr="009625F2">
        <w:t>whose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expired: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22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(10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11</w:t>
      </w:r>
      <w:r w:rsidR="00C9336A" w:rsidRPr="009625F2">
        <w:t xml:space="preserve"> </w:t>
      </w:r>
      <w:r w:rsidRPr="009625F2">
        <w:t>men),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53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(27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26</w:t>
      </w:r>
      <w:r w:rsidR="00C9336A" w:rsidRPr="009625F2">
        <w:t xml:space="preserve"> </w:t>
      </w:r>
      <w:r w:rsidRPr="009625F2">
        <w:t>men),</w:t>
      </w:r>
      <w:r w:rsidR="00C9336A" w:rsidRPr="009625F2">
        <w:t xml:space="preserve"> </w:t>
      </w:r>
      <w:r w:rsidRPr="009625F2">
        <w:t>2015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89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(37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52</w:t>
      </w:r>
      <w:r w:rsidR="00C9336A" w:rsidRPr="009625F2">
        <w:t xml:space="preserve"> </w:t>
      </w:r>
      <w:r w:rsidRPr="009625F2">
        <w:t>men),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69</w:t>
      </w:r>
      <w:r w:rsidR="00C9336A" w:rsidRPr="009625F2">
        <w:t xml:space="preserve"> </w:t>
      </w:r>
      <w:r w:rsidRPr="009625F2">
        <w:t>persons;</w:t>
      </w:r>
      <w:r w:rsidR="00C9336A" w:rsidRPr="009625F2">
        <w:t xml:space="preserve"> </w:t>
      </w:r>
      <w:r w:rsidRPr="009625F2">
        <w:t>2013</w:t>
      </w:r>
      <w:r w:rsidR="00E020A1" w:rsidRPr="009625F2">
        <w:t>–</w:t>
      </w:r>
      <w:r w:rsidR="00C9336A" w:rsidRPr="009625F2">
        <w:t xml:space="preserve"> </w:t>
      </w:r>
      <w:r w:rsidRPr="009625F2">
        <w:t>93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2012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114</w:t>
      </w:r>
      <w:r w:rsidR="00C9336A" w:rsidRPr="009625F2">
        <w:t xml:space="preserve"> </w:t>
      </w:r>
      <w:r w:rsidRPr="009625F2">
        <w:t>expirations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residency.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seen,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figures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extremely</w:t>
      </w:r>
      <w:r w:rsidR="00C9336A" w:rsidRPr="009625F2">
        <w:t xml:space="preserve"> </w:t>
      </w:r>
      <w:r w:rsidRPr="009625F2">
        <w:t>small.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114.</w:t>
      </w:r>
      <w:r w:rsidRPr="009625F2">
        <w:tab/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rulings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matter,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  <w:r w:rsidR="00C9336A" w:rsidRPr="009625F2">
        <w:t xml:space="preserve"> </w:t>
      </w:r>
    </w:p>
    <w:p w:rsidR="00B342F3" w:rsidRPr="009625F2" w:rsidRDefault="00B342F3" w:rsidP="000C67A4">
      <w:pPr>
        <w:pStyle w:val="H1G"/>
      </w:pPr>
      <w:r w:rsidRPr="009625F2">
        <w:lastRenderedPageBreak/>
        <w:tab/>
      </w:r>
      <w:r w:rsidRPr="009625F2">
        <w:tab/>
        <w:t>Article</w:t>
      </w:r>
      <w:r w:rsidR="00C9336A" w:rsidRPr="009625F2">
        <w:t xml:space="preserve"> </w:t>
      </w:r>
      <w:r w:rsidRPr="009625F2">
        <w:t>10</w:t>
      </w:r>
    </w:p>
    <w:p w:rsidR="00B342F3" w:rsidRPr="009625F2" w:rsidRDefault="00B342F3" w:rsidP="000C67A4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enter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marriage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full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consent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115.</w:t>
      </w:r>
      <w:r w:rsidRPr="009625F2">
        <w:tab/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updates.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116.</w:t>
      </w:r>
      <w:r w:rsidRPr="009625F2">
        <w:tab/>
        <w:t>Amendment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Marital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5710-1950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December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Marital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(Amendment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6)</w:t>
      </w:r>
      <w:r w:rsidR="00C9336A" w:rsidRPr="009625F2">
        <w:t xml:space="preserve"> </w:t>
      </w:r>
      <w:r w:rsidRPr="009625F2">
        <w:t>raising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marital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17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18.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117.</w:t>
      </w:r>
      <w:r w:rsidRPr="009625F2">
        <w:tab/>
        <w:t>Police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Marital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deal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violations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Marital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officers</w:t>
      </w:r>
      <w:r w:rsidR="00C9336A" w:rsidRPr="009625F2">
        <w:t xml:space="preserve"> </w:t>
      </w:r>
      <w:r w:rsidRPr="009625F2">
        <w:t>hold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meetings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representatives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PIBA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information.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addition,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districts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lectures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enforcement.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118.</w:t>
      </w:r>
      <w:r w:rsidRPr="009625F2">
        <w:tab/>
        <w:t>Prosecution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Marital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2018,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Attorney</w:t>
      </w:r>
      <w:r w:rsidR="00C9336A" w:rsidRPr="009625F2">
        <w:t xml:space="preserve"> </w:t>
      </w:r>
      <w:r w:rsidRPr="009625F2">
        <w:t>General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Guideline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4.1113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Attorney</w:t>
      </w:r>
      <w:r w:rsidR="00C9336A" w:rsidRPr="009625F2">
        <w:t xml:space="preserve"> </w:t>
      </w:r>
      <w:r w:rsidRPr="009625F2">
        <w:t>General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applications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marriage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minor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published.</w:t>
      </w:r>
    </w:p>
    <w:p w:rsidR="00B342F3" w:rsidRPr="009625F2" w:rsidRDefault="00B342F3" w:rsidP="00EB53EF">
      <w:pPr>
        <w:pStyle w:val="SingleTxtG"/>
      </w:pPr>
      <w:r w:rsidRPr="009625F2">
        <w:t>119.</w:t>
      </w:r>
      <w:r w:rsidRPr="009625F2">
        <w:tab/>
        <w:t>Also,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Attorney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Guideline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="00D311F6">
        <w:t>“</w:t>
      </w:r>
      <w:r w:rsidRPr="009625F2">
        <w:t>The</w:t>
      </w:r>
      <w:r w:rsidR="00C9336A" w:rsidRPr="009625F2">
        <w:t xml:space="preserve"> </w:t>
      </w:r>
      <w:r w:rsidRPr="009625F2">
        <w:t>Prosecution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marriage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minor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offence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setting</w:t>
      </w:r>
      <w:r w:rsidR="00C9336A" w:rsidRPr="009625F2">
        <w:t xml:space="preserve"> </w:t>
      </w:r>
      <w:r w:rsidRPr="009625F2">
        <w:t>out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Prosecution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respect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offence.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guidelines,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EB53EF">
      <w:pPr>
        <w:pStyle w:val="SingleTxtG"/>
      </w:pPr>
      <w:r w:rsidRPr="009625F2">
        <w:t>120.</w:t>
      </w:r>
      <w:r w:rsidRPr="009625F2">
        <w:tab/>
        <w:t>Eliminating</w:t>
      </w:r>
      <w:r w:rsidR="00C9336A" w:rsidRPr="009625F2">
        <w:t xml:space="preserve"> </w:t>
      </w:r>
      <w:r w:rsidRPr="009625F2">
        <w:t>Polygamy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recently</w:t>
      </w:r>
      <w:r w:rsidR="00C9336A" w:rsidRPr="009625F2">
        <w:t xml:space="preserve"> </w:t>
      </w:r>
      <w:r w:rsidRPr="009625F2">
        <w:t>reaffirmed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commitment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tackling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phenomenon</w:t>
      </w:r>
      <w:r w:rsidR="00C9336A" w:rsidRPr="009625F2">
        <w:t xml:space="preserve"> </w:t>
      </w:r>
      <w:r w:rsidRPr="009625F2">
        <w:t>(Government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2345,</w:t>
      </w:r>
      <w:r w:rsidR="00C9336A" w:rsidRPr="009625F2">
        <w:t xml:space="preserve"> </w:t>
      </w:r>
      <w:r w:rsidRPr="009625F2">
        <w:t>January,</w:t>
      </w:r>
      <w:r w:rsidR="00C9336A" w:rsidRPr="009625F2">
        <w:t xml:space="preserve"> </w:t>
      </w:r>
      <w:r w:rsidRPr="009625F2">
        <w:t>2017).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committee,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Attorney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guideline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prosecution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endeavours,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121.</w:t>
      </w:r>
      <w:r w:rsidRPr="009625F2">
        <w:tab/>
        <w:t>Measures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prevent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phenomena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whose</w:t>
      </w:r>
      <w:r w:rsidR="00C9336A" w:rsidRPr="009625F2">
        <w:t xml:space="preserve"> </w:t>
      </w:r>
      <w:r w:rsidRPr="009625F2">
        <w:t>husbands</w:t>
      </w:r>
      <w:r w:rsidR="00C9336A" w:rsidRPr="009625F2">
        <w:t xml:space="preserve"> </w:t>
      </w:r>
      <w:r w:rsidRPr="009625F2">
        <w:t>refuse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grant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divorce</w:t>
      </w:r>
      <w:r w:rsidR="00C9336A" w:rsidRPr="009625F2">
        <w:t xml:space="preserve"> </w:t>
      </w:r>
      <w:r w:rsidRPr="009625F2">
        <w:t>(</w:t>
      </w:r>
      <w:r w:rsidR="00D311F6">
        <w:t>“</w:t>
      </w:r>
      <w:r w:rsidRPr="009625F2">
        <w:t>Agunot</w:t>
      </w:r>
      <w:r w:rsidR="00D311F6">
        <w:t>”</w:t>
      </w:r>
      <w:r w:rsidRPr="009625F2">
        <w:t>)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important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AC092D">
      <w:pPr>
        <w:pStyle w:val="H23G"/>
      </w:pPr>
      <w:r w:rsidRPr="009625F2">
        <w:tab/>
      </w:r>
      <w:r w:rsidRPr="009625F2">
        <w:tab/>
        <w:t>Citizenship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entry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="001A2002" w:rsidRPr="009625F2">
        <w:t>Israel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(temporary</w:t>
      </w:r>
      <w:r w:rsidR="00C9336A" w:rsidRPr="009625F2">
        <w:t xml:space="preserve"> </w:t>
      </w:r>
      <w:r w:rsidRPr="009625F2">
        <w:t>provision)</w:t>
      </w:r>
      <w:r w:rsidR="00C9336A" w:rsidRPr="009625F2">
        <w:t xml:space="preserve"> </w:t>
      </w:r>
      <w:r w:rsidRPr="009625F2">
        <w:t>5763-2003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122.</w:t>
      </w:r>
      <w:r w:rsidRPr="009625F2">
        <w:tab/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last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concern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process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reunification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spouses.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2012,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second</w:t>
      </w:r>
      <w:r w:rsidR="00C9336A" w:rsidRPr="009625F2">
        <w:t xml:space="preserve"> </w:t>
      </w:r>
      <w:r w:rsidRPr="009625F2">
        <w:t>time,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extended</w:t>
      </w:r>
      <w:r w:rsidR="00C9336A" w:rsidRPr="009625F2">
        <w:t xml:space="preserve"> </w:t>
      </w:r>
      <w:r w:rsidRPr="009625F2">
        <w:t>panel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Supreme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scrutinized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upheld,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majority,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constitutionality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Citizenship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Entry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(Temporary</w:t>
      </w:r>
      <w:r w:rsidR="00C9336A" w:rsidRPr="009625F2">
        <w:t xml:space="preserve"> </w:t>
      </w:r>
      <w:r w:rsidRPr="009625F2">
        <w:t>Provision)</w:t>
      </w:r>
      <w:r w:rsidR="00C9336A" w:rsidRPr="009625F2">
        <w:t xml:space="preserve"> </w:t>
      </w:r>
      <w:r w:rsidRPr="009625F2">
        <w:t>5763-2003</w:t>
      </w:r>
      <w:r w:rsidR="00C9336A" w:rsidRPr="009625F2">
        <w:t xml:space="preserve"> </w:t>
      </w:r>
      <w:r w:rsidRPr="009625F2">
        <w:t>(H.C.J.</w:t>
      </w:r>
      <w:r w:rsidR="00C9336A" w:rsidRPr="009625F2">
        <w:t xml:space="preserve"> </w:t>
      </w:r>
      <w:r w:rsidRPr="009625F2">
        <w:t>466/07,</w:t>
      </w:r>
      <w:r w:rsidR="00C9336A" w:rsidRPr="009625F2">
        <w:t xml:space="preserve"> </w:t>
      </w:r>
      <w:r w:rsidRPr="009625F2">
        <w:t>544/07,</w:t>
      </w:r>
      <w:r w:rsidR="00C9336A" w:rsidRPr="009625F2">
        <w:t xml:space="preserve"> </w:t>
      </w:r>
      <w:r w:rsidRPr="009625F2">
        <w:t>830/07,</w:t>
      </w:r>
      <w:r w:rsidR="00C9336A" w:rsidRPr="009625F2">
        <w:t xml:space="preserve"> </w:t>
      </w:r>
      <w:r w:rsidRPr="009625F2">
        <w:t>5030/07</w:t>
      </w:r>
      <w:r w:rsidR="00C9336A" w:rsidRPr="009625F2">
        <w:t xml:space="preserve"> </w:t>
      </w:r>
      <w:r w:rsidRPr="009625F2">
        <w:rPr>
          <w:i/>
          <w:iCs/>
        </w:rPr>
        <w:t>MK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Zehava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Galon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et.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al.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v.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The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Minister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of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Interior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et.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al</w:t>
      </w:r>
      <w:r w:rsidRPr="009625F2">
        <w:t>.).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extended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times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valid</w:t>
      </w:r>
      <w:r w:rsidR="00C9336A" w:rsidRPr="009625F2">
        <w:t xml:space="preserve"> </w:t>
      </w:r>
      <w:r w:rsidRPr="009625F2">
        <w:t>until</w:t>
      </w:r>
      <w:r w:rsidR="00C9336A" w:rsidRPr="009625F2">
        <w:t xml:space="preserve"> </w:t>
      </w:r>
      <w:r w:rsidRPr="009625F2">
        <w:t>June</w:t>
      </w:r>
      <w:r w:rsidR="00C9336A" w:rsidRPr="009625F2">
        <w:t xml:space="preserve"> </w:t>
      </w:r>
      <w:r w:rsidRPr="009625F2">
        <w:t>30,</w:t>
      </w:r>
      <w:r w:rsidR="00C9336A" w:rsidRPr="009625F2">
        <w:t xml:space="preserve"> </w:t>
      </w:r>
      <w:r w:rsidRPr="009625F2">
        <w:t>201</w:t>
      </w:r>
      <w:r w:rsidRPr="009625F2">
        <w:rPr>
          <w:rtl/>
        </w:rPr>
        <w:t>8</w:t>
      </w:r>
      <w:r w:rsidRPr="009625F2">
        <w:t>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123.</w:t>
      </w:r>
      <w:r w:rsidRPr="009625F2">
        <w:tab/>
        <w:t>Nevertheless,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Supreme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stated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room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consider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changes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policy,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length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time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passed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enactment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difficulties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caused.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light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Interior</w:t>
      </w:r>
      <w:r w:rsidR="00C9336A" w:rsidRPr="009625F2">
        <w:t xml:space="preserve"> </w:t>
      </w:r>
      <w:r w:rsidRPr="009625F2">
        <w:t>initiated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changes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humanitarian</w:t>
      </w:r>
      <w:r w:rsidR="00C9336A" w:rsidRPr="009625F2">
        <w:t xml:space="preserve"> </w:t>
      </w:r>
      <w:r w:rsidRPr="009625F2">
        <w:t>relief.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Advisory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now</w:t>
      </w:r>
      <w:r w:rsidR="00C9336A" w:rsidRPr="009625F2">
        <w:t xml:space="preserve"> </w:t>
      </w:r>
      <w:r w:rsidRPr="009625F2">
        <w:t>determine,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humanitarian</w:t>
      </w:r>
      <w:r w:rsidR="00C9336A" w:rsidRPr="009625F2">
        <w:t xml:space="preserve"> </w:t>
      </w:r>
      <w:r w:rsidRPr="009625F2">
        <w:t>circumstances,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recommend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valid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opposed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just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(1)</w:t>
      </w:r>
      <w:r w:rsidR="00C9336A" w:rsidRPr="009625F2">
        <w:t xml:space="preserve"> </w:t>
      </w:r>
      <w:r w:rsidRPr="009625F2">
        <w:t>year.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Interior</w:t>
      </w:r>
      <w:r w:rsidR="00C9336A" w:rsidRPr="009625F2">
        <w:t xml:space="preserve"> </w:t>
      </w:r>
      <w:r w:rsidRPr="009625F2">
        <w:t>decided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approve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upgrading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hold</w:t>
      </w:r>
      <w:r w:rsidR="00C9336A" w:rsidRPr="009625F2">
        <w:t xml:space="preserve"> </w:t>
      </w:r>
      <w:r w:rsidRPr="009625F2">
        <w:t>staying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reunification</w:t>
      </w:r>
      <w:r w:rsidR="00C9336A" w:rsidRPr="009625F2">
        <w:t xml:space="preserve"> </w:t>
      </w:r>
      <w:r w:rsidRPr="009625F2">
        <w:t>requests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filed</w:t>
      </w:r>
      <w:r w:rsidR="00C9336A" w:rsidRPr="009625F2">
        <w:t xml:space="preserve"> </w:t>
      </w:r>
      <w:r w:rsidRPr="009625F2">
        <w:t>until</w:t>
      </w:r>
      <w:r w:rsidR="00C9336A" w:rsidRPr="009625F2">
        <w:t xml:space="preserve"> </w:t>
      </w:r>
      <w:r w:rsidRPr="009625F2">
        <w:t>2003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approved,</w:t>
      </w:r>
      <w:r w:rsidR="00C9336A" w:rsidRPr="009625F2">
        <w:t xml:space="preserve"> </w:t>
      </w:r>
      <w:r w:rsidRPr="009625F2">
        <w:t>so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minor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A/5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reside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upgrade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subject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tests,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them:</w:t>
      </w:r>
      <w:r w:rsidR="00C9336A" w:rsidRPr="009625F2">
        <w:t xml:space="preserve"> </w:t>
      </w:r>
      <w:r w:rsidRPr="009625F2">
        <w:t>proving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existence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sincerity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marriage,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  <w:r w:rsidRPr="009625F2">
        <w:t>test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lack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criminal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prevention).</w:t>
      </w:r>
      <w:r w:rsidR="00C9336A" w:rsidRPr="009625F2">
        <w:t xml:space="preserve"> </w:t>
      </w:r>
      <w:r w:rsidRPr="009625F2">
        <w:t>So</w:t>
      </w:r>
      <w:r w:rsidR="00C9336A" w:rsidRPr="009625F2">
        <w:t xml:space="preserve"> </w:t>
      </w:r>
      <w:r w:rsidRPr="009625F2">
        <w:t>far</w:t>
      </w:r>
      <w:r w:rsidR="00C9336A" w:rsidRPr="009625F2">
        <w:t xml:space="preserve"> </w:t>
      </w:r>
      <w:r w:rsidRPr="009625F2">
        <w:t>1,600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upgraded</w:t>
      </w:r>
      <w:r w:rsidR="00C9336A" w:rsidRPr="009625F2">
        <w:t xml:space="preserve"> </w:t>
      </w:r>
      <w:r w:rsidRPr="009625F2">
        <w:t>permit,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entitles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owner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insurance.</w:t>
      </w:r>
    </w:p>
    <w:p w:rsidR="00B342F3" w:rsidRPr="009625F2" w:rsidRDefault="00B342F3" w:rsidP="00EB53EF">
      <w:pPr>
        <w:pStyle w:val="SingleTxtG"/>
      </w:pPr>
      <w:r w:rsidRPr="009625F2">
        <w:t>124.</w:t>
      </w:r>
      <w:r w:rsidRPr="009625F2">
        <w:tab/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12</w:t>
      </w:r>
      <w:r w:rsidR="00C9336A" w:rsidRPr="009625F2">
        <w:t xml:space="preserve"> </w:t>
      </w:r>
      <w:r w:rsidRPr="009625F2">
        <w:t>below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arrangement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2012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benefit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hold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pursuant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Citizenship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Entry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Law.</w:t>
      </w:r>
    </w:p>
    <w:p w:rsidR="00B342F3" w:rsidRPr="009625F2" w:rsidRDefault="00B342F3" w:rsidP="00AC092D">
      <w:pPr>
        <w:pStyle w:val="H23G"/>
      </w:pPr>
      <w:r w:rsidRPr="009625F2">
        <w:lastRenderedPageBreak/>
        <w:tab/>
      </w:r>
      <w:r w:rsidRPr="009625F2">
        <w:tab/>
        <w:t>Parental</w:t>
      </w:r>
      <w:r w:rsidR="00C9336A" w:rsidRPr="009625F2">
        <w:t xml:space="preserve"> </w:t>
      </w:r>
      <w:r w:rsidRPr="009625F2">
        <w:t>custody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divorce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</w:p>
    <w:p w:rsidR="00B342F3" w:rsidRPr="009625F2" w:rsidRDefault="00C245C2" w:rsidP="00C245C2">
      <w:pPr>
        <w:pStyle w:val="SingleTxtG"/>
        <w:rPr>
          <w:rtl/>
        </w:rPr>
      </w:pPr>
      <w:r w:rsidRPr="009625F2">
        <w:t>125.</w:t>
      </w:r>
      <w:r w:rsidRPr="009625F2">
        <w:tab/>
      </w:r>
      <w:r w:rsidR="00B342F3" w:rsidRPr="009625F2">
        <w:t>In</w:t>
      </w:r>
      <w:r w:rsidR="00C9336A" w:rsidRPr="009625F2">
        <w:t xml:space="preserve"> </w:t>
      </w:r>
      <w:r w:rsidR="00B342F3" w:rsidRPr="009625F2">
        <w:t>recent</w:t>
      </w:r>
      <w:r w:rsidR="00C9336A" w:rsidRPr="009625F2">
        <w:t xml:space="preserve"> </w:t>
      </w:r>
      <w:r w:rsidR="00B342F3" w:rsidRPr="009625F2">
        <w:t>years,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recommendations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two</w:t>
      </w:r>
      <w:r w:rsidR="00C9336A" w:rsidRPr="009625F2">
        <w:t xml:space="preserve"> </w:t>
      </w:r>
      <w:r w:rsidR="00B342F3" w:rsidRPr="009625F2">
        <w:t>(2)</w:t>
      </w:r>
      <w:r w:rsidR="00C9336A" w:rsidRPr="009625F2">
        <w:t xml:space="preserve"> </w:t>
      </w:r>
      <w:r w:rsidR="00B342F3" w:rsidRPr="009625F2">
        <w:t>public</w:t>
      </w:r>
      <w:r w:rsidR="00C9336A" w:rsidRPr="009625F2">
        <w:t xml:space="preserve"> </w:t>
      </w:r>
      <w:r w:rsidR="00B342F3" w:rsidRPr="009625F2">
        <w:t>committees</w:t>
      </w:r>
      <w:r w:rsidR="00C9336A" w:rsidRPr="009625F2">
        <w:t xml:space="preserve"> </w:t>
      </w:r>
      <w:r w:rsidR="00B342F3" w:rsidRPr="009625F2">
        <w:t>were</w:t>
      </w:r>
      <w:r w:rsidR="00C9336A" w:rsidRPr="009625F2">
        <w:t xml:space="preserve"> </w:t>
      </w:r>
      <w:r w:rsidR="00B342F3" w:rsidRPr="009625F2">
        <w:t>submitted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Ministers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Justice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="00B342F3" w:rsidRPr="009625F2">
        <w:t>one</w:t>
      </w:r>
      <w:r w:rsidR="00C9336A" w:rsidRPr="009625F2">
        <w:t xml:space="preserve"> </w:t>
      </w:r>
      <w:r w:rsidR="00B342F3" w:rsidRPr="009625F2">
        <w:t>regarding</w:t>
      </w:r>
      <w:r w:rsidR="00C9336A" w:rsidRPr="009625F2">
        <w:t xml:space="preserve"> </w:t>
      </w:r>
      <w:r w:rsidR="00B342F3" w:rsidRPr="009625F2">
        <w:t>parental</w:t>
      </w:r>
      <w:r w:rsidR="00C9336A" w:rsidRPr="009625F2">
        <w:t xml:space="preserve"> </w:t>
      </w:r>
      <w:r w:rsidR="00B342F3" w:rsidRPr="009625F2">
        <w:t>responsibility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divorce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other</w:t>
      </w:r>
      <w:r w:rsidR="00C9336A" w:rsidRPr="009625F2">
        <w:t xml:space="preserve"> </w:t>
      </w:r>
      <w:r w:rsidR="00B342F3" w:rsidRPr="009625F2">
        <w:t>regarding</w:t>
      </w:r>
      <w:r w:rsidR="00C9336A" w:rsidRPr="009625F2">
        <w:t xml:space="preserve"> </w:t>
      </w:r>
      <w:r w:rsidR="00B342F3" w:rsidRPr="009625F2">
        <w:t>child</w:t>
      </w:r>
      <w:r w:rsidR="00C9336A" w:rsidRPr="009625F2">
        <w:t xml:space="preserve"> </w:t>
      </w:r>
      <w:r w:rsidR="00B342F3" w:rsidRPr="009625F2">
        <w:t>support.</w:t>
      </w:r>
      <w:r w:rsidR="00C9336A" w:rsidRPr="009625F2">
        <w:t xml:space="preserve"> </w:t>
      </w:r>
      <w:r w:rsidR="00B342F3" w:rsidRPr="009625F2">
        <w:t>These</w:t>
      </w:r>
      <w:r w:rsidR="00C9336A" w:rsidRPr="009625F2">
        <w:t xml:space="preserve"> </w:t>
      </w:r>
      <w:r w:rsidR="00B342F3" w:rsidRPr="009625F2">
        <w:t>recommendations</w:t>
      </w:r>
      <w:r w:rsidR="00C9336A" w:rsidRPr="009625F2">
        <w:t xml:space="preserve"> </w:t>
      </w:r>
      <w:r w:rsidR="00B342F3" w:rsidRPr="009625F2">
        <w:t>have</w:t>
      </w:r>
      <w:r w:rsidR="00C9336A" w:rsidRPr="009625F2">
        <w:t xml:space="preserve"> </w:t>
      </w:r>
      <w:r w:rsidR="00B342F3" w:rsidRPr="009625F2">
        <w:t>yet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evolve</w:t>
      </w:r>
      <w:r w:rsidR="00C9336A" w:rsidRPr="009625F2">
        <w:t xml:space="preserve"> </w:t>
      </w:r>
      <w:r w:rsidR="00B342F3" w:rsidRPr="009625F2">
        <w:t>into</w:t>
      </w:r>
      <w:r w:rsidR="00C9336A" w:rsidRPr="009625F2">
        <w:t xml:space="preserve"> </w:t>
      </w:r>
      <w:r w:rsidR="00B342F3" w:rsidRPr="009625F2">
        <w:t>law,</w:t>
      </w:r>
      <w:r w:rsidR="00C9336A" w:rsidRPr="009625F2">
        <w:t xml:space="preserve"> </w:t>
      </w:r>
      <w:r w:rsidR="00B342F3" w:rsidRPr="009625F2">
        <w:t>although</w:t>
      </w:r>
      <w:r w:rsidR="00C9336A" w:rsidRPr="009625F2">
        <w:t xml:space="preserve"> </w:t>
      </w:r>
      <w:r w:rsidR="00B342F3" w:rsidRPr="009625F2">
        <w:t>there</w:t>
      </w:r>
      <w:r w:rsidR="00C9336A" w:rsidRPr="009625F2">
        <w:t xml:space="preserve"> </w:t>
      </w:r>
      <w:r w:rsidR="00B342F3" w:rsidRPr="009625F2">
        <w:t>have</w:t>
      </w:r>
      <w:r w:rsidR="00C9336A" w:rsidRPr="009625F2">
        <w:t xml:space="preserve"> </w:t>
      </w:r>
      <w:r w:rsidR="00B342F3" w:rsidRPr="009625F2">
        <w:t>been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growing</w:t>
      </w:r>
      <w:r w:rsidR="00C9336A" w:rsidRPr="009625F2">
        <w:t xml:space="preserve"> </w:t>
      </w:r>
      <w:r w:rsidR="00B342F3" w:rsidRPr="009625F2">
        <w:t>number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judicial</w:t>
      </w:r>
      <w:r w:rsidR="00C9336A" w:rsidRPr="009625F2">
        <w:t xml:space="preserve"> </w:t>
      </w:r>
      <w:r w:rsidR="00B342F3" w:rsidRPr="009625F2">
        <w:t>decisions</w:t>
      </w:r>
      <w:r w:rsidR="00C9336A" w:rsidRPr="009625F2">
        <w:t xml:space="preserve"> </w:t>
      </w:r>
      <w:r w:rsidR="00B342F3" w:rsidRPr="009625F2">
        <w:t>that</w:t>
      </w:r>
      <w:r w:rsidR="00C9336A" w:rsidRPr="009625F2">
        <w:t xml:space="preserve"> </w:t>
      </w:r>
      <w:r w:rsidR="00B342F3" w:rsidRPr="009625F2">
        <w:t>determine</w:t>
      </w:r>
      <w:r w:rsidR="00C9336A" w:rsidRPr="009625F2">
        <w:t xml:space="preserve"> </w:t>
      </w:r>
      <w:r w:rsidR="00B342F3" w:rsidRPr="009625F2">
        <w:t>joint,</w:t>
      </w:r>
      <w:r w:rsidR="00C9336A" w:rsidRPr="009625F2">
        <w:t xml:space="preserve"> </w:t>
      </w:r>
      <w:r w:rsidR="00B342F3" w:rsidRPr="009625F2">
        <w:t>equal</w:t>
      </w:r>
      <w:r w:rsidR="00C9336A" w:rsidRPr="009625F2">
        <w:t xml:space="preserve"> </w:t>
      </w:r>
      <w:r w:rsidR="00B342F3" w:rsidRPr="009625F2">
        <w:t>or</w:t>
      </w:r>
      <w:r w:rsidR="00C9336A" w:rsidRPr="009625F2">
        <w:t xml:space="preserve"> </w:t>
      </w:r>
      <w:r w:rsidR="00B342F3" w:rsidRPr="009625F2">
        <w:t>shared</w:t>
      </w:r>
      <w:r w:rsidR="00C9336A" w:rsidRPr="009625F2">
        <w:t xml:space="preserve"> </w:t>
      </w:r>
      <w:r w:rsidR="00B342F3" w:rsidRPr="009625F2">
        <w:t>custody.</w:t>
      </w:r>
      <w:r w:rsidR="00C9336A" w:rsidRPr="009625F2">
        <w:t xml:space="preserve"> </w:t>
      </w:r>
      <w:r w:rsidR="00B342F3" w:rsidRPr="009625F2">
        <w:t>However,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most</w:t>
      </w:r>
      <w:r w:rsidR="00C9336A" w:rsidRPr="009625F2">
        <w:t xml:space="preserve"> </w:t>
      </w:r>
      <w:r w:rsidR="00B342F3" w:rsidRPr="009625F2">
        <w:t>cases,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main</w:t>
      </w:r>
      <w:r w:rsidR="00C9336A" w:rsidRPr="009625F2">
        <w:t xml:space="preserve"> </w:t>
      </w:r>
      <w:r w:rsidR="00B342F3" w:rsidRPr="009625F2">
        <w:t>guardian</w:t>
      </w:r>
      <w:r w:rsidR="00C9336A" w:rsidRPr="009625F2">
        <w:t xml:space="preserve"> </w:t>
      </w:r>
      <w:r w:rsidR="00B342F3" w:rsidRPr="009625F2">
        <w:t>remains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woman.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recent</w:t>
      </w:r>
      <w:r w:rsidR="00C9336A" w:rsidRPr="009625F2">
        <w:t xml:space="preserve"> </w:t>
      </w:r>
      <w:r w:rsidR="00B342F3" w:rsidRPr="009625F2">
        <w:t>precedential</w:t>
      </w:r>
      <w:r w:rsidR="00C9336A" w:rsidRPr="009625F2">
        <w:t xml:space="preserve"> </w:t>
      </w:r>
      <w:r w:rsidR="00B342F3" w:rsidRPr="009625F2">
        <w:t>case</w:t>
      </w:r>
      <w:r w:rsidR="00C9336A" w:rsidRPr="009625F2">
        <w:t xml:space="preserve"> </w:t>
      </w:r>
      <w:r w:rsidR="00B342F3" w:rsidRPr="009625F2">
        <w:t>on</w:t>
      </w:r>
      <w:r w:rsidR="00C9336A" w:rsidRPr="009625F2">
        <w:t xml:space="preserve"> </w:t>
      </w:r>
      <w:r w:rsidR="00B342F3" w:rsidRPr="009625F2">
        <w:t>these</w:t>
      </w:r>
      <w:r w:rsidR="00C9336A" w:rsidRPr="009625F2">
        <w:t xml:space="preserve"> </w:t>
      </w:r>
      <w:r w:rsidR="00B342F3" w:rsidRPr="009625F2">
        <w:t>issues,</w:t>
      </w:r>
      <w:r w:rsidR="00C9336A" w:rsidRPr="009625F2">
        <w:t xml:space="preserve"> </w:t>
      </w:r>
      <w:r w:rsidR="00B342F3" w:rsidRPr="009625F2">
        <w:t>see</w:t>
      </w:r>
      <w:r w:rsidR="00C9336A" w:rsidRPr="009625F2">
        <w:t xml:space="preserve"> </w:t>
      </w:r>
      <w:r w:rsidR="00B342F3" w:rsidRPr="009625F2">
        <w:t>Annex</w:t>
      </w:r>
      <w:r w:rsidR="00C9336A" w:rsidRPr="009625F2">
        <w:t xml:space="preserve"> </w:t>
      </w:r>
      <w:r w:rsidR="00B342F3" w:rsidRPr="009625F2">
        <w:t>III.</w:t>
      </w:r>
    </w:p>
    <w:p w:rsidR="00B342F3" w:rsidRPr="009625F2" w:rsidRDefault="00B342F3" w:rsidP="00AC092D">
      <w:pPr>
        <w:pStyle w:val="H23G"/>
      </w:pPr>
      <w:r w:rsidRPr="009625F2">
        <w:tab/>
      </w:r>
      <w:r w:rsidRPr="009625F2">
        <w:tab/>
        <w:t>Tender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doctrine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126.</w:t>
      </w:r>
      <w:r w:rsidRPr="009625F2">
        <w:tab/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concern</w:t>
      </w:r>
      <w:r w:rsidR="00C9336A" w:rsidRPr="009625F2">
        <w:t xml:space="preserve"> </w:t>
      </w:r>
      <w:r w:rsidRPr="009625F2">
        <w:t>that,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divorce,</w:t>
      </w:r>
      <w:r w:rsidR="00C9336A" w:rsidRPr="009625F2">
        <w:t xml:space="preserve"> </w:t>
      </w:r>
      <w:r w:rsidRPr="009625F2">
        <w:t>custody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six</w:t>
      </w:r>
      <w:r w:rsidR="00C9336A" w:rsidRPr="009625F2">
        <w:t xml:space="preserve"> </w:t>
      </w:r>
      <w:r w:rsidRPr="009625F2">
        <w:t>(6)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mothers.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clarify,</w:t>
      </w:r>
      <w:r w:rsidR="00C9336A" w:rsidRPr="009625F2">
        <w:t xml:space="preserve"> </w:t>
      </w:r>
      <w:r w:rsidRPr="009625F2">
        <w:t>where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conflict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parents,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Matters</w:t>
      </w:r>
      <w:r w:rsidR="00C9336A" w:rsidRPr="009625F2">
        <w:t xml:space="preserve"> </w:t>
      </w:r>
      <w:r w:rsidRPr="009625F2">
        <w:t>Courts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Religious</w:t>
      </w:r>
      <w:r w:rsidR="00C9336A" w:rsidRPr="009625F2">
        <w:t xml:space="preserve"> </w:t>
      </w:r>
      <w:r w:rsidRPr="009625F2">
        <w:t>Courts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obliged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consider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best</w:t>
      </w:r>
      <w:r w:rsidR="00C9336A" w:rsidRPr="009625F2">
        <w:t xml:space="preserve"> </w:t>
      </w:r>
      <w:r w:rsidRPr="009625F2">
        <w:t>interests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primary</w:t>
      </w:r>
      <w:r w:rsidR="00C9336A" w:rsidRPr="009625F2">
        <w:t xml:space="preserve"> </w:t>
      </w:r>
      <w:r w:rsidRPr="009625F2">
        <w:t>consideration.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parents</w:t>
      </w:r>
      <w:r w:rsidR="00C9336A" w:rsidRPr="009625F2">
        <w:t xml:space="preserve"> </w:t>
      </w:r>
      <w:r w:rsidRPr="009625F2">
        <w:t>share</w:t>
      </w:r>
      <w:r w:rsidR="00C9336A" w:rsidRPr="009625F2">
        <w:t xml:space="preserve"> </w:t>
      </w:r>
      <w:r w:rsidRPr="009625F2">
        <w:t>equal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responsibility</w:t>
      </w:r>
      <w:r w:rsidR="00C9336A" w:rsidRPr="009625F2">
        <w:t xml:space="preserve"> </w:t>
      </w:r>
      <w:r w:rsidRPr="009625F2">
        <w:t>towards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children.</w:t>
      </w:r>
      <w:r w:rsidR="00C9336A" w:rsidRPr="009625F2">
        <w:t xml:space="preserve"> </w:t>
      </w:r>
      <w:r w:rsidRPr="009625F2">
        <w:t>However,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enshrines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="00D311F6">
        <w:t>“</w:t>
      </w:r>
      <w:r w:rsidRPr="009625F2">
        <w:t>tender</w:t>
      </w:r>
      <w:r w:rsidR="00C9336A" w:rsidRPr="009625F2">
        <w:t xml:space="preserve"> </w:t>
      </w:r>
      <w:r w:rsidRPr="009625F2">
        <w:t>years</w:t>
      </w:r>
      <w:r w:rsidR="00D311F6">
        <w:t>”</w:t>
      </w:r>
      <w:r w:rsidR="00C9336A" w:rsidRPr="009625F2">
        <w:t xml:space="preserve"> </w:t>
      </w:r>
      <w:r w:rsidRPr="009625F2">
        <w:t>presumption</w:t>
      </w:r>
      <w:r w:rsidR="00C9336A" w:rsidRPr="009625F2">
        <w:t xml:space="preserve"> </w:t>
      </w:r>
      <w:r w:rsidRPr="009625F2">
        <w:t>whereby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six</w:t>
      </w:r>
      <w:r w:rsidR="00C9336A" w:rsidRPr="009625F2">
        <w:t xml:space="preserve"> </w:t>
      </w:r>
      <w:r w:rsidRPr="009625F2">
        <w:t>(6)</w:t>
      </w:r>
      <w:r w:rsidR="00C9336A" w:rsidRPr="009625F2">
        <w:t xml:space="preserve"> </w:t>
      </w:r>
      <w:r w:rsidRPr="009625F2">
        <w:t>should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custody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mother,</w:t>
      </w:r>
      <w:r w:rsidR="00C9336A" w:rsidRPr="009625F2">
        <w:t xml:space="preserve"> </w:t>
      </w:r>
      <w:r w:rsidRPr="009625F2">
        <w:t>unless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considers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circumstances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rule</w:t>
      </w:r>
      <w:r w:rsidR="00C9336A" w:rsidRPr="009625F2">
        <w:t xml:space="preserve"> </w:t>
      </w:r>
      <w:r w:rsidRPr="009625F2">
        <w:t>otherwise.</w:t>
      </w:r>
    </w:p>
    <w:p w:rsidR="00B342F3" w:rsidRPr="009625F2" w:rsidRDefault="00B342F3" w:rsidP="00EB53EF">
      <w:pPr>
        <w:pStyle w:val="SingleTxtG"/>
      </w:pPr>
      <w:r w:rsidRPr="009625F2">
        <w:t>127.</w:t>
      </w:r>
      <w:r w:rsidRPr="009625F2">
        <w:tab/>
        <w:t>In</w:t>
      </w:r>
      <w:r w:rsidR="00C9336A" w:rsidRPr="009625F2">
        <w:t xml:space="preserve"> </w:t>
      </w:r>
      <w:r w:rsidRPr="009625F2">
        <w:t>December</w:t>
      </w:r>
      <w:r w:rsidR="00C9336A" w:rsidRPr="009625F2">
        <w:t xml:space="preserve"> </w:t>
      </w:r>
      <w:r w:rsidRPr="009625F2">
        <w:t>2011,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cancelling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presumption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considered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determining</w:t>
      </w:r>
      <w:r w:rsidR="00C9336A" w:rsidRPr="009625F2">
        <w:t xml:space="preserve"> </w:t>
      </w:r>
      <w:r w:rsidRPr="009625F2">
        <w:t>custody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contact</w:t>
      </w:r>
      <w:r w:rsidR="00C9336A" w:rsidRPr="009625F2">
        <w:t xml:space="preserve"> </w:t>
      </w:r>
      <w:r w:rsidRPr="009625F2">
        <w:t>issues,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physical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emotional</w:t>
      </w:r>
      <w:r w:rsidR="00C9336A" w:rsidRPr="009625F2">
        <w:t xml:space="preserve"> </w:t>
      </w:r>
      <w:r w:rsidRPr="009625F2">
        <w:t>wellbeing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violence.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adopted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former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Justice,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governmental</w:t>
      </w:r>
      <w:r w:rsidR="00C9336A" w:rsidRPr="009625F2">
        <w:t xml:space="preserve"> </w:t>
      </w:r>
      <w:r w:rsidRPr="009625F2">
        <w:t>bill,</w:t>
      </w:r>
      <w:r w:rsidR="00C9336A" w:rsidRPr="009625F2">
        <w:t xml:space="preserve"> </w:t>
      </w:r>
      <w:r w:rsidRPr="009625F2">
        <w:t>but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still</w:t>
      </w:r>
      <w:r w:rsidR="00C9336A" w:rsidRPr="009625F2">
        <w:t xml:space="preserve"> </w:t>
      </w:r>
      <w:r w:rsidRPr="009625F2">
        <w:t>publicly</w:t>
      </w:r>
      <w:r w:rsidR="00C9336A" w:rsidRPr="009625F2">
        <w:t xml:space="preserve"> </w:t>
      </w:r>
      <w:r w:rsidRPr="009625F2">
        <w:t>debated.</w:t>
      </w:r>
      <w:r w:rsidR="00C9336A" w:rsidRPr="009625F2">
        <w:t xml:space="preserve"> </w:t>
      </w:r>
    </w:p>
    <w:p w:rsidR="00B342F3" w:rsidRPr="009625F2" w:rsidRDefault="00B342F3" w:rsidP="00AC092D">
      <w:pPr>
        <w:pStyle w:val="H23G"/>
      </w:pPr>
      <w:r w:rsidRPr="009625F2">
        <w:tab/>
      </w:r>
      <w:r w:rsidRPr="009625F2">
        <w:tab/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families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128.</w:t>
      </w:r>
      <w:r w:rsidRPr="009625F2">
        <w:tab/>
        <w:t>More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half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known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departments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family-related.</w:t>
      </w:r>
      <w:r w:rsidR="00C9336A" w:rsidRPr="009625F2">
        <w:t xml:space="preserve"> </w:t>
      </w:r>
      <w:r w:rsidRPr="009625F2">
        <w:t>Most</w:t>
      </w:r>
      <w:r w:rsidR="00C9336A" w:rsidRPr="009625F2">
        <w:t xml:space="preserve"> </w:t>
      </w:r>
      <w:r w:rsidRPr="009625F2">
        <w:t>therapeutic</w:t>
      </w:r>
      <w:r w:rsidR="00C9336A" w:rsidRPr="009625F2">
        <w:t xml:space="preserve"> </w:t>
      </w:r>
      <w:r w:rsidRPr="009625F2">
        <w:t>intervention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family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worker,</w:t>
      </w:r>
      <w:r w:rsidR="00C9336A" w:rsidRPr="009625F2">
        <w:t xml:space="preserve"> </w:t>
      </w:r>
      <w:r w:rsidRPr="009625F2">
        <w:t>although</w:t>
      </w:r>
      <w:r w:rsidR="00C9336A" w:rsidRPr="009625F2">
        <w:t xml:space="preserve"> </w:t>
      </w:r>
      <w:r w:rsidRPr="009625F2">
        <w:t>where</w:t>
      </w:r>
      <w:r w:rsidR="00C9336A" w:rsidRPr="009625F2">
        <w:t xml:space="preserve"> </w:t>
      </w:r>
      <w:r w:rsidRPr="009625F2">
        <w:t>needed,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referred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specialized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worker.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AC092D">
      <w:pPr>
        <w:pStyle w:val="H23G"/>
      </w:pPr>
      <w:r w:rsidRPr="009625F2">
        <w:tab/>
      </w:r>
      <w:r w:rsidRPr="009625F2">
        <w:tab/>
        <w:t>Equality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childcare</w:t>
      </w:r>
    </w:p>
    <w:p w:rsidR="00B342F3" w:rsidRPr="009625F2" w:rsidRDefault="00B342F3" w:rsidP="00EB53EF">
      <w:pPr>
        <w:pStyle w:val="SingleTxtG"/>
      </w:pPr>
      <w:r w:rsidRPr="009625F2">
        <w:t>129.</w:t>
      </w:r>
      <w:r w:rsidRPr="009625F2">
        <w:tab/>
        <w:t>Lower</w:t>
      </w:r>
      <w:r w:rsidR="00C9336A" w:rsidRPr="009625F2">
        <w:t xml:space="preserve"> </w:t>
      </w:r>
      <w:r w:rsidRPr="009625F2">
        <w:t>Contribution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Day-care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outlined</w:t>
      </w:r>
      <w:r w:rsidR="00C9336A" w:rsidRPr="009625F2">
        <w:t xml:space="preserve"> </w:t>
      </w:r>
      <w:r w:rsidRPr="009625F2">
        <w:t>below,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MoLSSaSS</w:t>
      </w:r>
      <w:r w:rsidR="00C9336A" w:rsidRPr="009625F2">
        <w:t xml:space="preserve"> </w:t>
      </w:r>
      <w:r w:rsidRPr="009625F2">
        <w:t>significantly</w:t>
      </w:r>
      <w:r w:rsidR="00C9336A" w:rsidRPr="009625F2">
        <w:t xml:space="preserve"> </w:t>
      </w:r>
      <w:r w:rsidRPr="009625F2">
        <w:t>lowered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contribution</w:t>
      </w:r>
      <w:r w:rsidR="00C9336A" w:rsidRPr="009625F2">
        <w:t xml:space="preserve"> </w:t>
      </w:r>
      <w:r w:rsidRPr="009625F2">
        <w:t>paid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parents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poor</w:t>
      </w:r>
      <w:r w:rsidR="00C9336A" w:rsidRPr="009625F2">
        <w:t xml:space="preserve"> </w:t>
      </w:r>
      <w:r w:rsidRPr="009625F2">
        <w:t>families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day-care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toddlers</w:t>
      </w:r>
      <w:r w:rsidR="00C9336A" w:rsidRPr="009625F2">
        <w:t xml:space="preserve"> </w:t>
      </w:r>
      <w:r w:rsidRPr="009625F2">
        <w:t>at-risk.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130.</w:t>
      </w:r>
      <w:r w:rsidRPr="009625F2">
        <w:tab/>
        <w:t>Day-care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communities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day-care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localities,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6</w:t>
      </w:r>
      <w:r w:rsidR="00C9336A" w:rsidRPr="009625F2">
        <w:t xml:space="preserve"> </w:t>
      </w:r>
      <w:r w:rsidRPr="009625F2">
        <w:t>above.</w:t>
      </w:r>
    </w:p>
    <w:p w:rsidR="00B342F3" w:rsidRPr="009625F2" w:rsidRDefault="00B342F3" w:rsidP="00AC092D">
      <w:pPr>
        <w:pStyle w:val="H23G"/>
      </w:pPr>
      <w:r w:rsidRPr="009625F2">
        <w:tab/>
      </w:r>
      <w:r w:rsidRPr="009625F2">
        <w:tab/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131.</w:t>
      </w:r>
      <w:r w:rsidRPr="009625F2">
        <w:tab/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remain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normal</w:t>
      </w:r>
      <w:r w:rsidR="00C9336A" w:rsidRPr="009625F2">
        <w:t xml:space="preserve"> </w:t>
      </w:r>
      <w:r w:rsidRPr="009625F2">
        <w:t>living</w:t>
      </w:r>
      <w:r w:rsidR="00C9336A" w:rsidRPr="009625F2">
        <w:t xml:space="preserve"> </w:t>
      </w:r>
      <w:r w:rsidRPr="009625F2">
        <w:t>environment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long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possible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centers,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enrichment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="00D311F6">
        <w:t>“</w:t>
      </w:r>
      <w:r w:rsidRPr="009625F2">
        <w:t>Supportive</w:t>
      </w:r>
      <w:r w:rsidR="00C9336A" w:rsidRPr="009625F2">
        <w:t xml:space="preserve"> </w:t>
      </w:r>
      <w:r w:rsidRPr="009625F2">
        <w:t>Community</w:t>
      </w:r>
      <w:r w:rsidR="00D311F6">
        <w:t>”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hot-line,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counsellor.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132.</w:t>
      </w:r>
      <w:r w:rsidRPr="009625F2">
        <w:tab/>
        <w:t>For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call</w:t>
      </w:r>
      <w:r w:rsidR="00C9336A" w:rsidRPr="009625F2">
        <w:t xml:space="preserve"> </w:t>
      </w:r>
      <w:r w:rsidRPr="009625F2">
        <w:t>center,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below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="00D311F6">
        <w:t>“</w:t>
      </w:r>
      <w:r w:rsidRPr="009625F2">
        <w:t>Economic,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D311F6">
        <w:t>”</w:t>
      </w:r>
      <w:r w:rsidRPr="009625F2">
        <w:t>.</w:t>
      </w:r>
    </w:p>
    <w:p w:rsidR="00B342F3" w:rsidRPr="009625F2" w:rsidRDefault="00B342F3" w:rsidP="00AC092D">
      <w:pPr>
        <w:pStyle w:val="H23G"/>
      </w:pPr>
      <w:r w:rsidRPr="009625F2">
        <w:tab/>
      </w:r>
      <w:r w:rsidRPr="009625F2">
        <w:tab/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people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133.</w:t>
      </w:r>
      <w:r w:rsidRPr="009625F2">
        <w:tab/>
        <w:t>A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up-to-date</w:t>
      </w:r>
      <w:r w:rsidR="00C9336A" w:rsidRPr="009625F2">
        <w:t xml:space="preserve"> </w:t>
      </w:r>
      <w:r w:rsidRPr="009625F2">
        <w:t>account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PWD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live</w:t>
      </w:r>
      <w:r w:rsidR="00C9336A" w:rsidRPr="009625F2">
        <w:t xml:space="preserve"> </w:t>
      </w:r>
      <w:r w:rsidRPr="009625F2">
        <w:t>independently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initial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CRPD,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2017.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highlights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main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AC092D">
      <w:pPr>
        <w:pStyle w:val="H23G"/>
      </w:pPr>
      <w:r w:rsidRPr="009625F2">
        <w:tab/>
      </w:r>
      <w:r w:rsidRPr="009625F2">
        <w:tab/>
        <w:t>Health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134.</w:t>
      </w:r>
      <w:r w:rsidRPr="009625F2">
        <w:tab/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facilities,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12.</w:t>
      </w:r>
    </w:p>
    <w:p w:rsidR="00B342F3" w:rsidRPr="009625F2" w:rsidRDefault="00B342F3" w:rsidP="00AC092D">
      <w:pPr>
        <w:pStyle w:val="H23G"/>
      </w:pPr>
      <w:r w:rsidRPr="009625F2">
        <w:lastRenderedPageBreak/>
        <w:tab/>
      </w:r>
      <w:r w:rsidRPr="009625F2">
        <w:tab/>
        <w:t>Maternity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135.</w:t>
      </w:r>
      <w:r w:rsidRPr="009625F2">
        <w:tab/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recently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detail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sixth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CEDAW</w:t>
      </w:r>
      <w:r w:rsidR="00C9336A" w:rsidRPr="009625F2">
        <w:t xml:space="preserve"> </w:t>
      </w:r>
      <w:r w:rsidRPr="009625F2">
        <w:t>committee.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updates.</w:t>
      </w:r>
    </w:p>
    <w:p w:rsidR="00B342F3" w:rsidRPr="009625F2" w:rsidRDefault="00B342F3" w:rsidP="00EB53EF">
      <w:pPr>
        <w:pStyle w:val="SingleTxtG"/>
      </w:pPr>
      <w:r w:rsidRPr="009625F2">
        <w:t>136.</w:t>
      </w:r>
      <w:r w:rsidRPr="009625F2">
        <w:tab/>
        <w:t>Extension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2010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Women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extended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26</w:t>
      </w:r>
      <w:r w:rsidR="00C9336A" w:rsidRPr="009625F2">
        <w:t xml:space="preserve"> </w:t>
      </w:r>
      <w:r w:rsidRPr="009625F2">
        <w:t>weeks,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14</w:t>
      </w:r>
      <w:r w:rsidR="00C9336A" w:rsidRPr="009625F2">
        <w:t xml:space="preserve"> </w:t>
      </w:r>
      <w:r w:rsidRPr="009625F2">
        <w:t>remained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payment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12</w:t>
      </w:r>
      <w:r w:rsidR="00C9336A" w:rsidRPr="009625F2">
        <w:t xml:space="preserve"> </w:t>
      </w:r>
      <w:r w:rsidRPr="009625F2">
        <w:t>without.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prohibited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firing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employee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extended</w:t>
      </w:r>
      <w:r w:rsidR="00C9336A" w:rsidRPr="009625F2">
        <w:t xml:space="preserve"> </w:t>
      </w:r>
      <w:r w:rsidRPr="009625F2">
        <w:t>period.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amendment,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March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extended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allowance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paid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14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15</w:t>
      </w:r>
      <w:r w:rsidR="00C9336A" w:rsidRPr="009625F2">
        <w:t xml:space="preserve"> </w:t>
      </w:r>
      <w:r w:rsidRPr="009625F2">
        <w:t>weeks.</w:t>
      </w:r>
    </w:p>
    <w:p w:rsidR="00B342F3" w:rsidRPr="009625F2" w:rsidRDefault="00B342F3" w:rsidP="00EB53EF">
      <w:pPr>
        <w:pStyle w:val="SingleTxtG"/>
      </w:pPr>
      <w:r w:rsidRPr="009625F2">
        <w:t>137.</w:t>
      </w:r>
      <w:r w:rsidRPr="009625F2">
        <w:tab/>
        <w:t>Parental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father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now</w:t>
      </w:r>
      <w:r w:rsidR="00C9336A" w:rsidRPr="009625F2">
        <w:t xml:space="preserve"> </w:t>
      </w:r>
      <w:r w:rsidRPr="009625F2">
        <w:t>take</w:t>
      </w:r>
      <w:r w:rsidR="00C9336A" w:rsidRPr="009625F2">
        <w:t xml:space="preserve"> </w:t>
      </w:r>
      <w:r w:rsidRPr="009625F2">
        <w:t>paid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weeks</w:t>
      </w:r>
      <w:r w:rsidR="00C9336A" w:rsidRPr="009625F2">
        <w:t xml:space="preserve"> </w:t>
      </w:r>
      <w:r w:rsidRPr="009625F2">
        <w:t>(instead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weeks).</w:t>
      </w:r>
      <w:r w:rsidR="00C9336A" w:rsidRPr="009625F2">
        <w:t xml:space="preserve"> </w:t>
      </w:r>
      <w:r w:rsidRPr="009625F2">
        <w:t>Furthermore,</w:t>
      </w:r>
      <w:r w:rsidR="00C9336A" w:rsidRPr="009625F2">
        <w:t xml:space="preserve"> </w:t>
      </w:r>
      <w:r w:rsidRPr="009625F2">
        <w:t>he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take</w:t>
      </w:r>
      <w:r w:rsidR="00C9336A" w:rsidRPr="009625F2">
        <w:t xml:space="preserve"> </w:t>
      </w:r>
      <w:r w:rsidRPr="009625F2">
        <w:t>seven</w:t>
      </w:r>
      <w:r w:rsidR="00C9336A" w:rsidRPr="009625F2">
        <w:t xml:space="preserve"> </w:t>
      </w:r>
      <w:r w:rsidRPr="009625F2">
        <w:t>(7)</w:t>
      </w:r>
      <w:r w:rsidR="00C9336A" w:rsidRPr="009625F2">
        <w:t xml:space="preserve"> </w:t>
      </w:r>
      <w:r w:rsidRPr="009625F2">
        <w:t>days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simultaneously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his</w:t>
      </w:r>
      <w:r w:rsidR="00C9336A" w:rsidRPr="009625F2">
        <w:t xml:space="preserve"> </w:t>
      </w:r>
      <w:r w:rsidRPr="009625F2">
        <w:t>wife,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Also,</w:t>
      </w:r>
      <w:r w:rsidR="00C9336A" w:rsidRPr="009625F2">
        <w:t xml:space="preserve"> </w:t>
      </w:r>
      <w:r w:rsidR="001A2002"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60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2018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Women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mother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gave</w:t>
      </w:r>
      <w:r w:rsidR="00C9336A" w:rsidRPr="009625F2">
        <w:t xml:space="preserve"> </w:t>
      </w:r>
      <w:r w:rsidRPr="009625F2">
        <w:t>birth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multiple</w:t>
      </w:r>
      <w:r w:rsidR="00C9336A" w:rsidRPr="009625F2">
        <w:t xml:space="preserve"> </w:t>
      </w:r>
      <w:r w:rsidRPr="009625F2">
        <w:t>delivery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extend</w:t>
      </w:r>
      <w:r w:rsidR="00C9336A" w:rsidRPr="009625F2">
        <w:t xml:space="preserve"> </w:t>
      </w:r>
      <w:r w:rsidRPr="009625F2">
        <w:t>her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weeks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born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delivery</w:t>
      </w:r>
      <w:r w:rsidR="00C9336A" w:rsidRPr="009625F2">
        <w:t xml:space="preserve"> </w:t>
      </w:r>
      <w:r w:rsidRPr="009625F2">
        <w:t>(from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second</w:t>
      </w:r>
      <w:r w:rsidR="00C9336A" w:rsidRPr="009625F2">
        <w:t xml:space="preserve"> </w:t>
      </w:r>
      <w:r w:rsidRPr="009625F2">
        <w:t>one).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spouse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mother.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138.</w:t>
      </w:r>
      <w:r w:rsidRPr="009625F2">
        <w:tab/>
        <w:t>An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5755-1955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employee</w:t>
      </w:r>
      <w:r w:rsidR="00C9336A" w:rsidRPr="009625F2">
        <w:t xml:space="preserve"> </w:t>
      </w:r>
      <w:r w:rsidRPr="009625F2">
        <w:t>whose</w:t>
      </w:r>
      <w:r w:rsidR="00C9336A" w:rsidRPr="009625F2">
        <w:t xml:space="preserve"> </w:t>
      </w:r>
      <w:r w:rsidRPr="009625F2">
        <w:t>wife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self-employed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lieu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his</w:t>
      </w:r>
      <w:r w:rsidR="00C9336A" w:rsidRPr="009625F2">
        <w:t xml:space="preserve"> </w:t>
      </w:r>
      <w:r w:rsidRPr="009625F2">
        <w:t>wife.</w:t>
      </w:r>
      <w:r w:rsidR="00C9336A" w:rsidRPr="009625F2">
        <w:t xml:space="preserve"> </w:t>
      </w:r>
      <w:r w:rsidRPr="009625F2">
        <w:t>Note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allows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granting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certain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holding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(A/5,</w:t>
      </w:r>
      <w:r w:rsidR="00C9336A" w:rsidRPr="009625F2">
        <w:t xml:space="preserve"> </w:t>
      </w:r>
      <w:r w:rsidRPr="009625F2">
        <w:t>A/2,</w:t>
      </w:r>
      <w:r w:rsidR="00C9336A" w:rsidRPr="009625F2">
        <w:t xml:space="preserve"> </w:t>
      </w:r>
      <w:r w:rsidRPr="009625F2">
        <w:t>A/2,</w:t>
      </w:r>
      <w:r w:rsidR="00C9336A" w:rsidRPr="009625F2">
        <w:t xml:space="preserve"> </w:t>
      </w:r>
      <w:r w:rsidRPr="009625F2">
        <w:t>A/4)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previously</w:t>
      </w:r>
      <w:r w:rsidR="00C9336A" w:rsidRPr="009625F2">
        <w:t xml:space="preserve"> </w:t>
      </w:r>
      <w:r w:rsidRPr="009625F2">
        <w:t>required</w:t>
      </w:r>
      <w:r w:rsidR="00C9336A" w:rsidRPr="009625F2">
        <w:t xml:space="preserve"> </w:t>
      </w:r>
      <w:r w:rsidRPr="009625F2">
        <w:t>waiting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pf</w:t>
      </w:r>
      <w:r w:rsidR="00C9336A" w:rsidRPr="009625F2">
        <w:t xml:space="preserve"> </w:t>
      </w:r>
      <w:r w:rsidRPr="009625F2">
        <w:t>183</w:t>
      </w:r>
      <w:r w:rsidR="00C9336A" w:rsidRPr="009625F2">
        <w:t xml:space="preserve"> </w:t>
      </w:r>
      <w:r w:rsidRPr="009625F2">
        <w:t>days.</w:t>
      </w:r>
    </w:p>
    <w:p w:rsidR="00B342F3" w:rsidRPr="009625F2" w:rsidRDefault="00B342F3" w:rsidP="00EB53EF">
      <w:pPr>
        <w:pStyle w:val="SingleTxtG"/>
      </w:pPr>
      <w:r w:rsidRPr="009625F2">
        <w:t>139.</w:t>
      </w:r>
      <w:r w:rsidRPr="009625F2">
        <w:tab/>
        <w:t>Additional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pregnant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dismissal,</w:t>
      </w:r>
      <w:r w:rsidR="00C9336A" w:rsidRPr="009625F2">
        <w:t xml:space="preserve"> </w:t>
      </w:r>
      <w:r w:rsidRPr="009625F2">
        <w:t>absence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spouse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birth,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event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infant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hospitalized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absence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due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fertility</w:t>
      </w:r>
      <w:r w:rsidR="00C9336A" w:rsidRPr="009625F2">
        <w:t xml:space="preserve"> </w:t>
      </w:r>
      <w:r w:rsidRPr="009625F2">
        <w:t>treatment,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140.</w:t>
      </w:r>
      <w:r w:rsidRPr="009625F2">
        <w:tab/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event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birth,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leave,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9.</w:t>
      </w:r>
    </w:p>
    <w:p w:rsidR="00B342F3" w:rsidRPr="009625F2" w:rsidRDefault="00B342F3" w:rsidP="00EB53EF">
      <w:pPr>
        <w:pStyle w:val="SingleTxtG"/>
      </w:pPr>
      <w:r w:rsidRPr="009625F2">
        <w:t>141.</w:t>
      </w:r>
      <w:r w:rsidRPr="009625F2">
        <w:tab/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pregnant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Subsequent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Justice</w:t>
      </w:r>
      <w:r w:rsidR="00C9336A" w:rsidRPr="009625F2">
        <w:t xml:space="preserve"> </w:t>
      </w:r>
      <w:r w:rsidRPr="009625F2">
        <w:t>(HCJ)</w:t>
      </w:r>
      <w:r w:rsidR="00C9336A" w:rsidRPr="009625F2">
        <w:t xml:space="preserve"> </w:t>
      </w:r>
      <w:r w:rsidRPr="009625F2">
        <w:t>ruling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matter,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Immigration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(PIBA)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2013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="00D311F6">
        <w:t>“</w:t>
      </w:r>
      <w:r w:rsidRPr="009625F2">
        <w:t>Procedure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Pregnant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D311F6">
        <w:t>”</w:t>
      </w:r>
      <w:r w:rsidR="00C9336A" w:rsidRPr="009625F2">
        <w:t xml:space="preserve"> </w:t>
      </w:r>
      <w:r w:rsidRPr="009625F2">
        <w:t>whereby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legally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pregnant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remain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procedure.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female</w:t>
      </w:r>
      <w:r w:rsidR="00C9336A" w:rsidRPr="009625F2">
        <w:t xml:space="preserve"> </w:t>
      </w:r>
      <w:r w:rsidRPr="009625F2">
        <w:t>worker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gave</w:t>
      </w:r>
      <w:r w:rsidR="00C9336A" w:rsidRPr="009625F2">
        <w:t xml:space="preserve"> </w:t>
      </w:r>
      <w:r w:rsidRPr="009625F2">
        <w:t>birth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her</w:t>
      </w:r>
      <w:r w:rsidR="00C9336A" w:rsidRPr="009625F2">
        <w:t xml:space="preserve"> </w:t>
      </w:r>
      <w:r w:rsidRPr="009625F2">
        <w:t>first</w:t>
      </w:r>
      <w:r w:rsidR="00C9336A" w:rsidRPr="009625F2">
        <w:t xml:space="preserve"> </w:t>
      </w:r>
      <w:r w:rsidRPr="009625F2">
        <w:t>63</w:t>
      </w:r>
      <w:r w:rsidR="00C9336A" w:rsidRPr="009625F2">
        <w:t xml:space="preserve"> </w:t>
      </w:r>
      <w:r w:rsidRPr="009625F2">
        <w:t>months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choose</w:t>
      </w:r>
      <w:r w:rsidR="00C9336A" w:rsidRPr="009625F2">
        <w:t xml:space="preserve"> </w:t>
      </w:r>
      <w:r w:rsidRPr="009625F2">
        <w:t>either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leave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return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continue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prolong</w:t>
      </w:r>
      <w:r w:rsidR="00C9336A" w:rsidRPr="009625F2">
        <w:t xml:space="preserve"> </w:t>
      </w:r>
      <w:r w:rsidRPr="009625F2">
        <w:t>her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child,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63</w:t>
      </w:r>
      <w:r w:rsidR="00C9336A" w:rsidRPr="009625F2">
        <w:t xml:space="preserve"> </w:t>
      </w:r>
      <w:r w:rsidRPr="009625F2">
        <w:t>months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having</w:t>
      </w:r>
      <w:r w:rsidR="00C9336A" w:rsidRPr="009625F2">
        <w:t xml:space="preserve"> </w:t>
      </w:r>
      <w:r w:rsidRPr="009625F2">
        <w:t>first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B1</w:t>
      </w:r>
      <w:r w:rsidR="00C9336A" w:rsidRPr="009625F2">
        <w:t xml:space="preserve"> </w:t>
      </w:r>
      <w:r w:rsidRPr="009625F2">
        <w:t>visiting</w:t>
      </w:r>
      <w:r w:rsidR="00C9336A" w:rsidRPr="009625F2">
        <w:t xml:space="preserve"> </w:t>
      </w:r>
      <w:r w:rsidRPr="009625F2">
        <w:t>visa.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ruling,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096895">
      <w:pPr>
        <w:pStyle w:val="H23G"/>
      </w:pPr>
      <w:r w:rsidRPr="009625F2">
        <w:tab/>
      </w:r>
      <w:r w:rsidRPr="009625F2">
        <w:tab/>
        <w:t>Paid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142.</w:t>
      </w:r>
      <w:r w:rsidRPr="009625F2">
        <w:tab/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legislated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143.</w:t>
      </w:r>
      <w:r w:rsidRPr="009625F2">
        <w:tab/>
        <w:t>Youth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5713-1953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mentioned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reports,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prohibits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15.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augmented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afforded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youth.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144.</w:t>
      </w:r>
      <w:r w:rsidRPr="009625F2">
        <w:tab/>
        <w:t>Additional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workplace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145.</w:t>
      </w:r>
      <w:r w:rsidRPr="009625F2">
        <w:tab/>
        <w:t>Enforcement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summer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MoEI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nationwide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campaign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laws,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emphasis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event</w:t>
      </w:r>
      <w:r w:rsidR="00C9336A" w:rsidRPr="009625F2">
        <w:t xml:space="preserve"> </w:t>
      </w:r>
      <w:r w:rsidRPr="009625F2">
        <w:t>halls.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MoEI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publicity</w:t>
      </w:r>
      <w:r w:rsidR="00C9336A" w:rsidRPr="009625F2">
        <w:t xml:space="preserve"> </w:t>
      </w:r>
      <w:r w:rsidRPr="009625F2">
        <w:t>campaign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employers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reinforce</w:t>
      </w:r>
      <w:r w:rsidR="00C9336A" w:rsidRPr="009625F2">
        <w:t xml:space="preserve"> </w:t>
      </w:r>
      <w:r w:rsidRPr="009625F2">
        <w:t>compliance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rPr>
          <w:i/>
          <w:iCs/>
        </w:rPr>
        <w:t>Youth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Employment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Law</w:t>
      </w:r>
      <w:r w:rsidRPr="009625F2">
        <w:t>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096895">
      <w:pPr>
        <w:pStyle w:val="H23G"/>
      </w:pPr>
      <w:r w:rsidRPr="009625F2">
        <w:tab/>
      </w:r>
      <w:r w:rsidRPr="009625F2">
        <w:tab/>
        <w:t>Economic,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146.</w:t>
      </w:r>
      <w:r w:rsidRPr="009625F2">
        <w:tab/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almost</w:t>
      </w:r>
      <w:r w:rsidR="00C9336A" w:rsidRPr="009625F2">
        <w:t xml:space="preserve"> </w:t>
      </w:r>
      <w:r w:rsidRPr="009625F2">
        <w:t>940,000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(ages</w:t>
      </w:r>
      <w:r w:rsidR="00C9336A" w:rsidRPr="009625F2">
        <w:t xml:space="preserve"> </w:t>
      </w:r>
      <w:r w:rsidRPr="009625F2">
        <w:t>65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over)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approximately</w:t>
      </w:r>
      <w:r w:rsidR="00C9336A" w:rsidRPr="009625F2">
        <w:t xml:space="preserve"> </w:t>
      </w:r>
      <w:r w:rsidRPr="009625F2">
        <w:t>11.1%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overall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95%</w:t>
      </w:r>
      <w:r w:rsidR="00C9336A" w:rsidRPr="009625F2">
        <w:t xml:space="preserve"> </w:t>
      </w:r>
      <w:r w:rsidRPr="009625F2">
        <w:t>reside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community.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lastRenderedPageBreak/>
        <w:t>147.</w:t>
      </w:r>
      <w:r w:rsidRPr="009625F2">
        <w:tab/>
        <w:t>Government</w:t>
      </w:r>
      <w:r w:rsidR="00C9336A" w:rsidRPr="009625F2">
        <w:t xml:space="preserve"> </w:t>
      </w:r>
      <w:r w:rsidRPr="009625F2">
        <w:t>Call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="00E020A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(MoSE)</w:t>
      </w:r>
      <w:r w:rsidR="00C9336A" w:rsidRPr="009625F2">
        <w:t xml:space="preserve"> </w:t>
      </w:r>
      <w:r w:rsidRPr="009625F2">
        <w:t>runs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call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advice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matters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socio-economic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148.</w:t>
      </w:r>
      <w:r w:rsidRPr="009625F2">
        <w:tab/>
        <w:t>The</w:t>
      </w:r>
      <w:r w:rsidR="00C9336A" w:rsidRPr="009625F2">
        <w:t xml:space="preserve"> </w:t>
      </w:r>
      <w:r w:rsidRPr="009625F2">
        <w:t>call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persons,</w:t>
      </w:r>
      <w:r w:rsidR="00C9336A" w:rsidRPr="009625F2">
        <w:t xml:space="preserve"> </w:t>
      </w:r>
      <w:r w:rsidRPr="009625F2">
        <w:t>maintains</w:t>
      </w:r>
      <w:r w:rsidR="00C9336A" w:rsidRPr="009625F2">
        <w:t xml:space="preserve"> </w:t>
      </w:r>
      <w:r w:rsidRPr="009625F2">
        <w:t>contact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welfare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Police,</w:t>
      </w:r>
      <w:r w:rsidR="00C9336A" w:rsidRPr="009625F2">
        <w:t xml:space="preserve"> </w:t>
      </w:r>
      <w:r w:rsidRPr="009625F2">
        <w:t>relaying</w:t>
      </w:r>
      <w:r w:rsidR="00C9336A" w:rsidRPr="009625F2">
        <w:t xml:space="preserve"> </w:t>
      </w:r>
      <w:r w:rsidRPr="009625F2">
        <w:t>information,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possible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exploitation.</w:t>
      </w:r>
    </w:p>
    <w:p w:rsidR="00B342F3" w:rsidRPr="009625F2" w:rsidRDefault="00B342F3" w:rsidP="00143A50">
      <w:pPr>
        <w:pStyle w:val="SingleTxtG"/>
      </w:pPr>
      <w:r w:rsidRPr="009625F2">
        <w:t>149.</w:t>
      </w:r>
      <w:r w:rsidRPr="009625F2">
        <w:tab/>
        <w:t>Public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="00957C11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5750-1989</w:t>
      </w:r>
      <w:r w:rsidR="00C9336A" w:rsidRPr="009625F2">
        <w:t xml:space="preserve"> </w:t>
      </w:r>
      <w:r w:rsidRPr="009625F2">
        <w:t>mandates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queue</w:t>
      </w:r>
      <w:r w:rsidR="00C9336A" w:rsidRPr="009625F2">
        <w:t xml:space="preserve"> </w:t>
      </w:r>
      <w:r w:rsidRPr="009625F2">
        <w:t>(for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post</w:t>
      </w:r>
      <w:r w:rsidR="00C9336A" w:rsidRPr="009625F2">
        <w:t xml:space="preserve"> </w:t>
      </w:r>
      <w:r w:rsidRPr="009625F2">
        <w:t>office,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offices</w:t>
      </w:r>
      <w:r w:rsidR="00C9336A" w:rsidRPr="009625F2">
        <w:t xml:space="preserve"> </w:t>
      </w:r>
      <w:r w:rsidRPr="009625F2">
        <w:t>etc.)</w:t>
      </w:r>
      <w:r w:rsidR="00C9336A" w:rsidRPr="009625F2">
        <w:t xml:space="preserve"> </w:t>
      </w:r>
      <w:r w:rsidRPr="009625F2">
        <w:t>shall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person</w:t>
      </w:r>
      <w:r w:rsidR="00C9336A" w:rsidRPr="009625F2">
        <w:t xml:space="preserve"> </w:t>
      </w:r>
      <w:r w:rsidRPr="009625F2">
        <w:t>above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80,</w:t>
      </w:r>
      <w:r w:rsidR="00C9336A" w:rsidRPr="009625F2">
        <w:t xml:space="preserve"> </w:t>
      </w:r>
      <w:r w:rsidRPr="009625F2">
        <w:t>upon</w:t>
      </w:r>
      <w:r w:rsidR="00C9336A" w:rsidRPr="009625F2">
        <w:t xml:space="preserve"> </w:t>
      </w:r>
      <w:r w:rsidRPr="009625F2">
        <w:t>request,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queue.</w:t>
      </w:r>
    </w:p>
    <w:p w:rsidR="00B342F3" w:rsidRPr="009625F2" w:rsidRDefault="00B342F3" w:rsidP="00EB53EF">
      <w:pPr>
        <w:pStyle w:val="SingleTxtG"/>
      </w:pPr>
      <w:r w:rsidRPr="009625F2">
        <w:t>150.</w:t>
      </w:r>
      <w:r w:rsidRPr="009625F2">
        <w:tab/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benefits,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aid,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continuing</w:t>
      </w:r>
      <w:r w:rsidR="00C9336A" w:rsidRPr="009625F2">
        <w:t xml:space="preserve"> </w:t>
      </w:r>
      <w:r w:rsidRPr="009625F2">
        <w:t>education,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Articles</w:t>
      </w:r>
      <w:r w:rsidR="00C9336A" w:rsidRPr="009625F2">
        <w:t xml:space="preserve"> </w:t>
      </w:r>
      <w:r w:rsidRPr="009625F2">
        <w:t>6,</w:t>
      </w:r>
      <w:r w:rsidR="00C9336A" w:rsidRPr="009625F2">
        <w:t xml:space="preserve"> </w:t>
      </w:r>
      <w:r w:rsidRPr="009625F2">
        <w:t>9,</w:t>
      </w:r>
      <w:r w:rsidR="00C9336A" w:rsidRPr="009625F2">
        <w:t xml:space="preserve"> </w:t>
      </w:r>
      <w:r w:rsidRPr="009625F2">
        <w:t>10,</w:t>
      </w:r>
      <w:r w:rsidR="00C9336A" w:rsidRPr="009625F2">
        <w:t xml:space="preserve"> </w:t>
      </w:r>
      <w:r w:rsidRPr="009625F2">
        <w:t>11B,</w:t>
      </w:r>
      <w:r w:rsidR="00C9336A" w:rsidRPr="009625F2">
        <w:t xml:space="preserve"> </w:t>
      </w:r>
      <w:r w:rsidRPr="009625F2">
        <w:t>12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13.</w:t>
      </w:r>
    </w:p>
    <w:p w:rsidR="00B342F3" w:rsidRPr="009625F2" w:rsidRDefault="00B342F3" w:rsidP="00096895">
      <w:pPr>
        <w:pStyle w:val="H23G"/>
      </w:pPr>
      <w:r w:rsidRPr="009625F2">
        <w:tab/>
      </w:r>
      <w:r w:rsidRPr="009625F2">
        <w:tab/>
        <w:t>Programs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abuse,</w:t>
      </w:r>
      <w:r w:rsidR="00C9336A" w:rsidRPr="009625F2">
        <w:t xml:space="preserve"> </w:t>
      </w:r>
      <w:r w:rsidRPr="009625F2">
        <w:t>abandonment,</w:t>
      </w:r>
      <w:r w:rsidR="00C9336A" w:rsidRPr="009625F2">
        <w:t xml:space="preserve"> </w:t>
      </w:r>
      <w:r w:rsidRPr="009625F2">
        <w:t>negligence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ill-treatment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151.</w:t>
      </w:r>
      <w:r w:rsidRPr="009625F2">
        <w:tab/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55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(out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255)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units</w:t>
      </w:r>
      <w:r w:rsidR="00C9336A" w:rsidRPr="009625F2">
        <w:t xml:space="preserve"> </w:t>
      </w:r>
      <w:r w:rsidRPr="009625F2">
        <w:t>dedicated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handling</w:t>
      </w:r>
      <w:r w:rsidR="00C9336A" w:rsidRPr="009625F2">
        <w:t xml:space="preserve"> </w:t>
      </w:r>
      <w:r w:rsidRPr="009625F2">
        <w:t>mistreatment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persons.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specialize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locating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identifying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abuse,</w:t>
      </w:r>
      <w:r w:rsidR="00C9336A" w:rsidRPr="009625F2">
        <w:t xml:space="preserve"> </w:t>
      </w:r>
      <w:r w:rsidRPr="009625F2">
        <w:t>treating</w:t>
      </w:r>
      <w:r w:rsidR="00C9336A" w:rsidRPr="009625F2">
        <w:t xml:space="preserve"> </w:t>
      </w:r>
      <w:r w:rsidRPr="009625F2">
        <w:t>them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members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handling</w:t>
      </w:r>
      <w:r w:rsidR="00C9336A" w:rsidRPr="009625F2">
        <w:t xml:space="preserve"> </w:t>
      </w:r>
      <w:r w:rsidRPr="009625F2">
        <w:t>offenders.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5,318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treated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units.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refer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immediate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respite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or,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need</w:t>
      </w:r>
      <w:r w:rsidR="00C9336A" w:rsidRPr="009625F2">
        <w:t xml:space="preserve"> </w:t>
      </w:r>
      <w:r w:rsidRPr="009625F2">
        <w:t>be,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nursing</w:t>
      </w:r>
      <w:r w:rsidR="00C9336A" w:rsidRPr="009625F2">
        <w:t xml:space="preserve"> </w:t>
      </w:r>
      <w:r w:rsidRPr="009625F2">
        <w:t>homes.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152.</w:t>
      </w:r>
      <w:r w:rsidRPr="009625F2">
        <w:tab/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identification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abuse,</w:t>
      </w:r>
      <w:r w:rsidR="00C9336A" w:rsidRPr="009625F2">
        <w:t xml:space="preserve"> </w:t>
      </w:r>
      <w:r w:rsidRPr="009625F2">
        <w:t>inheritance</w:t>
      </w:r>
      <w:r w:rsidR="00C9336A" w:rsidRPr="009625F2">
        <w:t xml:space="preserve"> </w:t>
      </w:r>
      <w:r w:rsidRPr="009625F2">
        <w:t>planning,</w:t>
      </w:r>
      <w:r w:rsidR="00C9336A" w:rsidRPr="009625F2">
        <w:t xml:space="preserve"> </w:t>
      </w:r>
      <w:r w:rsidRPr="009625F2">
        <w:t>personal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community,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NGOs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field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criminal</w:t>
      </w:r>
      <w:r w:rsidR="00C9336A" w:rsidRPr="009625F2">
        <w:t xml:space="preserve"> </w:t>
      </w:r>
      <w:r w:rsidRPr="009625F2">
        <w:t>proceedings,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96895">
      <w:pPr>
        <w:pStyle w:val="H23G"/>
      </w:pPr>
      <w:r w:rsidRPr="009625F2">
        <w:tab/>
      </w:r>
      <w:r w:rsidRPr="009625F2">
        <w:tab/>
        <w:t>Economic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153.</w:t>
      </w:r>
      <w:r w:rsidRPr="009625F2">
        <w:tab/>
        <w:t>General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granted</w:t>
      </w:r>
      <w:r w:rsidR="00C9336A" w:rsidRPr="009625F2">
        <w:t xml:space="preserve"> </w:t>
      </w:r>
      <w:r w:rsidRPr="009625F2">
        <w:t>refugee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residency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eligible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rights.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154.</w:t>
      </w:r>
      <w:r w:rsidRPr="009625F2">
        <w:tab/>
        <w:t>Social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  <w:r w:rsidRPr="009625F2">
        <w:t>whose</w:t>
      </w:r>
      <w:r w:rsidR="00C9336A" w:rsidRPr="009625F2">
        <w:t xml:space="preserve"> </w:t>
      </w:r>
      <w:r w:rsidRPr="009625F2">
        <w:t>requests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deliberation,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employed,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branches,</w:t>
      </w:r>
      <w:r w:rsidR="00C9336A" w:rsidRPr="009625F2">
        <w:t xml:space="preserve"> </w:t>
      </w:r>
      <w:r w:rsidRPr="009625F2">
        <w:t>like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non-residents.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9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details.</w:t>
      </w:r>
    </w:p>
    <w:p w:rsidR="00B342F3" w:rsidRPr="009625F2" w:rsidRDefault="00B342F3" w:rsidP="00EB53EF">
      <w:pPr>
        <w:pStyle w:val="SingleTxtG"/>
      </w:pPr>
      <w:r w:rsidRPr="009625F2">
        <w:t>155.</w:t>
      </w:r>
      <w:r w:rsidRPr="009625F2">
        <w:tab/>
        <w:t>Health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12.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156.</w:t>
      </w:r>
      <w:r w:rsidRPr="009625F2">
        <w:tab/>
        <w:t>Education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5709-1949</w:t>
      </w:r>
      <w:r w:rsidR="00C9336A" w:rsidRPr="009625F2">
        <w:t xml:space="preserve"> </w:t>
      </w:r>
      <w:r w:rsidRPr="009625F2">
        <w:t>applies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residing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country,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Inter-Governmental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headed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Director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PIBA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examining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broaden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157.</w:t>
      </w:r>
      <w:r w:rsidRPr="009625F2">
        <w:tab/>
        <w:t>Employment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Complaints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asylum</w:t>
      </w:r>
      <w:r w:rsidR="00C9336A" w:rsidRPr="009625F2">
        <w:t xml:space="preserve"> </w:t>
      </w:r>
      <w:r w:rsidRPr="009625F2">
        <w:t>seekers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brought</w:t>
      </w:r>
      <w:r w:rsidR="00C9336A" w:rsidRPr="009625F2">
        <w:t xml:space="preserve"> </w:t>
      </w:r>
      <w:r w:rsidRPr="009625F2">
        <w:t>before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authority.</w:t>
      </w:r>
      <w:r w:rsidR="00C9336A" w:rsidRPr="009625F2">
        <w:t xml:space="preserve"> </w:t>
      </w:r>
      <w:r w:rsidRPr="009625F2">
        <w:t>Violations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enforced.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aid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charge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indications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trafficking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forced</w:t>
      </w:r>
      <w:r w:rsidR="00C9336A" w:rsidRPr="009625F2">
        <w:t xml:space="preserve"> </w:t>
      </w:r>
      <w:r w:rsidRPr="009625F2">
        <w:t>labour,</w:t>
      </w:r>
      <w:r w:rsidR="00C9336A" w:rsidRPr="009625F2">
        <w:t xml:space="preserve"> </w:t>
      </w:r>
      <w:r w:rsidRPr="009625F2">
        <w:t>etc.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158.</w:t>
      </w:r>
      <w:r w:rsidRPr="009625F2">
        <w:tab/>
        <w:t>Family</w:t>
      </w:r>
      <w:r w:rsidR="00C9336A" w:rsidRPr="009625F2">
        <w:t xml:space="preserve"> </w:t>
      </w:r>
      <w:r w:rsidRPr="009625F2">
        <w:t>reunification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non-residents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Current</w:t>
      </w:r>
      <w:r w:rsidR="00C9336A" w:rsidRPr="009625F2">
        <w:t xml:space="preserve"> </w:t>
      </w:r>
      <w:r w:rsidRPr="009625F2">
        <w:t>PIBA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grant</w:t>
      </w:r>
      <w:r w:rsidR="00C9336A" w:rsidRPr="009625F2">
        <w:t xml:space="preserve"> </w:t>
      </w:r>
      <w:r w:rsidRPr="009625F2">
        <w:t>separate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spouses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(similar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tourists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illegals)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found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overstay.</w:t>
      </w:r>
      <w:r w:rsidR="00C9336A" w:rsidRPr="009625F2">
        <w:t xml:space="preserve"> </w:t>
      </w:r>
      <w:r w:rsidRPr="009625F2">
        <w:t>Note,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visa,</w:t>
      </w:r>
      <w:r w:rsidR="00C9336A" w:rsidRPr="009625F2">
        <w:t xml:space="preserve"> </w:t>
      </w:r>
      <w:r w:rsidRPr="009625F2">
        <w:t>conditional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understanding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settle</w:t>
      </w:r>
      <w:r w:rsidR="00C9336A" w:rsidRPr="009625F2">
        <w:t xml:space="preserve"> </w:t>
      </w:r>
      <w:r w:rsidRPr="009625F2">
        <w:t>permanently.</w:t>
      </w:r>
    </w:p>
    <w:p w:rsidR="00B342F3" w:rsidRPr="009625F2" w:rsidRDefault="00B342F3" w:rsidP="00EB53EF">
      <w:pPr>
        <w:pStyle w:val="SingleTxtG"/>
      </w:pPr>
      <w:r w:rsidRPr="009625F2">
        <w:t>159.</w:t>
      </w:r>
      <w:r w:rsidRPr="009625F2">
        <w:tab/>
        <w:t>A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course</w:t>
      </w:r>
      <w:r w:rsidR="00C9336A" w:rsidRPr="009625F2">
        <w:t xml:space="preserve"> </w:t>
      </w:r>
      <w:r w:rsidRPr="009625F2">
        <w:t>marry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citizen.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citizenship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out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PIBA</w:t>
      </w:r>
      <w:r w:rsidR="00C9336A" w:rsidRPr="009625F2">
        <w:t xml:space="preserve"> </w:t>
      </w:r>
      <w:r w:rsidRPr="009625F2">
        <w:t>procedures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website.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process,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permit.</w:t>
      </w:r>
    </w:p>
    <w:p w:rsidR="00B342F3" w:rsidRPr="009625F2" w:rsidRDefault="00B342F3" w:rsidP="00EB53EF">
      <w:pPr>
        <w:pStyle w:val="SingleTxtG"/>
      </w:pPr>
      <w:r w:rsidRPr="009625F2">
        <w:t>160.</w:t>
      </w:r>
      <w:r w:rsidRPr="009625F2">
        <w:tab/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refugees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recognized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interior,</w:t>
      </w:r>
      <w:r w:rsidR="00C9336A" w:rsidRPr="009625F2">
        <w:t xml:space="preserve"> </w:t>
      </w:r>
      <w:r w:rsidRPr="009625F2">
        <w:t>requests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reunification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spouse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minor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brought</w:t>
      </w:r>
      <w:r w:rsidR="00C9336A" w:rsidRPr="009625F2">
        <w:t xml:space="preserve"> </w:t>
      </w:r>
      <w:r w:rsidRPr="009625F2">
        <w:t>before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Director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PIBA,</w:t>
      </w:r>
      <w:r w:rsidR="00C9336A" w:rsidRPr="009625F2">
        <w:t xml:space="preserve"> </w:t>
      </w:r>
      <w:r w:rsidRPr="009625F2">
        <w:t>alongside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recommendation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advisory</w:t>
      </w:r>
      <w:r w:rsidR="00C9336A" w:rsidRPr="009625F2">
        <w:t xml:space="preserve"> </w:t>
      </w:r>
      <w:r w:rsidRPr="009625F2">
        <w:t>committee.</w:t>
      </w:r>
      <w:r w:rsidR="00C9336A" w:rsidRPr="009625F2">
        <w:t xml:space="preserve"> </w:t>
      </w:r>
    </w:p>
    <w:p w:rsidR="00B342F3" w:rsidRPr="009625F2" w:rsidRDefault="00B342F3" w:rsidP="00096895">
      <w:pPr>
        <w:pStyle w:val="H23G"/>
      </w:pPr>
      <w:r w:rsidRPr="009625F2">
        <w:lastRenderedPageBreak/>
        <w:tab/>
      </w:r>
      <w:r w:rsidRPr="009625F2">
        <w:tab/>
        <w:t>Criminalization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161.</w:t>
      </w:r>
      <w:r w:rsidRPr="009625F2">
        <w:tab/>
        <w:t>Domestic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criminalized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statistics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criminal</w:t>
      </w:r>
      <w:r w:rsidR="00C9336A" w:rsidRPr="009625F2">
        <w:t xml:space="preserve"> </w:t>
      </w:r>
      <w:r w:rsidRPr="009625F2">
        <w:t>enforcement,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DF396C" w:rsidP="00096895">
      <w:pPr>
        <w:pStyle w:val="H23G"/>
      </w:pPr>
      <w:r w:rsidRPr="009625F2">
        <w:tab/>
      </w:r>
      <w:r w:rsidRPr="009625F2">
        <w:tab/>
        <w:t>Combat</w:t>
      </w:r>
      <w:r w:rsidR="00B342F3" w:rsidRPr="009625F2">
        <w:t>ing</w:t>
      </w:r>
      <w:r w:rsidR="00C9336A" w:rsidRPr="009625F2">
        <w:t xml:space="preserve"> </w:t>
      </w:r>
      <w:r w:rsidR="00B342F3" w:rsidRPr="009625F2">
        <w:t>domestic</w:t>
      </w:r>
      <w:r w:rsidR="00C9336A" w:rsidRPr="009625F2">
        <w:t xml:space="preserve"> </w:t>
      </w:r>
      <w:r w:rsidR="00B342F3" w:rsidRPr="009625F2">
        <w:t>violence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162.</w:t>
      </w:r>
      <w:r w:rsidRPr="009625F2">
        <w:tab/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5751-1991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allow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extend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validity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year,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reasons.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163.</w:t>
      </w:r>
      <w:r w:rsidRPr="009625F2">
        <w:tab/>
        <w:t>Police</w:t>
      </w:r>
      <w:r w:rsidR="00C9336A" w:rsidRPr="009625F2">
        <w:t xml:space="preserve"> </w:t>
      </w:r>
      <w:r w:rsidRPr="009625F2">
        <w:t>reviews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conduct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reviews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offences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year,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district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stations.</w:t>
      </w:r>
      <w:r w:rsidR="00C9336A" w:rsidRPr="009625F2">
        <w:t xml:space="preserve"> </w:t>
      </w:r>
      <w:r w:rsidRPr="009625F2">
        <w:t>Ongoing</w:t>
      </w:r>
      <w:r w:rsidR="00C9336A" w:rsidRPr="009625F2">
        <w:t xml:space="preserve"> </w:t>
      </w:r>
      <w:r w:rsidRPr="009625F2">
        <w:t>discourse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leaders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held,</w:t>
      </w:r>
      <w:r w:rsidR="00C9336A" w:rsidRPr="009625F2">
        <w:t xml:space="preserve"> </w:t>
      </w:r>
      <w:r w:rsidRPr="009625F2">
        <w:t>focused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improving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encouraging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approach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Police.</w:t>
      </w:r>
    </w:p>
    <w:p w:rsidR="00B342F3" w:rsidRPr="009625F2" w:rsidRDefault="00B342F3" w:rsidP="00EB53EF">
      <w:pPr>
        <w:pStyle w:val="SingleTxtG"/>
      </w:pPr>
      <w:r w:rsidRPr="009625F2">
        <w:t>164.</w:t>
      </w:r>
      <w:r w:rsidRPr="009625F2">
        <w:tab/>
        <w:t>Placement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stations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project</w:t>
      </w:r>
      <w:r w:rsidR="00C9336A" w:rsidRPr="009625F2">
        <w:t xml:space="preserve"> </w:t>
      </w:r>
      <w:r w:rsidRPr="009625F2">
        <w:t>aims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strengthen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welfare</w:t>
      </w:r>
      <w:r w:rsidR="00C9336A" w:rsidRPr="009625F2">
        <w:t xml:space="preserve"> </w:t>
      </w:r>
      <w:r w:rsidRPr="009625F2">
        <w:t>authorities,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initial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prepare</w:t>
      </w:r>
      <w:r w:rsidR="00C9336A" w:rsidRPr="009625F2">
        <w:t xml:space="preserve"> </w:t>
      </w:r>
      <w:r w:rsidRPr="009625F2">
        <w:t>appropriate</w:t>
      </w:r>
      <w:r w:rsidR="00C9336A" w:rsidRPr="009625F2">
        <w:t xml:space="preserve"> </w:t>
      </w:r>
      <w:r w:rsidRPr="009625F2">
        <w:t>intervention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advance,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risk</w:t>
      </w:r>
      <w:r w:rsidR="00C9336A" w:rsidRPr="009625F2">
        <w:t xml:space="preserve"> </w:t>
      </w:r>
      <w:r w:rsidRPr="009625F2">
        <w:t>assessment.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165.</w:t>
      </w:r>
      <w:r w:rsidRPr="009625F2">
        <w:tab/>
        <w:t>Centers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centers,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166.</w:t>
      </w:r>
      <w:r w:rsidRPr="009625F2">
        <w:tab/>
        <w:t>Additional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preventing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considered.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hostels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abusive</w:t>
      </w:r>
      <w:r w:rsidR="00C9336A" w:rsidRPr="009625F2">
        <w:t xml:space="preserve"> </w:t>
      </w:r>
      <w:r w:rsidRPr="009625F2">
        <w:t>men,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obligation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officials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suspicious</w:t>
      </w:r>
      <w:r w:rsidR="00C9336A" w:rsidRPr="009625F2">
        <w:t xml:space="preserve"> </w:t>
      </w:r>
      <w:r w:rsidRPr="009625F2">
        <w:t>incidents,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96895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167.</w:t>
      </w:r>
      <w:r w:rsidRPr="009625F2">
        <w:tab/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offers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families</w:t>
      </w:r>
      <w:r w:rsidR="00C9336A" w:rsidRPr="009625F2">
        <w:t xml:space="preserve"> </w:t>
      </w:r>
      <w:r w:rsidRPr="009625F2">
        <w:t>coping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violent</w:t>
      </w:r>
      <w:r w:rsidR="00C9336A" w:rsidRPr="009625F2">
        <w:t xml:space="preserve"> </w:t>
      </w:r>
      <w:r w:rsidRPr="009625F2">
        <w:t>situations.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shelters,</w:t>
      </w:r>
      <w:r w:rsidR="00C9336A" w:rsidRPr="009625F2">
        <w:t xml:space="preserve"> </w:t>
      </w:r>
      <w:r w:rsidRPr="009625F2">
        <w:t>transitional</w:t>
      </w:r>
      <w:r w:rsidR="00C9336A" w:rsidRPr="009625F2">
        <w:t xml:space="preserve"> </w:t>
      </w:r>
      <w:r w:rsidRPr="009625F2">
        <w:t>apartments,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grants,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housing,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emergency</w:t>
      </w:r>
      <w:r w:rsidR="00C9336A" w:rsidRPr="009625F2">
        <w:t xml:space="preserve"> </w:t>
      </w:r>
      <w:r w:rsidRPr="009625F2">
        <w:t>hotline,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emergency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children.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data,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96895">
      <w:pPr>
        <w:pStyle w:val="H23G"/>
      </w:pPr>
      <w:r w:rsidRPr="009625F2">
        <w:tab/>
      </w:r>
      <w:r w:rsidRPr="009625F2">
        <w:tab/>
        <w:t>Raising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168.</w:t>
      </w:r>
      <w:r w:rsidRPr="009625F2">
        <w:tab/>
        <w:t>Raising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professionals</w:t>
      </w:r>
      <w:r w:rsidR="00C9336A" w:rsidRPr="009625F2">
        <w:t xml:space="preserve"> </w:t>
      </w:r>
      <w:r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2000,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staff</w:t>
      </w:r>
      <w:r w:rsidR="00C9336A" w:rsidRPr="009625F2">
        <w:t xml:space="preserve"> </w:t>
      </w:r>
      <w:r w:rsidRPr="009625F2">
        <w:t>department,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Service,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responsible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identification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assault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victims.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days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subject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years.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169.</w:t>
      </w:r>
      <w:r w:rsidRPr="009625F2">
        <w:tab/>
        <w:t>Raising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important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AASW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raising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awareness,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annual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Pr="009625F2">
        <w:t>campaigns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state-sponsored</w:t>
      </w:r>
      <w:r w:rsidR="00C9336A" w:rsidRPr="009625F2">
        <w:t xml:space="preserve"> </w:t>
      </w:r>
      <w:r w:rsidRPr="009625F2">
        <w:t>event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President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residence,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170.</w:t>
      </w:r>
      <w:r w:rsidRPr="009625F2">
        <w:tab/>
        <w:t>Police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courses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wide-range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police</w:t>
      </w:r>
      <w:r w:rsidR="00C9336A" w:rsidRPr="009625F2">
        <w:t xml:space="preserve"> </w:t>
      </w:r>
      <w:r w:rsidRPr="009625F2">
        <w:t>officers.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96895">
      <w:pPr>
        <w:pStyle w:val="H23G"/>
      </w:pPr>
      <w:r w:rsidRPr="009625F2">
        <w:tab/>
      </w:r>
      <w:r w:rsidRPr="009625F2">
        <w:tab/>
        <w:t>Trafficking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171.</w:t>
      </w:r>
      <w:r w:rsidRPr="009625F2">
        <w:tab/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last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concern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full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effective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Anti-Trafficking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shown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continued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make</w:t>
      </w:r>
      <w:r w:rsidR="00C9336A" w:rsidRPr="009625F2">
        <w:t xml:space="preserve"> </w:t>
      </w:r>
      <w:r w:rsidRPr="009625F2">
        <w:t>remarkable</w:t>
      </w:r>
      <w:r w:rsidR="00C9336A" w:rsidRPr="009625F2">
        <w:t xml:space="preserve"> </w:t>
      </w:r>
      <w:r w:rsidRPr="009625F2">
        <w:t>progress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efforts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eliminate</w:t>
      </w:r>
      <w:r w:rsidR="00C9336A" w:rsidRPr="009625F2">
        <w:t xml:space="preserve"> </w:t>
      </w:r>
      <w:r w:rsidRPr="009625F2">
        <w:t>trafficking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persons.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United</w:t>
      </w:r>
      <w:r w:rsidR="00C9336A" w:rsidRPr="009625F2">
        <w:t xml:space="preserve"> </w:t>
      </w:r>
      <w:r w:rsidRPr="009625F2">
        <w:t>States</w:t>
      </w:r>
      <w:r w:rsidR="00D311F6">
        <w:t>’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ranked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Tier</w:t>
      </w:r>
      <w:r w:rsidR="00C9336A" w:rsidRPr="009625F2">
        <w:t xml:space="preserve"> </w:t>
      </w:r>
      <w:r w:rsidRPr="009625F2">
        <w:t>1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seven</w:t>
      </w:r>
      <w:r w:rsidR="00C9336A" w:rsidRPr="009625F2">
        <w:t xml:space="preserve"> </w:t>
      </w:r>
      <w:r w:rsidRPr="009625F2">
        <w:t>(7)</w:t>
      </w:r>
      <w:r w:rsidR="00C9336A" w:rsidRPr="009625F2">
        <w:t xml:space="preserve"> </w:t>
      </w:r>
      <w:r w:rsidRPr="009625F2">
        <w:t>consecutive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important</w:t>
      </w:r>
      <w:r w:rsidR="00C9336A" w:rsidRPr="009625F2">
        <w:t xml:space="preserve"> </w:t>
      </w:r>
      <w:r w:rsidRPr="009625F2">
        <w:t>external</w:t>
      </w:r>
      <w:r w:rsidR="00C9336A" w:rsidRPr="009625F2">
        <w:t xml:space="preserve"> </w:t>
      </w:r>
      <w:r w:rsidRPr="009625F2">
        <w:t>evaluation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fully</w:t>
      </w:r>
      <w:r w:rsidR="00C9336A" w:rsidRPr="009625F2">
        <w:t xml:space="preserve"> </w:t>
      </w:r>
      <w:r w:rsidRPr="009625F2">
        <w:t>meeting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minimal</w:t>
      </w:r>
      <w:r w:rsidR="00C9336A" w:rsidRPr="009625F2">
        <w:t xml:space="preserve"> </w:t>
      </w:r>
      <w:r w:rsidRPr="009625F2">
        <w:t>standards</w:t>
      </w:r>
      <w:r w:rsidR="00C9336A" w:rsidRPr="009625F2">
        <w:t xml:space="preserve"> </w:t>
      </w:r>
      <w:r w:rsidRPr="009625F2">
        <w:t>required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eradication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TIP.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172.</w:t>
      </w:r>
      <w:r w:rsidRPr="009625F2">
        <w:tab/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result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combined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sustained</w:t>
      </w:r>
      <w:r w:rsidR="00C9336A" w:rsidRPr="009625F2">
        <w:t xml:space="preserve"> </w:t>
      </w:r>
      <w:r w:rsidRPr="009625F2">
        <w:t>efforts,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decrease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trafficking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purpose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prostitution,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nowadays</w:t>
      </w:r>
      <w:r w:rsidR="00C9336A" w:rsidRPr="009625F2">
        <w:t xml:space="preserve"> </w:t>
      </w:r>
      <w:r w:rsidRPr="009625F2">
        <w:t>rarely</w:t>
      </w:r>
      <w:r w:rsidR="00C9336A" w:rsidRPr="009625F2">
        <w:t xml:space="preserve"> </w:t>
      </w:r>
      <w:r w:rsidRPr="009625F2">
        <w:t>appears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="00D311F6">
        <w:t>“</w:t>
      </w:r>
      <w:r w:rsidRPr="009625F2">
        <w:t>classic</w:t>
      </w:r>
      <w:r w:rsidR="00C9336A" w:rsidRPr="009625F2">
        <w:t xml:space="preserve"> </w:t>
      </w:r>
      <w:r w:rsidRPr="009625F2">
        <w:t>form</w:t>
      </w:r>
      <w:r w:rsidR="00D311F6">
        <w:t>”</w:t>
      </w:r>
      <w:r w:rsidRPr="009625F2">
        <w:t>.</w:t>
      </w:r>
      <w:r w:rsidR="00C9336A" w:rsidRPr="009625F2">
        <w:t xml:space="preserve"> </w:t>
      </w:r>
      <w:r w:rsidRPr="009625F2">
        <w:t>However,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patterns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trafficking,</w:t>
      </w:r>
      <w:r w:rsidR="00C9336A" w:rsidRPr="009625F2">
        <w:t xml:space="preserve"> </w:t>
      </w:r>
      <w:r w:rsidRPr="009625F2">
        <w:t>where</w:t>
      </w:r>
      <w:r w:rsidR="00C9336A" w:rsidRPr="009625F2">
        <w:t xml:space="preserve"> </w:t>
      </w:r>
      <w:r w:rsidRPr="009625F2">
        <w:t>violence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withholding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passports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present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seemingly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lastRenderedPageBreak/>
        <w:t>frightened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subjected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control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another</w:t>
      </w:r>
      <w:r w:rsidR="00C9336A" w:rsidRPr="009625F2">
        <w:t xml:space="preserve"> </w:t>
      </w:r>
      <w:r w:rsidRPr="009625F2">
        <w:t>person,</w:t>
      </w:r>
      <w:r w:rsidR="00C9336A" w:rsidRPr="009625F2">
        <w:t xml:space="preserve"> </w:t>
      </w:r>
      <w:r w:rsidRPr="009625F2">
        <w:t>pose</w:t>
      </w:r>
      <w:r w:rsidR="00C9336A" w:rsidRPr="009625F2">
        <w:t xml:space="preserve"> </w:t>
      </w:r>
      <w:r w:rsidRPr="009625F2">
        <w:t>challenges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being</w:t>
      </w:r>
      <w:r w:rsidR="00C9336A" w:rsidRPr="009625F2">
        <w:t xml:space="preserve"> </w:t>
      </w:r>
      <w:r w:rsidRPr="009625F2">
        <w:t>addressed.</w:t>
      </w:r>
    </w:p>
    <w:p w:rsidR="00B342F3" w:rsidRPr="009625F2" w:rsidRDefault="00B342F3" w:rsidP="00EB53EF">
      <w:pPr>
        <w:pStyle w:val="SingleTxtG"/>
      </w:pPr>
      <w:r w:rsidRPr="009625F2">
        <w:t>173.</w:t>
      </w:r>
      <w:r w:rsidRPr="009625F2">
        <w:tab/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examples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combat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forms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trafficking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persons,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174.</w:t>
      </w:r>
      <w:r w:rsidRPr="009625F2">
        <w:tab/>
        <w:t>Investigations,</w:t>
      </w:r>
      <w:r w:rsidR="00C9336A" w:rsidRPr="009625F2">
        <w:t xml:space="preserve"> </w:t>
      </w:r>
      <w:r w:rsidRPr="009625F2">
        <w:t>prosecutions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convictions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demonstrates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decline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volume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trafficking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purpose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prostitution,</w:t>
      </w:r>
      <w:r w:rsidR="00C9336A" w:rsidRPr="009625F2">
        <w:t xml:space="preserve"> </w:t>
      </w:r>
      <w:r w:rsidRPr="009625F2">
        <w:t>reflecting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success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combined</w:t>
      </w:r>
      <w:r w:rsidR="00C9336A" w:rsidRPr="009625F2">
        <w:t xml:space="preserve"> </w:t>
      </w:r>
      <w:r w:rsidRPr="009625F2">
        <w:t>efforts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parties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years</w:t>
      </w:r>
      <w:r w:rsidRPr="009625F2">
        <w:rPr>
          <w:rtl/>
        </w:rPr>
        <w:t>.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175.</w:t>
      </w:r>
      <w:r w:rsidRPr="009625F2">
        <w:tab/>
        <w:t>Precedential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decisions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F963B5">
      <w:pPr>
        <w:pStyle w:val="H23G"/>
      </w:pPr>
      <w:r w:rsidRPr="009625F2">
        <w:tab/>
      </w:r>
      <w:r w:rsidRPr="009625F2">
        <w:tab/>
        <w:t>Assistance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176.</w:t>
      </w:r>
      <w:r w:rsidRPr="009625F2">
        <w:tab/>
        <w:t>Israel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assist</w:t>
      </w:r>
      <w:r w:rsidR="00C9336A" w:rsidRPr="009625F2">
        <w:t xml:space="preserve"> </w:t>
      </w:r>
      <w:r w:rsidRPr="009625F2">
        <w:t>victims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trafficking,</w:t>
      </w:r>
      <w:r w:rsidR="00C9336A" w:rsidRPr="009625F2">
        <w:t xml:space="preserve"> </w:t>
      </w:r>
      <w:r w:rsidRPr="009625F2">
        <w:t>none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contingent</w:t>
      </w:r>
      <w:r w:rsidR="00C9336A" w:rsidRPr="009625F2">
        <w:t xml:space="preserve"> </w:t>
      </w:r>
      <w:r w:rsidRPr="009625F2">
        <w:t>upon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enforcement.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psychiatric</w:t>
      </w:r>
      <w:r w:rsidR="00C9336A" w:rsidRPr="009625F2">
        <w:t xml:space="preserve"> </w:t>
      </w:r>
      <w:r w:rsidRPr="009625F2">
        <w:t>care;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aid;</w:t>
      </w:r>
      <w:r w:rsidR="00C9336A" w:rsidRPr="009625F2">
        <w:t xml:space="preserve"> </w:t>
      </w:r>
      <w:r w:rsidRPr="009625F2">
        <w:t>shelters;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permits;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forfeiture</w:t>
      </w:r>
      <w:r w:rsidR="00C9336A" w:rsidRPr="009625F2">
        <w:t xml:space="preserve"> </w:t>
      </w:r>
      <w:r w:rsidRPr="009625F2">
        <w:t>fund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allocates</w:t>
      </w:r>
      <w:r w:rsidR="00C9336A" w:rsidRPr="009625F2">
        <w:t xml:space="preserve"> </w:t>
      </w:r>
      <w:r w:rsidRPr="009625F2">
        <w:t>budgets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victims,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bodies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victim</w:t>
      </w:r>
      <w:r w:rsidR="00C9336A" w:rsidRPr="009625F2">
        <w:t xml:space="preserve"> </w:t>
      </w:r>
      <w:r w:rsidRPr="009625F2">
        <w:t>aid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combatting</w:t>
      </w:r>
      <w:r w:rsidR="00C9336A" w:rsidRPr="009625F2">
        <w:t xml:space="preserve"> </w:t>
      </w:r>
      <w:r w:rsidRPr="009625F2">
        <w:t>trafficking.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F963B5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11</w:t>
      </w:r>
      <w:r w:rsidR="00C9336A" w:rsidRPr="009625F2">
        <w:t xml:space="preserve"> </w:t>
      </w:r>
    </w:p>
    <w:p w:rsidR="00B342F3" w:rsidRPr="009625F2" w:rsidRDefault="00D0398C" w:rsidP="00D0398C">
      <w:pPr>
        <w:pStyle w:val="H56G"/>
      </w:pPr>
      <w:r w:rsidRPr="009625F2">
        <w:tab/>
      </w:r>
      <w:r w:rsidR="00B342F3" w:rsidRPr="009625F2">
        <w:t>A.</w:t>
      </w:r>
      <w:r w:rsidR="00B342F3" w:rsidRPr="009625F2">
        <w:tab/>
        <w:t>The</w:t>
      </w:r>
      <w:r w:rsidR="00C9336A" w:rsidRPr="009625F2">
        <w:t xml:space="preserve"> </w:t>
      </w:r>
      <w:r w:rsidR="00B342F3" w:rsidRPr="009625F2">
        <w:t>right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continuous</w:t>
      </w:r>
      <w:r w:rsidR="00C9336A" w:rsidRPr="009625F2">
        <w:t xml:space="preserve"> </w:t>
      </w:r>
      <w:r w:rsidR="00B342F3" w:rsidRPr="009625F2">
        <w:t>improvement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living</w:t>
      </w:r>
      <w:r w:rsidR="00C9336A" w:rsidRPr="009625F2">
        <w:t xml:space="preserve"> </w:t>
      </w:r>
      <w:r w:rsidR="00B342F3" w:rsidRPr="009625F2">
        <w:t>conditions</w:t>
      </w:r>
    </w:p>
    <w:p w:rsidR="00B342F3" w:rsidRPr="009625F2" w:rsidRDefault="00B342F3" w:rsidP="00F963B5">
      <w:pPr>
        <w:pStyle w:val="H23G"/>
      </w:pPr>
      <w:r w:rsidRPr="009625F2">
        <w:tab/>
      </w:r>
      <w:r w:rsidRPr="009625F2">
        <w:tab/>
        <w:t>Poverty</w:t>
      </w:r>
      <w:r w:rsidR="00C9336A" w:rsidRPr="009625F2">
        <w:t xml:space="preserve"> </w:t>
      </w:r>
      <w:r w:rsidRPr="009625F2">
        <w:t>line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177.</w:t>
      </w:r>
      <w:r w:rsidRPr="009625F2">
        <w:tab/>
        <w:t>The</w:t>
      </w:r>
      <w:r w:rsidR="00C9336A" w:rsidRPr="009625F2">
        <w:t xml:space="preserve"> </w:t>
      </w:r>
      <w:r w:rsidRPr="009625F2">
        <w:t>definition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calculation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  <w:r w:rsidRPr="009625F2">
        <w:t>line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changes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regard.</w:t>
      </w:r>
    </w:p>
    <w:p w:rsidR="00B342F3" w:rsidRPr="009625F2" w:rsidRDefault="00B342F3" w:rsidP="00EB53EF">
      <w:pPr>
        <w:pStyle w:val="SingleTxtG"/>
      </w:pPr>
      <w:r w:rsidRPr="009625F2">
        <w:t>178.</w:t>
      </w:r>
      <w:r w:rsidRPr="009625F2">
        <w:tab/>
        <w:t>Each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NII</w:t>
      </w:r>
      <w:r w:rsidR="00C9336A" w:rsidRPr="009625F2">
        <w:t xml:space="preserve"> </w:t>
      </w:r>
      <w:r w:rsidRPr="009625F2">
        <w:t>publishes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extent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gaps.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reveals</w:t>
      </w:r>
      <w:r w:rsidR="00C9336A" w:rsidRPr="009625F2">
        <w:t xml:space="preserve"> </w:t>
      </w:r>
      <w:r w:rsidRPr="009625F2">
        <w:t>improvements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inequality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poverty.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attributable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changes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brought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net</w:t>
      </w:r>
      <w:r w:rsidR="00C9336A" w:rsidRPr="009625F2">
        <w:t xml:space="preserve"> </w:t>
      </w:r>
      <w:r w:rsidRPr="009625F2">
        <w:t>disposable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families,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younger</w:t>
      </w:r>
      <w:r w:rsidR="00C9336A" w:rsidRPr="009625F2">
        <w:t xml:space="preserve"> </w:t>
      </w:r>
      <w:r w:rsidRPr="009625F2">
        <w:t>persons,</w:t>
      </w:r>
      <w:r w:rsidR="00C9336A" w:rsidRPr="009625F2">
        <w:t xml:space="preserve"> </w:t>
      </w:r>
      <w:r w:rsidRPr="009625F2">
        <w:t>particularly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lower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middle</w:t>
      </w:r>
      <w:r w:rsidR="00C9336A" w:rsidRPr="009625F2">
        <w:t xml:space="preserve"> </w:t>
      </w:r>
      <w:r w:rsidRPr="009625F2">
        <w:t>earning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primarily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minimum</w:t>
      </w:r>
      <w:r w:rsidR="00C9336A" w:rsidRPr="009625F2">
        <w:t xml:space="preserve"> </w:t>
      </w:r>
      <w:r w:rsidRPr="009625F2">
        <w:t>wage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</w:t>
      </w:r>
      <w:r w:rsidR="00C9336A" w:rsidRPr="009625F2">
        <w:t xml:space="preserve"> </w:t>
      </w:r>
      <w:r w:rsidRPr="009625F2">
        <w:t>benefits.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contributing</w:t>
      </w:r>
      <w:r w:rsidR="00C9336A" w:rsidRPr="009625F2">
        <w:t xml:space="preserve"> </w:t>
      </w:r>
      <w:r w:rsidRPr="009625F2">
        <w:t>factor.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data,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F963B5">
      <w:pPr>
        <w:pStyle w:val="H23G"/>
      </w:pPr>
      <w:r w:rsidRPr="009625F2">
        <w:tab/>
      </w:r>
      <w:r w:rsidRPr="009625F2">
        <w:tab/>
        <w:t>National</w:t>
      </w:r>
      <w:r w:rsidR="00C9336A" w:rsidRPr="009625F2">
        <w:t xml:space="preserve"> </w:t>
      </w:r>
      <w:r w:rsidRPr="009625F2">
        <w:t>action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combat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179.</w:t>
      </w:r>
      <w:r w:rsidRPr="009625F2">
        <w:tab/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party</w:t>
      </w:r>
      <w:r w:rsidR="00C9336A" w:rsidRPr="009625F2">
        <w:t xml:space="preserve"> </w:t>
      </w:r>
      <w:r w:rsidRPr="009625F2">
        <w:t>establish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comprehensive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address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problem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poverty.</w:t>
      </w:r>
      <w:r w:rsidR="00C9336A" w:rsidRPr="009625F2">
        <w:t xml:space="preserve"> </w:t>
      </w:r>
      <w:r w:rsidRPr="009625F2">
        <w:t>We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pleased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matter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serious</w:t>
      </w:r>
      <w:r w:rsidR="00C9336A" w:rsidRPr="009625F2">
        <w:t xml:space="preserve"> </w:t>
      </w:r>
      <w:r w:rsidRPr="009625F2">
        <w:t>attention.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appointed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broad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formulate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action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combat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create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opportunity.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main</w:t>
      </w:r>
      <w:r w:rsidR="00C9336A" w:rsidRPr="009625F2">
        <w:t xml:space="preserve"> </w:t>
      </w:r>
      <w:r w:rsidRPr="009625F2">
        <w:t>points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implemented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Ministries:</w:t>
      </w:r>
    </w:p>
    <w:p w:rsidR="00B342F3" w:rsidRPr="009625F2" w:rsidRDefault="00B342F3" w:rsidP="00EB53EF">
      <w:pPr>
        <w:pStyle w:val="SingleTxtG"/>
      </w:pPr>
      <w:r w:rsidRPr="009625F2">
        <w:t>180.</w:t>
      </w:r>
      <w:r w:rsidRPr="009625F2">
        <w:tab/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Institute</w:t>
      </w:r>
      <w:r w:rsidR="00C9336A" w:rsidRPr="009625F2">
        <w:t xml:space="preserve"> </w:t>
      </w:r>
      <w:r w:rsidRPr="009625F2">
        <w:t>(NII)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committee,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NII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test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supplement</w:t>
      </w:r>
      <w:r w:rsidR="00C9336A" w:rsidRPr="009625F2">
        <w:t xml:space="preserve"> </w:t>
      </w:r>
      <w:r w:rsidRPr="009625F2">
        <w:t>benefits;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supplement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persons;</w:t>
      </w:r>
      <w:r w:rsidR="00C9336A" w:rsidRPr="009625F2">
        <w:t xml:space="preserve"> </w:t>
      </w:r>
      <w:r w:rsidRPr="009625F2">
        <w:t>created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savings</w:t>
      </w:r>
      <w:r w:rsidR="00C9336A" w:rsidRPr="009625F2">
        <w:t xml:space="preserve"> </w:t>
      </w:r>
      <w:r w:rsidRPr="009625F2">
        <w:t>account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child;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created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heating</w:t>
      </w:r>
      <w:r w:rsidR="00C9336A" w:rsidRPr="009625F2">
        <w:t xml:space="preserve"> </w:t>
      </w:r>
      <w:r w:rsidRPr="009625F2">
        <w:t>benefit.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181.</w:t>
      </w:r>
      <w:r w:rsidRPr="009625F2">
        <w:tab/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founded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  <w:r w:rsidRPr="009625F2">
        <w:t>response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operates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94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low</w:t>
      </w:r>
      <w:r w:rsidR="00C9336A" w:rsidRPr="009625F2">
        <w:t xml:space="preserve"> </w:t>
      </w:r>
      <w:r w:rsidRPr="009625F2">
        <w:t>socio-economic</w:t>
      </w:r>
      <w:r w:rsidR="00C9336A" w:rsidRPr="009625F2">
        <w:t xml:space="preserve"> </w:t>
      </w:r>
      <w:r w:rsidRPr="009625F2">
        <w:t>index,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100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per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(27.8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sub-programs,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based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poverty-conscious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inclusive</w:t>
      </w:r>
      <w:r w:rsidR="00C9336A" w:rsidRPr="009625F2">
        <w:t xml:space="preserve"> </w:t>
      </w:r>
      <w:r w:rsidRPr="009625F2">
        <w:t>practices.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182.</w:t>
      </w:r>
      <w:r w:rsidRPr="009625F2">
        <w:tab/>
        <w:t>The</w:t>
      </w:r>
      <w:r w:rsidR="00C9336A" w:rsidRPr="009625F2">
        <w:t xml:space="preserve"> </w:t>
      </w:r>
      <w:r w:rsidRPr="009625F2">
        <w:t>MoF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reported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Increasing</w:t>
      </w:r>
      <w:r w:rsidR="00C9336A" w:rsidRPr="009625F2">
        <w:t xml:space="preserve"> </w:t>
      </w:r>
      <w:r w:rsidRPr="009625F2">
        <w:t>Participation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Force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(Negative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Tax)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5768-2007,</w:t>
      </w:r>
      <w:r w:rsidR="00C9336A" w:rsidRPr="009625F2">
        <w:t xml:space="preserve"> </w:t>
      </w:r>
      <w:r w:rsidRPr="009625F2">
        <w:t>initiated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="00D311F6">
        <w:t>“</w:t>
      </w:r>
      <w:r w:rsidRPr="009625F2">
        <w:t>earned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tax</w:t>
      </w:r>
      <w:r w:rsidR="00C9336A" w:rsidRPr="009625F2">
        <w:t xml:space="preserve"> </w:t>
      </w:r>
      <w:r w:rsidRPr="009625F2">
        <w:t>credit</w:t>
      </w:r>
      <w:r w:rsidR="00D311F6">
        <w:t>”</w:t>
      </w:r>
      <w:r w:rsidR="00C9336A" w:rsidRPr="009625F2">
        <w:t xml:space="preserve"> </w:t>
      </w:r>
      <w:r w:rsidRPr="009625F2">
        <w:t>(EITC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is,</w:t>
      </w:r>
      <w:r w:rsidR="00C9336A" w:rsidRPr="009625F2">
        <w:t xml:space="preserve"> </w:t>
      </w:r>
      <w:r w:rsidRPr="009625F2">
        <w:t>negative</w:t>
      </w:r>
      <w:r w:rsidR="00C9336A" w:rsidRPr="009625F2">
        <w:t xml:space="preserve"> </w:t>
      </w:r>
      <w:r w:rsidRPr="009625F2">
        <w:t>income</w:t>
      </w:r>
      <w:r w:rsidR="00C9336A" w:rsidRPr="009625F2">
        <w:t xml:space="preserve"> </w:t>
      </w:r>
      <w:r w:rsidRPr="009625F2">
        <w:t>tax)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innovative</w:t>
      </w:r>
      <w:r w:rsidR="00C9336A" w:rsidRPr="009625F2">
        <w:t xml:space="preserve"> </w:t>
      </w:r>
      <w:r w:rsidRPr="009625F2">
        <w:t>means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poverty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families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raising</w:t>
      </w:r>
      <w:r w:rsidR="00C9336A" w:rsidRPr="009625F2">
        <w:t xml:space="preserve"> </w:t>
      </w:r>
      <w:r w:rsidRPr="009625F2">
        <w:t>participation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workforce.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broadened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eligibility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EITC.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lastRenderedPageBreak/>
        <w:t>183.</w:t>
      </w:r>
      <w:r w:rsidRPr="009625F2">
        <w:tab/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disadvantaged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professional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vouchers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6;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eligibility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11D.</w:t>
      </w:r>
    </w:p>
    <w:p w:rsidR="00B342F3" w:rsidRPr="009625F2" w:rsidRDefault="00D0398C" w:rsidP="00D0398C">
      <w:pPr>
        <w:pStyle w:val="H56G"/>
      </w:pPr>
      <w:r w:rsidRPr="009625F2">
        <w:tab/>
      </w:r>
      <w:r w:rsidR="00B342F3" w:rsidRPr="009625F2">
        <w:t>B.</w:t>
      </w:r>
      <w:r w:rsidR="00B342F3" w:rsidRPr="009625F2">
        <w:tab/>
        <w:t>The</w:t>
      </w:r>
      <w:r w:rsidR="00C9336A" w:rsidRPr="009625F2">
        <w:t xml:space="preserve"> </w:t>
      </w:r>
      <w:r w:rsidR="00B342F3" w:rsidRPr="009625F2">
        <w:t>right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adequate</w:t>
      </w:r>
      <w:r w:rsidR="00C9336A" w:rsidRPr="009625F2">
        <w:t xml:space="preserve"> </w:t>
      </w:r>
      <w:r w:rsidR="00B342F3" w:rsidRPr="009625F2">
        <w:t>food</w:t>
      </w:r>
    </w:p>
    <w:p w:rsidR="00B342F3" w:rsidRPr="009625F2" w:rsidRDefault="00B342F3" w:rsidP="00D0398C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184.</w:t>
      </w:r>
      <w:r w:rsidRPr="009625F2">
        <w:tab/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we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pleased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update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legislation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rPr>
          <w:i/>
          <w:iCs/>
        </w:rPr>
        <w:t>The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National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Council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for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Food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Security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Law</w:t>
      </w:r>
      <w:r w:rsidR="00C9336A" w:rsidRPr="009625F2">
        <w:t xml:space="preserve"> </w:t>
      </w:r>
      <w:r w:rsidRPr="009625F2">
        <w:t>5771-2011,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aims</w:t>
      </w:r>
      <w:r w:rsidR="00C9336A" w:rsidRPr="009625F2">
        <w:t xml:space="preserve"> </w:t>
      </w:r>
      <w:r w:rsidR="00D311F6">
        <w:t>“</w:t>
      </w:r>
      <w:r w:rsidRPr="009625F2">
        <w:t>to</w:t>
      </w:r>
      <w:r w:rsidR="00C9336A" w:rsidRPr="009625F2">
        <w:t xml:space="preserve"> </w:t>
      </w:r>
      <w:r w:rsidRPr="009625F2">
        <w:t>promote</w:t>
      </w:r>
      <w:r w:rsidR="00C9336A" w:rsidRPr="009625F2">
        <w:t xml:space="preserve"> </w:t>
      </w:r>
      <w:r w:rsidRPr="009625F2">
        <w:t>nutritional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spirit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dignity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principles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equality,</w:t>
      </w:r>
      <w:r w:rsidR="00C9336A" w:rsidRPr="009625F2">
        <w:t xml:space="preserve"> </w:t>
      </w:r>
      <w:r w:rsidRPr="009625F2">
        <w:t>justice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fairness…</w:t>
      </w:r>
      <w:r w:rsidR="00D311F6">
        <w:t>”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advises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Labour,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Affairs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mandate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Security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activity,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D0398C">
      <w:pPr>
        <w:pStyle w:val="H23G"/>
      </w:pPr>
      <w:r w:rsidRPr="009625F2">
        <w:tab/>
      </w:r>
      <w:r w:rsidRPr="009625F2">
        <w:tab/>
        <w:t>Food</w:t>
      </w:r>
      <w:r w:rsidR="00C9336A" w:rsidRPr="009625F2">
        <w:t xml:space="preserve"> </w:t>
      </w:r>
      <w:r w:rsidRPr="009625F2">
        <w:t>aid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185.</w:t>
      </w:r>
      <w:r w:rsidRPr="009625F2">
        <w:tab/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people,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daytime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meals.</w:t>
      </w:r>
      <w:r w:rsidR="00C9336A" w:rsidRPr="009625F2">
        <w:t xml:space="preserve"> </w:t>
      </w:r>
      <w:r w:rsidRPr="009625F2">
        <w:t>Hot</w:t>
      </w:r>
      <w:r w:rsidR="00C9336A" w:rsidRPr="009625F2">
        <w:t xml:space="preserve"> </w:t>
      </w:r>
      <w:r w:rsidRPr="009625F2">
        <w:t>meals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homes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people,</w:t>
      </w:r>
      <w:r w:rsidR="00C9336A" w:rsidRPr="009625F2">
        <w:t xml:space="preserve"> </w:t>
      </w:r>
      <w:r w:rsidRPr="009625F2">
        <w:t>specifically</w:t>
      </w:r>
      <w:r w:rsidR="00C9336A" w:rsidRPr="009625F2">
        <w:t xml:space="preserve"> </w:t>
      </w:r>
      <w:r w:rsidRPr="009625F2">
        <w:t>Holocaust</w:t>
      </w:r>
      <w:r w:rsidR="00C9336A" w:rsidRPr="009625F2">
        <w:t xml:space="preserve"> </w:t>
      </w:r>
      <w:r w:rsidRPr="009625F2">
        <w:t>survivors,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conjunction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Conference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Material</w:t>
      </w:r>
      <w:r w:rsidR="00C9336A" w:rsidRPr="009625F2">
        <w:t xml:space="preserve"> </w:t>
      </w:r>
      <w:r w:rsidRPr="009625F2">
        <w:t>Claims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Germany.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D0398C">
      <w:pPr>
        <w:pStyle w:val="H23G"/>
      </w:pPr>
      <w:bookmarkStart w:id="9" w:name="Seif7"/>
      <w:bookmarkStart w:id="10" w:name="Seif12"/>
      <w:bookmarkStart w:id="11" w:name="Seif13"/>
      <w:bookmarkStart w:id="12" w:name="Seif14"/>
      <w:bookmarkEnd w:id="9"/>
      <w:bookmarkEnd w:id="10"/>
      <w:bookmarkEnd w:id="11"/>
      <w:bookmarkEnd w:id="12"/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safety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animal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plant</w:t>
      </w:r>
      <w:r w:rsidR="00C9336A" w:rsidRPr="009625F2">
        <w:t xml:space="preserve"> </w:t>
      </w:r>
      <w:r w:rsidRPr="009625F2">
        <w:t>produce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186.</w:t>
      </w:r>
      <w:r w:rsidRPr="009625F2">
        <w:tab/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D0398C">
      <w:pPr>
        <w:pStyle w:val="H23G"/>
      </w:pPr>
      <w:r w:rsidRPr="009625F2">
        <w:tab/>
      </w:r>
      <w:r w:rsidRPr="009625F2">
        <w:tab/>
        <w:t>Food</w:t>
      </w:r>
      <w:r w:rsidR="00C9336A" w:rsidRPr="009625F2">
        <w:t xml:space="preserve"> </w:t>
      </w:r>
      <w:r w:rsidRPr="009625F2">
        <w:t>waste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187.</w:t>
      </w:r>
      <w:r w:rsidRPr="009625F2">
        <w:tab/>
        <w:t>Following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survey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Agriculture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Rural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(MoAaRD)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loss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production</w:t>
      </w:r>
      <w:r w:rsidR="00C9336A" w:rsidRPr="009625F2">
        <w:t xml:space="preserve"> </w:t>
      </w:r>
      <w:r w:rsidRPr="009625F2">
        <w:t>stage,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reviewing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tools,</w:t>
      </w:r>
      <w:r w:rsidR="00C9336A" w:rsidRPr="009625F2">
        <w:t xml:space="preserve"> </w:t>
      </w:r>
      <w:r w:rsidRPr="009625F2">
        <w:t>prior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adoption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strategic</w:t>
      </w:r>
      <w:r w:rsidR="00C9336A" w:rsidRPr="009625F2">
        <w:t xml:space="preserve"> </w:t>
      </w:r>
      <w:r w:rsidRPr="009625F2">
        <w:t>plan.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ongoing</w:t>
      </w:r>
      <w:r w:rsidR="00C9336A" w:rsidRPr="009625F2">
        <w:t xml:space="preserve"> </w:t>
      </w:r>
      <w:r w:rsidRPr="009625F2">
        <w:t>projects,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D0398C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dissemination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nutritional</w:t>
      </w:r>
      <w:r w:rsidR="00C9336A" w:rsidRPr="009625F2">
        <w:t xml:space="preserve"> </w:t>
      </w:r>
      <w:r w:rsidRPr="009625F2">
        <w:t>principles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188.</w:t>
      </w:r>
      <w:r w:rsidRPr="009625F2">
        <w:tab/>
        <w:t>The</w:t>
      </w:r>
      <w:r w:rsidR="00C9336A" w:rsidRPr="009625F2">
        <w:t xml:space="preserve"> </w:t>
      </w:r>
      <w:r w:rsidRPr="009625F2">
        <w:t>Nutrition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(MoH)</w:t>
      </w:r>
      <w:r w:rsidR="00C9336A" w:rsidRPr="009625F2">
        <w:t xml:space="preserve"> </w:t>
      </w:r>
      <w:r w:rsidRPr="009625F2">
        <w:t>works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ways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disseminate</w:t>
      </w:r>
      <w:r w:rsidR="00C9336A" w:rsidRPr="009625F2">
        <w:t xml:space="preserve"> </w:t>
      </w:r>
      <w:r w:rsidRPr="009625F2">
        <w:t>knowledge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healthy</w:t>
      </w:r>
      <w:r w:rsidR="00C9336A" w:rsidRPr="009625F2">
        <w:t xml:space="preserve"> </w:t>
      </w:r>
      <w:r w:rsidRPr="009625F2">
        <w:t>nutrition,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disadvantaged</w:t>
      </w:r>
      <w:r w:rsidR="00C9336A" w:rsidRPr="009625F2">
        <w:t xml:space="preserve"> </w:t>
      </w:r>
      <w:r w:rsidRPr="009625F2">
        <w:t>populations.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189.</w:t>
      </w:r>
      <w:r w:rsidRPr="009625F2">
        <w:tab/>
        <w:t>Food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Supervision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Proper</w:t>
      </w:r>
      <w:r w:rsidR="00C9336A" w:rsidRPr="009625F2">
        <w:t xml:space="preserve"> </w:t>
      </w:r>
      <w:r w:rsidRPr="009625F2">
        <w:t>Nutrition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Institutions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5774-2014</w:t>
      </w:r>
      <w:r w:rsidR="00C9336A" w:rsidRPr="009625F2">
        <w:t xml:space="preserve"> </w:t>
      </w:r>
      <w:r w:rsidRPr="009625F2">
        <w:t>authorizes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terms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conditions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nutritional</w:t>
      </w:r>
      <w:r w:rsidR="00C9336A" w:rsidRPr="009625F2">
        <w:t xml:space="preserve"> </w:t>
      </w:r>
      <w:r w:rsidRPr="009625F2">
        <w:t>values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foods</w:t>
      </w:r>
      <w:r w:rsidR="00C9336A" w:rsidRPr="009625F2">
        <w:t xml:space="preserve"> </w:t>
      </w:r>
      <w:r w:rsidRPr="009625F2">
        <w:t>sold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institutions.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requires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suppliers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publish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nutritional</w:t>
      </w:r>
      <w:r w:rsidR="00C9336A" w:rsidRPr="009625F2">
        <w:t xml:space="preserve"> </w:t>
      </w:r>
      <w:r w:rsidRPr="009625F2">
        <w:t>composition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foods</w:t>
      </w:r>
      <w:r w:rsidR="00C9336A" w:rsidRPr="009625F2">
        <w:t xml:space="preserve"> </w:t>
      </w:r>
      <w:r w:rsidRPr="009625F2">
        <w:t>sold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institution.</w:t>
      </w:r>
    </w:p>
    <w:p w:rsidR="00B342F3" w:rsidRPr="009625F2" w:rsidRDefault="00B342F3" w:rsidP="00EB53EF">
      <w:pPr>
        <w:pStyle w:val="SingleTxtG"/>
      </w:pPr>
      <w:r w:rsidRPr="009625F2">
        <w:t>190.</w:t>
      </w:r>
      <w:r w:rsidRPr="009625F2">
        <w:tab/>
        <w:t>Additional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–</w:t>
      </w:r>
      <w:r w:rsidR="00C17548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adopted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updated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proper</w:t>
      </w:r>
      <w:r w:rsidR="00C9336A" w:rsidRPr="009625F2">
        <w:t xml:space="preserve"> </w:t>
      </w:r>
      <w:r w:rsidRPr="009625F2">
        <w:t>nutrition:</w:t>
      </w:r>
      <w:r w:rsidR="00C9336A" w:rsidRPr="009625F2">
        <w:t xml:space="preserve"> </w:t>
      </w:r>
      <w:r w:rsidRPr="009625F2">
        <w:t>Nutrition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Summer</w:t>
      </w:r>
      <w:r w:rsidR="00C9336A" w:rsidRPr="009625F2">
        <w:t xml:space="preserve"> </w:t>
      </w:r>
      <w:r w:rsidRPr="009625F2">
        <w:t>Camps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(2016);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Protocol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Healthy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Hospitals</w:t>
      </w:r>
      <w:r w:rsidR="00C9336A" w:rsidRPr="009625F2">
        <w:t xml:space="preserve"> </w:t>
      </w:r>
      <w:r w:rsidRPr="009625F2">
        <w:t>(2017);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Circular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Healthy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Mental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Institutions</w:t>
      </w:r>
      <w:r w:rsidR="00C9336A" w:rsidRPr="009625F2">
        <w:t xml:space="preserve"> </w:t>
      </w:r>
      <w:r w:rsidRPr="009625F2">
        <w:t>(2012).</w:t>
      </w:r>
      <w:r w:rsidR="00C9336A" w:rsidRPr="009625F2">
        <w:t xml:space="preserve"> </w:t>
      </w:r>
    </w:p>
    <w:p w:rsidR="00B342F3" w:rsidRPr="009625F2" w:rsidRDefault="00B342F3" w:rsidP="00D0398C">
      <w:pPr>
        <w:pStyle w:val="H23G"/>
      </w:pPr>
      <w:r w:rsidRPr="009625F2">
        <w:tab/>
      </w:r>
      <w:r w:rsidRPr="009625F2">
        <w:tab/>
        <w:t>Access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disadvantaged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191.</w:t>
      </w:r>
      <w:r w:rsidRPr="009625F2">
        <w:tab/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Reused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Agricultural</w:t>
      </w:r>
      <w:r w:rsidR="00C9336A" w:rsidRPr="009625F2">
        <w:t xml:space="preserve"> </w:t>
      </w:r>
      <w:r w:rsidRPr="009625F2">
        <w:t>Purposes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transitional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give</w:t>
      </w:r>
      <w:r w:rsidR="00C9336A" w:rsidRPr="009625F2">
        <w:t xml:space="preserve"> </w:t>
      </w:r>
      <w:r w:rsidRPr="009625F2">
        <w:t>priority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farmers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reused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agricultural</w:t>
      </w:r>
      <w:r w:rsidR="00C9336A" w:rsidRPr="009625F2">
        <w:t xml:space="preserve"> </w:t>
      </w:r>
      <w:r w:rsidRPr="009625F2">
        <w:t>purposes,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subsidized</w:t>
      </w:r>
      <w:r w:rsidR="00C9336A" w:rsidRPr="009625F2">
        <w:t xml:space="preserve"> </w:t>
      </w:r>
      <w:r w:rsidRPr="009625F2">
        <w:t>price</w:t>
      </w:r>
      <w:r w:rsidR="00C9336A" w:rsidRPr="009625F2">
        <w:t xml:space="preserve"> </w:t>
      </w:r>
      <w:r w:rsidRPr="009625F2">
        <w:t>(Water</w:t>
      </w:r>
      <w:r w:rsidR="00C9336A" w:rsidRPr="009625F2">
        <w:t xml:space="preserve"> </w:t>
      </w:r>
      <w:r w:rsidRPr="009625F2">
        <w:t>(Criteria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Agriculture)</w:t>
      </w:r>
      <w:r w:rsidR="00C9336A" w:rsidRPr="009625F2">
        <w:t xml:space="preserve"> </w:t>
      </w:r>
      <w:r w:rsidRPr="009625F2">
        <w:t>(Transitional</w:t>
      </w:r>
      <w:r w:rsidR="00C9336A" w:rsidRPr="009625F2">
        <w:t xml:space="preserve"> </w:t>
      </w:r>
      <w:r w:rsidRPr="009625F2">
        <w:t>Provisions)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5774–2014).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192.</w:t>
      </w:r>
      <w:r w:rsidRPr="009625F2">
        <w:tab/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Quotas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Milk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Egg</w:t>
      </w:r>
      <w:r w:rsidR="00C9336A" w:rsidRPr="009625F2">
        <w:t xml:space="preserve"> </w:t>
      </w:r>
      <w:r w:rsidRPr="009625F2">
        <w:t>Production</w:t>
      </w:r>
      <w:r w:rsidR="00C9336A" w:rsidRPr="009625F2">
        <w:t xml:space="preserve"> </w:t>
      </w:r>
      <w:r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Quotas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Milk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Egg</w:t>
      </w:r>
      <w:r w:rsidR="00C9336A" w:rsidRPr="009625F2">
        <w:t xml:space="preserve"> </w:t>
      </w:r>
      <w:r w:rsidRPr="009625F2">
        <w:t>Production,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Quotas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breeders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Arab,</w:t>
      </w:r>
      <w:r w:rsidR="00C9336A" w:rsidRPr="009625F2">
        <w:t xml:space="preserve"> </w:t>
      </w:r>
      <w:r w:rsidRPr="009625F2">
        <w:t>Druze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Circassian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</w:t>
      </w:r>
      <w:r w:rsidRPr="009625F2">
        <w:rPr>
          <w:rtl/>
        </w:rPr>
        <w:t>.</w:t>
      </w:r>
    </w:p>
    <w:p w:rsidR="00B342F3" w:rsidRPr="009625F2" w:rsidRDefault="00B342F3" w:rsidP="00EB53EF">
      <w:pPr>
        <w:pStyle w:val="SingleTxtG"/>
      </w:pPr>
      <w:r w:rsidRPr="009625F2">
        <w:lastRenderedPageBreak/>
        <w:t>193.</w:t>
      </w:r>
      <w:r w:rsidRPr="009625F2">
        <w:tab/>
        <w:t>Simplifying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Proving</w:t>
      </w:r>
      <w:r w:rsidR="00C9336A" w:rsidRPr="009625F2">
        <w:t xml:space="preserve"> </w:t>
      </w:r>
      <w:r w:rsidRPr="009625F2">
        <w:t>Ownership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Private</w:t>
      </w:r>
      <w:r w:rsidR="00C9336A" w:rsidRPr="009625F2">
        <w:t xml:space="preserve"> </w:t>
      </w:r>
      <w:r w:rsidRPr="009625F2">
        <w:t>Land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Purposes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Subsidies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Resources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agriculture,</w:t>
      </w:r>
      <w:r w:rsidR="00C9336A" w:rsidRPr="009625F2">
        <w:t xml:space="preserve"> </w:t>
      </w:r>
      <w:r w:rsidRPr="009625F2">
        <w:t>quotas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milk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egg</w:t>
      </w:r>
      <w:r w:rsidR="00C9336A" w:rsidRPr="009625F2">
        <w:t xml:space="preserve"> </w:t>
      </w:r>
      <w:r w:rsidRPr="009625F2">
        <w:t>production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agricultural</w:t>
      </w:r>
      <w:r w:rsidR="00C9336A" w:rsidRPr="009625F2">
        <w:t xml:space="preserve"> </w:t>
      </w:r>
      <w:r w:rsidRPr="009625F2">
        <w:t>subsidies</w:t>
      </w:r>
      <w:r w:rsidR="00C9336A" w:rsidRPr="009625F2">
        <w:t xml:space="preserve"> </w:t>
      </w:r>
      <w:r w:rsidRPr="009625F2">
        <w:t>require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applicant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demonstrate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ownership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land.</w:t>
      </w:r>
      <w:r w:rsidR="00C9336A" w:rsidRPr="009625F2">
        <w:t xml:space="preserve"> </w:t>
      </w:r>
      <w:r w:rsidRPr="009625F2">
        <w:t>Farmers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often</w:t>
      </w:r>
      <w:r w:rsidR="00C9336A" w:rsidRPr="009625F2">
        <w:t xml:space="preserve"> </w:t>
      </w:r>
      <w:r w:rsidRPr="009625F2">
        <w:t>face</w:t>
      </w:r>
      <w:r w:rsidR="00C9336A" w:rsidRPr="009625F2">
        <w:t xml:space="preserve"> </w:t>
      </w:r>
      <w:r w:rsidRPr="009625F2">
        <w:t>difficulty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doing</w:t>
      </w:r>
      <w:r w:rsidR="00C9336A" w:rsidRPr="009625F2">
        <w:t xml:space="preserve"> </w:t>
      </w:r>
      <w:r w:rsidRPr="009625F2">
        <w:t>so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transfer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often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updated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Land</w:t>
      </w:r>
      <w:r w:rsidR="00C9336A" w:rsidRPr="009625F2">
        <w:t xml:space="preserve"> </w:t>
      </w:r>
      <w:r w:rsidRPr="009625F2">
        <w:t>Registry.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MoAaRD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facilitating</w:t>
      </w:r>
      <w:r w:rsidR="00C9336A" w:rsidRPr="009625F2">
        <w:t xml:space="preserve"> </w:t>
      </w:r>
      <w:r w:rsidRPr="009625F2">
        <w:t>proof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ownership.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presently</w:t>
      </w:r>
      <w:r w:rsidR="00C9336A" w:rsidRPr="009625F2">
        <w:t xml:space="preserve"> </w:t>
      </w:r>
      <w:r w:rsidRPr="009625F2">
        <w:t>implemented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reference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long</w:t>
      </w:r>
      <w:r w:rsidR="00C9336A" w:rsidRPr="009625F2">
        <w:t xml:space="preserve"> </w:t>
      </w:r>
      <w:r w:rsidRPr="009625F2">
        <w:t>list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subsidies</w:t>
      </w:r>
      <w:r w:rsidR="00C9336A" w:rsidRPr="009625F2">
        <w:t xml:space="preserve"> </w:t>
      </w:r>
      <w:r w:rsidRPr="009625F2">
        <w:t>(rural</w:t>
      </w:r>
      <w:r w:rsidR="00C9336A" w:rsidRPr="009625F2">
        <w:t xml:space="preserve"> </w:t>
      </w:r>
      <w:r w:rsidRPr="009625F2">
        <w:t>development,</w:t>
      </w:r>
      <w:r w:rsidR="00C9336A" w:rsidRPr="009625F2">
        <w:t xml:space="preserve"> </w:t>
      </w:r>
      <w:r w:rsidRPr="009625F2">
        <w:t>land</w:t>
      </w:r>
      <w:r w:rsidR="00C9336A" w:rsidRPr="009625F2">
        <w:t xml:space="preserve"> </w:t>
      </w:r>
      <w:r w:rsidRPr="009625F2">
        <w:t>preservation,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encouragement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capital</w:t>
      </w:r>
      <w:r w:rsidR="00C9336A" w:rsidRPr="009625F2">
        <w:t xml:space="preserve"> </w:t>
      </w:r>
      <w:r w:rsidRPr="009625F2">
        <w:t>investments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agriculture,</w:t>
      </w:r>
      <w:r w:rsidR="00C9336A" w:rsidRPr="009625F2">
        <w:t xml:space="preserve"> </w:t>
      </w:r>
      <w:r w:rsidRPr="009625F2">
        <w:t>natural</w:t>
      </w:r>
      <w:r w:rsidR="00C9336A" w:rsidRPr="009625F2">
        <w:t xml:space="preserve"> </w:t>
      </w:r>
      <w:r w:rsidRPr="009625F2">
        <w:t>disasters,</w:t>
      </w:r>
      <w:r w:rsidR="00C9336A" w:rsidRPr="009625F2">
        <w:t xml:space="preserve"> </w:t>
      </w:r>
      <w:r w:rsidRPr="009625F2">
        <w:t>pasture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relation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allocations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water,</w:t>
      </w:r>
      <w:r w:rsidR="00C9336A" w:rsidRPr="009625F2">
        <w:t xml:space="preserve"> </w:t>
      </w:r>
      <w:r w:rsidRPr="009625F2">
        <w:t>milk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egg</w:t>
      </w:r>
      <w:r w:rsidR="00C9336A" w:rsidRPr="009625F2">
        <w:t xml:space="preserve"> </w:t>
      </w:r>
      <w:r w:rsidRPr="009625F2">
        <w:t>production</w:t>
      </w:r>
      <w:r w:rsidR="00C9336A" w:rsidRPr="009625F2">
        <w:t xml:space="preserve"> </w:t>
      </w:r>
      <w:r w:rsidRPr="009625F2">
        <w:t>quotas.</w:t>
      </w:r>
    </w:p>
    <w:p w:rsidR="00B342F3" w:rsidRPr="009625F2" w:rsidRDefault="00B342F3" w:rsidP="00EB53EF">
      <w:pPr>
        <w:pStyle w:val="SingleTxtG"/>
      </w:pPr>
      <w:r w:rsidRPr="009625F2">
        <w:t>194.</w:t>
      </w:r>
      <w:r w:rsidRPr="009625F2">
        <w:tab/>
        <w:t>Efforts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eradicate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Brucellosis</w:t>
      </w:r>
      <w:r w:rsidR="00C9336A" w:rsidRPr="009625F2">
        <w:t xml:space="preserve"> </w:t>
      </w:r>
      <w:r w:rsidRPr="009625F2">
        <w:t>Disease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Ministries</w:t>
      </w:r>
      <w:r w:rsidR="00C9336A" w:rsidRPr="009625F2">
        <w:t xml:space="preserve"> </w:t>
      </w:r>
      <w:r w:rsidRPr="009625F2">
        <w:t>embarked</w:t>
      </w:r>
      <w:r w:rsidR="00C9336A" w:rsidRPr="009625F2">
        <w:t xml:space="preserve"> </w:t>
      </w:r>
      <w:r w:rsidRPr="009625F2">
        <w:t>upon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multi-year</w:t>
      </w:r>
      <w:r w:rsidR="00C9336A" w:rsidRPr="009625F2">
        <w:t xml:space="preserve"> </w:t>
      </w:r>
      <w:r w:rsidRPr="009625F2">
        <w:t>project</w:t>
      </w:r>
      <w:r w:rsidR="00C9336A" w:rsidRPr="009625F2">
        <w:t xml:space="preserve"> </w:t>
      </w:r>
      <w:r w:rsidRPr="009625F2">
        <w:t>(2014</w:t>
      </w:r>
      <w:r w:rsidR="006D23D6" w:rsidRPr="009625F2">
        <w:t>–</w:t>
      </w:r>
      <w:r w:rsidRPr="009625F2">
        <w:t>2019)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reduction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Brucellosis</w:t>
      </w:r>
      <w:r w:rsidR="00C9336A" w:rsidRPr="009625F2">
        <w:t xml:space="preserve"> </w:t>
      </w:r>
      <w:r w:rsidRPr="009625F2">
        <w:t>Disease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sheep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goat</w:t>
      </w:r>
      <w:r w:rsidR="00C9336A" w:rsidRPr="009625F2">
        <w:t xml:space="preserve"> </w:t>
      </w:r>
      <w:r w:rsidRPr="009625F2">
        <w:t>herds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wake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contraction.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BB21AF">
      <w:pPr>
        <w:pStyle w:val="H56G"/>
      </w:pPr>
      <w:r w:rsidRPr="009625F2">
        <w:tab/>
        <w:t>C.</w:t>
      </w:r>
      <w:r w:rsidRPr="009625F2">
        <w:tab/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water</w:t>
      </w:r>
    </w:p>
    <w:p w:rsidR="00B342F3" w:rsidRPr="009625F2" w:rsidRDefault="00B342F3" w:rsidP="00BB21AF">
      <w:pPr>
        <w:pStyle w:val="H23G"/>
      </w:pPr>
      <w:r w:rsidRPr="009625F2">
        <w:tab/>
      </w:r>
      <w:r w:rsidRPr="009625F2">
        <w:tab/>
        <w:t>Adequate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affordable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safe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195.</w:t>
      </w:r>
      <w:r w:rsidRPr="009625F2">
        <w:tab/>
        <w:t>Ensuring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supply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safe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adequate</w:t>
      </w:r>
      <w:r w:rsidR="00C9336A" w:rsidRPr="009625F2">
        <w:t xml:space="preserve"> </w:t>
      </w:r>
      <w:r w:rsidRPr="009625F2">
        <w:t>quantities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overarching</w:t>
      </w:r>
      <w:r w:rsidR="00C9336A" w:rsidRPr="009625F2">
        <w:t xml:space="preserve"> </w:t>
      </w:r>
      <w:r w:rsidRPr="009625F2">
        <w:t>goal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economy.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achieved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ways,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sustainable,</w:t>
      </w:r>
      <w:r w:rsidR="00C9336A" w:rsidRPr="009625F2">
        <w:t xml:space="preserve"> </w:t>
      </w:r>
      <w:r w:rsidRPr="009625F2">
        <w:t>long-term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infrastructure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regulation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sets</w:t>
      </w:r>
      <w:r w:rsidR="00C9336A" w:rsidRPr="009625F2">
        <w:t xml:space="preserve"> </w:t>
      </w:r>
      <w:r w:rsidRPr="009625F2">
        <w:t>cost-based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funding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required</w:t>
      </w:r>
      <w:r w:rsidR="00C9336A" w:rsidRPr="009625F2">
        <w:t xml:space="preserve"> </w:t>
      </w:r>
      <w:r w:rsidRPr="009625F2">
        <w:t>infrastructure</w:t>
      </w:r>
      <w:r w:rsidR="00C9336A" w:rsidRPr="009625F2">
        <w:t xml:space="preserve"> </w:t>
      </w:r>
      <w:r w:rsidRPr="009625F2">
        <w:t>investments.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196.</w:t>
      </w:r>
      <w:r w:rsidRPr="009625F2">
        <w:tab/>
        <w:t>Desalination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Five</w:t>
      </w:r>
      <w:r w:rsidR="00C9336A" w:rsidRPr="009625F2">
        <w:t xml:space="preserve"> </w:t>
      </w:r>
      <w:r w:rsidRPr="009625F2">
        <w:t>(5)</w:t>
      </w:r>
      <w:r w:rsidR="00C9336A" w:rsidRPr="009625F2">
        <w:t xml:space="preserve"> </w:t>
      </w:r>
      <w:r w:rsidRPr="009625F2">
        <w:t>large-scale</w:t>
      </w:r>
      <w:r w:rsidR="00C9336A" w:rsidRPr="009625F2">
        <w:t xml:space="preserve"> </w:t>
      </w:r>
      <w:r w:rsidRPr="009625F2">
        <w:t>seawater</w:t>
      </w:r>
      <w:r w:rsidR="00C9336A" w:rsidRPr="009625F2">
        <w:t xml:space="preserve"> </w:t>
      </w:r>
      <w:r w:rsidRPr="009625F2">
        <w:t>desalination</w:t>
      </w:r>
      <w:r w:rsidR="00C9336A" w:rsidRPr="009625F2">
        <w:t xml:space="preserve"> </w:t>
      </w:r>
      <w:r w:rsidRPr="009625F2">
        <w:t>facilities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smaller</w:t>
      </w:r>
      <w:r w:rsidR="00C9336A" w:rsidRPr="009625F2">
        <w:t xml:space="preserve"> </w:t>
      </w:r>
      <w:r w:rsidRPr="009625F2">
        <w:t>brackish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desalination</w:t>
      </w:r>
      <w:r w:rsidR="00C9336A" w:rsidRPr="009625F2">
        <w:t xml:space="preserve"> </w:t>
      </w:r>
      <w:r w:rsidRPr="009625F2">
        <w:t>facilities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50%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requirements.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govern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desalinated</w:t>
      </w:r>
      <w:r w:rsidR="00C9336A" w:rsidRPr="009625F2">
        <w:t xml:space="preserve"> </w:t>
      </w:r>
      <w:r w:rsidRPr="009625F2">
        <w:t>water.</w:t>
      </w:r>
    </w:p>
    <w:p w:rsidR="00B342F3" w:rsidRPr="009625F2" w:rsidRDefault="00B342F3" w:rsidP="00BB21AF">
      <w:pPr>
        <w:pStyle w:val="H23G"/>
      </w:pPr>
      <w:r w:rsidRPr="009625F2">
        <w:tab/>
      </w:r>
      <w:r w:rsidRPr="009625F2">
        <w:tab/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sufficient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safe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197.</w:t>
      </w:r>
      <w:r w:rsidRPr="009625F2">
        <w:tab/>
        <w:t>In</w:t>
      </w:r>
      <w:r w:rsidR="00C9336A" w:rsidRPr="009625F2">
        <w:t xml:space="preserve"> </w:t>
      </w:r>
      <w:r w:rsidRPr="009625F2">
        <w:t>general,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supplied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especially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home</w:t>
      </w:r>
      <w:r w:rsidR="00C9336A" w:rsidRPr="009625F2">
        <w:t xml:space="preserve"> </w:t>
      </w:r>
      <w:r w:rsidRPr="009625F2">
        <w:t>consumption,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safe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standards.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reliability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supply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guaranteed,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things,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connection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locality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system.</w:t>
      </w:r>
      <w:r w:rsidR="00C9336A" w:rsidRPr="009625F2">
        <w:t xml:space="preserve"> </w:t>
      </w:r>
      <w:r w:rsidRPr="009625F2">
        <w:t>Remaining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still</w:t>
      </w:r>
      <w:r w:rsidR="00C9336A" w:rsidRPr="009625F2">
        <w:t xml:space="preserve"> </w:t>
      </w:r>
      <w:r w:rsidRPr="009625F2">
        <w:t>rely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disconnected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sources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undergoing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planning.</w:t>
      </w:r>
    </w:p>
    <w:p w:rsidR="00B342F3" w:rsidRPr="009625F2" w:rsidRDefault="00B342F3" w:rsidP="00EB53EF">
      <w:pPr>
        <w:pStyle w:val="SingleTxtG"/>
      </w:pPr>
      <w:r w:rsidRPr="009625F2">
        <w:t>198.</w:t>
      </w:r>
      <w:r w:rsidRPr="009625F2">
        <w:tab/>
        <w:t>In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construction,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practical</w:t>
      </w:r>
      <w:r w:rsidR="00C9336A" w:rsidRPr="009625F2">
        <w:t xml:space="preserve"> </w:t>
      </w:r>
      <w:r w:rsidRPr="009625F2">
        <w:t>obstacles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connecting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supply</w:t>
      </w:r>
      <w:r w:rsidR="00C9336A" w:rsidRPr="009625F2">
        <w:t xml:space="preserve"> </w:t>
      </w:r>
      <w:r w:rsidRPr="009625F2">
        <w:t>infrastructure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obtained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central</w:t>
      </w:r>
      <w:r w:rsidR="00C9336A" w:rsidRPr="009625F2">
        <w:t xml:space="preserve"> </w:t>
      </w:r>
      <w:r w:rsidRPr="009625F2">
        <w:t>point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system.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199.</w:t>
      </w:r>
      <w:r w:rsidRPr="009625F2">
        <w:tab/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Communities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pilot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began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provision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communities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done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direct</w:t>
      </w:r>
      <w:r w:rsidR="00C9336A" w:rsidRPr="009625F2">
        <w:t xml:space="preserve"> </w:t>
      </w:r>
      <w:r w:rsidRPr="009625F2">
        <w:t>private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connections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main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pipeline,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own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meter.</w:t>
      </w:r>
      <w:r w:rsidR="00C9336A" w:rsidRPr="009625F2">
        <w:t xml:space="preserve"> </w:t>
      </w:r>
    </w:p>
    <w:p w:rsidR="00B342F3" w:rsidRPr="009625F2" w:rsidRDefault="00B342F3" w:rsidP="00BB21AF">
      <w:pPr>
        <w:pStyle w:val="H23G"/>
      </w:pPr>
      <w:r w:rsidRPr="009625F2">
        <w:tab/>
      </w:r>
      <w:r w:rsidRPr="009625F2">
        <w:tab/>
        <w:t>Affordability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200.</w:t>
      </w:r>
      <w:r w:rsidRPr="009625F2">
        <w:tab/>
        <w:t>General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sewage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determined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manner</w:t>
      </w:r>
      <w:r w:rsidR="00C9336A" w:rsidRPr="009625F2">
        <w:t xml:space="preserve"> </w:t>
      </w:r>
      <w:r w:rsidRPr="009625F2">
        <w:t>intended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overall</w:t>
      </w:r>
      <w:r w:rsidR="00C9336A" w:rsidRPr="009625F2">
        <w:t xml:space="preserve"> </w:t>
      </w:r>
      <w:r w:rsidRPr="009625F2">
        <w:t>recognized</w:t>
      </w:r>
      <w:r w:rsidR="00C9336A" w:rsidRPr="009625F2">
        <w:t xml:space="preserve"> </w:t>
      </w:r>
      <w:r w:rsidRPr="009625F2">
        <w:t>expenses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suppliers</w:t>
      </w:r>
      <w:r w:rsidR="00C9336A" w:rsidRPr="009625F2">
        <w:t xml:space="preserve"> </w:t>
      </w:r>
      <w:r w:rsidRPr="009625F2">
        <w:t>so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efficient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supply.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201.</w:t>
      </w:r>
      <w:r w:rsidRPr="009625F2">
        <w:tab/>
        <w:t>Discounted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Rules</w:t>
      </w:r>
      <w:r w:rsidR="00C9336A" w:rsidRPr="009625F2">
        <w:t xml:space="preserve"> </w:t>
      </w:r>
      <w:r w:rsidRPr="009625F2">
        <w:t>(Determining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Recognized</w:t>
      </w:r>
      <w:r w:rsidR="00C9336A" w:rsidRPr="009625F2">
        <w:t xml:space="preserve"> </w:t>
      </w:r>
      <w:r w:rsidRPr="009625F2">
        <w:t>Amount)</w:t>
      </w:r>
      <w:r w:rsidR="00C9336A" w:rsidRPr="009625F2">
        <w:t xml:space="preserve"> </w:t>
      </w:r>
      <w:r w:rsidRPr="009625F2">
        <w:t>5776-2016</w:t>
      </w:r>
      <w:r w:rsidR="00C9336A" w:rsidRPr="009625F2">
        <w:t xml:space="preserve"> </w:t>
      </w:r>
      <w:r w:rsidRPr="009625F2">
        <w:t>introduced</w:t>
      </w:r>
      <w:r w:rsidR="00C9336A" w:rsidRPr="009625F2">
        <w:t xml:space="preserve"> </w:t>
      </w:r>
      <w:r w:rsidRPr="009625F2">
        <w:t>discounted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need.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202.</w:t>
      </w:r>
      <w:r w:rsidRPr="009625F2">
        <w:tab/>
        <w:t>Disconnection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supply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Sewage</w:t>
      </w:r>
      <w:r w:rsidR="00C9336A" w:rsidRPr="009625F2">
        <w:t xml:space="preserve"> </w:t>
      </w:r>
      <w:r w:rsidRPr="009625F2">
        <w:t>Corporation</w:t>
      </w:r>
      <w:r w:rsidR="00C9336A" w:rsidRPr="009625F2">
        <w:t xml:space="preserve"> </w:t>
      </w:r>
      <w:r w:rsidRPr="009625F2">
        <w:t>Rules</w:t>
      </w:r>
      <w:r w:rsidR="00C9336A" w:rsidRPr="009625F2">
        <w:t xml:space="preserve"> </w:t>
      </w:r>
      <w:r w:rsidRPr="009625F2">
        <w:t>(Disconnection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Supply)</w:t>
      </w:r>
      <w:r w:rsidR="00C9336A" w:rsidRPr="009625F2">
        <w:t xml:space="preserve"> </w:t>
      </w:r>
      <w:r w:rsidRPr="009625F2">
        <w:t>5776-2015</w:t>
      </w:r>
      <w:r w:rsidR="00C9336A" w:rsidRPr="009625F2">
        <w:t xml:space="preserve"> </w:t>
      </w:r>
      <w:r w:rsidRPr="009625F2">
        <w:t>dramatically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instances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supply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disconnected.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BB21AF">
      <w:pPr>
        <w:pStyle w:val="H23G"/>
      </w:pPr>
      <w:r w:rsidRPr="009625F2">
        <w:tab/>
      </w:r>
      <w:r w:rsidRPr="009625F2">
        <w:tab/>
        <w:t>Monitoring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203.</w:t>
      </w:r>
      <w:r w:rsidRPr="009625F2">
        <w:tab/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BB21AF">
      <w:pPr>
        <w:pStyle w:val="H23G"/>
      </w:pPr>
      <w:r w:rsidRPr="009625F2">
        <w:lastRenderedPageBreak/>
        <w:tab/>
      </w:r>
      <w:r w:rsidRPr="009625F2">
        <w:tab/>
        <w:t>Education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204.</w:t>
      </w:r>
      <w:r w:rsidRPr="009625F2">
        <w:tab/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level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ingrained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early</w:t>
      </w:r>
      <w:r w:rsidR="00C9336A" w:rsidRPr="009625F2">
        <w:t xml:space="preserve"> </w:t>
      </w:r>
      <w:r w:rsidRPr="009625F2">
        <w:t>education,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informed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economical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use.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taken,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times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crisis,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5D3374">
      <w:pPr>
        <w:pStyle w:val="H56G"/>
      </w:pPr>
      <w:r w:rsidRPr="009625F2">
        <w:tab/>
        <w:t>D.</w:t>
      </w:r>
      <w:r w:rsidRPr="009625F2">
        <w:tab/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adequate</w:t>
      </w:r>
      <w:r w:rsidR="00C9336A" w:rsidRPr="009625F2">
        <w:t xml:space="preserve"> </w:t>
      </w:r>
      <w:r w:rsidRPr="009625F2">
        <w:t>housing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Homelessness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205.</w:t>
      </w:r>
      <w:r w:rsidRPr="009625F2">
        <w:tab/>
        <w:t>Data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(MoCH),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course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1,267</w:t>
      </w:r>
      <w:r w:rsidR="00C9336A" w:rsidRPr="009625F2">
        <w:t xml:space="preserve"> </w:t>
      </w:r>
      <w:r w:rsidRPr="009625F2">
        <w:t>people</w:t>
      </w:r>
      <w:r w:rsidR="00C9336A" w:rsidRPr="009625F2">
        <w:t xml:space="preserve"> </w:t>
      </w:r>
      <w:r w:rsidRPr="009625F2">
        <w:t>defined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="00D311F6">
        <w:t>“</w:t>
      </w:r>
      <w:r w:rsidRPr="009625F2">
        <w:t>street</w:t>
      </w:r>
      <w:r w:rsidR="00C9336A" w:rsidRPr="009625F2">
        <w:t xml:space="preserve"> </w:t>
      </w:r>
      <w:r w:rsidRPr="009625F2">
        <w:t>dwellers</w:t>
      </w:r>
      <w:r w:rsidR="00D311F6">
        <w:t>”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monthly</w:t>
      </w:r>
      <w:r w:rsidR="00C9336A" w:rsidRPr="009625F2">
        <w:t xml:space="preserve"> </w:t>
      </w:r>
      <w:r w:rsidRPr="009625F2">
        <w:t>allowance.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necessarily</w:t>
      </w:r>
      <w:r w:rsidR="00C9336A" w:rsidRPr="009625F2">
        <w:t xml:space="preserve"> </w:t>
      </w:r>
      <w:r w:rsidRPr="009625F2">
        <w:t>indicative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homeless</w:t>
      </w:r>
      <w:r w:rsidR="00C9336A" w:rsidRPr="009625F2">
        <w:t xml:space="preserve"> </w:t>
      </w:r>
      <w:r w:rsidRPr="009625F2">
        <w:t>people,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identified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206.</w:t>
      </w:r>
      <w:r w:rsidRPr="009625F2">
        <w:tab/>
        <w:t>Services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outlined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Pr="009625F2">
        <w:t>offers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street-dwellers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community,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provision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make-shift</w:t>
      </w:r>
      <w:r w:rsidR="00C9336A" w:rsidRPr="009625F2">
        <w:t xml:space="preserve"> </w:t>
      </w:r>
      <w:r w:rsidRPr="009625F2">
        <w:t>shelters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overnight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emergency</w:t>
      </w:r>
      <w:r w:rsidR="00C9336A" w:rsidRPr="009625F2">
        <w:t xml:space="preserve"> </w:t>
      </w:r>
      <w:r w:rsidRPr="009625F2">
        <w:t>situations,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well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rehabilitative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occupational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throughout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assists</w:t>
      </w:r>
      <w:r w:rsidR="00C9336A" w:rsidRPr="009625F2">
        <w:t xml:space="preserve"> </w:t>
      </w:r>
      <w:r w:rsidRPr="009625F2">
        <w:t>1,800</w:t>
      </w:r>
      <w:r w:rsidR="00C9336A" w:rsidRPr="009625F2">
        <w:t xml:space="preserve"> </w:t>
      </w:r>
      <w:r w:rsidRPr="009625F2">
        <w:t>street-dwellers</w:t>
      </w:r>
      <w:r w:rsidR="00C9336A" w:rsidRPr="009625F2">
        <w:t xml:space="preserve"> </w:t>
      </w:r>
      <w:r w:rsidRPr="009625F2">
        <w:t>annually.</w:t>
      </w:r>
    </w:p>
    <w:p w:rsidR="00B342F3" w:rsidRPr="009625F2" w:rsidRDefault="00B342F3" w:rsidP="00EB53EF">
      <w:pPr>
        <w:pStyle w:val="SingleTxtG"/>
      </w:pPr>
      <w:r w:rsidRPr="009625F2">
        <w:t>207.</w:t>
      </w:r>
      <w:r w:rsidRPr="009625F2">
        <w:tab/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updates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below.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Affordable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208.</w:t>
      </w:r>
      <w:r w:rsidRPr="009625F2">
        <w:tab/>
        <w:t>Acceleration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Building</w:t>
      </w:r>
      <w:r w:rsidR="00C9336A" w:rsidRPr="009625F2">
        <w:t xml:space="preserve"> </w:t>
      </w:r>
      <w:r w:rsidRPr="009625F2">
        <w:t>Proceedings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Acceleration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Residential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(Transitory</w:t>
      </w:r>
      <w:r w:rsidR="00C9336A" w:rsidRPr="009625F2">
        <w:t xml:space="preserve"> </w:t>
      </w:r>
      <w:r w:rsidRPr="009625F2">
        <w:t>Provisions)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5771-2011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enacted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expedite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affordable</w:t>
      </w:r>
      <w:r w:rsidR="00C9336A" w:rsidRPr="009625F2">
        <w:t xml:space="preserve"> </w:t>
      </w:r>
      <w:r w:rsidRPr="009625F2">
        <w:t>housing,</w:t>
      </w:r>
      <w:r w:rsidR="00C9336A" w:rsidRPr="009625F2">
        <w:t xml:space="preserve"> </w:t>
      </w:r>
      <w:r w:rsidRPr="009625F2">
        <w:t>creating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purpose.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replaced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Preferred</w:t>
      </w:r>
      <w:r w:rsidR="00C9336A" w:rsidRPr="009625F2">
        <w:t xml:space="preserve"> </w:t>
      </w:r>
      <w:r w:rsidRPr="009625F2">
        <w:t>Residential</w:t>
      </w:r>
      <w:r w:rsidR="00C9336A" w:rsidRPr="009625F2">
        <w:t xml:space="preserve"> </w:t>
      </w:r>
      <w:r w:rsidRPr="009625F2">
        <w:t>Sites</w:t>
      </w:r>
      <w:r w:rsidR="00C9336A" w:rsidRPr="009625F2">
        <w:t xml:space="preserve"> </w:t>
      </w:r>
      <w:r w:rsidRPr="009625F2">
        <w:t>(Transitory</w:t>
      </w:r>
      <w:r w:rsidR="00C9336A" w:rsidRPr="009625F2">
        <w:t xml:space="preserve"> </w:t>
      </w:r>
      <w:r w:rsidRPr="009625F2">
        <w:t>Provisions)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5774-2014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procedures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preferred</w:t>
      </w:r>
      <w:r w:rsidR="00C9336A" w:rsidRPr="009625F2">
        <w:t xml:space="preserve"> </w:t>
      </w:r>
      <w:r w:rsidRPr="009625F2">
        <w:t>residential</w:t>
      </w:r>
      <w:r w:rsidR="00C9336A" w:rsidRPr="009625F2">
        <w:t xml:space="preserve"> </w:t>
      </w:r>
      <w:r w:rsidRPr="009625F2">
        <w:t>sites,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accelerate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areas.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particular,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fast</w:t>
      </w:r>
      <w:r w:rsidR="00C9336A" w:rsidRPr="009625F2">
        <w:t xml:space="preserve"> </w:t>
      </w:r>
      <w:r w:rsidRPr="009625F2">
        <w:t>track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setting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plans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issuing</w:t>
      </w:r>
      <w:r w:rsidR="00C9336A" w:rsidRPr="009625F2">
        <w:t xml:space="preserve"> </w:t>
      </w:r>
      <w:r w:rsidRPr="009625F2">
        <w:t>building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sufficient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supply.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209.</w:t>
      </w:r>
      <w:r w:rsidRPr="009625F2">
        <w:tab/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Central</w:t>
      </w:r>
      <w:r w:rsidR="00C9336A" w:rsidRPr="009625F2">
        <w:t xml:space="preserve"> </w:t>
      </w:r>
      <w:r w:rsidRPr="009625F2">
        <w:t>Bureau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Statistics</w:t>
      </w:r>
      <w:r w:rsidR="00C9336A" w:rsidRPr="009625F2">
        <w:t xml:space="preserve"> </w:t>
      </w:r>
      <w:r w:rsidRPr="009625F2">
        <w:t>(CBS),</w:t>
      </w:r>
      <w:r w:rsidR="00C9336A" w:rsidRPr="009625F2">
        <w:t xml:space="preserve"> </w:t>
      </w:r>
      <w:r w:rsidRPr="009625F2">
        <w:t>whereas</w:t>
      </w:r>
      <w:r w:rsidR="00C9336A" w:rsidRPr="009625F2">
        <w:t xml:space="preserve"> </w:t>
      </w:r>
      <w:r w:rsidRPr="009625F2">
        <w:t>2009</w:t>
      </w:r>
      <w:r w:rsidR="00C9336A" w:rsidRPr="009625F2">
        <w:t xml:space="preserve"> </w:t>
      </w:r>
      <w:r w:rsidRPr="009625F2">
        <w:t>saw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35,165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apartments</w:t>
      </w:r>
      <w:r w:rsidR="00C9336A" w:rsidRPr="009625F2">
        <w:t xml:space="preserve"> </w:t>
      </w:r>
      <w:r w:rsidRPr="009625F2">
        <w:t>(defined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moulding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building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foundations),</w:t>
      </w:r>
      <w:r w:rsidR="00C9336A" w:rsidRPr="009625F2">
        <w:t xml:space="preserve"> </w:t>
      </w:r>
      <w:r w:rsidRPr="009625F2">
        <w:t>2015</w:t>
      </w:r>
      <w:r w:rsidR="00C9336A" w:rsidRPr="009625F2">
        <w:t xml:space="preserve"> </w:t>
      </w:r>
      <w:r w:rsidRPr="009625F2">
        <w:t>saw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50,558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apartments.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210.</w:t>
      </w:r>
      <w:r w:rsidRPr="009625F2">
        <w:tab/>
        <w:t>Additional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2018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designed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availability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affordable</w:t>
      </w:r>
      <w:r w:rsidR="00C9336A" w:rsidRPr="009625F2">
        <w:t xml:space="preserve"> </w:t>
      </w:r>
      <w:r w:rsidRPr="009625F2">
        <w:t>rental</w:t>
      </w:r>
      <w:r w:rsidR="00C9336A" w:rsidRPr="009625F2">
        <w:t xml:space="preserve"> </w:t>
      </w:r>
      <w:r w:rsidRPr="009625F2">
        <w:t>housing,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211.</w:t>
      </w:r>
      <w:r w:rsidRPr="009625F2">
        <w:tab/>
        <w:t>Taxation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Efficiency</w:t>
      </w:r>
      <w:r w:rsidR="00C9336A" w:rsidRPr="009625F2">
        <w:t xml:space="preserve"> </w:t>
      </w:r>
      <w:r w:rsidRPr="009625F2">
        <w:t>(Legislative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2018)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5777-2016</w:t>
      </w:r>
      <w:r w:rsidR="00C9336A" w:rsidRPr="009625F2">
        <w:t xml:space="preserve"> </w:t>
      </w:r>
      <w:r w:rsidRPr="009625F2">
        <w:t>imposed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="00D311F6">
        <w:t>“</w:t>
      </w:r>
      <w:r w:rsidRPr="009625F2">
        <w:t>multiple</w:t>
      </w:r>
      <w:r w:rsidR="00C9336A" w:rsidRPr="009625F2">
        <w:t xml:space="preserve"> </w:t>
      </w:r>
      <w:r w:rsidRPr="009625F2">
        <w:t>apartments</w:t>
      </w:r>
      <w:r w:rsidR="00D311F6">
        <w:t>”</w:t>
      </w:r>
      <w:r w:rsidR="00C9336A" w:rsidRPr="009625F2">
        <w:t xml:space="preserve"> </w:t>
      </w:r>
      <w:r w:rsidRPr="009625F2">
        <w:t>tax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apartment</w:t>
      </w:r>
      <w:r w:rsidR="00C9336A" w:rsidRPr="009625F2">
        <w:t xml:space="preserve"> </w:t>
      </w:r>
      <w:r w:rsidRPr="009625F2">
        <w:t>owned.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Knesset,</w:t>
      </w:r>
      <w:r w:rsidR="00C9336A" w:rsidRPr="009625F2">
        <w:t xml:space="preserve"> </w:t>
      </w:r>
      <w:r w:rsidRPr="009625F2">
        <w:t>yet</w:t>
      </w:r>
      <w:r w:rsidR="00C9336A" w:rsidRPr="009625F2">
        <w:t xml:space="preserve"> </w:t>
      </w:r>
      <w:r w:rsidRPr="009625F2">
        <w:t>did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enter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force.</w:t>
      </w:r>
      <w:r w:rsidR="00C9336A" w:rsidRPr="009625F2">
        <w:t xml:space="preserve"> </w:t>
      </w:r>
      <w:r w:rsidRPr="009625F2">
        <w:t>Five</w:t>
      </w:r>
      <w:r w:rsidR="00C9336A" w:rsidRPr="009625F2">
        <w:t xml:space="preserve"> </w:t>
      </w:r>
      <w:r w:rsidRPr="009625F2">
        <w:t>petitions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filed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HCJ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Chapter</w:t>
      </w:r>
      <w:r w:rsidR="00C9336A" w:rsidRPr="009625F2">
        <w:t xml:space="preserve"> </w:t>
      </w:r>
      <w:r w:rsidRPr="009625F2">
        <w:t>12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decision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matter,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212.</w:t>
      </w:r>
      <w:r w:rsidRPr="009625F2">
        <w:tab/>
        <w:t>Regulation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private</w:t>
      </w:r>
      <w:r w:rsidR="00C9336A" w:rsidRPr="009625F2">
        <w:t xml:space="preserve"> </w:t>
      </w:r>
      <w:r w:rsidRPr="009625F2">
        <w:t>rental</w:t>
      </w:r>
      <w:r w:rsidR="00C9336A" w:rsidRPr="009625F2">
        <w:t xml:space="preserve"> </w:t>
      </w:r>
      <w:r w:rsidRPr="009625F2">
        <w:t>market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concern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regulation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private</w:t>
      </w:r>
      <w:r w:rsidR="00C9336A" w:rsidRPr="009625F2">
        <w:t xml:space="preserve"> </w:t>
      </w:r>
      <w:r w:rsidRPr="009625F2">
        <w:t>rental</w:t>
      </w:r>
      <w:r w:rsidR="00C9336A" w:rsidRPr="009625F2">
        <w:t xml:space="preserve"> </w:t>
      </w:r>
      <w:r w:rsidRPr="009625F2">
        <w:t>market.</w:t>
      </w:r>
      <w:r w:rsidR="00C9336A" w:rsidRPr="009625F2">
        <w:t xml:space="preserve"> </w:t>
      </w:r>
      <w:r w:rsidRPr="009625F2">
        <w:t>We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pleased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recently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213.</w:t>
      </w:r>
      <w:r w:rsidRPr="009625F2">
        <w:tab/>
        <w:t>On</w:t>
      </w:r>
      <w:r w:rsidR="00C9336A" w:rsidRPr="009625F2">
        <w:t xml:space="preserve"> </w:t>
      </w:r>
      <w:r w:rsidRPr="009625F2">
        <w:t>13th</w:t>
      </w:r>
      <w:r w:rsidR="00C9336A" w:rsidRPr="009625F2">
        <w:t xml:space="preserve"> </w:t>
      </w:r>
      <w:r w:rsidRPr="009625F2">
        <w:t>June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directed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Finance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establish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incentives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landlords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rent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properties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least</w:t>
      </w:r>
      <w:r w:rsidR="00C9336A" w:rsidRPr="009625F2">
        <w:t xml:space="preserve"> </w:t>
      </w:r>
      <w:r w:rsidRPr="009625F2">
        <w:t>five</w:t>
      </w:r>
      <w:r w:rsidR="00C9336A" w:rsidRPr="009625F2">
        <w:t xml:space="preserve"> </w:t>
      </w:r>
      <w:r w:rsidRPr="009625F2">
        <w:t>(5)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set,</w:t>
      </w:r>
      <w:r w:rsidR="00C9336A" w:rsidRPr="009625F2">
        <w:t xml:space="preserve"> </w:t>
      </w:r>
      <w:r w:rsidRPr="009625F2">
        <w:t>index</w:t>
      </w:r>
      <w:r w:rsidR="00C9336A" w:rsidRPr="009625F2">
        <w:t xml:space="preserve"> </w:t>
      </w:r>
      <w:r w:rsidRPr="009625F2">
        <w:t>linked,</w:t>
      </w:r>
      <w:r w:rsidR="00C9336A" w:rsidRPr="009625F2">
        <w:t xml:space="preserve"> </w:t>
      </w:r>
      <w:r w:rsidRPr="009625F2">
        <w:t>rental</w:t>
      </w:r>
      <w:r w:rsidR="00C9336A" w:rsidRPr="009625F2">
        <w:t xml:space="preserve"> </w:t>
      </w:r>
      <w:r w:rsidRPr="009625F2">
        <w:t>price.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directed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MoJ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recommend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improve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efficiency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dispute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landlords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tenants,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end</w:t>
      </w:r>
      <w:r w:rsidR="00C9336A" w:rsidRPr="009625F2">
        <w:t xml:space="preserve"> </w:t>
      </w:r>
      <w:r w:rsidRPr="009625F2">
        <w:t>(Government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1528).</w:t>
      </w:r>
    </w:p>
    <w:p w:rsidR="00B342F3" w:rsidRPr="009625F2" w:rsidRDefault="00B342F3" w:rsidP="00EB53EF">
      <w:pPr>
        <w:pStyle w:val="SingleTxtG"/>
      </w:pPr>
      <w:r w:rsidRPr="009625F2">
        <w:t>214.</w:t>
      </w:r>
      <w:r w:rsidRPr="009625F2">
        <w:tab/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="001A2002" w:rsidRPr="009625F2">
        <w:t>in</w:t>
      </w:r>
      <w:r w:rsidR="00C9336A" w:rsidRPr="009625F2">
        <w:t xml:space="preserve"> </w:t>
      </w:r>
      <w:r w:rsidRPr="009625F2">
        <w:t>July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1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Rental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Loan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5777-2017,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chapter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rental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residential</w:t>
      </w:r>
      <w:r w:rsidR="00C9336A" w:rsidRPr="009625F2">
        <w:t xml:space="preserve"> </w:t>
      </w:r>
      <w:r w:rsidRPr="009625F2">
        <w:t>purposes.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chapter</w:t>
      </w:r>
      <w:r w:rsidR="00C9336A" w:rsidRPr="009625F2">
        <w:t xml:space="preserve"> </w:t>
      </w:r>
      <w:r w:rsidRPr="009625F2">
        <w:t>regulates,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things,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relations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tenant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owner,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increases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lastRenderedPageBreak/>
        <w:t>and</w:t>
      </w:r>
      <w:r w:rsidR="00C9336A" w:rsidRPr="009625F2">
        <w:t xml:space="preserve"> </w:t>
      </w:r>
      <w:r w:rsidRPr="009625F2">
        <w:t>certainty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market.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chapter</w:t>
      </w:r>
      <w:r w:rsidR="00C9336A" w:rsidRPr="009625F2">
        <w:t xml:space="preserve"> </w:t>
      </w:r>
      <w:r w:rsidRPr="009625F2">
        <w:t>sets</w:t>
      </w:r>
      <w:r w:rsidR="00C9336A" w:rsidRPr="009625F2">
        <w:t xml:space="preserve"> </w:t>
      </w:r>
      <w:r w:rsidRPr="009625F2">
        <w:t>instruction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contract</w:t>
      </w:r>
      <w:r w:rsidR="00C9336A" w:rsidRPr="009625F2">
        <w:t xml:space="preserve"> </w:t>
      </w:r>
      <w:r w:rsidRPr="009625F2">
        <w:t>(requirement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written</w:t>
      </w:r>
      <w:r w:rsidR="00C9336A" w:rsidRPr="009625F2">
        <w:t xml:space="preserve"> </w:t>
      </w:r>
      <w:r w:rsidRPr="009625F2">
        <w:t>contract),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apartment</w:t>
      </w:r>
      <w:r w:rsidR="00C9336A" w:rsidRPr="009625F2">
        <w:t xml:space="preserve"> </w:t>
      </w:r>
      <w:r w:rsidRPr="009625F2">
        <w:t>(it</w:t>
      </w:r>
      <w:r w:rsidR="00C9336A" w:rsidRPr="009625F2">
        <w:t xml:space="preserve"> </w:t>
      </w:r>
      <w:r w:rsidRPr="009625F2">
        <w:t>defines</w:t>
      </w:r>
      <w:r w:rsidR="00C9336A" w:rsidRPr="009625F2">
        <w:t xml:space="preserve"> </w:t>
      </w:r>
      <w:r w:rsidRPr="009625F2">
        <w:t>apartments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="00D311F6">
        <w:t>“</w:t>
      </w:r>
      <w:r w:rsidRPr="009625F2">
        <w:t>inhabitable</w:t>
      </w:r>
      <w:r w:rsidR="00D311F6">
        <w:t>”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lack,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plumbing,</w:t>
      </w:r>
      <w:r w:rsidR="00C9336A" w:rsidRPr="009625F2">
        <w:t xml:space="preserve"> </w:t>
      </w:r>
      <w:r w:rsidRPr="009625F2">
        <w:t>electricity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natural</w:t>
      </w:r>
      <w:r w:rsidR="00C9336A" w:rsidRPr="009625F2">
        <w:t xml:space="preserve"> </w:t>
      </w:r>
      <w:r w:rsidRPr="009625F2">
        <w:t>light),</w:t>
      </w:r>
      <w:r w:rsidR="00C9336A" w:rsidRPr="009625F2">
        <w:t xml:space="preserve"> </w:t>
      </w:r>
      <w:r w:rsidRPr="009625F2">
        <w:t>define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landlord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responsibilities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repairs,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timeframes;</w:t>
      </w:r>
      <w:r w:rsidR="00C9336A" w:rsidRPr="009625F2">
        <w:t xml:space="preserve"> </w:t>
      </w:r>
      <w:r w:rsidRPr="009625F2">
        <w:t>types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payments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owner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collect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tenant,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amount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collateral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owner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demand,</w:t>
      </w:r>
      <w:r w:rsidR="00C9336A" w:rsidRPr="009625F2">
        <w:t xml:space="preserve"> </w:t>
      </w:r>
      <w:r w:rsidRPr="009625F2">
        <w:t>instruction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relations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sides</w:t>
      </w:r>
      <w:r w:rsidR="00C9336A" w:rsidRPr="009625F2">
        <w:t xml:space="preserve"> </w:t>
      </w:r>
      <w:r w:rsidRPr="009625F2">
        <w:t>etc.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215.</w:t>
      </w:r>
      <w:r w:rsidRPr="009625F2">
        <w:tab/>
        <w:t>Rental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increasing</w:t>
      </w:r>
      <w:r w:rsidR="00C9336A" w:rsidRPr="009625F2">
        <w:t xml:space="preserve"> </w:t>
      </w:r>
      <w:r w:rsidRPr="009625F2">
        <w:t>rental</w:t>
      </w:r>
      <w:r w:rsidR="00C9336A" w:rsidRPr="009625F2">
        <w:t xml:space="preserve"> </w:t>
      </w:r>
      <w:r w:rsidRPr="009625F2">
        <w:t>assistance.</w:t>
      </w:r>
      <w:r w:rsidR="00C9336A" w:rsidRPr="009625F2">
        <w:t xml:space="preserve"> </w:t>
      </w:r>
      <w:r w:rsidRPr="009625F2">
        <w:t>We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pleased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Resolutions</w:t>
      </w:r>
      <w:r w:rsidR="00C9336A" w:rsidRPr="009625F2">
        <w:t xml:space="preserve"> </w:t>
      </w:r>
      <w:r w:rsidRPr="009625F2">
        <w:t>(of</w:t>
      </w:r>
      <w:r w:rsidR="00C9336A" w:rsidRPr="009625F2">
        <w:t xml:space="preserve"> </w:t>
      </w:r>
      <w:r w:rsidRPr="009625F2">
        <w:t>March</w:t>
      </w:r>
      <w:r w:rsidR="00C9336A" w:rsidRPr="009625F2">
        <w:t xml:space="preserve"> </w:t>
      </w:r>
      <w:r w:rsidRPr="009625F2">
        <w:t>2012,</w:t>
      </w:r>
      <w:r w:rsidR="00C9336A" w:rsidRPr="009625F2">
        <w:t xml:space="preserve"> </w:t>
      </w:r>
      <w:r w:rsidRPr="009625F2">
        <w:t>allocating</w:t>
      </w:r>
      <w:r w:rsidR="00C9336A" w:rsidRPr="009625F2">
        <w:t xml:space="preserve"> </w:t>
      </w:r>
      <w:r w:rsidRPr="009625F2">
        <w:t>160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(43.8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allocating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47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216.</w:t>
      </w:r>
      <w:r w:rsidRPr="009625F2">
        <w:tab/>
        <w:t>In</w:t>
      </w:r>
      <w:r w:rsidR="00C9336A" w:rsidRPr="009625F2">
        <w:t xml:space="preserve"> </w:t>
      </w:r>
      <w:r w:rsidRPr="009625F2">
        <w:t>March</w:t>
      </w:r>
      <w:r w:rsidR="00C9336A" w:rsidRPr="009625F2">
        <w:t xml:space="preserve"> </w:t>
      </w:r>
      <w:r w:rsidRPr="009625F2">
        <w:t>2012,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4433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="00D311F6">
        <w:t>“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Aid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Field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Preservation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Stock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Eligible</w:t>
      </w:r>
      <w:r w:rsidR="00C9336A" w:rsidRPr="009625F2">
        <w:t xml:space="preserve"> </w:t>
      </w:r>
      <w:r w:rsidRPr="009625F2">
        <w:t>Persons</w:t>
      </w:r>
      <w:r w:rsidR="00D311F6">
        <w:t>”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160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(44.5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rent</w:t>
      </w:r>
      <w:r w:rsidR="00C9336A" w:rsidRPr="009625F2">
        <w:t xml:space="preserve"> </w:t>
      </w:r>
      <w:r w:rsidRPr="009625F2">
        <w:t>subsidies.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217.</w:t>
      </w:r>
      <w:r w:rsidRPr="009625F2">
        <w:tab/>
        <w:t>See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legislative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frameworks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Below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report.</w:t>
      </w:r>
    </w:p>
    <w:p w:rsidR="00B342F3" w:rsidRPr="009625F2" w:rsidRDefault="00B342F3" w:rsidP="00EB53EF">
      <w:pPr>
        <w:pStyle w:val="SingleTxtG"/>
      </w:pPr>
      <w:r w:rsidRPr="009625F2">
        <w:t>218.</w:t>
      </w:r>
      <w:r w:rsidRPr="009625F2">
        <w:tab/>
        <w:t>Eligibility</w:t>
      </w:r>
      <w:r w:rsidR="00C9336A" w:rsidRPr="009625F2">
        <w:t xml:space="preserve"> </w:t>
      </w:r>
      <w:r w:rsidRPr="009625F2">
        <w:t>criteria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substantial</w:t>
      </w:r>
      <w:r w:rsidR="00C9336A" w:rsidRPr="009625F2">
        <w:t xml:space="preserve"> </w:t>
      </w:r>
      <w:r w:rsidRPr="009625F2">
        <w:t>updates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broaden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eligibility</w:t>
      </w:r>
      <w:r w:rsidR="00C9336A" w:rsidRPr="009625F2">
        <w:t xml:space="preserve"> </w:t>
      </w:r>
      <w:r w:rsidRPr="009625F2">
        <w:t>criteria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obtaining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219.</w:t>
      </w:r>
      <w:r w:rsidRPr="009625F2">
        <w:tab/>
        <w:t>The</w:t>
      </w:r>
      <w:r w:rsidR="00C9336A" w:rsidRPr="009625F2">
        <w:t xml:space="preserve"> </w:t>
      </w:r>
      <w:r w:rsidRPr="009625F2">
        <w:t>Management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2015</w:t>
      </w:r>
      <w:r w:rsidR="006D23D6" w:rsidRPr="009625F2">
        <w:t>–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MoCH</w:t>
      </w:r>
      <w:r w:rsidR="00C9336A" w:rsidRPr="009625F2">
        <w:t xml:space="preserve"> </w:t>
      </w:r>
      <w:r w:rsidRPr="009625F2">
        <w:t>invested</w:t>
      </w:r>
      <w:r w:rsidR="00C9336A" w:rsidRPr="009625F2">
        <w:t xml:space="preserve"> </w:t>
      </w:r>
      <w:r w:rsidRPr="009625F2">
        <w:t>393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(109.2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maintenance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housing.</w:t>
      </w:r>
    </w:p>
    <w:p w:rsidR="00B342F3" w:rsidRPr="009625F2" w:rsidRDefault="00B342F3" w:rsidP="00EB53EF">
      <w:pPr>
        <w:pStyle w:val="SingleTxtG"/>
      </w:pPr>
      <w:r w:rsidRPr="009625F2">
        <w:t>220.</w:t>
      </w:r>
      <w:r w:rsidRPr="009625F2">
        <w:tab/>
        <w:t>Waiting</w:t>
      </w:r>
      <w:r w:rsidR="00C9336A" w:rsidRPr="009625F2">
        <w:t xml:space="preserve"> </w:t>
      </w:r>
      <w:r w:rsidRPr="009625F2">
        <w:t>Lists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waiting</w:t>
      </w:r>
      <w:r w:rsidR="00C9336A" w:rsidRPr="009625F2">
        <w:t xml:space="preserve"> </w:t>
      </w:r>
      <w:r w:rsidRPr="009625F2">
        <w:t>lists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rent</w:t>
      </w:r>
      <w:r w:rsidR="00C9336A" w:rsidRPr="009625F2">
        <w:t xml:space="preserve"> </w:t>
      </w:r>
      <w:r w:rsidRPr="009625F2">
        <w:t>contributions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waiting</w:t>
      </w:r>
      <w:r w:rsidR="00C9336A" w:rsidRPr="009625F2">
        <w:t xml:space="preserve"> </w:t>
      </w:r>
      <w:r w:rsidRPr="009625F2">
        <w:t>list,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221.</w:t>
      </w:r>
      <w:r w:rsidRPr="009625F2">
        <w:tab/>
        <w:t>Increasing</w:t>
      </w:r>
      <w:r w:rsidR="00C9336A" w:rsidRPr="009625F2">
        <w:t xml:space="preserve"> </w:t>
      </w:r>
      <w:r w:rsidRPr="009625F2">
        <w:t>availability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increasing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units.</w:t>
      </w:r>
      <w:r w:rsidR="00C9336A" w:rsidRPr="009625F2">
        <w:t xml:space="preserve"> </w:t>
      </w:r>
      <w:r w:rsidRPr="009625F2">
        <w:t>We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pleased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inform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1,850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apartments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purchased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Pr="009625F2">
        <w:t>accumulated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sale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apartments,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NIS.</w:t>
      </w:r>
      <w:r w:rsidR="00C9336A" w:rsidRPr="009625F2">
        <w:t xml:space="preserve"> </w:t>
      </w:r>
      <w:r w:rsidRPr="009625F2">
        <w:t>Furthermore,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agencies</w:t>
      </w:r>
      <w:r w:rsidR="00C9336A" w:rsidRPr="009625F2">
        <w:t xml:space="preserve"> </w:t>
      </w:r>
      <w:r w:rsidRPr="009625F2">
        <w:t>(the</w:t>
      </w:r>
      <w:r w:rsidR="00C9336A" w:rsidRPr="009625F2">
        <w:t xml:space="preserve"> </w:t>
      </w:r>
      <w:r w:rsidR="00D311F6">
        <w:t>“</w:t>
      </w:r>
      <w:r w:rsidRPr="009625F2">
        <w:t>Jewish</w:t>
      </w:r>
      <w:r w:rsidR="00C9336A" w:rsidRPr="009625F2">
        <w:t xml:space="preserve"> </w:t>
      </w:r>
      <w:r w:rsidRPr="009625F2">
        <w:t>Agency</w:t>
      </w:r>
      <w:r w:rsidR="00D311F6">
        <w:t>”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="00D311F6">
        <w:t>“</w:t>
      </w:r>
      <w:r w:rsidRPr="009625F2">
        <w:t>Amigur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manage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housing)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2,650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units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retirement</w:t>
      </w:r>
      <w:r w:rsidR="00C9336A" w:rsidRPr="009625F2">
        <w:t xml:space="preserve"> </w:t>
      </w:r>
      <w:r w:rsidRPr="009625F2">
        <w:t>homes,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2020.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222.</w:t>
      </w:r>
      <w:r w:rsidRPr="009625F2">
        <w:tab/>
        <w:t>Publication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Tenders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Sale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="00D311F6">
        <w:t>“</w:t>
      </w:r>
      <w:r w:rsidRPr="009625F2">
        <w:t>Amidar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company,</w:t>
      </w:r>
      <w:r w:rsidR="00C9336A" w:rsidRPr="009625F2">
        <w:t xml:space="preserve"> </w:t>
      </w:r>
      <w:r w:rsidRPr="009625F2">
        <w:t>began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publish</w:t>
      </w:r>
      <w:r w:rsidR="00C9336A" w:rsidRPr="009625F2">
        <w:t xml:space="preserve"> </w:t>
      </w:r>
      <w:r w:rsidRPr="009625F2">
        <w:t>tenders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sale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well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Hebrew.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MoCH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website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Hebrew</w:t>
      </w:r>
      <w:r w:rsidR="00C9336A" w:rsidRPr="009625F2">
        <w:t xml:space="preserve"> </w:t>
      </w:r>
      <w:r w:rsidRPr="009625F2">
        <w:t>website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specifically</w:t>
      </w:r>
      <w:r w:rsidR="00C9336A" w:rsidRPr="009625F2">
        <w:t xml:space="preserve"> </w:t>
      </w:r>
      <w:r w:rsidRPr="009625F2">
        <w:t>intended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covers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governmental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affordable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(</w:t>
      </w:r>
      <w:r w:rsidR="00D311F6">
        <w:t>“</w:t>
      </w:r>
      <w:r w:rsidRPr="009625F2">
        <w:t>A</w:t>
      </w:r>
      <w:r w:rsidR="00C9336A" w:rsidRPr="009625F2">
        <w:t xml:space="preserve"> </w:t>
      </w:r>
      <w:r w:rsidRPr="009625F2">
        <w:t>Price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Residents</w:t>
      </w:r>
      <w:r w:rsidR="00D311F6">
        <w:t>”</w:t>
      </w:r>
      <w:r w:rsidRPr="009625F2">
        <w:t>),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participating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upgrading</w:t>
      </w:r>
      <w:r w:rsidR="00C9336A" w:rsidRPr="009625F2">
        <w:t xml:space="preserve"> </w:t>
      </w:r>
      <w:r w:rsidRPr="009625F2">
        <w:t>participation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program,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benefits,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technical</w:t>
      </w:r>
      <w:r w:rsidR="00C9336A" w:rsidRPr="009625F2">
        <w:t xml:space="preserve"> </w:t>
      </w:r>
      <w:r w:rsidRPr="009625F2">
        <w:t>specifications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flats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offer,</w:t>
      </w:r>
      <w:r w:rsidR="00C9336A" w:rsidRPr="009625F2">
        <w:t xml:space="preserve"> </w:t>
      </w:r>
      <w:r w:rsidRPr="009625F2">
        <w:t>etc.</w:t>
      </w:r>
      <w:r w:rsidR="00C9336A" w:rsidRPr="009625F2">
        <w:t xml:space="preserve"> </w:t>
      </w:r>
      <w:r w:rsidRPr="009625F2">
        <w:t>Furthermore,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</w:t>
      </w:r>
      <w:r w:rsidR="006D23D6" w:rsidRPr="009625F2">
        <w:t>–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widely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campaigns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advertising</w:t>
      </w:r>
      <w:r w:rsidR="00C9336A" w:rsidRPr="009625F2">
        <w:t xml:space="preserve"> </w:t>
      </w:r>
      <w:r w:rsidR="00D311F6">
        <w:t>“</w:t>
      </w:r>
      <w:r w:rsidRPr="009625F2">
        <w:t>A</w:t>
      </w:r>
      <w:r w:rsidR="00C9336A" w:rsidRPr="009625F2">
        <w:t xml:space="preserve"> </w:t>
      </w:r>
      <w:r w:rsidRPr="009625F2">
        <w:t>Price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Residents</w:t>
      </w:r>
      <w:r w:rsidR="00D311F6">
        <w:t>”</w:t>
      </w:r>
      <w:r w:rsidR="00C9336A" w:rsidRPr="009625F2">
        <w:t xml:space="preserve"> </w:t>
      </w:r>
      <w:r w:rsidRPr="009625F2">
        <w:t>projects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Nazareth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Sakhnin.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continues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operate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promote</w:t>
      </w:r>
      <w:r w:rsidR="00C9336A" w:rsidRPr="009625F2">
        <w:t xml:space="preserve"> </w:t>
      </w:r>
      <w:r w:rsidRPr="009625F2">
        <w:t>linguistic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Accessibility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223.</w:t>
      </w:r>
      <w:r w:rsidRPr="009625F2">
        <w:tab/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initial</w:t>
      </w:r>
      <w:r w:rsidR="00C9336A" w:rsidRPr="009625F2">
        <w:t xml:space="preserve"> </w:t>
      </w:r>
      <w:r w:rsidRPr="009625F2">
        <w:t>report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CRPD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account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improve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PWD.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most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measures,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law,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Preventing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polluted</w:t>
      </w:r>
      <w:r w:rsidR="00C9336A" w:rsidRPr="009625F2">
        <w:t xml:space="preserve"> </w:t>
      </w:r>
      <w:r w:rsidRPr="009625F2">
        <w:t>sites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224.</w:t>
      </w:r>
      <w:r w:rsidRPr="009625F2">
        <w:tab/>
        <w:t>Legislative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built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polluted</w:t>
      </w:r>
      <w:r w:rsidR="00C9336A" w:rsidRPr="009625F2">
        <w:t xml:space="preserve"> </w:t>
      </w:r>
      <w:r w:rsidRPr="009625F2">
        <w:t>sites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immediate</w:t>
      </w:r>
      <w:r w:rsidR="00C9336A" w:rsidRPr="009625F2">
        <w:t xml:space="preserve"> </w:t>
      </w:r>
      <w:r w:rsidRPr="009625F2">
        <w:t>proximity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sources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pollution.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5D3374">
      <w:pPr>
        <w:pStyle w:val="H23G"/>
      </w:pPr>
      <w:r w:rsidRPr="009625F2">
        <w:lastRenderedPageBreak/>
        <w:tab/>
      </w:r>
      <w:r w:rsidRPr="009625F2">
        <w:tab/>
        <w:t>Legal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governing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225.</w:t>
      </w:r>
      <w:r w:rsidRPr="009625F2">
        <w:tab/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evictions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past</w:t>
      </w:r>
      <w:r w:rsidR="00C9336A" w:rsidRPr="009625F2">
        <w:t xml:space="preserve"> </w:t>
      </w:r>
      <w:r w:rsidRPr="009625F2">
        <w:t>five</w:t>
      </w:r>
      <w:r w:rsidR="00C9336A" w:rsidRPr="009625F2">
        <w:t xml:space="preserve"> </w:t>
      </w:r>
      <w:r w:rsidRPr="009625F2">
        <w:t>(5)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figures</w:t>
      </w:r>
      <w:r w:rsidR="00C9336A" w:rsidRPr="009625F2">
        <w:t xml:space="preserve"> </w:t>
      </w:r>
      <w:r w:rsidRPr="009625F2">
        <w:t>demonstrate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steady</w:t>
      </w:r>
      <w:r w:rsidR="00C9336A" w:rsidRPr="009625F2">
        <w:t xml:space="preserve"> </w:t>
      </w:r>
      <w:r w:rsidRPr="009625F2">
        <w:t>decline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orders</w:t>
      </w:r>
      <w:r w:rsidR="00C9336A" w:rsidRPr="009625F2">
        <w:t xml:space="preserve"> </w:t>
      </w:r>
      <w:r w:rsidRPr="009625F2">
        <w:t>granted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year.</w:t>
      </w:r>
      <w:r w:rsidR="00C9336A" w:rsidRPr="009625F2">
        <w:t xml:space="preserve"> </w:t>
      </w:r>
      <w:r w:rsidRPr="009625F2">
        <w:t>Moreover,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3%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orders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executed,</w:t>
      </w:r>
      <w:r w:rsidR="00C9336A" w:rsidRPr="009625F2">
        <w:t xml:space="preserve"> </w:t>
      </w:r>
      <w:r w:rsidRPr="009625F2">
        <w:t>due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settlements</w:t>
      </w:r>
      <w:r w:rsidR="00C9336A" w:rsidRPr="009625F2">
        <w:t xml:space="preserve"> </w:t>
      </w:r>
      <w:r w:rsidRPr="009625F2">
        <w:t>reached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debtor</w:t>
      </w:r>
      <w:r w:rsidR="00C9336A" w:rsidRPr="009625F2">
        <w:t xml:space="preserve"> </w:t>
      </w:r>
      <w:r w:rsidRPr="009625F2">
        <w:t>prior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fact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orders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relate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same</w:t>
      </w:r>
      <w:r w:rsidR="00C9336A" w:rsidRPr="009625F2">
        <w:t xml:space="preserve"> </w:t>
      </w:r>
      <w:r w:rsidRPr="009625F2">
        <w:t>property.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Legal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governing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226.</w:t>
      </w:r>
      <w:r w:rsidRPr="009625F2">
        <w:tab/>
        <w:t>The</w:t>
      </w:r>
      <w:r w:rsidR="00C9336A" w:rsidRPr="009625F2">
        <w:t xml:space="preserve"> </w:t>
      </w:r>
      <w:r w:rsidRPr="009625F2">
        <w:t>MoCH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initiate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proceedings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squatters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tenants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monetary</w:t>
      </w:r>
      <w:r w:rsidR="00C9336A" w:rsidRPr="009625F2">
        <w:t xml:space="preserve"> </w:t>
      </w:r>
      <w:r w:rsidRPr="009625F2">
        <w:t>debt.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situations,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central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examines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case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merits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exhausts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administrative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prior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initiation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proceedings.</w:t>
      </w:r>
    </w:p>
    <w:p w:rsidR="00B342F3" w:rsidRPr="009625F2" w:rsidRDefault="00B342F3" w:rsidP="00EB53EF">
      <w:pPr>
        <w:pStyle w:val="SingleTxtG"/>
      </w:pPr>
      <w:r w:rsidRPr="009625F2">
        <w:t>227.</w:t>
      </w:r>
      <w:r w:rsidRPr="009625F2">
        <w:tab/>
        <w:t>In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formed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suggested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proceedings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longer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pursued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relation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tenants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monetary</w:t>
      </w:r>
      <w:r w:rsidR="00C9336A" w:rsidRPr="009625F2">
        <w:t xml:space="preserve"> </w:t>
      </w:r>
      <w:r w:rsidRPr="009625F2">
        <w:t>debt,</w:t>
      </w:r>
      <w:r w:rsidR="00C9336A" w:rsidRPr="009625F2">
        <w:t xml:space="preserve"> </w:t>
      </w:r>
      <w:r w:rsidRPr="009625F2">
        <w:t>but</w:t>
      </w:r>
      <w:r w:rsidR="00C9336A" w:rsidRPr="009625F2">
        <w:t xml:space="preserve"> </w:t>
      </w:r>
      <w:r w:rsidRPr="009625F2">
        <w:t>rather</w:t>
      </w:r>
      <w:r w:rsidR="00C9336A" w:rsidRPr="009625F2">
        <w:t xml:space="preserve"> </w:t>
      </w:r>
      <w:r w:rsidRPr="009625F2">
        <w:t>replaced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improvements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debt</w:t>
      </w:r>
      <w:r w:rsidR="00C9336A" w:rsidRPr="009625F2">
        <w:t xml:space="preserve"> </w:t>
      </w:r>
      <w:r w:rsidRPr="009625F2">
        <w:t>collection.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interdepartmental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charged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examining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circumstances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squatters</w:t>
      </w:r>
      <w:r w:rsidR="00C9336A" w:rsidRPr="009625F2">
        <w:t xml:space="preserve"> </w:t>
      </w:r>
      <w:r w:rsidRPr="009625F2">
        <w:t>(note</w:t>
      </w:r>
      <w:r w:rsidR="00C9336A" w:rsidRPr="009625F2">
        <w:t xml:space="preserve"> </w:t>
      </w:r>
      <w:r w:rsidRPr="009625F2">
        <w:t>however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chairperson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members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disputed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recommendations).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above-mentioned</w:t>
      </w:r>
      <w:r w:rsidR="00C9336A" w:rsidRPr="009625F2">
        <w:t xml:space="preserve"> </w:t>
      </w:r>
      <w:r w:rsidRPr="009625F2">
        <w:t>disagreement,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Director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applied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Attorney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requested</w:t>
      </w:r>
      <w:r w:rsidR="00C9336A" w:rsidRPr="009625F2">
        <w:t xml:space="preserve"> </w:t>
      </w:r>
      <w:r w:rsidRPr="009625F2">
        <w:t>his</w:t>
      </w:r>
      <w:r w:rsidR="00C9336A" w:rsidRPr="009625F2">
        <w:t xml:space="preserve"> </w:t>
      </w:r>
      <w:r w:rsidRPr="009625F2">
        <w:t>decision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matter.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August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meeting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representative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MoJ,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decided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but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indebted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rent</w:t>
      </w:r>
      <w:r w:rsidR="00C9336A" w:rsidRPr="009625F2">
        <w:t xml:space="preserve"> </w:t>
      </w:r>
      <w:r w:rsidRPr="009625F2">
        <w:t>payments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extreme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exceptional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after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procedure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rent</w:t>
      </w:r>
      <w:r w:rsidR="00C9336A" w:rsidRPr="009625F2">
        <w:t xml:space="preserve"> </w:t>
      </w:r>
      <w:r w:rsidRPr="009625F2">
        <w:t>collection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utilized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tenant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unwilling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pay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debt.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squatters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decided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evicted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exceptions</w:t>
      </w:r>
      <w:r w:rsidR="00C9336A" w:rsidRPr="009625F2">
        <w:t xml:space="preserve"> </w:t>
      </w:r>
      <w:r w:rsidRPr="009625F2">
        <w:t>pursuant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agreed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deal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dozens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squatting,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rules</w:t>
      </w:r>
      <w:r w:rsidR="00C9336A" w:rsidRPr="009625F2">
        <w:t xml:space="preserve"> </w:t>
      </w:r>
      <w:r w:rsidRPr="009625F2">
        <w:t>addressing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priorities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developed,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Deputy</w:t>
      </w:r>
      <w:r w:rsidR="00C9336A" w:rsidRPr="009625F2">
        <w:t xml:space="preserve"> </w:t>
      </w:r>
      <w:r w:rsidRPr="009625F2">
        <w:t>Attorney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(Civil</w:t>
      </w:r>
      <w:r w:rsidR="00C9336A" w:rsidRPr="009625F2">
        <w:t xml:space="preserve"> </w:t>
      </w:r>
      <w:r w:rsidRPr="009625F2">
        <w:t>Affairs).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228.</w:t>
      </w:r>
      <w:r w:rsidRPr="009625F2">
        <w:tab/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evicted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2011</w:t>
      </w:r>
      <w:r w:rsidR="006D23D6" w:rsidRPr="009625F2">
        <w:t>–</w:t>
      </w:r>
      <w:r w:rsidRPr="009625F2">
        <w:t>2014,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Illegal</w:t>
      </w:r>
      <w:r w:rsidR="00C9336A" w:rsidRPr="009625F2">
        <w:t xml:space="preserve"> </w:t>
      </w:r>
      <w:r w:rsidRPr="009625F2">
        <w:t>structures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229.</w:t>
      </w:r>
      <w:r w:rsidRPr="009625F2">
        <w:tab/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concern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demolition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structures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230.</w:t>
      </w:r>
      <w:r w:rsidRPr="009625F2">
        <w:tab/>
        <w:t>Illegal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harms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does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take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consideration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policies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parameters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needed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life,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welfare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needs.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structures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adopted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guarantees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due</w:t>
      </w:r>
      <w:r w:rsidR="00C9336A" w:rsidRPr="009625F2">
        <w:t xml:space="preserve"> </w:t>
      </w:r>
      <w:r w:rsidRPr="009625F2">
        <w:t>process,</w:t>
      </w:r>
      <w:r w:rsidR="00C9336A" w:rsidRPr="009625F2">
        <w:t xml:space="preserve"> </w:t>
      </w:r>
      <w:r w:rsidRPr="009625F2">
        <w:t>subject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judicial</w:t>
      </w:r>
      <w:r w:rsidR="00C9336A" w:rsidRPr="009625F2">
        <w:t xml:space="preserve"> </w:t>
      </w:r>
      <w:r w:rsidRPr="009625F2">
        <w:t>review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appeal.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exercise</w:t>
      </w:r>
      <w:r w:rsidR="00C9336A" w:rsidRPr="009625F2">
        <w:t xml:space="preserve"> </w:t>
      </w:r>
      <w:r w:rsidRPr="009625F2">
        <w:t>discretion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execution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demolition</w:t>
      </w:r>
      <w:r w:rsidR="00C9336A" w:rsidRPr="009625F2">
        <w:t xml:space="preserve"> </w:t>
      </w:r>
      <w:r w:rsidRPr="009625F2">
        <w:t>orders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give</w:t>
      </w:r>
      <w:r w:rsidR="00C9336A" w:rsidRPr="009625F2">
        <w:t xml:space="preserve"> </w:t>
      </w:r>
      <w:r w:rsidRPr="009625F2">
        <w:t>priority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demolition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structures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pose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obstacle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city</w:t>
      </w:r>
      <w:r w:rsidR="00C9336A" w:rsidRPr="009625F2">
        <w:t xml:space="preserve"> </w:t>
      </w:r>
      <w:r w:rsidRPr="009625F2">
        <w:t>development,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structure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blocks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sewer</w:t>
      </w:r>
      <w:r w:rsidR="00C9336A" w:rsidRPr="009625F2">
        <w:t xml:space="preserve"> </w:t>
      </w:r>
      <w:r w:rsidRPr="009625F2">
        <w:t>pipe</w:t>
      </w:r>
      <w:r w:rsidR="00C9336A" w:rsidRPr="009625F2">
        <w:t xml:space="preserve"> </w:t>
      </w:r>
      <w:r w:rsidRPr="009625F2">
        <w:t>system,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planned</w:t>
      </w:r>
      <w:r w:rsidR="00C9336A" w:rsidRPr="009625F2">
        <w:t xml:space="preserve"> </w:t>
      </w:r>
      <w:r w:rsidRPr="009625F2">
        <w:t>school,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roads,</w:t>
      </w:r>
      <w:r w:rsidR="00C9336A" w:rsidRPr="009625F2">
        <w:t xml:space="preserve"> </w:t>
      </w:r>
      <w:r w:rsidRPr="009625F2">
        <w:t>etc.</w:t>
      </w:r>
    </w:p>
    <w:p w:rsidR="00B342F3" w:rsidRPr="009625F2" w:rsidRDefault="00B342F3" w:rsidP="00EB53EF">
      <w:pPr>
        <w:pStyle w:val="SingleTxtG"/>
      </w:pPr>
      <w:r w:rsidRPr="009625F2">
        <w:t>231.</w:t>
      </w:r>
      <w:r w:rsidRPr="009625F2">
        <w:tab/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demolition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structures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</w:t>
      </w:r>
      <w:r w:rsidR="00C9336A" w:rsidRPr="009625F2">
        <w:t xml:space="preserve"> </w:t>
      </w:r>
      <w:r w:rsidRPr="009625F2">
        <w:t>and,</w:t>
      </w:r>
      <w:r w:rsidR="00C9336A" w:rsidRPr="009625F2">
        <w:t xml:space="preserve"> </w:t>
      </w:r>
      <w:r w:rsidRPr="009625F2">
        <w:t>conversely,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Pr="009625F2">
        <w:t>granted,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B342F3" w:rsidP="005D3374">
      <w:pPr>
        <w:pStyle w:val="H23G"/>
      </w:pPr>
      <w:r w:rsidRPr="009625F2">
        <w:tab/>
      </w:r>
      <w:r w:rsidRPr="009625F2">
        <w:tab/>
        <w:t>Planning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1A2002"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232.</w:t>
      </w:r>
      <w:r w:rsidRPr="009625F2">
        <w:tab/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concern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eviction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233.</w:t>
      </w:r>
      <w:r w:rsidRPr="009625F2">
        <w:tab/>
        <w:t>In</w:t>
      </w:r>
      <w:r w:rsidR="00C9336A" w:rsidRPr="009625F2">
        <w:t xml:space="preserve"> </w:t>
      </w:r>
      <w:r w:rsidRPr="009625F2">
        <w:t>November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MoAaRD</w:t>
      </w:r>
      <w:r w:rsidR="00C9336A" w:rsidRPr="009625F2">
        <w:t xml:space="preserve"> </w:t>
      </w:r>
      <w:r w:rsidRPr="009625F2">
        <w:t>completed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study</w:t>
      </w:r>
      <w:r w:rsidR="00C9336A" w:rsidRPr="009625F2">
        <w:t xml:space="preserve"> </w:t>
      </w:r>
      <w:r w:rsidRPr="009625F2">
        <w:t>designed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collect</w:t>
      </w:r>
      <w:r w:rsidR="00C9336A" w:rsidRPr="009625F2">
        <w:t xml:space="preserve"> </w:t>
      </w:r>
      <w:r w:rsidRPr="009625F2">
        <w:t>demographic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Negev.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basis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study,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formulated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expand</w:t>
      </w:r>
      <w:r w:rsidR="00C9336A" w:rsidRPr="009625F2">
        <w:t xml:space="preserve"> </w:t>
      </w:r>
      <w:r w:rsidRPr="009625F2">
        <w:t>existing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establish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ones,</w:t>
      </w:r>
      <w:r w:rsidR="00C9336A" w:rsidRPr="009625F2">
        <w:t xml:space="preserve"> </w:t>
      </w:r>
      <w:r w:rsidRPr="009625F2">
        <w:t>whilst</w:t>
      </w:r>
      <w:r w:rsidR="00C9336A" w:rsidRPr="009625F2">
        <w:t xml:space="preserve"> </w:t>
      </w:r>
      <w:r w:rsidRPr="009625F2">
        <w:t>regularizing</w:t>
      </w:r>
      <w:r w:rsidR="00C9336A" w:rsidRPr="009625F2">
        <w:t xml:space="preserve"> </w:t>
      </w:r>
      <w:r w:rsidRPr="009625F2">
        <w:t>some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current</w:t>
      </w:r>
      <w:r w:rsidR="00C9336A" w:rsidRPr="009625F2">
        <w:t xml:space="preserve"> </w:t>
      </w:r>
      <w:r w:rsidRPr="009625F2">
        <w:t>location.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outline</w:t>
      </w:r>
      <w:r w:rsidR="00C9336A" w:rsidRPr="009625F2">
        <w:t xml:space="preserve"> </w:t>
      </w:r>
      <w:r w:rsidRPr="009625F2">
        <w:t>plans,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lastRenderedPageBreak/>
        <w:t>234.</w:t>
      </w:r>
      <w:r w:rsidRPr="009625F2">
        <w:tab/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related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clusters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diaspora,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companies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recruited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conduct</w:t>
      </w:r>
      <w:r w:rsidR="00C9336A" w:rsidRPr="009625F2">
        <w:t xml:space="preserve"> </w:t>
      </w:r>
      <w:r w:rsidRPr="009625F2">
        <w:t>feasibility</w:t>
      </w:r>
      <w:r w:rsidR="00C9336A" w:rsidRPr="009625F2">
        <w:t xml:space="preserve"> </w:t>
      </w:r>
      <w:r w:rsidRPr="009625F2">
        <w:t>studies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solutions.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process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being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participation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region.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companies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conducting</w:t>
      </w:r>
      <w:r w:rsidR="00C9336A" w:rsidRPr="009625F2">
        <w:t xml:space="preserve"> </w:t>
      </w:r>
      <w:r w:rsidRPr="009625F2">
        <w:t>field</w:t>
      </w:r>
      <w:r w:rsidR="00C9336A" w:rsidRPr="009625F2">
        <w:t xml:space="preserve"> </w:t>
      </w:r>
      <w:r w:rsidRPr="009625F2">
        <w:t>surveys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make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consideration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Regularization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Housing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course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planning,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emphasis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participation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unprecedented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</w:p>
    <w:p w:rsidR="00B342F3" w:rsidRPr="009625F2" w:rsidRDefault="00B342F3" w:rsidP="00EB53EF">
      <w:pPr>
        <w:pStyle w:val="SingleTxtG"/>
      </w:pPr>
      <w:r w:rsidRPr="009625F2">
        <w:t>235.</w:t>
      </w:r>
      <w:r w:rsidRPr="009625F2">
        <w:tab/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encourages</w:t>
      </w:r>
      <w:r w:rsidR="00C9336A" w:rsidRPr="009625F2">
        <w:t xml:space="preserve"> </w:t>
      </w:r>
      <w:r w:rsidRPr="009625F2">
        <w:t>movement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regulated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unique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benefits.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include,</w:t>
      </w:r>
      <w:r w:rsidR="00C9336A" w:rsidRPr="009625F2">
        <w:t xml:space="preserve"> </w:t>
      </w:r>
      <w:r w:rsidRPr="009625F2">
        <w:rPr>
          <w:i/>
          <w:iCs/>
        </w:rPr>
        <w:t>inter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alia</w:t>
      </w:r>
      <w:r w:rsidRPr="009625F2">
        <w:t>,</w:t>
      </w:r>
      <w:r w:rsidR="00C9336A" w:rsidRPr="009625F2">
        <w:t xml:space="preserve"> </w:t>
      </w:r>
      <w:r w:rsidRPr="009625F2">
        <w:t>provision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land</w:t>
      </w:r>
      <w:r w:rsidR="00C9336A" w:rsidRPr="009625F2">
        <w:t xml:space="preserve"> </w:t>
      </w:r>
      <w:r w:rsidRPr="009625F2">
        <w:t>plots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very</w:t>
      </w:r>
      <w:r w:rsidR="00C9336A" w:rsidRPr="009625F2">
        <w:t xml:space="preserve"> </w:t>
      </w:r>
      <w:r w:rsidRPr="009625F2">
        <w:t>low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compensation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demolition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unauthorized</w:t>
      </w:r>
      <w:r w:rsidR="00C9336A" w:rsidRPr="009625F2">
        <w:t xml:space="preserve"> </w:t>
      </w:r>
      <w:r w:rsidRPr="009625F2">
        <w:t>structures.</w:t>
      </w:r>
    </w:p>
    <w:p w:rsidR="00B342F3" w:rsidRPr="009625F2" w:rsidRDefault="00B342F3" w:rsidP="00EB53EF">
      <w:pPr>
        <w:pStyle w:val="SingleTxtG"/>
      </w:pPr>
      <w:r w:rsidRPr="009625F2">
        <w:t>236.</w:t>
      </w:r>
      <w:r w:rsidRPr="009625F2">
        <w:tab/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demolition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structures,</w:t>
      </w:r>
      <w:r w:rsidR="00C9336A" w:rsidRPr="009625F2">
        <w:t xml:space="preserve"> </w:t>
      </w:r>
      <w:r w:rsidRPr="009625F2">
        <w:t>note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structures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constructed</w:t>
      </w:r>
      <w:r w:rsidR="00C9336A" w:rsidRPr="009625F2">
        <w:t xml:space="preserve"> </w:t>
      </w:r>
      <w:r w:rsidRPr="009625F2">
        <w:t>after</w:t>
      </w:r>
      <w:r w:rsidR="00C9336A" w:rsidRPr="009625F2">
        <w:t xml:space="preserve"> </w:t>
      </w:r>
      <w:r w:rsidRPr="009625F2">
        <w:t>2010,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areas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do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belong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any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authority.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demolition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illegal</w:t>
      </w:r>
      <w:r w:rsidR="00C9336A" w:rsidRPr="009625F2">
        <w:t xml:space="preserve"> </w:t>
      </w:r>
      <w:r w:rsidRPr="009625F2">
        <w:t>structures,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="001A2002" w:rsidRPr="009625F2">
        <w:t>Annexes</w:t>
      </w:r>
      <w:r w:rsidR="00C9336A" w:rsidRPr="009625F2">
        <w:t xml:space="preserve"> </w:t>
      </w:r>
      <w:r w:rsidRPr="009625F2">
        <w:t>I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393654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12</w:t>
      </w:r>
      <w:r w:rsidR="00C9336A" w:rsidRPr="009625F2">
        <w:t xml:space="preserve"> 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National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system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237.</w:t>
      </w:r>
      <w:r w:rsidRPr="009625F2">
        <w:tab/>
        <w:t>As</w:t>
      </w:r>
      <w:r w:rsidR="00C9336A" w:rsidRPr="009625F2">
        <w:t xml:space="preserve"> </w:t>
      </w:r>
      <w:r w:rsidRPr="009625F2">
        <w:t>prescribed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reports,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resident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extensive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medicine</w:t>
      </w:r>
      <w:r w:rsidR="00C9336A" w:rsidRPr="009625F2">
        <w:t xml:space="preserve"> </w:t>
      </w:r>
      <w:r w:rsidRPr="009625F2">
        <w:t>provision.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important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extended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coverage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groups.</w:t>
      </w:r>
    </w:p>
    <w:p w:rsidR="00B342F3" w:rsidRPr="009625F2" w:rsidRDefault="00B342F3" w:rsidP="00EB53EF">
      <w:pPr>
        <w:pStyle w:val="SingleTxtG"/>
      </w:pPr>
      <w:r w:rsidRPr="009625F2">
        <w:t>238.</w:t>
      </w:r>
      <w:r w:rsidRPr="009625F2">
        <w:tab/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Palestinian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Hold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(Enrolment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Fund,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Duties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Recipients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Residence</w:t>
      </w:r>
      <w:r w:rsidR="00C9336A" w:rsidRPr="009625F2">
        <w:t xml:space="preserve"> </w:t>
      </w:r>
      <w:r w:rsidRPr="009625F2">
        <w:t>Visas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Citizenship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Entry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(Temporary</w:t>
      </w:r>
      <w:r w:rsidR="00C9336A" w:rsidRPr="009625F2">
        <w:t xml:space="preserve"> </w:t>
      </w:r>
      <w:r w:rsidRPr="009625F2">
        <w:t>Order)</w:t>
      </w:r>
      <w:r w:rsidR="00C9336A" w:rsidRPr="009625F2">
        <w:t xml:space="preserve"> </w:t>
      </w:r>
      <w:r w:rsidRPr="009625F2">
        <w:rPr>
          <w:rtl/>
        </w:rPr>
        <w:t>)</w:t>
      </w:r>
      <w:r w:rsidRPr="009625F2">
        <w:t>5763-2003),</w:t>
      </w:r>
      <w:r w:rsidR="00C9336A" w:rsidRPr="009625F2">
        <w:t xml:space="preserve"> </w:t>
      </w:r>
      <w:r w:rsidRPr="009625F2">
        <w:t>5776-2016</w:t>
      </w:r>
      <w:r w:rsidR="00C9336A" w:rsidRPr="009625F2">
        <w:t xml:space="preserve"> </w:t>
      </w:r>
      <w:r w:rsidRPr="009625F2">
        <w:t>came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effect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August</w:t>
      </w:r>
      <w:r w:rsidR="00C9336A" w:rsidRPr="009625F2">
        <w:t xml:space="preserve"> </w:t>
      </w:r>
      <w:r w:rsidRPr="009625F2">
        <w:t>1,</w:t>
      </w:r>
      <w:r w:rsidR="00C9336A" w:rsidRPr="009625F2">
        <w:t xml:space="preserve"> </w:t>
      </w:r>
      <w:r w:rsidRPr="009625F2">
        <w:t>2016.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entitle</w:t>
      </w:r>
      <w:r w:rsidR="00C9336A" w:rsidRPr="009625F2">
        <w:t xml:space="preserve"> </w:t>
      </w:r>
      <w:r w:rsidRPr="009625F2">
        <w:t>recipients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permits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Sections</w:t>
      </w:r>
      <w:r w:rsidR="00C9336A" w:rsidRPr="009625F2">
        <w:t xml:space="preserve"> </w:t>
      </w:r>
      <w:r w:rsidRPr="009625F2">
        <w:t>3,</w:t>
      </w:r>
      <w:r w:rsidR="00C9336A" w:rsidRPr="009625F2">
        <w:t xml:space="preserve"> </w:t>
      </w:r>
      <w:r w:rsidRPr="009625F2">
        <w:t>3A(2)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3A1(A)(2)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Citizenship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Entry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(Temporary</w:t>
      </w:r>
      <w:r w:rsidR="00C9336A" w:rsidRPr="009625F2">
        <w:t xml:space="preserve"> </w:t>
      </w:r>
      <w:r w:rsidRPr="009625F2">
        <w:t>Order)</w:t>
      </w:r>
      <w:r w:rsidR="00C9336A" w:rsidRPr="009625F2">
        <w:t xml:space="preserve"> </w:t>
      </w:r>
      <w:r w:rsidRPr="009625F2">
        <w:t>5763-2016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register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similar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scope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(with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exception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abroad),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co-payment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practice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particular</w:t>
      </w:r>
      <w:r w:rsidR="00C9336A" w:rsidRPr="009625F2">
        <w:t xml:space="preserve"> </w:t>
      </w:r>
      <w:r w:rsidRPr="009625F2">
        <w:t>fund.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239.</w:t>
      </w:r>
      <w:r w:rsidRPr="009625F2">
        <w:tab/>
        <w:t>The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question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Palestinian</w:t>
      </w:r>
      <w:r w:rsidR="00C9336A" w:rsidRPr="009625F2">
        <w:t xml:space="preserve"> </w:t>
      </w:r>
      <w:r w:rsidRPr="009625F2">
        <w:t>minors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reside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parent</w:t>
      </w:r>
      <w:r w:rsidR="00C9336A" w:rsidRPr="009625F2">
        <w:t xml:space="preserve"> </w:t>
      </w:r>
      <w:r w:rsidRPr="009625F2">
        <w:t>legally</w:t>
      </w:r>
      <w:r w:rsidR="00C9336A" w:rsidRPr="009625F2">
        <w:t xml:space="preserve"> </w:t>
      </w:r>
      <w:r w:rsidRPr="009625F2">
        <w:t>residing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Palestinian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reside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spouse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stay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humanitarian</w:t>
      </w:r>
      <w:r w:rsidR="00C9336A" w:rsidRPr="009625F2">
        <w:t xml:space="preserve"> </w:t>
      </w:r>
      <w:r w:rsidRPr="009625F2">
        <w:t>grounds.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entered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force,</w:t>
      </w:r>
      <w:r w:rsidR="00C9336A" w:rsidRPr="009625F2">
        <w:t xml:space="preserve"> </w:t>
      </w:r>
      <w:r w:rsidRPr="009625F2">
        <w:t>approximately</w:t>
      </w:r>
      <w:r w:rsidR="00C9336A" w:rsidRPr="009625F2">
        <w:t xml:space="preserve"> </w:t>
      </w:r>
      <w:r w:rsidRPr="009625F2">
        <w:t>2,716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holders</w:t>
      </w:r>
      <w:r w:rsidR="00C9336A" w:rsidRPr="009625F2">
        <w:t xml:space="preserve"> </w:t>
      </w:r>
      <w:r w:rsidRPr="009625F2">
        <w:t>joined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HMO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plan.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240.</w:t>
      </w:r>
      <w:r w:rsidRPr="009625F2">
        <w:tab/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Minors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signed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agreement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Meuhedet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provision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full</w:t>
      </w:r>
      <w:r w:rsidR="00C9336A" w:rsidRPr="009625F2">
        <w:t xml:space="preserve"> </w:t>
      </w:r>
      <w:r w:rsidRPr="009625F2">
        <w:t>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(with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exception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abroad)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minors</w:t>
      </w:r>
      <w:r w:rsidR="00C9336A" w:rsidRPr="009625F2">
        <w:t xml:space="preserve"> </w:t>
      </w:r>
      <w:r w:rsidRPr="009625F2">
        <w:t>resident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status.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agreement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renewed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improvements.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renewal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agreement,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steady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enrolment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previously</w:t>
      </w:r>
      <w:r w:rsidR="00C9336A" w:rsidRPr="009625F2">
        <w:t xml:space="preserve"> </w:t>
      </w:r>
      <w:r w:rsidRPr="009625F2">
        <w:t>uninsured</w:t>
      </w:r>
      <w:r w:rsidR="00C9336A" w:rsidRPr="009625F2">
        <w:t xml:space="preserve"> </w:t>
      </w:r>
      <w:r w:rsidRPr="009625F2">
        <w:t>minors.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241.</w:t>
      </w:r>
      <w:r w:rsidRPr="009625F2">
        <w:tab/>
        <w:t>Health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June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HCJ</w:t>
      </w:r>
      <w:r w:rsidR="00C9336A" w:rsidRPr="009625F2">
        <w:t xml:space="preserve"> </w:t>
      </w:r>
      <w:r w:rsidRPr="009625F2">
        <w:t>ordered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bring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arrangements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giving</w:t>
      </w:r>
      <w:r w:rsidR="00C9336A" w:rsidRPr="009625F2">
        <w:t xml:space="preserve"> </w:t>
      </w:r>
      <w:r w:rsidRPr="009625F2">
        <w:t>field,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legally</w:t>
      </w:r>
      <w:r w:rsidR="00C9336A" w:rsidRPr="009625F2">
        <w:t xml:space="preserve"> </w:t>
      </w:r>
      <w:r w:rsidRPr="009625F2">
        <w:t>resident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ten</w:t>
      </w:r>
      <w:r w:rsidR="00C9336A" w:rsidRPr="009625F2">
        <w:t xml:space="preserve"> </w:t>
      </w:r>
      <w:r w:rsidRPr="009625F2">
        <w:t>(10)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closer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arrangements</w:t>
      </w:r>
      <w:r w:rsidR="00C9336A" w:rsidRPr="009625F2">
        <w:t xml:space="preserve"> </w:t>
      </w:r>
      <w:r w:rsidRPr="009625F2">
        <w:t>applicable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residents</w:t>
      </w:r>
      <w:r w:rsidR="00C9336A" w:rsidRPr="009625F2">
        <w:t xml:space="preserve"> </w:t>
      </w:r>
      <w:r w:rsidRPr="009625F2">
        <w:t>(H.C.J.1105/06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Hotline</w:t>
      </w:r>
      <w:r w:rsidR="00C9336A" w:rsidRPr="009625F2">
        <w:t xml:space="preserve"> </w:t>
      </w:r>
      <w:r w:rsidRPr="009625F2">
        <w:t>v.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Services)</w:t>
      </w:r>
      <w:r w:rsidR="00C9336A" w:rsidRPr="009625F2">
        <w:t xml:space="preserve"> </w:t>
      </w:r>
      <w:r w:rsidRPr="009625F2">
        <w:t>Consequently,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(Employee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Package)</w:t>
      </w:r>
      <w:r w:rsidR="00C9336A" w:rsidRPr="009625F2">
        <w:t xml:space="preserve"> </w:t>
      </w:r>
      <w:r w:rsidRPr="009625F2">
        <w:t>5761-2001,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regulates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giving</w:t>
      </w:r>
      <w:r w:rsidR="00C9336A" w:rsidRPr="009625F2">
        <w:t xml:space="preserve"> </w:t>
      </w:r>
      <w:r w:rsidRPr="009625F2">
        <w:t>field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parameters,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  <w:r w:rsidRPr="009625F2">
        <w:t>expectancy,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393654">
      <w:pPr>
        <w:pStyle w:val="H23G"/>
      </w:pPr>
      <w:r w:rsidRPr="009625F2">
        <w:lastRenderedPageBreak/>
        <w:tab/>
      </w:r>
      <w:r w:rsidRPr="009625F2">
        <w:tab/>
        <w:t>Accessibility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facilities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242.</w:t>
      </w:r>
      <w:r w:rsidRPr="009625F2">
        <w:tab/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obliged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make</w:t>
      </w:r>
      <w:r w:rsidR="00C9336A" w:rsidRPr="009625F2">
        <w:t xml:space="preserve"> </w:t>
      </w:r>
      <w:r w:rsidRPr="009625F2">
        <w:t>vital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available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patient.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developed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system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provision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home</w:t>
      </w:r>
      <w:r w:rsidR="00C9336A" w:rsidRPr="009625F2">
        <w:t xml:space="preserve"> </w:t>
      </w:r>
      <w:r w:rsidRPr="009625F2">
        <w:t>visits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elderly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PWD.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April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distributed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circular</w:t>
      </w:r>
      <w:r w:rsidR="00C9336A" w:rsidRPr="009625F2">
        <w:t xml:space="preserve"> </w:t>
      </w:r>
      <w:r w:rsidRPr="009625F2">
        <w:t>defining</w:t>
      </w:r>
      <w:r w:rsidR="00C9336A" w:rsidRPr="009625F2">
        <w:t xml:space="preserve"> </w:t>
      </w:r>
      <w:r w:rsidR="00D311F6">
        <w:t>“</w:t>
      </w:r>
      <w:r w:rsidRPr="009625F2">
        <w:t>home-bound</w:t>
      </w:r>
      <w:r w:rsidR="00D311F6">
        <w:t>”</w:t>
      </w:r>
      <w:r w:rsidR="00C9336A" w:rsidRPr="009625F2">
        <w:t xml:space="preserve"> </w:t>
      </w:r>
      <w:r w:rsidRPr="009625F2">
        <w:t>patients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whom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should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offered.</w:t>
      </w:r>
    </w:p>
    <w:p w:rsidR="00B342F3" w:rsidRPr="009625F2" w:rsidRDefault="00B342F3" w:rsidP="00EB53EF">
      <w:pPr>
        <w:pStyle w:val="SingleTxtG"/>
      </w:pPr>
      <w:r w:rsidRPr="009625F2">
        <w:t>243.</w:t>
      </w:r>
      <w:r w:rsidRPr="009625F2">
        <w:tab/>
        <w:t>Equal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(Accessibility</w:t>
      </w:r>
      <w:r w:rsidR="00C9336A" w:rsidRPr="009625F2">
        <w:t xml:space="preserve"> </w:t>
      </w:r>
      <w:r w:rsidRPr="009625F2">
        <w:t>Adjustments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Places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Services)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5776-2016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September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address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physical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adjustments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need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existing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facilities.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244.</w:t>
      </w:r>
      <w:r w:rsidRPr="009625F2">
        <w:tab/>
        <w:t>Home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developing</w:t>
      </w:r>
      <w:r w:rsidR="00C9336A" w:rsidRPr="009625F2">
        <w:t xml:space="preserve"> </w:t>
      </w:r>
      <w:r w:rsidRPr="009625F2">
        <w:t>networks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home,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emphasis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continuity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care,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offers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individuals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transition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hospitalisation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community.</w:t>
      </w:r>
      <w:r w:rsidR="00C9336A" w:rsidRPr="009625F2">
        <w:t xml:space="preserve"> 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outlying</w:t>
      </w:r>
      <w:r w:rsidR="00C9336A" w:rsidRPr="009625F2">
        <w:t xml:space="preserve"> </w:t>
      </w:r>
      <w:r w:rsidRPr="009625F2">
        <w:t>areas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245.</w:t>
      </w:r>
      <w:r w:rsidRPr="009625F2">
        <w:tab/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23rd</w:t>
      </w:r>
      <w:r w:rsidR="00C9336A" w:rsidRPr="009625F2">
        <w:t xml:space="preserve"> </w:t>
      </w:r>
      <w:r w:rsidRPr="009625F2">
        <w:t>September,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100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(27.8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Pr="009625F2">
        <w:t>area</w:t>
      </w:r>
      <w:r w:rsidR="00C9336A" w:rsidRPr="009625F2">
        <w:t xml:space="preserve"> </w:t>
      </w:r>
      <w:r w:rsidRPr="009625F2">
        <w:t>(Resolution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2025)</w:t>
      </w:r>
      <w:r w:rsidR="001E223D" w:rsidRPr="009625F2">
        <w:t>.</w:t>
      </w:r>
    </w:p>
    <w:p w:rsidR="00B342F3" w:rsidRPr="009625F2" w:rsidRDefault="00B342F3" w:rsidP="00EB53EF">
      <w:pPr>
        <w:pStyle w:val="SingleTxtG"/>
      </w:pPr>
      <w:r w:rsidRPr="009625F2">
        <w:t>246.</w:t>
      </w:r>
      <w:r w:rsidRPr="009625F2">
        <w:tab/>
        <w:t>Incentives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2011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Pr="009625F2">
        <w:t>incentives</w:t>
      </w:r>
      <w:r w:rsidR="00C9336A" w:rsidRPr="009625F2">
        <w:t xml:space="preserve"> </w:t>
      </w:r>
      <w:r w:rsidRPr="009625F2">
        <w:t>totalling</w:t>
      </w:r>
      <w:r w:rsidR="00C9336A" w:rsidRPr="009625F2">
        <w:t xml:space="preserve"> </w:t>
      </w:r>
      <w:r w:rsidRPr="009625F2">
        <w:t>20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(5.6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per</w:t>
      </w:r>
      <w:r w:rsidR="00C9336A" w:rsidRPr="009625F2">
        <w:t xml:space="preserve"> </w:t>
      </w:r>
      <w:r w:rsidRPr="009625F2">
        <w:t>annum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infrastructure</w:t>
      </w:r>
      <w:r w:rsidR="00C9336A" w:rsidRPr="009625F2">
        <w:t xml:space="preserve"> </w:t>
      </w:r>
      <w:r w:rsidRPr="009625F2">
        <w:t>improvements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outlying</w:t>
      </w:r>
      <w:r w:rsidR="00C9336A" w:rsidRPr="009625F2">
        <w:t xml:space="preserve"> </w:t>
      </w:r>
      <w:r w:rsidRPr="009625F2">
        <w:t>areas.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247.</w:t>
      </w:r>
      <w:r w:rsidRPr="009625F2">
        <w:tab/>
        <w:t>New</w:t>
      </w:r>
      <w:r w:rsidR="00C9336A" w:rsidRPr="009625F2">
        <w:t xml:space="preserve"> </w:t>
      </w:r>
      <w:r w:rsidRPr="009625F2">
        <w:t>hospitals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decided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open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hospitals,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</w:t>
      </w:r>
      <w:r w:rsidR="00D311F6">
        <w:t>’</w:t>
      </w:r>
      <w:r w:rsidR="006D23D6" w:rsidRPr="009625F2">
        <w:t>er-</w:t>
      </w:r>
      <w:r w:rsidRPr="009625F2">
        <w:t>Sheva,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Haifa.</w:t>
      </w:r>
      <w:r w:rsidR="00C9336A" w:rsidRPr="009625F2">
        <w:t xml:space="preserve"> </w:t>
      </w:r>
      <w:r w:rsidRPr="009625F2">
        <w:t>15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(4.2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2015</w:t>
      </w:r>
      <w:r w:rsidR="006D23D6" w:rsidRPr="009625F2">
        <w:t>–</w:t>
      </w:r>
      <w:r w:rsidRPr="009625F2">
        <w:t>2016,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purpose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hospital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</w:t>
      </w:r>
      <w:r w:rsidR="00D311F6">
        <w:t>’</w:t>
      </w:r>
      <w:r w:rsidRPr="009625F2">
        <w:t>er-Sheva,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hospital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allocated.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Haifa</w:t>
      </w:r>
      <w:r w:rsidR="00C9336A" w:rsidRPr="009625F2">
        <w:t xml:space="preserve"> </w:t>
      </w:r>
      <w:r w:rsidRPr="009625F2">
        <w:t>hospital,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stages.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Northern</w:t>
      </w:r>
      <w:r w:rsidR="00C9336A" w:rsidRPr="009625F2">
        <w:t xml:space="preserve"> </w:t>
      </w:r>
      <w:r w:rsidRPr="009625F2">
        <w:t>Galilee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established.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248.</w:t>
      </w:r>
      <w:r w:rsidRPr="009625F2">
        <w:tab/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allocation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hospital</w:t>
      </w:r>
      <w:r w:rsidR="00C9336A" w:rsidRPr="009625F2">
        <w:t xml:space="preserve"> </w:t>
      </w:r>
      <w:r w:rsidRPr="009625F2">
        <w:t>beds,</w:t>
      </w:r>
      <w:r w:rsidR="00C9336A" w:rsidRPr="009625F2">
        <w:t xml:space="preserve"> </w:t>
      </w:r>
      <w:r w:rsidRPr="009625F2">
        <w:t>staff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resources,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incentives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physicians</w:t>
      </w:r>
      <w:r w:rsidR="00C9336A" w:rsidRPr="009625F2">
        <w:t xml:space="preserve"> </w:t>
      </w:r>
      <w:r w:rsidRPr="009625F2">
        <w:t>willing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move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outlying</w:t>
      </w:r>
      <w:r w:rsidR="00C9336A" w:rsidRPr="009625F2">
        <w:t xml:space="preserve"> </w:t>
      </w:r>
      <w:r w:rsidRPr="009625F2">
        <w:t>areas,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Reducing</w:t>
      </w:r>
      <w:r w:rsidR="00C9336A" w:rsidRPr="009625F2">
        <w:t xml:space="preserve"> </w:t>
      </w:r>
      <w:r w:rsidRPr="009625F2">
        <w:t>inequalities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healthcare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249.</w:t>
      </w:r>
      <w:r w:rsidRPr="009625F2">
        <w:tab/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enhanced</w:t>
      </w:r>
      <w:r w:rsidR="00C9336A" w:rsidRPr="009625F2">
        <w:t xml:space="preserve"> </w:t>
      </w:r>
      <w:r w:rsidRPr="009625F2">
        <w:t>efforts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minimize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address</w:t>
      </w:r>
      <w:r w:rsidR="00C9336A" w:rsidRPr="009625F2">
        <w:t xml:space="preserve"> </w:t>
      </w:r>
      <w:r w:rsidRPr="009625F2">
        <w:t>inequalities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health.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250.</w:t>
      </w:r>
      <w:r w:rsidRPr="009625F2">
        <w:tab/>
        <w:t>Unit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Inequalities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Unit,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charged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narrowing</w:t>
      </w:r>
      <w:r w:rsidR="00C9336A" w:rsidRPr="009625F2">
        <w:t xml:space="preserve"> </w:t>
      </w:r>
      <w:r w:rsidRPr="009625F2">
        <w:t>disparities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economic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impact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differences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Unit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achievements,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251.</w:t>
      </w:r>
      <w:r w:rsidRPr="009625F2">
        <w:tab/>
        <w:t>Incentivising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2012</w:t>
      </w:r>
      <w:r w:rsidR="006D23D6" w:rsidRPr="009625F2">
        <w:t>–</w:t>
      </w:r>
      <w:r w:rsidRPr="009625F2">
        <w:t>2014,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55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(15.3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distributed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projects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narrowing</w:t>
      </w:r>
      <w:r w:rsidR="00C9336A" w:rsidRPr="009625F2">
        <w:t xml:space="preserve"> </w:t>
      </w:r>
      <w:r w:rsidRPr="009625F2">
        <w:t>geographic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disparities.</w:t>
      </w:r>
      <w:r w:rsidR="00C9336A" w:rsidRPr="009625F2">
        <w:t xml:space="preserve"> </w:t>
      </w:r>
      <w:r w:rsidRPr="009625F2">
        <w:t>Funding</w:t>
      </w:r>
      <w:r w:rsidR="00C9336A" w:rsidRPr="009625F2">
        <w:t xml:space="preserve"> </w:t>
      </w:r>
      <w:r w:rsidRPr="009625F2">
        <w:t>criteria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2015</w:t>
      </w:r>
      <w:r w:rsidR="006D23D6" w:rsidRPr="009625F2">
        <w:t>–</w:t>
      </w:r>
      <w:r w:rsidRPr="009625F2">
        <w:t>2016</w:t>
      </w:r>
      <w:r w:rsidR="00C9336A" w:rsidRPr="009625F2">
        <w:t xml:space="preserve"> </w:t>
      </w:r>
      <w:r w:rsidRPr="009625F2">
        <w:t>added</w:t>
      </w:r>
      <w:r w:rsidR="00C9336A" w:rsidRPr="009625F2">
        <w:t xml:space="preserve"> </w:t>
      </w:r>
      <w:r w:rsidRPr="009625F2">
        <w:t>emphasis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where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disparities,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interventions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fields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pre-diabetics,</w:t>
      </w:r>
      <w:r w:rsidR="00C9336A" w:rsidRPr="009625F2">
        <w:t xml:space="preserve"> </w:t>
      </w:r>
      <w:r w:rsidRPr="009625F2">
        <w:t>diabetes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obesity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population.</w:t>
      </w:r>
    </w:p>
    <w:p w:rsidR="00B342F3" w:rsidRPr="009625F2" w:rsidRDefault="00B342F3" w:rsidP="00EB53EF">
      <w:pPr>
        <w:pStyle w:val="SingleTxtG"/>
      </w:pPr>
      <w:r w:rsidRPr="009625F2">
        <w:t>252.</w:t>
      </w:r>
      <w:r w:rsidRPr="009625F2">
        <w:tab/>
        <w:t>Mental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transfer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responsibility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mental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resulted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dozens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clinics,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outlying</w:t>
      </w:r>
      <w:r w:rsidR="00C9336A" w:rsidRPr="009625F2">
        <w:t xml:space="preserve"> </w:t>
      </w:r>
      <w:r w:rsidRPr="009625F2">
        <w:t>areas.</w:t>
      </w:r>
    </w:p>
    <w:p w:rsidR="00B342F3" w:rsidRPr="009625F2" w:rsidRDefault="00B342F3" w:rsidP="00EB53EF">
      <w:pPr>
        <w:pStyle w:val="SingleTxtG"/>
      </w:pPr>
      <w:r w:rsidRPr="009625F2">
        <w:t>253.</w:t>
      </w:r>
      <w:r w:rsidRPr="009625F2">
        <w:tab/>
        <w:t>Investments</w:t>
      </w:r>
      <w:r w:rsidR="00C9336A" w:rsidRPr="009625F2">
        <w:t xml:space="preserve"> </w:t>
      </w:r>
      <w:r w:rsidR="006D23D6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estimate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Pr="009625F2">
        <w:t>invested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inequalities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healthcare,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Measures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inequalities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relation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254.</w:t>
      </w:r>
      <w:r w:rsidRPr="009625F2">
        <w:tab/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put</w:t>
      </w:r>
      <w:r w:rsidR="00C9336A" w:rsidRPr="009625F2">
        <w:t xml:space="preserve"> </w:t>
      </w:r>
      <w:r w:rsidRPr="009625F2">
        <w:t>together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series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policies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inclusion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descent,</w:t>
      </w:r>
      <w:r w:rsidR="00C9336A" w:rsidRPr="009625F2">
        <w:t xml:space="preserve"> </w:t>
      </w:r>
      <w:r w:rsidRPr="009625F2">
        <w:t>focusing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improving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accessibility,</w:t>
      </w:r>
      <w:r w:rsidR="00C9336A" w:rsidRPr="009625F2">
        <w:t xml:space="preserve"> </w:t>
      </w:r>
      <w:r w:rsidRPr="009625F2">
        <w:t>adequate</w:t>
      </w:r>
      <w:r w:rsidR="00C9336A" w:rsidRPr="009625F2">
        <w:t xml:space="preserve"> </w:t>
      </w:r>
      <w:r w:rsidRPr="009625F2">
        <w:t>representation,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rights,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diabetes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strengthening</w:t>
      </w:r>
      <w:r w:rsidR="00C9336A" w:rsidRPr="009625F2">
        <w:t xml:space="preserve"> </w:t>
      </w:r>
      <w:r w:rsidRPr="009625F2">
        <w:t>confidence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system,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duration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addressing</w:t>
      </w:r>
      <w:r w:rsidR="00C9336A" w:rsidRPr="009625F2">
        <w:t xml:space="preserve"> </w:t>
      </w:r>
      <w:r w:rsidRPr="009625F2">
        <w:t>complaints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racism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less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48</w:t>
      </w:r>
      <w:r w:rsidR="00C9336A" w:rsidRPr="009625F2">
        <w:t xml:space="preserve"> </w:t>
      </w:r>
      <w:r w:rsidRPr="009625F2">
        <w:t>hours.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examples,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393654">
      <w:pPr>
        <w:pStyle w:val="H23G"/>
      </w:pPr>
      <w:r w:rsidRPr="009625F2">
        <w:lastRenderedPageBreak/>
        <w:tab/>
      </w:r>
      <w:r w:rsidRPr="009625F2">
        <w:tab/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available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255.</w:t>
      </w:r>
      <w:r w:rsidRPr="009625F2">
        <w:tab/>
        <w:t>Health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April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60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independent</w:t>
      </w:r>
      <w:r w:rsidR="00C9336A" w:rsidRPr="009625F2">
        <w:t xml:space="preserve"> </w:t>
      </w:r>
      <w:r w:rsidRPr="009625F2">
        <w:t>physicians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services.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available</w:t>
      </w:r>
      <w:r w:rsidR="00C9336A" w:rsidRPr="009625F2">
        <w:t xml:space="preserve"> </w:t>
      </w:r>
      <w:r w:rsidRPr="009625F2">
        <w:t>outside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</w:t>
      </w:r>
      <w:r w:rsidR="00D311F6">
        <w:t>’</w:t>
      </w:r>
      <w:r w:rsidRPr="009625F2">
        <w:t>er-Sheva,</w:t>
      </w:r>
      <w:r w:rsidR="00C9336A" w:rsidRPr="009625F2">
        <w:t xml:space="preserve"> </w:t>
      </w:r>
      <w:r w:rsidRPr="009625F2">
        <w:t>Yeruham,</w:t>
      </w:r>
      <w:r w:rsidR="00C9336A" w:rsidRPr="009625F2">
        <w:t xml:space="preserve"> </w:t>
      </w:r>
      <w:r w:rsidRPr="009625F2">
        <w:t>Arad,</w:t>
      </w:r>
      <w:r w:rsidR="00C9336A" w:rsidRPr="009625F2">
        <w:t xml:space="preserve"> </w:t>
      </w:r>
      <w:r w:rsidRPr="009625F2">
        <w:t>Dimona,</w:t>
      </w:r>
      <w:r w:rsidR="00C9336A" w:rsidRPr="009625F2">
        <w:t xml:space="preserve"> </w:t>
      </w:r>
      <w:r w:rsidRPr="009625F2">
        <w:t>Omer,</w:t>
      </w:r>
      <w:r w:rsidR="00C9336A" w:rsidRPr="009625F2">
        <w:t xml:space="preserve"> </w:t>
      </w:r>
      <w:r w:rsidRPr="009625F2">
        <w:t>Mitzpe-Ramon,</w:t>
      </w:r>
      <w:r w:rsidR="00C9336A" w:rsidRPr="009625F2">
        <w:t xml:space="preserve"> </w:t>
      </w:r>
      <w:r w:rsidRPr="009625F2">
        <w:t>etc.</w:t>
      </w:r>
    </w:p>
    <w:p w:rsidR="00B342F3" w:rsidRPr="009625F2" w:rsidRDefault="00B342F3" w:rsidP="00EB53EF">
      <w:pPr>
        <w:pStyle w:val="SingleTxtG"/>
      </w:pPr>
      <w:r w:rsidRPr="009625F2">
        <w:t>256.</w:t>
      </w:r>
      <w:r w:rsidRPr="009625F2">
        <w:tab/>
        <w:t>Clinics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unauthorized</w:t>
      </w:r>
      <w:r w:rsidR="00C9336A" w:rsidRPr="009625F2">
        <w:t xml:space="preserve"> </w:t>
      </w:r>
      <w:r w:rsidRPr="009625F2">
        <w:t>villages</w:t>
      </w:r>
      <w:r w:rsidR="00C9336A" w:rsidRPr="009625F2">
        <w:t xml:space="preserve"> </w:t>
      </w:r>
      <w:r w:rsidRPr="009625F2">
        <w:t>located</w:t>
      </w:r>
      <w:r w:rsidR="00C9336A" w:rsidRPr="009625F2">
        <w:t xml:space="preserve"> </w:t>
      </w:r>
      <w:r w:rsidRPr="009625F2">
        <w:t>throughout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computerized,</w:t>
      </w:r>
      <w:r w:rsidR="00C9336A" w:rsidRPr="009625F2">
        <w:t xml:space="preserve"> </w:t>
      </w:r>
      <w:r w:rsidRPr="009625F2">
        <w:t>air</w:t>
      </w:r>
      <w:r w:rsidR="00C9336A" w:rsidRPr="009625F2">
        <w:t xml:space="preserve"> </w:t>
      </w:r>
      <w:r w:rsidRPr="009625F2">
        <w:t>conditioned,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equipped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standards</w:t>
      </w:r>
      <w:r w:rsidR="00C9336A" w:rsidRPr="009625F2">
        <w:t xml:space="preserve"> </w:t>
      </w:r>
      <w:r w:rsidRPr="009625F2">
        <w:t>followed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country.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257.</w:t>
      </w:r>
      <w:r w:rsidRPr="009625F2">
        <w:tab/>
        <w:t>Nurses</w:t>
      </w:r>
      <w:r w:rsidR="00C9336A" w:rsidRPr="009625F2">
        <w:t xml:space="preserve"> </w:t>
      </w:r>
      <w:r w:rsidRPr="009625F2">
        <w:t>Serving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April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871</w:t>
      </w:r>
      <w:r w:rsidR="00C9336A" w:rsidRPr="009625F2">
        <w:t xml:space="preserve"> </w:t>
      </w:r>
      <w:r w:rsidRPr="009625F2">
        <w:t>employed</w:t>
      </w:r>
      <w:r w:rsidR="00C9336A" w:rsidRPr="009625F2">
        <w:t xml:space="preserve"> </w:t>
      </w:r>
      <w:r w:rsidRPr="009625F2">
        <w:t>nurses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treat</w:t>
      </w:r>
      <w:r w:rsidR="00C9336A" w:rsidRPr="009625F2">
        <w:t xml:space="preserve"> </w:t>
      </w:r>
      <w:r w:rsidRPr="009625F2">
        <w:t>patients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southern</w:t>
      </w:r>
      <w:r w:rsidR="00C9336A" w:rsidRPr="009625F2">
        <w:t xml:space="preserve"> </w:t>
      </w:r>
      <w:r w:rsidRPr="009625F2">
        <w:t>district,</w:t>
      </w:r>
      <w:r w:rsidR="00C9336A" w:rsidRPr="009625F2">
        <w:t xml:space="preserve"> </w:t>
      </w:r>
      <w:r w:rsidRPr="009625F2">
        <w:t>100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whom</w:t>
      </w:r>
      <w:r w:rsidR="00C9336A" w:rsidRPr="009625F2">
        <w:t xml:space="preserve"> </w:t>
      </w:r>
      <w:r w:rsidRPr="009625F2">
        <w:t>specifically</w:t>
      </w:r>
      <w:r w:rsidR="00C9336A" w:rsidRPr="009625F2">
        <w:t xml:space="preserve"> </w:t>
      </w:r>
      <w:r w:rsidRPr="009625F2">
        <w:t>serve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information,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258.</w:t>
      </w:r>
      <w:r w:rsidRPr="009625F2">
        <w:tab/>
        <w:t>Medical</w:t>
      </w:r>
      <w:r w:rsidR="00C9336A" w:rsidRPr="009625F2">
        <w:t xml:space="preserve"> </w:t>
      </w:r>
      <w:r w:rsidRPr="009625F2">
        <w:t>Centres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undertook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establish</w:t>
      </w:r>
      <w:r w:rsidR="00C9336A" w:rsidRPr="009625F2">
        <w:t xml:space="preserve"> </w:t>
      </w:r>
      <w:r w:rsidRPr="009625F2">
        <w:t>six</w:t>
      </w:r>
      <w:r w:rsidR="00C9336A" w:rsidRPr="009625F2">
        <w:t xml:space="preserve"> </w:t>
      </w:r>
      <w:r w:rsidRPr="009625F2">
        <w:t>(6)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night</w:t>
      </w:r>
      <w:r w:rsidR="00C9336A" w:rsidRPr="009625F2">
        <w:t xml:space="preserve"> </w:t>
      </w:r>
      <w:r w:rsidRPr="009625F2">
        <w:t>hours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weekends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Pr="009625F2">
        <w:t>area</w:t>
      </w:r>
      <w:r w:rsidR="00C9336A" w:rsidRPr="009625F2">
        <w:t xml:space="preserve"> </w:t>
      </w:r>
      <w:r w:rsidRPr="009625F2">
        <w:t>(when</w:t>
      </w:r>
      <w:r w:rsidR="00C9336A" w:rsidRPr="009625F2">
        <w:t xml:space="preserve"> </w:t>
      </w:r>
      <w:r w:rsidRPr="009625F2">
        <w:t>regular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closed),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them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(Ar</w:t>
      </w:r>
      <w:r w:rsidR="00D311F6">
        <w:t>’</w:t>
      </w:r>
      <w:r w:rsidRPr="009625F2">
        <w:t>ara,</w:t>
      </w:r>
      <w:r w:rsidR="00C9336A" w:rsidRPr="009625F2">
        <w:t xml:space="preserve"> </w:t>
      </w:r>
      <w:r w:rsidRPr="009625F2">
        <w:t>Rahat,</w:t>
      </w:r>
      <w:r w:rsidR="00C9336A" w:rsidRPr="009625F2">
        <w:t xml:space="preserve"> </w:t>
      </w:r>
      <w:r w:rsidRPr="009625F2">
        <w:t>Kuseife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serve</w:t>
      </w:r>
      <w:r w:rsidR="00C9336A" w:rsidRPr="009625F2">
        <w:t xml:space="preserve"> </w:t>
      </w:r>
      <w:r w:rsidRPr="009625F2">
        <w:t>Lakiya,</w:t>
      </w:r>
      <w:r w:rsidR="00C9336A" w:rsidRPr="009625F2">
        <w:t xml:space="preserve"> </w:t>
      </w:r>
      <w:r w:rsidRPr="009625F2">
        <w:t>Hura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neighbouring</w:t>
      </w:r>
      <w:r w:rsidR="00C9336A" w:rsidRPr="009625F2">
        <w:t xml:space="preserve"> </w:t>
      </w:r>
      <w:r w:rsidRPr="009625F2">
        <w:t>localities).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18.5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(5.15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(Resolution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2025).</w:t>
      </w:r>
      <w:r w:rsidR="00C9336A" w:rsidRPr="009625F2">
        <w:t xml:space="preserve"> 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Health</w:t>
      </w:r>
      <w:r w:rsidR="001E223D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259.</w:t>
      </w:r>
      <w:r w:rsidRPr="009625F2">
        <w:tab/>
        <w:t>Leadership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outlined</w:t>
      </w:r>
      <w:r w:rsidR="00C9336A" w:rsidRPr="009625F2">
        <w:t xml:space="preserve"> </w:t>
      </w:r>
      <w:r w:rsidRPr="009625F2">
        <w:t>above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reduction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inequalities,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designed</w:t>
      </w:r>
      <w:r w:rsidR="00C9336A" w:rsidRPr="009625F2">
        <w:t xml:space="preserve"> </w:t>
      </w:r>
      <w:r w:rsidRPr="009625F2">
        <w:t>especially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="00D311F6">
        <w:t>“</w:t>
      </w:r>
      <w:r w:rsidRPr="009625F2">
        <w:t>Leadership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Health</w:t>
      </w:r>
      <w:r w:rsidR="00D311F6">
        <w:t>”</w:t>
      </w:r>
      <w:r w:rsidR="00C9336A" w:rsidRPr="009625F2">
        <w:t xml:space="preserve"> </w:t>
      </w:r>
      <w:r w:rsidRPr="009625F2">
        <w:t>program.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series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workshops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want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leaders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nutrition,</w:t>
      </w:r>
      <w:r w:rsidR="00C9336A" w:rsidRPr="009625F2">
        <w:t xml:space="preserve"> </w:t>
      </w:r>
      <w:r w:rsidRPr="009625F2">
        <w:t>addressing</w:t>
      </w:r>
      <w:r w:rsidR="00C9336A" w:rsidRPr="009625F2">
        <w:t xml:space="preserve"> </w:t>
      </w:r>
      <w:r w:rsidRPr="009625F2">
        <w:t>studies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show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obesity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women.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260.</w:t>
      </w:r>
      <w:r w:rsidRPr="009625F2">
        <w:tab/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maternity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below.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Health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non-residents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261.</w:t>
      </w:r>
      <w:r w:rsidRPr="009625F2">
        <w:tab/>
        <w:t>In</w:t>
      </w:r>
      <w:r w:rsidR="00C9336A" w:rsidRPr="009625F2">
        <w:t xml:space="preserve"> </w:t>
      </w:r>
      <w:r w:rsidRPr="009625F2">
        <w:t>addition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legislative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above,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available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migrants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workers.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emergency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treatment,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infants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pregnant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(including</w:t>
      </w:r>
      <w:r w:rsidR="00C9336A" w:rsidRPr="009625F2">
        <w:t xml:space="preserve"> </w:t>
      </w:r>
      <w:r w:rsidRPr="009625F2">
        <w:t>routine</w:t>
      </w:r>
      <w:r w:rsidR="00C9336A" w:rsidRPr="009625F2">
        <w:t xml:space="preserve"> </w:t>
      </w:r>
      <w:r w:rsidRPr="009625F2">
        <w:t>immunizations),</w:t>
      </w:r>
      <w:r w:rsidR="00C9336A" w:rsidRPr="009625F2">
        <w:t xml:space="preserve"> </w:t>
      </w:r>
      <w:r w:rsidRPr="009625F2">
        <w:t>volunteer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mental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HIV/AIDS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oncology</w:t>
      </w:r>
      <w:r w:rsidR="00C9336A" w:rsidRPr="009625F2">
        <w:t xml:space="preserve"> </w:t>
      </w:r>
      <w:r w:rsidRPr="009625F2">
        <w:t>treatment.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BD77C5" w:rsidRPr="009625F2">
        <w:t>-</w:t>
      </w:r>
      <w:r w:rsidRPr="009625F2">
        <w:t>care</w:t>
      </w:r>
      <w:r w:rsidR="00C9336A" w:rsidRPr="009625F2">
        <w:t xml:space="preserve"> </w:t>
      </w:r>
      <w:r w:rsidRPr="009625F2">
        <w:t>services</w:t>
      </w:r>
    </w:p>
    <w:p w:rsidR="00B342F3" w:rsidRPr="009625F2" w:rsidRDefault="00B342F3" w:rsidP="00EB53EF">
      <w:pPr>
        <w:pStyle w:val="SingleTxtG"/>
      </w:pPr>
      <w:r w:rsidRPr="009625F2">
        <w:t>262.</w:t>
      </w:r>
      <w:r w:rsidRPr="009625F2">
        <w:tab/>
        <w:t>The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2018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stands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35.46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(9.85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(5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(1.39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expenditure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depended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income)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409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(113.6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authorization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future</w:t>
      </w:r>
      <w:r w:rsidR="00C9336A" w:rsidRPr="009625F2">
        <w:t xml:space="preserve"> </w:t>
      </w:r>
      <w:r w:rsidRPr="009625F2">
        <w:t>budgetary</w:t>
      </w:r>
      <w:r w:rsidR="00C9336A" w:rsidRPr="009625F2">
        <w:t xml:space="preserve"> </w:t>
      </w:r>
      <w:r w:rsidRPr="009625F2">
        <w:t>obligation.</w:t>
      </w:r>
    </w:p>
    <w:p w:rsidR="00B342F3" w:rsidRPr="009625F2" w:rsidRDefault="00B342F3" w:rsidP="00EB53EF">
      <w:pPr>
        <w:pStyle w:val="SingleTxtG"/>
      </w:pPr>
      <w:r w:rsidRPr="009625F2">
        <w:t>263.</w:t>
      </w:r>
      <w:r w:rsidRPr="009625F2">
        <w:tab/>
        <w:t>The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2019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stands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42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(11.7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(38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Net</w:t>
      </w:r>
      <w:r w:rsidR="00C9336A" w:rsidRPr="009625F2">
        <w:t xml:space="preserve"> </w:t>
      </w:r>
      <w:r w:rsidRPr="009625F2">
        <w:t>expenditure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4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expenditure</w:t>
      </w:r>
      <w:r w:rsidR="00C9336A" w:rsidRPr="009625F2">
        <w:t xml:space="preserve"> </w:t>
      </w:r>
      <w:r w:rsidRPr="009625F2">
        <w:t>depended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income)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500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(138.8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authorization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future</w:t>
      </w:r>
      <w:r w:rsidR="00C9336A" w:rsidRPr="009625F2">
        <w:t xml:space="preserve"> </w:t>
      </w:r>
      <w:r w:rsidRPr="009625F2">
        <w:t>budgetary</w:t>
      </w:r>
      <w:r w:rsidR="00C9336A" w:rsidRPr="009625F2">
        <w:t xml:space="preserve"> </w:t>
      </w:r>
      <w:r w:rsidRPr="009625F2">
        <w:t>obligations.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basket,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financed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tax</w:t>
      </w:r>
      <w:r w:rsidR="00C9336A" w:rsidRPr="009625F2">
        <w:t xml:space="preserve"> </w:t>
      </w:r>
      <w:r w:rsidRPr="009625F2">
        <w:t>(collected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Institute)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supplementary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transferred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HMOs,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expected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53.4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(gross)</w:t>
      </w:r>
      <w:r w:rsidR="00C9336A" w:rsidRPr="009625F2">
        <w:t xml:space="preserve"> </w:t>
      </w:r>
      <w:r w:rsidRPr="009625F2">
        <w:t>(14.83</w:t>
      </w:r>
      <w:r w:rsidR="00C9336A" w:rsidRPr="009625F2">
        <w:t xml:space="preserve"> </w:t>
      </w:r>
      <w:r w:rsidRPr="009625F2">
        <w:t>Billion</w:t>
      </w:r>
      <w:r w:rsidR="00C9336A" w:rsidRPr="009625F2">
        <w:t xml:space="preserve"> </w:t>
      </w:r>
      <w:r w:rsidRPr="009625F2">
        <w:t>USD).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264.</w:t>
      </w:r>
      <w:r w:rsidRPr="009625F2">
        <w:tab/>
        <w:t>Funding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Funds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updates,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393654">
      <w:pPr>
        <w:pStyle w:val="H23G"/>
      </w:pPr>
      <w:r w:rsidRPr="009625F2">
        <w:tab/>
      </w:r>
      <w:r w:rsidRPr="009625F2">
        <w:tab/>
        <w:t>Approval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drugs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equipment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265.</w:t>
      </w:r>
      <w:r w:rsidRPr="009625F2">
        <w:tab/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legislative</w:t>
      </w:r>
      <w:r w:rsidR="00C9336A" w:rsidRPr="009625F2">
        <w:t xml:space="preserve"> </w:t>
      </w:r>
      <w:r w:rsidRPr="009625F2">
        <w:t>arrangements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place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drugs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equipment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scientifically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expired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become</w:t>
      </w:r>
      <w:r w:rsidR="00C9336A" w:rsidRPr="009625F2">
        <w:t xml:space="preserve"> </w:t>
      </w:r>
      <w:r w:rsidRPr="009625F2">
        <w:t>ineffective,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393654">
      <w:pPr>
        <w:pStyle w:val="H23G"/>
      </w:pPr>
      <w:r w:rsidRPr="009625F2">
        <w:lastRenderedPageBreak/>
        <w:tab/>
      </w:r>
      <w:r w:rsidRPr="009625F2">
        <w:tab/>
        <w:t>Training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personnel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266.</w:t>
      </w:r>
      <w:r w:rsidRPr="009625F2">
        <w:tab/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8D7A46">
      <w:pPr>
        <w:pStyle w:val="H23G"/>
      </w:pPr>
      <w:r w:rsidRPr="009625F2">
        <w:tab/>
      </w:r>
      <w:r w:rsidRPr="009625F2">
        <w:tab/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maternal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267.</w:t>
      </w:r>
      <w:r w:rsidRPr="009625F2">
        <w:tab/>
        <w:t>Parenting</w:t>
      </w:r>
      <w:r w:rsidR="00C9336A" w:rsidRPr="009625F2">
        <w:t xml:space="preserve"> </w:t>
      </w:r>
      <w:r w:rsidRPr="009625F2">
        <w:t>Skills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D311F6">
        <w:t>“</w:t>
      </w:r>
      <w:r w:rsidRPr="009625F2">
        <w:t>Possible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Healthy</w:t>
      </w:r>
      <w:r w:rsidR="00D311F6">
        <w:t>”</w:t>
      </w:r>
      <w:r w:rsidR="00C9336A" w:rsidRPr="009625F2">
        <w:t xml:space="preserve"> </w:t>
      </w:r>
      <w:r w:rsidRPr="009625F2">
        <w:t>(</w:t>
      </w:r>
      <w:r w:rsidR="00D311F6">
        <w:t>“</w:t>
      </w:r>
      <w:r w:rsidRPr="009625F2">
        <w:t>Efshari-bari</w:t>
      </w:r>
      <w:r w:rsidR="00D311F6">
        <w:t>”</w:t>
      </w:r>
      <w:r w:rsidRPr="009625F2">
        <w:t>)</w:t>
      </w:r>
      <w:r w:rsidR="00C9336A" w:rsidRPr="009625F2">
        <w:t xml:space="preserve"> </w:t>
      </w:r>
      <w:r w:rsidRPr="009625F2">
        <w:t>initiative</w:t>
      </w:r>
      <w:r w:rsidR="00C9336A" w:rsidRPr="009625F2">
        <w:t xml:space="preserve"> </w:t>
      </w:r>
      <w:r w:rsidRPr="009625F2">
        <w:t>aims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develop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well-being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toddlers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tools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improving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child-parent</w:t>
      </w:r>
      <w:r w:rsidR="00C9336A" w:rsidRPr="009625F2">
        <w:t xml:space="preserve"> </w:t>
      </w:r>
      <w:r w:rsidRPr="009625F2">
        <w:t>bond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creating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environment</w:t>
      </w:r>
      <w:r w:rsidR="00C9336A" w:rsidRPr="009625F2">
        <w:t xml:space="preserve"> </w:t>
      </w:r>
      <w:r w:rsidRPr="009625F2">
        <w:t>conducive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optimal</w:t>
      </w:r>
      <w:r w:rsidR="00C9336A" w:rsidRPr="009625F2">
        <w:t xml:space="preserve"> </w:t>
      </w:r>
      <w:r w:rsidRPr="009625F2">
        <w:t>parenting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healthy</w:t>
      </w:r>
      <w:r w:rsidR="00C9336A" w:rsidRPr="009625F2">
        <w:t xml:space="preserve"> </w:t>
      </w:r>
      <w:r w:rsidRPr="009625F2">
        <w:t>lifestyle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attentive</w:t>
      </w:r>
      <w:r w:rsidR="00C9336A" w:rsidRPr="009625F2">
        <w:t xml:space="preserve"> </w:t>
      </w:r>
      <w:r w:rsidRPr="009625F2">
        <w:t>nourishment.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Joint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leading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based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evidence-based</w:t>
      </w:r>
      <w:r w:rsidR="00C9336A" w:rsidRPr="009625F2">
        <w:t xml:space="preserve"> </w:t>
      </w:r>
      <w:r w:rsidRPr="009625F2">
        <w:t>model</w:t>
      </w:r>
      <w:r w:rsidR="00C9336A" w:rsidRPr="009625F2">
        <w:t xml:space="preserve"> </w:t>
      </w:r>
      <w:r w:rsidRPr="009625F2">
        <w:t>developed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UK.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268.</w:t>
      </w:r>
      <w:r w:rsidRPr="009625F2">
        <w:tab/>
        <w:t>Infant</w:t>
      </w:r>
      <w:r w:rsidR="00C9336A" w:rsidRPr="009625F2">
        <w:t xml:space="preserve"> </w:t>
      </w:r>
      <w:r w:rsidRPr="009625F2">
        <w:t>hearing</w:t>
      </w:r>
      <w:r w:rsidR="00C9336A" w:rsidRPr="009625F2">
        <w:t xml:space="preserve"> </w:t>
      </w:r>
      <w:r w:rsidRPr="009625F2">
        <w:t>screening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2010,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successful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infant</w:t>
      </w:r>
      <w:r w:rsidR="00C9336A" w:rsidRPr="009625F2">
        <w:t xml:space="preserve"> </w:t>
      </w:r>
      <w:r w:rsidRPr="009625F2">
        <w:t>hearing</w:t>
      </w:r>
      <w:r w:rsidR="00C9336A" w:rsidRPr="009625F2">
        <w:t xml:space="preserve"> </w:t>
      </w:r>
      <w:r w:rsidRPr="009625F2">
        <w:t>screening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launched.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269.</w:t>
      </w:r>
      <w:r w:rsidRPr="009625F2">
        <w:tab/>
        <w:t>Genetic</w:t>
      </w:r>
      <w:r w:rsidR="00C9336A" w:rsidRPr="009625F2">
        <w:t xml:space="preserve"> </w:t>
      </w:r>
      <w:r w:rsidRPr="009625F2">
        <w:t>Testing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improve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genetic</w:t>
      </w:r>
      <w:r w:rsidR="00C9336A" w:rsidRPr="009625F2">
        <w:t xml:space="preserve"> </w:t>
      </w:r>
      <w:r w:rsidRPr="009625F2">
        <w:t>testing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congenital</w:t>
      </w:r>
      <w:r w:rsidR="00C9336A" w:rsidRPr="009625F2">
        <w:t xml:space="preserve"> </w:t>
      </w:r>
      <w:r w:rsidRPr="009625F2">
        <w:t>anomalies.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genetic</w:t>
      </w:r>
      <w:r w:rsidR="00C9336A" w:rsidRPr="009625F2">
        <w:t xml:space="preserve"> </w:t>
      </w:r>
      <w:r w:rsidRPr="009625F2">
        <w:t>tests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covered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Insurance.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270.</w:t>
      </w:r>
      <w:r w:rsidRPr="009625F2">
        <w:tab/>
        <w:t>National</w:t>
      </w:r>
      <w:r w:rsidR="00C9336A" w:rsidRPr="009625F2">
        <w:t xml:space="preserve"> </w:t>
      </w:r>
      <w:r w:rsidRPr="009625F2">
        <w:t>Screening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Breast</w:t>
      </w:r>
      <w:r w:rsidR="00C9336A" w:rsidRPr="009625F2">
        <w:t xml:space="preserve"> </w:t>
      </w:r>
      <w:r w:rsidRPr="009625F2">
        <w:t>Cancer</w:t>
      </w:r>
      <w:r w:rsidR="00C9336A" w:rsidRPr="009625F2">
        <w:t xml:space="preserve"> </w:t>
      </w:r>
      <w:r w:rsidRPr="009625F2">
        <w:t>Detection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Myomas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I;</w:t>
      </w:r>
      <w:r w:rsidR="00C9336A" w:rsidRPr="009625F2">
        <w:t xml:space="preserve"> </w:t>
      </w:r>
      <w:r w:rsidRPr="009625F2">
        <w:t>Immunisation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below.</w:t>
      </w:r>
    </w:p>
    <w:p w:rsidR="00B342F3" w:rsidRPr="009625F2" w:rsidRDefault="00B342F3" w:rsidP="008D7A46">
      <w:pPr>
        <w:pStyle w:val="H23G"/>
      </w:pPr>
      <w:r w:rsidRPr="009625F2">
        <w:tab/>
      </w:r>
      <w:r w:rsidRPr="009625F2">
        <w:tab/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maternal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="001A2002"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271.</w:t>
      </w:r>
      <w:r w:rsidRPr="009625F2">
        <w:tab/>
        <w:t>Main</w:t>
      </w:r>
      <w:r w:rsidR="00C9336A" w:rsidRPr="009625F2">
        <w:t xml:space="preserve"> </w:t>
      </w:r>
      <w:r w:rsidRPr="009625F2">
        <w:t>Projects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September</w:t>
      </w:r>
      <w:r w:rsidR="00C9336A" w:rsidRPr="009625F2">
        <w:t xml:space="preserve"> </w:t>
      </w:r>
      <w:r w:rsidRPr="009625F2">
        <w:t>2011,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authorised</w:t>
      </w:r>
      <w:r w:rsidR="00C9336A" w:rsidRPr="009625F2">
        <w:t xml:space="preserve"> </w:t>
      </w:r>
      <w:r w:rsidRPr="009625F2">
        <w:t>90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(24.3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communal</w:t>
      </w:r>
      <w:r w:rsidR="00C9336A" w:rsidRPr="009625F2">
        <w:t xml:space="preserve"> </w:t>
      </w:r>
      <w:r w:rsidRPr="009625F2">
        <w:t>issues,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health,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Pr="009625F2">
        <w:t>(Government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3708).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mediators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towards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reduction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infant</w:t>
      </w:r>
      <w:r w:rsidR="00C9336A" w:rsidRPr="009625F2">
        <w:t xml:space="preserve"> </w:t>
      </w:r>
      <w:r w:rsidRPr="009625F2">
        <w:t>mortality;</w:t>
      </w:r>
      <w:r w:rsidR="00C9336A" w:rsidRPr="009625F2">
        <w:t xml:space="preserve"> </w:t>
      </w:r>
      <w:r w:rsidRPr="009625F2">
        <w:t>continued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map</w:t>
      </w:r>
      <w:r w:rsidR="00C9336A" w:rsidRPr="009625F2">
        <w:t xml:space="preserve"> </w:t>
      </w:r>
      <w:r w:rsidRPr="009625F2">
        <w:t>genetic</w:t>
      </w:r>
      <w:r w:rsidR="00C9336A" w:rsidRPr="009625F2">
        <w:t xml:space="preserve"> </w:t>
      </w:r>
      <w:r w:rsidRPr="009625F2">
        <w:t>diseases</w:t>
      </w:r>
      <w:r w:rsidR="00C9336A" w:rsidRPr="009625F2">
        <w:t xml:space="preserve"> </w:t>
      </w:r>
      <w:r w:rsidRPr="009625F2">
        <w:t>unique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population;</w:t>
      </w:r>
      <w:r w:rsidR="00C9336A" w:rsidRPr="009625F2">
        <w:t xml:space="preserve"> </w:t>
      </w:r>
      <w:r w:rsidRPr="009625F2">
        <w:t>enriching</w:t>
      </w:r>
      <w:r w:rsidR="00C9336A" w:rsidRPr="009625F2">
        <w:t xml:space="preserve"> </w:t>
      </w:r>
      <w:r w:rsidRPr="009625F2">
        <w:t>flour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folic</w:t>
      </w:r>
      <w:r w:rsidR="00C9336A" w:rsidRPr="009625F2">
        <w:t xml:space="preserve"> </w:t>
      </w:r>
      <w:r w:rsidRPr="009625F2">
        <w:t>acid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benefit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pregnant</w:t>
      </w:r>
      <w:r w:rsidR="00C9336A" w:rsidRPr="009625F2">
        <w:t xml:space="preserve"> </w:t>
      </w:r>
      <w:r w:rsidRPr="009625F2">
        <w:t>women;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establishing</w:t>
      </w:r>
      <w:r w:rsidR="00C9336A" w:rsidRPr="009625F2">
        <w:t xml:space="preserve"> </w:t>
      </w:r>
      <w:r w:rsidRPr="009625F2">
        <w:t>healthcare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largest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population.</w:t>
      </w:r>
    </w:p>
    <w:p w:rsidR="00B342F3" w:rsidRPr="009625F2" w:rsidRDefault="00B342F3" w:rsidP="00EB53EF">
      <w:pPr>
        <w:pStyle w:val="SingleTxtG"/>
      </w:pPr>
      <w:r w:rsidRPr="009625F2">
        <w:t>272.</w:t>
      </w:r>
      <w:r w:rsidRPr="009625F2">
        <w:tab/>
        <w:t>An</w:t>
      </w:r>
      <w:r w:rsidR="00C9336A" w:rsidRPr="009625F2">
        <w:t xml:space="preserve"> </w:t>
      </w:r>
      <w:r w:rsidRPr="009625F2">
        <w:t>updated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February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encompassing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improvement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emergency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safety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better</w:t>
      </w:r>
      <w:r w:rsidR="00C9336A" w:rsidRPr="009625F2">
        <w:t xml:space="preserve"> </w:t>
      </w:r>
      <w:r w:rsidRPr="009625F2">
        <w:t>responses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needs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young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(Resolution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2397),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(2.85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USD).</w:t>
      </w:r>
    </w:p>
    <w:p w:rsidR="00B342F3" w:rsidRPr="009625F2" w:rsidRDefault="00B342F3" w:rsidP="00EB53EF">
      <w:pPr>
        <w:pStyle w:val="SingleTxtG"/>
      </w:pPr>
      <w:r w:rsidRPr="009625F2">
        <w:t>273.</w:t>
      </w:r>
      <w:r w:rsidRPr="009625F2">
        <w:tab/>
        <w:t>Immunization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coverage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90%,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similar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Vaccinations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conducted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mobile</w:t>
      </w:r>
      <w:r w:rsidR="00C9336A" w:rsidRPr="009625F2">
        <w:t xml:space="preserve"> </w:t>
      </w:r>
      <w:r w:rsidRPr="009625F2">
        <w:t>immunization</w:t>
      </w:r>
      <w:r w:rsidR="00C9336A" w:rsidRPr="009625F2">
        <w:t xml:space="preserve"> </w:t>
      </w:r>
      <w:r w:rsidRPr="009625F2">
        <w:t>teams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reach</w:t>
      </w:r>
      <w:r w:rsidR="00C9336A" w:rsidRPr="009625F2">
        <w:t xml:space="preserve"> </w:t>
      </w:r>
      <w:r w:rsidRPr="009625F2">
        <w:t>infants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diaspora.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computerized</w:t>
      </w:r>
      <w:r w:rsidR="00C9336A" w:rsidRPr="009625F2">
        <w:t xml:space="preserve"> </w:t>
      </w:r>
      <w:r w:rsidRPr="009625F2">
        <w:t>tracking</w:t>
      </w:r>
      <w:r w:rsidR="00C9336A" w:rsidRPr="009625F2">
        <w:t xml:space="preserve"> </w:t>
      </w:r>
      <w:r w:rsidRPr="009625F2">
        <w:t>system</w:t>
      </w:r>
      <w:r w:rsidR="00C9336A" w:rsidRPr="009625F2">
        <w:t xml:space="preserve"> </w:t>
      </w:r>
      <w:r w:rsidRPr="009625F2">
        <w:t>enables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identification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infants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overdue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vaccinations.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Pr="009625F2">
        <w:t>figures</w:t>
      </w:r>
      <w:r w:rsidR="00C9336A" w:rsidRPr="009625F2">
        <w:t xml:space="preserve"> </w:t>
      </w:r>
      <w:r w:rsidRPr="009625F2">
        <w:t>show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influenza</w:t>
      </w:r>
      <w:r w:rsidR="00C9336A" w:rsidRPr="009625F2">
        <w:t xml:space="preserve"> </w:t>
      </w:r>
      <w:r w:rsidRPr="009625F2">
        <w:t>immunization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significantly</w:t>
      </w:r>
      <w:r w:rsidR="00C9336A" w:rsidRPr="009625F2">
        <w:t xml:space="preserve"> </w:t>
      </w:r>
      <w:r w:rsidRPr="009625F2">
        <w:t>surpasses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(41.8%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31.3%</w:t>
      </w:r>
      <w:r w:rsidR="00C9336A" w:rsidRPr="009625F2">
        <w:t xml:space="preserve"> </w:t>
      </w:r>
      <w:r w:rsidRPr="009625F2">
        <w:t>respectively).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274.</w:t>
      </w:r>
      <w:r w:rsidRPr="009625F2">
        <w:tab/>
        <w:t>Mother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healthcare</w:t>
      </w:r>
      <w:r w:rsidR="00C9336A" w:rsidRPr="009625F2">
        <w:t xml:space="preserve"> </w:t>
      </w:r>
      <w:r w:rsidRPr="009625F2">
        <w:t>stations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October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47</w:t>
      </w:r>
      <w:r w:rsidR="00C9336A" w:rsidRPr="009625F2">
        <w:t xml:space="preserve"> </w:t>
      </w:r>
      <w:r w:rsidRPr="009625F2">
        <w:t>mother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stations</w:t>
      </w:r>
      <w:r w:rsidR="00C9336A" w:rsidRPr="009625F2">
        <w:t xml:space="preserve"> </w:t>
      </w:r>
      <w:r w:rsidRPr="009625F2">
        <w:t>located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southern</w:t>
      </w:r>
      <w:r w:rsidR="00C9336A" w:rsidRPr="009625F2">
        <w:t xml:space="preserve"> </w:t>
      </w:r>
      <w:r w:rsidRPr="009625F2">
        <w:t>district,</w:t>
      </w:r>
      <w:r w:rsidR="00C9336A" w:rsidRPr="009625F2">
        <w:t xml:space="preserve"> </w:t>
      </w:r>
      <w:r w:rsidRPr="009625F2">
        <w:t>27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(57%)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April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128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mother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nurses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southern</w:t>
      </w:r>
      <w:r w:rsidR="00C9336A" w:rsidRPr="009625F2">
        <w:t xml:space="preserve"> </w:t>
      </w:r>
      <w:r w:rsidRPr="009625F2">
        <w:t>district,</w:t>
      </w:r>
      <w:r w:rsidR="00C9336A" w:rsidRPr="009625F2">
        <w:t xml:space="preserve"> </w:t>
      </w:r>
      <w:r w:rsidRPr="009625F2">
        <w:t>73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serve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specifically.</w:t>
      </w:r>
      <w:r w:rsidR="00C9336A" w:rsidRPr="009625F2">
        <w:t xml:space="preserve"> </w:t>
      </w:r>
      <w:r w:rsidRPr="009625F2">
        <w:t>90%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filled.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275.</w:t>
      </w:r>
      <w:r w:rsidRPr="009625F2">
        <w:tab/>
        <w:t>In</w:t>
      </w:r>
      <w:r w:rsidR="00C9336A" w:rsidRPr="009625F2">
        <w:t xml:space="preserve"> </w:t>
      </w:r>
      <w:r w:rsidRPr="009625F2">
        <w:t>February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resolved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renovate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mother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clinics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certain</w:t>
      </w:r>
      <w:r w:rsidR="00C9336A" w:rsidRPr="009625F2">
        <w:t xml:space="preserve"> </w:t>
      </w:r>
      <w:r w:rsidRPr="009625F2">
        <w:t>localities,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ones,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40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(10.5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</w:t>
      </w:r>
      <w:r w:rsidR="00C9336A" w:rsidRPr="009625F2">
        <w:t xml:space="preserve"> </w:t>
      </w:r>
      <w:r w:rsidRPr="009625F2">
        <w:t>(Resolution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2397).</w:t>
      </w:r>
    </w:p>
    <w:p w:rsidR="00B342F3" w:rsidRPr="009625F2" w:rsidRDefault="00B342F3" w:rsidP="00EB53EF">
      <w:pPr>
        <w:pStyle w:val="SingleTxtG"/>
      </w:pPr>
      <w:r w:rsidRPr="009625F2">
        <w:t>276.</w:t>
      </w:r>
      <w:r w:rsidRPr="009625F2">
        <w:tab/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(1.38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better</w:t>
      </w:r>
      <w:r w:rsidR="00C9336A" w:rsidRPr="009625F2">
        <w:t xml:space="preserve"> </w:t>
      </w:r>
      <w:r w:rsidRPr="009625F2">
        <w:t>cope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needs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nurses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doctors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well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mediators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mother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child.</w:t>
      </w:r>
    </w:p>
    <w:p w:rsidR="00B342F3" w:rsidRPr="009625F2" w:rsidRDefault="00B342F3" w:rsidP="00EB53EF">
      <w:pPr>
        <w:pStyle w:val="SingleTxtG"/>
      </w:pPr>
      <w:r w:rsidRPr="009625F2">
        <w:t>277.</w:t>
      </w:r>
      <w:r w:rsidRPr="009625F2">
        <w:tab/>
        <w:t>School</w:t>
      </w:r>
      <w:r w:rsidR="00C9336A" w:rsidRPr="009625F2">
        <w:t xml:space="preserve"> </w:t>
      </w:r>
      <w:r w:rsidRPr="009625F2">
        <w:t>nurses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April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44.75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nurses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southern</w:t>
      </w:r>
      <w:r w:rsidR="00C9336A" w:rsidRPr="009625F2">
        <w:t xml:space="preserve"> </w:t>
      </w:r>
      <w:r w:rsidRPr="009625F2">
        <w:t>district.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these,</w:t>
      </w:r>
      <w:r w:rsidR="00C9336A" w:rsidRPr="009625F2">
        <w:t xml:space="preserve"> </w:t>
      </w:r>
      <w:r w:rsidRPr="009625F2">
        <w:t>35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(78.2%)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positions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filled.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278.</w:t>
      </w:r>
      <w:r w:rsidRPr="009625F2">
        <w:tab/>
        <w:t>Autism</w:t>
      </w:r>
      <w:r w:rsidR="00C9336A" w:rsidRPr="009625F2">
        <w:t xml:space="preserve"> </w:t>
      </w:r>
      <w:r w:rsidR="00152AE0" w:rsidRPr="009625F2">
        <w:t>–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findings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under-diagnosis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autism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communication</w:t>
      </w:r>
      <w:r w:rsidR="00C9336A" w:rsidRPr="009625F2">
        <w:t xml:space="preserve"> </w:t>
      </w:r>
      <w:r w:rsidRPr="009625F2">
        <w:t>impairment</w:t>
      </w:r>
      <w:r w:rsidR="00C9336A" w:rsidRPr="009625F2">
        <w:t xml:space="preserve"> </w:t>
      </w:r>
      <w:r w:rsidRPr="009625F2">
        <w:t>spectrum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initiated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diagnose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treat</w:t>
      </w:r>
      <w:r w:rsidR="00C9336A" w:rsidRPr="009625F2">
        <w:t xml:space="preserve"> </w:t>
      </w:r>
      <w:r w:rsidRPr="009625F2">
        <w:t>children.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lastRenderedPageBreak/>
        <w:t>program</w:t>
      </w:r>
      <w:r w:rsidR="00C9336A" w:rsidRPr="009625F2">
        <w:t xml:space="preserve"> </w:t>
      </w:r>
      <w:r w:rsidRPr="009625F2">
        <w:t>began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2010,</w:t>
      </w:r>
      <w:r w:rsidR="00C9336A" w:rsidRPr="009625F2">
        <w:t xml:space="preserve"> </w:t>
      </w:r>
      <w:r w:rsidRPr="009625F2">
        <w:t>120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diagnosed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begun</w:t>
      </w:r>
      <w:r w:rsidR="00C9336A" w:rsidRPr="009625F2">
        <w:t xml:space="preserve"> </w:t>
      </w:r>
      <w:r w:rsidRPr="009625F2">
        <w:t>treatment,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contrast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known</w:t>
      </w:r>
      <w:r w:rsidR="00C9336A" w:rsidRPr="009625F2">
        <w:t xml:space="preserve"> </w:t>
      </w:r>
      <w:r w:rsidRPr="009625F2">
        <w:t>when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began.</w:t>
      </w:r>
    </w:p>
    <w:p w:rsidR="00B342F3" w:rsidRPr="009625F2" w:rsidRDefault="00B342F3" w:rsidP="008D7A46">
      <w:pPr>
        <w:pStyle w:val="H23G"/>
      </w:pPr>
      <w:r w:rsidRPr="009625F2">
        <w:tab/>
      </w:r>
      <w:r w:rsidRPr="009625F2">
        <w:tab/>
        <w:t>Infant</w:t>
      </w:r>
      <w:r w:rsidR="00C9336A" w:rsidRPr="009625F2">
        <w:t xml:space="preserve"> </w:t>
      </w:r>
      <w:r w:rsidRPr="009625F2">
        <w:t>mortality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279.</w:t>
      </w:r>
      <w:r w:rsidRPr="009625F2">
        <w:tab/>
        <w:t>Data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infant</w:t>
      </w:r>
      <w:r w:rsidR="00C9336A" w:rsidRPr="009625F2">
        <w:t xml:space="preserve"> </w:t>
      </w:r>
      <w:r w:rsidRPr="009625F2">
        <w:t>mortality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continues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decrease,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6.3</w:t>
      </w:r>
      <w:r w:rsidR="00C9336A" w:rsidRPr="009625F2">
        <w:t xml:space="preserve"> </w:t>
      </w:r>
      <w:r w:rsidRPr="009625F2">
        <w:t>deaths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1,000</w:t>
      </w:r>
      <w:r w:rsidR="00C9336A" w:rsidRPr="009625F2">
        <w:t xml:space="preserve"> </w:t>
      </w:r>
      <w:r w:rsidRPr="009625F2">
        <w:t>live</w:t>
      </w:r>
      <w:r w:rsidR="00C9336A" w:rsidRPr="009625F2">
        <w:t xml:space="preserve"> </w:t>
      </w:r>
      <w:r w:rsidRPr="009625F2">
        <w:t>births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1996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1999,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3.1</w:t>
      </w:r>
      <w:r w:rsidR="00C9336A" w:rsidRPr="009625F2">
        <w:t xml:space="preserve"> </w:t>
      </w:r>
      <w:r w:rsidRPr="009625F2">
        <w:t>deaths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2015.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remain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infant</w:t>
      </w:r>
      <w:r w:rsidR="00C9336A" w:rsidRPr="009625F2">
        <w:t xml:space="preserve"> </w:t>
      </w:r>
      <w:r w:rsidRPr="009625F2">
        <w:t>mortality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although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common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gaps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infant</w:t>
      </w:r>
      <w:r w:rsidR="00C9336A" w:rsidRPr="009625F2">
        <w:t xml:space="preserve"> </w:t>
      </w:r>
      <w:r w:rsidRPr="009625F2">
        <w:t>mortality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statistical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infant</w:t>
      </w:r>
      <w:r w:rsidR="00C9336A" w:rsidRPr="009625F2">
        <w:t xml:space="preserve"> </w:t>
      </w:r>
      <w:r w:rsidRPr="009625F2">
        <w:t>mortality</w:t>
      </w:r>
      <w:r w:rsidR="00C9336A" w:rsidRPr="009625F2">
        <w:t xml:space="preserve"> </w:t>
      </w:r>
      <w:r w:rsidRPr="009625F2">
        <w:t>rate,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8D7A46">
      <w:pPr>
        <w:pStyle w:val="H23G"/>
      </w:pPr>
      <w:r w:rsidRPr="009625F2">
        <w:tab/>
      </w:r>
      <w:r w:rsidRPr="009625F2">
        <w:tab/>
        <w:t>Fertility</w:t>
      </w:r>
      <w:r w:rsidR="00C9336A" w:rsidRPr="009625F2">
        <w:t xml:space="preserve"> </w:t>
      </w:r>
      <w:r w:rsidRPr="009625F2">
        <w:t>treatment,</w:t>
      </w:r>
      <w:r w:rsidR="00C9336A" w:rsidRPr="009625F2">
        <w:t xml:space="preserve"> </w:t>
      </w:r>
      <w:r w:rsidRPr="009625F2">
        <w:t>contraceptives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280.</w:t>
      </w:r>
      <w:r w:rsidRPr="009625F2">
        <w:tab/>
        <w:t>This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2010,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amendment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freeze</w:t>
      </w:r>
      <w:r w:rsidR="00C9336A" w:rsidRPr="009625F2">
        <w:t xml:space="preserve"> </w:t>
      </w:r>
      <w:r w:rsidRPr="009625F2">
        <w:t>eggs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preserve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fertility.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legislation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passed</w:t>
      </w:r>
      <w:r w:rsidR="00C9336A" w:rsidRPr="009625F2">
        <w:t xml:space="preserve"> </w:t>
      </w:r>
      <w:r w:rsidRPr="009625F2">
        <w:t>governing</w:t>
      </w:r>
      <w:r w:rsidR="00C9336A" w:rsidRPr="009625F2">
        <w:t xml:space="preserve"> </w:t>
      </w:r>
      <w:r w:rsidRPr="009625F2">
        <w:t>egg</w:t>
      </w:r>
      <w:r w:rsidR="00C9336A" w:rsidRPr="009625F2">
        <w:t xml:space="preserve"> </w:t>
      </w:r>
      <w:r w:rsidRPr="009625F2">
        <w:t>donation,</w:t>
      </w:r>
      <w:r w:rsidR="00C9336A" w:rsidRPr="009625F2">
        <w:t xml:space="preserve"> </w:t>
      </w:r>
      <w:r w:rsidRPr="009625F2">
        <w:t>subsequent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compensation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egg</w:t>
      </w:r>
      <w:r w:rsidR="00C9336A" w:rsidRPr="009625F2">
        <w:t xml:space="preserve"> </w:t>
      </w:r>
      <w:r w:rsidRPr="009625F2">
        <w:t>donation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published.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rulings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matter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fertility</w:t>
      </w:r>
      <w:r w:rsidR="00C9336A" w:rsidRPr="009625F2">
        <w:t xml:space="preserve"> </w:t>
      </w:r>
      <w:r w:rsidRPr="009625F2">
        <w:t>treatments,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III.</w:t>
      </w:r>
    </w:p>
    <w:p w:rsidR="008D7A46" w:rsidRPr="009625F2" w:rsidRDefault="00B342F3" w:rsidP="008D7A46">
      <w:pPr>
        <w:pStyle w:val="H23G"/>
      </w:pPr>
      <w:r w:rsidRPr="009625F2">
        <w:tab/>
      </w:r>
      <w:r w:rsidRPr="009625F2">
        <w:tab/>
        <w:t>Raising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</w:p>
    <w:p w:rsidR="00B342F3" w:rsidRPr="009625F2" w:rsidRDefault="00B342F3" w:rsidP="008D7A46">
      <w:pPr>
        <w:pStyle w:val="SingleTxtG"/>
        <w:rPr>
          <w:rtl/>
        </w:rPr>
      </w:pPr>
      <w:r w:rsidRPr="009625F2">
        <w:rPr>
          <w:rtl/>
        </w:rPr>
        <w:t>281</w:t>
      </w:r>
      <w:r w:rsidR="00563FE6" w:rsidRPr="009625F2">
        <w:t>.</w:t>
      </w:r>
      <w:r w:rsidR="00563FE6" w:rsidRPr="009625F2">
        <w:tab/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efforts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reproductive</w:t>
      </w:r>
      <w:r w:rsidR="00C9336A" w:rsidRPr="009625F2">
        <w:t xml:space="preserve"> </w:t>
      </w:r>
      <w:r w:rsidRPr="009625F2">
        <w:t>health.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regard,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country</w:t>
      </w:r>
      <w:r w:rsidR="00C9336A" w:rsidRPr="009625F2">
        <w:t xml:space="preserve"> </w:t>
      </w:r>
      <w:r w:rsidRPr="009625F2">
        <w:t>study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discuss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educational,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as: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  <w:r w:rsidRPr="009625F2">
        <w:t>Skills</w:t>
      </w:r>
      <w:r w:rsidR="00D311F6">
        <w:t>”</w:t>
      </w:r>
      <w:r w:rsidRPr="009625F2">
        <w:t>,</w:t>
      </w:r>
      <w:r w:rsidR="00C9336A" w:rsidRPr="009625F2">
        <w:t xml:space="preserve"> </w:t>
      </w:r>
      <w:r w:rsidR="00D311F6">
        <w:t>“</w:t>
      </w:r>
      <w:r w:rsidRPr="009625F2">
        <w:t>Preparation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Life</w:t>
      </w:r>
      <w:r w:rsidR="00D311F6">
        <w:t>”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="00D311F6">
        <w:t>“</w:t>
      </w:r>
      <w:r w:rsidRPr="009625F2">
        <w:t>Worth</w:t>
      </w:r>
      <w:r w:rsidR="00C9336A" w:rsidRPr="009625F2">
        <w:t xml:space="preserve"> </w:t>
      </w:r>
      <w:r w:rsidRPr="009625F2">
        <w:t>Talking</w:t>
      </w:r>
      <w:r w:rsidR="00D311F6">
        <w:t>”</w:t>
      </w:r>
      <w:r w:rsidRPr="009625F2">
        <w:t>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topics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as:</w:t>
      </w:r>
      <w:r w:rsidR="00C9336A" w:rsidRPr="009625F2">
        <w:t xml:space="preserve"> </w:t>
      </w:r>
      <w:r w:rsidRPr="009625F2">
        <w:t>physical</w:t>
      </w:r>
      <w:r w:rsidR="00C9336A" w:rsidRPr="009625F2">
        <w:t xml:space="preserve"> </w:t>
      </w:r>
      <w:r w:rsidRPr="009625F2">
        <w:t>development,</w:t>
      </w:r>
      <w:r w:rsidR="00C9336A" w:rsidRPr="009625F2">
        <w:t xml:space="preserve"> </w:t>
      </w:r>
      <w:r w:rsidRPr="009625F2">
        <w:t>dating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relationships,</w:t>
      </w:r>
      <w:r w:rsidR="00C9336A" w:rsidRPr="009625F2">
        <w:t xml:space="preserve"> </w:t>
      </w:r>
      <w:r w:rsidRPr="009625F2">
        <w:t>love,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identity,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equality,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relations,</w:t>
      </w:r>
      <w:r w:rsidR="00C9336A" w:rsidRPr="009625F2">
        <w:t xml:space="preserve"> </w:t>
      </w:r>
      <w:r w:rsidRPr="009625F2">
        <w:t>couple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communication,</w:t>
      </w:r>
      <w:r w:rsidR="00C9336A" w:rsidRPr="009625F2">
        <w:t xml:space="preserve"> </w:t>
      </w:r>
      <w:r w:rsidRPr="009625F2">
        <w:t>birth</w:t>
      </w:r>
      <w:r w:rsidR="00C9336A" w:rsidRPr="009625F2">
        <w:t xml:space="preserve"> </w:t>
      </w:r>
      <w:r w:rsidRPr="009625F2">
        <w:t>control,</w:t>
      </w:r>
      <w:r w:rsidR="00C9336A" w:rsidRPr="009625F2">
        <w:t xml:space="preserve"> </w:t>
      </w:r>
      <w:r w:rsidRPr="009625F2">
        <w:t>pregnancy,</w:t>
      </w:r>
      <w:r w:rsidR="00C9336A" w:rsidRPr="009625F2">
        <w:t xml:space="preserve"> </w:t>
      </w:r>
      <w:r w:rsidRPr="009625F2">
        <w:t>adolescent</w:t>
      </w:r>
      <w:r w:rsidR="00C9336A" w:rsidRPr="009625F2">
        <w:t xml:space="preserve"> </w:t>
      </w:r>
      <w:r w:rsidRPr="009625F2">
        <w:t>prostitution,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diversity,</w:t>
      </w:r>
      <w:r w:rsidR="00C9336A" w:rsidRPr="009625F2">
        <w:t xml:space="preserve"> </w:t>
      </w:r>
      <w:r w:rsidRPr="009625F2">
        <w:t>various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types,</w:t>
      </w:r>
      <w:r w:rsidR="00C9336A" w:rsidRPr="009625F2">
        <w:t xml:space="preserve"> </w:t>
      </w:r>
      <w:r w:rsidRPr="009625F2">
        <w:t>career</w:t>
      </w:r>
      <w:r w:rsidR="00C9336A" w:rsidRPr="009625F2">
        <w:t xml:space="preserve"> </w:t>
      </w:r>
      <w:r w:rsidRPr="009625F2">
        <w:t>planning,</w:t>
      </w:r>
      <w:r w:rsidR="00C9336A" w:rsidRPr="009625F2">
        <w:t xml:space="preserve"> </w:t>
      </w:r>
      <w:r w:rsidRPr="009625F2">
        <w:t>warning</w:t>
      </w:r>
      <w:r w:rsidR="00C9336A" w:rsidRPr="009625F2">
        <w:t xml:space="preserve"> </w:t>
      </w:r>
      <w:r w:rsidRPr="009625F2">
        <w:t>lights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relationship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how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more.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choose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focus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studies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ways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Unit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MoE.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taught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alike,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religious</w:t>
      </w:r>
      <w:r w:rsidR="00C9336A" w:rsidRPr="009625F2">
        <w:t xml:space="preserve"> </w:t>
      </w:r>
      <w:r w:rsidRPr="009625F2">
        <w:t>communities,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past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greater</w:t>
      </w:r>
      <w:r w:rsidR="00C9336A" w:rsidRPr="009625F2">
        <w:t xml:space="preserve"> </w:t>
      </w:r>
      <w:r w:rsidRPr="009625F2">
        <w:t>emphasis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placed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fine</w:t>
      </w:r>
      <w:r w:rsidR="00C9336A" w:rsidRPr="009625F2">
        <w:t xml:space="preserve"> </w:t>
      </w:r>
      <w:r w:rsidRPr="009625F2">
        <w:t>line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normative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harmful</w:t>
      </w:r>
      <w:r w:rsidR="00C9336A" w:rsidRPr="009625F2">
        <w:t xml:space="preserve"> </w:t>
      </w:r>
      <w:r w:rsidRPr="009625F2">
        <w:t>behaviour.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focus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positive</w:t>
      </w:r>
      <w:r w:rsidR="00C9336A" w:rsidRPr="009625F2">
        <w:t xml:space="preserve"> </w:t>
      </w:r>
      <w:r w:rsidRPr="009625F2">
        <w:t>communication,</w:t>
      </w:r>
      <w:r w:rsidR="00C9336A" w:rsidRPr="009625F2">
        <w:t xml:space="preserve"> </w:t>
      </w:r>
      <w:r w:rsidRPr="009625F2">
        <w:t>consent,</w:t>
      </w:r>
      <w:r w:rsidR="00C9336A" w:rsidRPr="009625F2">
        <w:t xml:space="preserve"> </w:t>
      </w:r>
      <w:r w:rsidRPr="009625F2">
        <w:t>mutuality,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relations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birth</w:t>
      </w:r>
      <w:r w:rsidR="00C9336A" w:rsidRPr="009625F2">
        <w:t xml:space="preserve"> </w:t>
      </w:r>
      <w:r w:rsidRPr="009625F2">
        <w:t>control.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282.</w:t>
      </w:r>
      <w:r w:rsidRPr="009625F2">
        <w:tab/>
        <w:t>In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HPV</w:t>
      </w:r>
      <w:r w:rsidR="00C9336A" w:rsidRPr="009625F2">
        <w:t xml:space="preserve"> </w:t>
      </w:r>
      <w:r w:rsidRPr="009625F2">
        <w:t>immunization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initiated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eighth-grade</w:t>
      </w:r>
      <w:r w:rsidR="00C9336A" w:rsidRPr="009625F2">
        <w:t xml:space="preserve"> </w:t>
      </w:r>
      <w:r w:rsidRPr="009625F2">
        <w:t>female</w:t>
      </w:r>
      <w:r w:rsidR="00C9336A" w:rsidRPr="009625F2">
        <w:t xml:space="preserve"> </w:t>
      </w:r>
      <w:r w:rsidRPr="009625F2">
        <w:t>pupils.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expanded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boys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well.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explanation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ways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virus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transmitted,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explanation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safe</w:t>
      </w:r>
      <w:r w:rsidR="00C9336A" w:rsidRPr="009625F2">
        <w:t xml:space="preserve"> </w:t>
      </w:r>
      <w:r w:rsidRPr="009625F2">
        <w:t>sex.</w:t>
      </w:r>
    </w:p>
    <w:p w:rsidR="00B342F3" w:rsidRPr="009625F2" w:rsidRDefault="00B342F3" w:rsidP="00563FE6">
      <w:pPr>
        <w:pStyle w:val="H23G"/>
      </w:pPr>
      <w:r w:rsidRPr="009625F2">
        <w:tab/>
      </w:r>
      <w:r w:rsidRPr="009625F2">
        <w:tab/>
        <w:t>Diseases</w:t>
      </w:r>
      <w:r w:rsidR="00C9336A" w:rsidRPr="009625F2">
        <w:t xml:space="preserve"> </w:t>
      </w:r>
      <w:r w:rsidRPr="009625F2">
        <w:t>linked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adequate</w:t>
      </w:r>
      <w:r w:rsidR="00C9336A" w:rsidRPr="009625F2">
        <w:t xml:space="preserve"> </w:t>
      </w:r>
      <w:r w:rsidRPr="009625F2">
        <w:t>sanitation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283.</w:t>
      </w:r>
      <w:r w:rsidRPr="009625F2">
        <w:tab/>
        <w:t>Waterborne</w:t>
      </w:r>
      <w:r w:rsidR="00C9336A" w:rsidRPr="009625F2">
        <w:t xml:space="preserve"> </w:t>
      </w:r>
      <w:r w:rsidRPr="009625F2">
        <w:t>infections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drinking</w:t>
      </w:r>
      <w:r w:rsidR="00C9336A" w:rsidRPr="009625F2">
        <w:t xml:space="preserve"> </w:t>
      </w:r>
      <w:r w:rsidRPr="009625F2">
        <w:t>water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treated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inspected</w:t>
      </w:r>
      <w:r w:rsidR="00C9336A" w:rsidRPr="009625F2">
        <w:t xml:space="preserve"> </w:t>
      </w:r>
      <w:r w:rsidRPr="009625F2">
        <w:t>frequently</w:t>
      </w:r>
      <w:r w:rsidR="00C9336A" w:rsidRPr="009625F2">
        <w:t xml:space="preserve"> </w:t>
      </w:r>
      <w:r w:rsidRPr="009625F2">
        <w:t>(see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11C</w:t>
      </w:r>
      <w:r w:rsidR="00C9336A" w:rsidRPr="009625F2">
        <w:t xml:space="preserve"> </w:t>
      </w:r>
      <w:r w:rsidRPr="009625F2">
        <w:t>above),</w:t>
      </w:r>
      <w:r w:rsidR="00C9336A" w:rsidRPr="009625F2">
        <w:t xml:space="preserve"> </w:t>
      </w:r>
      <w:r w:rsidRPr="009625F2">
        <w:t>waterborne</w:t>
      </w:r>
      <w:r w:rsidR="00C9336A" w:rsidRPr="009625F2">
        <w:t xml:space="preserve"> </w:t>
      </w:r>
      <w:r w:rsidRPr="009625F2">
        <w:t>infections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rare.</w:t>
      </w:r>
      <w:r w:rsidR="00C9336A" w:rsidRPr="009625F2">
        <w:t xml:space="preserve"> </w:t>
      </w:r>
      <w:r w:rsidRPr="009625F2">
        <w:t>Pathogens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generally</w:t>
      </w:r>
      <w:r w:rsidR="00C9336A" w:rsidRPr="009625F2">
        <w:t xml:space="preserve"> </w:t>
      </w:r>
      <w:r w:rsidRPr="009625F2">
        <w:t>spread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contamination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rather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water.</w:t>
      </w:r>
    </w:p>
    <w:p w:rsidR="00B342F3" w:rsidRPr="009625F2" w:rsidRDefault="00B342F3" w:rsidP="00EB53EF">
      <w:pPr>
        <w:pStyle w:val="SingleTxtG"/>
      </w:pPr>
      <w:r w:rsidRPr="009625F2">
        <w:t>284.</w:t>
      </w:r>
      <w:r w:rsidRPr="009625F2">
        <w:tab/>
        <w:t>Sanitation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Updated</w:t>
      </w:r>
      <w:r w:rsidR="00C9336A" w:rsidRPr="009625F2">
        <w:t xml:space="preserve"> </w:t>
      </w:r>
      <w:r w:rsidRPr="009625F2">
        <w:t>regulations,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2010,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levels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existing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future</w:t>
      </w:r>
      <w:r w:rsidR="00C9336A" w:rsidRPr="009625F2">
        <w:t xml:space="preserve"> </w:t>
      </w:r>
      <w:r w:rsidRPr="009625F2">
        <w:t>wastewater</w:t>
      </w:r>
      <w:r w:rsidR="00C9336A" w:rsidRPr="009625F2">
        <w:t xml:space="preserve"> </w:t>
      </w:r>
      <w:r w:rsidRPr="009625F2">
        <w:t>plants.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285.</w:t>
      </w:r>
      <w:r w:rsidRPr="009625F2">
        <w:tab/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sanitation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99.9%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had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sanitation.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data,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286.</w:t>
      </w:r>
      <w:r w:rsidRPr="009625F2">
        <w:tab/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sanitation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546</w:t>
      </w:r>
      <w:r w:rsidR="00C9336A" w:rsidRPr="009625F2">
        <w:t xml:space="preserve"> </w:t>
      </w:r>
      <w:r w:rsidRPr="009625F2">
        <w:t>(July,</w:t>
      </w:r>
      <w:r w:rsidR="00C9336A" w:rsidRPr="009625F2">
        <w:t xml:space="preserve"> </w:t>
      </w:r>
      <w:r w:rsidRPr="009625F2">
        <w:t>2013),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comprehensive</w:t>
      </w:r>
      <w:r w:rsidR="00C9336A" w:rsidRPr="009625F2">
        <w:t xml:space="preserve"> </w:t>
      </w:r>
      <w:r w:rsidRPr="009625F2">
        <w:t>waste</w:t>
      </w:r>
      <w:r w:rsidR="00C9336A" w:rsidRPr="009625F2">
        <w:t xml:space="preserve"> </w:t>
      </w:r>
      <w:r w:rsidRPr="009625F2">
        <w:t>management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launched,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regional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recycling</w:t>
      </w:r>
      <w:r w:rsidR="00C9336A" w:rsidRPr="009625F2">
        <w:t xml:space="preserve"> </w:t>
      </w:r>
      <w:r w:rsidRPr="009625F2">
        <w:t>infrastructures,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evacuation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waste</w:t>
      </w:r>
      <w:r w:rsidR="00C9336A" w:rsidRPr="009625F2">
        <w:t xml:space="preserve"> </w:t>
      </w:r>
      <w:r w:rsidRPr="009625F2">
        <w:t>hazards,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collector</w:t>
      </w:r>
      <w:r w:rsidR="00C9336A" w:rsidRPr="009625F2">
        <w:t xml:space="preserve"> </w:t>
      </w:r>
      <w:r w:rsidRPr="009625F2">
        <w:t>lines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sewage</w:t>
      </w:r>
      <w:r w:rsidR="00C9336A" w:rsidRPr="009625F2">
        <w:t xml:space="preserve"> </w:t>
      </w:r>
      <w:r w:rsidRPr="009625F2">
        <w:t>infrastructures;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explanatory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environmental</w:t>
      </w:r>
      <w:r w:rsidR="00C9336A" w:rsidRPr="009625F2">
        <w:t xml:space="preserve"> </w:t>
      </w:r>
      <w:r w:rsidRPr="009625F2">
        <w:t>protection,</w:t>
      </w:r>
      <w:r w:rsidR="00C9336A" w:rsidRPr="009625F2">
        <w:t xml:space="preserve"> </w:t>
      </w:r>
      <w:r w:rsidRPr="009625F2">
        <w:t>enforcement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regulation.</w:t>
      </w:r>
      <w:r w:rsidR="00C9336A" w:rsidRPr="009625F2">
        <w:t xml:space="preserve"> </w:t>
      </w:r>
      <w:r w:rsidRPr="009625F2">
        <w:t>40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(approx.</w:t>
      </w:r>
      <w:r w:rsidR="00C9336A" w:rsidRPr="009625F2">
        <w:t xml:space="preserve"> </w:t>
      </w:r>
      <w:r w:rsidRPr="009625F2">
        <w:t>11.1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program.</w:t>
      </w:r>
      <w:r w:rsidR="00C9336A" w:rsidRPr="009625F2">
        <w:t xml:space="preserve"> </w:t>
      </w:r>
    </w:p>
    <w:p w:rsidR="00B342F3" w:rsidRPr="009625F2" w:rsidRDefault="00B342F3" w:rsidP="00563FE6">
      <w:pPr>
        <w:pStyle w:val="H23G"/>
      </w:pPr>
      <w:r w:rsidRPr="009625F2">
        <w:tab/>
      </w:r>
      <w:r w:rsidRPr="009625F2">
        <w:tab/>
        <w:t>Infectious</w:t>
      </w:r>
      <w:r w:rsidR="00C9336A" w:rsidRPr="009625F2">
        <w:t xml:space="preserve"> </w:t>
      </w:r>
      <w:r w:rsidRPr="009625F2">
        <w:t>disease</w:t>
      </w:r>
      <w:r w:rsidR="00C9336A" w:rsidRPr="009625F2">
        <w:t xml:space="preserve"> </w:t>
      </w:r>
      <w:r w:rsidRPr="009625F2">
        <w:t>control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287.</w:t>
      </w:r>
      <w:r w:rsidRPr="009625F2">
        <w:tab/>
        <w:t>Immunization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consistent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primary</w:t>
      </w:r>
      <w:r w:rsidR="00C9336A" w:rsidRPr="009625F2">
        <w:t xml:space="preserve"> </w:t>
      </w:r>
      <w:r w:rsidRPr="009625F2">
        <w:t>childhood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school-age</w:t>
      </w:r>
      <w:r w:rsidR="00C9336A" w:rsidRPr="009625F2">
        <w:t xml:space="preserve"> </w:t>
      </w:r>
      <w:r w:rsidRPr="009625F2">
        <w:t>immunizations,</w:t>
      </w:r>
      <w:r w:rsidR="00C9336A" w:rsidRPr="009625F2">
        <w:t xml:space="preserve"> </w:t>
      </w:r>
      <w:r w:rsidRPr="009625F2">
        <w:t>immunizations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risk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lastRenderedPageBreak/>
        <w:t>outbreaks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infectious</w:t>
      </w:r>
      <w:r w:rsidR="00C9336A" w:rsidRPr="009625F2">
        <w:t xml:space="preserve"> </w:t>
      </w:r>
      <w:r w:rsidRPr="009625F2">
        <w:t>diseases.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immunization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updated</w:t>
      </w:r>
      <w:r w:rsidR="00C9336A" w:rsidRPr="009625F2">
        <w:t xml:space="preserve"> </w:t>
      </w:r>
      <w:r w:rsidRPr="009625F2">
        <w:t>periodically.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updates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adult</w:t>
      </w:r>
      <w:r w:rsidR="00C9336A" w:rsidRPr="009625F2">
        <w:t xml:space="preserve"> </w:t>
      </w:r>
      <w:r w:rsidRPr="009625F2">
        <w:t>vaccinations,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288.</w:t>
      </w:r>
      <w:r w:rsidRPr="009625F2">
        <w:tab/>
        <w:t>Influenza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updates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preventing</w:t>
      </w:r>
      <w:r w:rsidR="00C9336A" w:rsidRPr="009625F2">
        <w:t xml:space="preserve"> </w:t>
      </w:r>
      <w:r w:rsidRPr="009625F2">
        <w:t>seasonal</w:t>
      </w:r>
      <w:r w:rsidR="00C9336A" w:rsidRPr="009625F2">
        <w:t xml:space="preserve"> </w:t>
      </w:r>
      <w:r w:rsidRPr="009625F2">
        <w:t>influenza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leads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preparedness</w:t>
      </w:r>
      <w:r w:rsidR="00C9336A" w:rsidRPr="009625F2">
        <w:t xml:space="preserve"> </w:t>
      </w:r>
      <w:r w:rsidRPr="009625F2">
        <w:t>drive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pandemic</w:t>
      </w:r>
      <w:r w:rsidR="00C9336A" w:rsidRPr="009625F2">
        <w:t xml:space="preserve"> </w:t>
      </w:r>
      <w:r w:rsidRPr="009625F2">
        <w:t>influenza.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issued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treating</w:t>
      </w:r>
      <w:r w:rsidR="00C9336A" w:rsidRPr="009625F2">
        <w:t xml:space="preserve"> </w:t>
      </w:r>
      <w:r w:rsidRPr="009625F2">
        <w:t>people</w:t>
      </w:r>
      <w:r w:rsidR="00C9336A" w:rsidRPr="009625F2">
        <w:t xml:space="preserve"> </w:t>
      </w:r>
      <w:r w:rsidRPr="009625F2">
        <w:t>exposed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avian</w:t>
      </w:r>
      <w:r w:rsidR="00C9336A" w:rsidRPr="009625F2">
        <w:t xml:space="preserve"> </w:t>
      </w:r>
      <w:r w:rsidRPr="009625F2">
        <w:t>flu.</w:t>
      </w:r>
    </w:p>
    <w:p w:rsidR="00B342F3" w:rsidRPr="009625F2" w:rsidRDefault="00B342F3" w:rsidP="00EB53EF">
      <w:pPr>
        <w:pStyle w:val="SingleTxtG"/>
      </w:pPr>
      <w:r w:rsidRPr="009625F2">
        <w:t>289.</w:t>
      </w:r>
      <w:r w:rsidRPr="009625F2">
        <w:tab/>
        <w:t>Additional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control</w:t>
      </w:r>
      <w:r w:rsidR="00C9336A" w:rsidRPr="009625F2">
        <w:t xml:space="preserve"> </w:t>
      </w:r>
      <w:r w:rsidRPr="009625F2">
        <w:t>contagious</w:t>
      </w:r>
      <w:r w:rsidR="00C9336A" w:rsidRPr="009625F2">
        <w:t xml:space="preserve"> </w:t>
      </w:r>
      <w:r w:rsidRPr="009625F2">
        <w:t>diseases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continues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update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list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notifiable</w:t>
      </w:r>
      <w:r w:rsidR="00C9336A" w:rsidRPr="009625F2">
        <w:t xml:space="preserve"> </w:t>
      </w:r>
      <w:r w:rsidRPr="009625F2">
        <w:t>diseases</w:t>
      </w:r>
      <w:r w:rsidR="00C9336A" w:rsidRPr="009625F2">
        <w:t xml:space="preserve"> </w:t>
      </w:r>
      <w:r w:rsidRPr="009625F2">
        <w:t>outlined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Ordinance</w:t>
      </w:r>
      <w:r w:rsidR="00C9336A" w:rsidRPr="009625F2">
        <w:t xml:space="preserve"> </w:t>
      </w:r>
      <w:r w:rsidRPr="009625F2">
        <w:t>1940.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significance,</w:t>
      </w:r>
      <w:r w:rsidR="00C9336A" w:rsidRPr="009625F2">
        <w:t xml:space="preserve"> </w:t>
      </w:r>
      <w:r w:rsidRPr="009625F2">
        <w:t>diseases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vaccination</w:t>
      </w:r>
      <w:r w:rsidR="00C9336A" w:rsidRPr="009625F2">
        <w:t xml:space="preserve"> </w:t>
      </w:r>
      <w:r w:rsidRPr="009625F2">
        <w:t>supervision,</w:t>
      </w:r>
      <w:r w:rsidR="00C9336A" w:rsidRPr="009625F2">
        <w:t xml:space="preserve"> </w:t>
      </w:r>
      <w:r w:rsidRPr="009625F2">
        <w:t>zoonotic</w:t>
      </w:r>
      <w:r w:rsidR="00C9336A" w:rsidRPr="009625F2">
        <w:t xml:space="preserve"> </w:t>
      </w:r>
      <w:r w:rsidRPr="009625F2">
        <w:t>diseases,</w:t>
      </w:r>
      <w:r w:rsidR="00C9336A" w:rsidRPr="009625F2">
        <w:t xml:space="preserve"> </w:t>
      </w:r>
      <w:r w:rsidRPr="009625F2">
        <w:t>foodborne</w:t>
      </w:r>
      <w:r w:rsidR="00C9336A" w:rsidRPr="009625F2">
        <w:t xml:space="preserve"> </w:t>
      </w:r>
      <w:r w:rsidRPr="009625F2">
        <w:t>diseases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others.</w:t>
      </w:r>
      <w:r w:rsidR="00C9336A" w:rsidRPr="009625F2">
        <w:t xml:space="preserve"> </w:t>
      </w:r>
      <w:r w:rsidRPr="009625F2">
        <w:t>Beyond</w:t>
      </w:r>
      <w:r w:rsidR="00C9336A" w:rsidRPr="009625F2">
        <w:t xml:space="preserve"> </w:t>
      </w:r>
      <w:r w:rsidRPr="009625F2">
        <w:t>regular</w:t>
      </w:r>
      <w:r w:rsidR="00C9336A" w:rsidRPr="009625F2">
        <w:t xml:space="preserve"> </w:t>
      </w:r>
      <w:r w:rsidRPr="009625F2">
        <w:t>epidemiological</w:t>
      </w:r>
      <w:r w:rsidR="00C9336A" w:rsidRPr="009625F2">
        <w:t xml:space="preserve"> </w:t>
      </w:r>
      <w:r w:rsidRPr="009625F2">
        <w:t>investigations,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being</w:t>
      </w:r>
      <w:r w:rsidR="00C9336A" w:rsidRPr="009625F2">
        <w:t xml:space="preserve"> </w:t>
      </w:r>
      <w:r w:rsidRPr="009625F2">
        <w:t>done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select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needed.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290.</w:t>
      </w:r>
      <w:r w:rsidRPr="009625F2">
        <w:tab/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undertaken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initiated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foodborne</w:t>
      </w:r>
      <w:r w:rsidR="00C9336A" w:rsidRPr="009625F2">
        <w:t xml:space="preserve"> </w:t>
      </w:r>
      <w:r w:rsidRPr="009625F2">
        <w:t>diseases</w:t>
      </w:r>
      <w:r w:rsidR="00C9336A" w:rsidRPr="009625F2">
        <w:t xml:space="preserve"> </w:t>
      </w:r>
      <w:r w:rsidRPr="009625F2">
        <w:t>(including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successful</w:t>
      </w:r>
      <w:r w:rsidR="00C9336A" w:rsidRPr="009625F2">
        <w:t xml:space="preserve"> </w:t>
      </w:r>
      <w:r w:rsidRPr="009625F2">
        <w:t>curbing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salmonellosis</w:t>
      </w:r>
      <w:r w:rsidR="00C9336A" w:rsidRPr="009625F2">
        <w:t xml:space="preserve"> </w:t>
      </w:r>
      <w:r w:rsidRPr="009625F2">
        <w:t>outbreak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2015);</w:t>
      </w:r>
      <w:r w:rsidR="00C9336A" w:rsidRPr="009625F2">
        <w:t xml:space="preserve"> </w:t>
      </w:r>
      <w:r w:rsidRPr="009625F2">
        <w:t>hepatitis</w:t>
      </w:r>
      <w:r w:rsidR="00C9336A" w:rsidRPr="009625F2">
        <w:t xml:space="preserve"> </w:t>
      </w:r>
      <w:r w:rsidRPr="009625F2">
        <w:t>B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C;</w:t>
      </w:r>
      <w:r w:rsidR="00C9336A" w:rsidRPr="009625F2">
        <w:t xml:space="preserve"> </w:t>
      </w:r>
      <w:r w:rsidRPr="009625F2">
        <w:t>cutaneous</w:t>
      </w:r>
      <w:r w:rsidR="00C9336A" w:rsidRPr="009625F2">
        <w:t xml:space="preserve"> </w:t>
      </w:r>
      <w:r w:rsidRPr="009625F2">
        <w:t>leishmaniosis;</w:t>
      </w:r>
      <w:r w:rsidR="00C9336A" w:rsidRPr="009625F2">
        <w:t xml:space="preserve"> </w:t>
      </w:r>
      <w:r w:rsidRPr="009625F2">
        <w:t>west</w:t>
      </w:r>
      <w:r w:rsidR="00C9336A" w:rsidRPr="009625F2">
        <w:t xml:space="preserve"> </w:t>
      </w:r>
      <w:r w:rsidRPr="009625F2">
        <w:t>Nile</w:t>
      </w:r>
      <w:r w:rsidR="00C9336A" w:rsidRPr="009625F2">
        <w:t xml:space="preserve"> </w:t>
      </w:r>
      <w:r w:rsidRPr="009625F2">
        <w:t>fever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rabies</w:t>
      </w:r>
      <w:r w:rsidR="00C9336A" w:rsidRPr="009625F2">
        <w:t xml:space="preserve"> </w:t>
      </w:r>
      <w:r w:rsidRPr="009625F2">
        <w:t>prevention,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291.</w:t>
      </w:r>
      <w:r w:rsidRPr="009625F2">
        <w:tab/>
        <w:t>Morbidity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individuals</w:t>
      </w:r>
      <w:r w:rsidR="00C9336A" w:rsidRPr="009625F2">
        <w:t xml:space="preserve"> </w:t>
      </w:r>
      <w:r w:rsidRPr="009625F2">
        <w:t>traveling</w:t>
      </w:r>
      <w:r w:rsidR="00C9336A" w:rsidRPr="009625F2">
        <w:t xml:space="preserve"> </w:t>
      </w:r>
      <w:r w:rsidRPr="009625F2">
        <w:t>abroad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returning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overseas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292.</w:t>
      </w:r>
      <w:r w:rsidRPr="009625F2">
        <w:tab/>
        <w:t>International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receives</w:t>
      </w:r>
      <w:r w:rsidR="00C9336A" w:rsidRPr="009625F2">
        <w:t xml:space="preserve"> </w:t>
      </w:r>
      <w:r w:rsidRPr="009625F2">
        <w:t>reports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around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world</w:t>
      </w:r>
      <w:r w:rsidR="00C9336A" w:rsidRPr="009625F2">
        <w:t xml:space="preserve"> </w:t>
      </w:r>
      <w:r w:rsidRPr="009625F2">
        <w:t>related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threats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tasked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reporting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bodies</w:t>
      </w:r>
      <w:r w:rsidR="00C9336A" w:rsidRPr="009625F2">
        <w:t xml:space="preserve"> </w:t>
      </w:r>
      <w:r w:rsidRPr="009625F2">
        <w:t>around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world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occurrences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territory,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line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obligations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World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Organization.</w:t>
      </w:r>
    </w:p>
    <w:p w:rsidR="00B342F3" w:rsidRPr="009625F2" w:rsidRDefault="00B342F3" w:rsidP="00650FDF">
      <w:pPr>
        <w:pStyle w:val="H23G"/>
      </w:pPr>
      <w:r w:rsidRPr="009625F2">
        <w:tab/>
      </w:r>
      <w:r w:rsidRPr="009625F2">
        <w:tab/>
        <w:t>Substance</w:t>
      </w:r>
      <w:r w:rsidR="00C9336A" w:rsidRPr="009625F2">
        <w:t xml:space="preserve"> </w:t>
      </w:r>
      <w:r w:rsidRPr="009625F2">
        <w:t>abuse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293.</w:t>
      </w:r>
      <w:r w:rsidRPr="009625F2">
        <w:tab/>
        <w:t>Tobacco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smoking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tobacco</w:t>
      </w:r>
      <w:r w:rsidR="00C9336A" w:rsidRPr="009625F2">
        <w:t xml:space="preserve"> </w:t>
      </w:r>
      <w:r w:rsidRPr="009625F2">
        <w:t>control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vicinity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schools,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650FDF">
      <w:pPr>
        <w:pStyle w:val="H23G"/>
      </w:pPr>
      <w:r w:rsidRPr="009625F2">
        <w:tab/>
      </w:r>
      <w:r w:rsidRPr="009625F2">
        <w:tab/>
        <w:t>Alcohol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294.</w:t>
      </w:r>
      <w:r w:rsidRPr="009625F2">
        <w:tab/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Alcohol</w:t>
      </w:r>
      <w:r w:rsidR="00C9336A" w:rsidRPr="009625F2">
        <w:t xml:space="preserve"> </w:t>
      </w:r>
      <w:r w:rsidRPr="009625F2">
        <w:t>Abuse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2009,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authorised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two-stage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reduction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exaggerated</w:t>
      </w:r>
      <w:r w:rsidR="00C9336A" w:rsidRPr="009625F2">
        <w:t xml:space="preserve"> </w:t>
      </w:r>
      <w:r w:rsidRPr="009625F2">
        <w:t>consumption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alcohol</w:t>
      </w:r>
      <w:r w:rsidR="00C9336A" w:rsidRPr="009625F2">
        <w:t xml:space="preserve"> </w:t>
      </w:r>
      <w:r w:rsidRPr="009625F2">
        <w:t>(Resolution</w:t>
      </w:r>
      <w:r w:rsidR="00C9336A" w:rsidRPr="009625F2">
        <w:t xml:space="preserve"> </w:t>
      </w:r>
      <w:r w:rsidRPr="009625F2">
        <w:t>No,</w:t>
      </w:r>
      <w:r w:rsidR="00C9336A" w:rsidRPr="009625F2">
        <w:t xml:space="preserve"> </w:t>
      </w:r>
      <w:r w:rsidRPr="009625F2">
        <w:t>907).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legislative</w:t>
      </w:r>
      <w:r w:rsidR="00C9336A" w:rsidRPr="009625F2">
        <w:t xml:space="preserve"> </w:t>
      </w:r>
      <w:r w:rsidRPr="009625F2">
        <w:t>steps,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awareness</w:t>
      </w:r>
      <w:r w:rsidR="00C9336A" w:rsidRPr="009625F2">
        <w:t xml:space="preserve"> </w:t>
      </w:r>
      <w:r w:rsidRPr="009625F2">
        <w:t>campaigns,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inter-ministerial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formulate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steps.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295.</w:t>
      </w:r>
      <w:r w:rsidRPr="009625F2">
        <w:tab/>
        <w:t>Legislation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Resolution,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laws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adopted,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restrictions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advertising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marketing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alcoholic</w:t>
      </w:r>
      <w:r w:rsidR="00C9336A" w:rsidRPr="009625F2">
        <w:t xml:space="preserve"> </w:t>
      </w:r>
      <w:r w:rsidRPr="009625F2">
        <w:t>beverages.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296.</w:t>
      </w:r>
      <w:r w:rsidRPr="009625F2">
        <w:tab/>
        <w:t>Training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297.</w:t>
      </w:r>
      <w:r w:rsidRPr="009625F2">
        <w:tab/>
        <w:t>Educational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preventing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drugs,</w:t>
      </w:r>
      <w:r w:rsidR="00C9336A" w:rsidRPr="009625F2">
        <w:t xml:space="preserve"> </w:t>
      </w:r>
      <w:r w:rsidRPr="009625F2">
        <w:t>alcohol,</w:t>
      </w:r>
      <w:r w:rsidR="00C9336A" w:rsidRPr="009625F2">
        <w:t xml:space="preserve"> </w:t>
      </w:r>
      <w:r w:rsidRPr="009625F2">
        <w:t>tobacco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dangerous</w:t>
      </w:r>
      <w:r w:rsidR="00C9336A" w:rsidRPr="009625F2">
        <w:t xml:space="preserve"> </w:t>
      </w:r>
      <w:r w:rsidRPr="009625F2">
        <w:t>substances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incorporated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program.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level,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lectures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parents,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educators.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undertaken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involved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drug</w:t>
      </w:r>
      <w:r w:rsidR="00C9336A" w:rsidRPr="009625F2">
        <w:t xml:space="preserve"> </w:t>
      </w:r>
      <w:r w:rsidRPr="009625F2">
        <w:t>abuse,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Youth</w:t>
      </w:r>
      <w:r w:rsidR="00C9336A" w:rsidRPr="009625F2">
        <w:t xml:space="preserve"> </w:t>
      </w:r>
      <w:r w:rsidRPr="009625F2">
        <w:t>Leadership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field,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650FDF">
      <w:pPr>
        <w:pStyle w:val="H23G"/>
      </w:pPr>
      <w:r w:rsidRPr="009625F2">
        <w:tab/>
      </w:r>
      <w:r w:rsidRPr="009625F2">
        <w:tab/>
        <w:t>Treatment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drug</w:t>
      </w:r>
      <w:r w:rsidR="00C9336A" w:rsidRPr="009625F2">
        <w:t xml:space="preserve"> </w:t>
      </w:r>
      <w:r w:rsidRPr="009625F2">
        <w:t>users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298.</w:t>
      </w:r>
      <w:r w:rsidRPr="009625F2">
        <w:tab/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operates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types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adults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youth.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improvements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treated,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299.</w:t>
      </w:r>
      <w:r w:rsidRPr="009625F2">
        <w:tab/>
        <w:t>Services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MoLSAaSS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Addiction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MoLSAaSS,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responsible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suffering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alcohol,</w:t>
      </w:r>
      <w:r w:rsidR="00C9336A" w:rsidRPr="009625F2">
        <w:t xml:space="preserve"> </w:t>
      </w:r>
      <w:r w:rsidRPr="009625F2">
        <w:t>drug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gambling</w:t>
      </w:r>
      <w:r w:rsidR="00C9336A" w:rsidRPr="009625F2">
        <w:t xml:space="preserve"> </w:t>
      </w:r>
      <w:r w:rsidRPr="009625F2">
        <w:t>addictions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families.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sets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policy,</w:t>
      </w:r>
      <w:r w:rsidR="00C9336A" w:rsidRPr="009625F2">
        <w:t xml:space="preserve"> </w:t>
      </w:r>
      <w:r w:rsidRPr="009625F2">
        <w:t>initiates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adapts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budgets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supervises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frameworks.</w:t>
      </w:r>
    </w:p>
    <w:p w:rsidR="00B342F3" w:rsidRPr="009625F2" w:rsidRDefault="00B342F3" w:rsidP="00EB53EF">
      <w:pPr>
        <w:pStyle w:val="SingleTxtG"/>
      </w:pPr>
      <w:r w:rsidRPr="009625F2">
        <w:t>300.</w:t>
      </w:r>
      <w:r w:rsidRPr="009625F2">
        <w:tab/>
        <w:t>Services,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ambulatory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residential,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voluntary</w:t>
      </w:r>
      <w:r w:rsidR="00C9336A" w:rsidRPr="009625F2">
        <w:t xml:space="preserve"> </w:t>
      </w:r>
      <w:r w:rsidRPr="009625F2">
        <w:t>organizations.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936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workers,</w:t>
      </w:r>
      <w:r w:rsidR="00C9336A" w:rsidRPr="009625F2">
        <w:t xml:space="preserve"> </w:t>
      </w:r>
      <w:r w:rsidRPr="009625F2">
        <w:t>counsellors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professionals.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lastRenderedPageBreak/>
        <w:t>301.</w:t>
      </w:r>
      <w:r w:rsidRPr="009625F2">
        <w:tab/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services,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treated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allocated,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686938">
      <w:pPr>
        <w:pStyle w:val="H23G"/>
      </w:pPr>
      <w:r w:rsidRPr="009625F2">
        <w:tab/>
      </w:r>
      <w:r w:rsidRPr="009625F2">
        <w:tab/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HIV/AIDS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302.</w:t>
      </w:r>
      <w:r w:rsidRPr="009625F2">
        <w:tab/>
        <w:t>Preventative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risk</w:t>
      </w:r>
      <w:r w:rsidR="00C9336A" w:rsidRPr="009625F2">
        <w:t xml:space="preserve"> </w:t>
      </w:r>
      <w:r w:rsidRPr="009625F2">
        <w:t>group,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303.</w:t>
      </w:r>
      <w:r w:rsidRPr="009625F2">
        <w:tab/>
        <w:t>Prevention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HIV/AIDS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unique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HIV</w:t>
      </w:r>
      <w:r w:rsidR="00C9336A" w:rsidRPr="009625F2">
        <w:t xml:space="preserve"> </w:t>
      </w:r>
      <w:r w:rsidRPr="009625F2">
        <w:t>carriers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specially</w:t>
      </w:r>
      <w:r w:rsidR="00C9336A" w:rsidRPr="009625F2">
        <w:t xml:space="preserve"> </w:t>
      </w:r>
      <w:r w:rsidRPr="009625F2">
        <w:t>trained</w:t>
      </w:r>
      <w:r w:rsidR="00C9336A" w:rsidRPr="009625F2">
        <w:t xml:space="preserve"> </w:t>
      </w:r>
      <w:r w:rsidRPr="009625F2">
        <w:t>coordinators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workers.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304.</w:t>
      </w:r>
      <w:r w:rsidRPr="009625F2">
        <w:tab/>
        <w:t>Education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="009B45F0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outlined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13,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required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discuss</w:t>
      </w:r>
      <w:r w:rsidR="00C9336A" w:rsidRPr="009625F2">
        <w:t xml:space="preserve"> </w:t>
      </w:r>
      <w:r w:rsidRPr="009625F2">
        <w:t>HIV/AIDS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pupils.</w:t>
      </w:r>
      <w:r w:rsidR="00C9336A" w:rsidRPr="009625F2">
        <w:t xml:space="preserve"> </w:t>
      </w:r>
      <w:r w:rsidRPr="009625F2">
        <w:t>Around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World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Day,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Psychology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Counselling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uploads</w:t>
      </w:r>
      <w:r w:rsidR="00C9336A" w:rsidRPr="009625F2">
        <w:t xml:space="preserve"> </w:t>
      </w:r>
      <w:r w:rsidRPr="009625F2">
        <w:t>updated</w:t>
      </w:r>
      <w:r w:rsidR="00C9336A" w:rsidRPr="009625F2">
        <w:t xml:space="preserve"> </w:t>
      </w:r>
      <w:r w:rsidRPr="009625F2">
        <w:t>material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website,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workshops.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organizations,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Task</w:t>
      </w:r>
      <w:r w:rsidR="00C9336A" w:rsidRPr="009625F2">
        <w:t xml:space="preserve"> </w:t>
      </w:r>
      <w:r w:rsidRPr="009625F2">
        <w:t>Force,</w:t>
      </w:r>
      <w:r w:rsidR="00C9336A" w:rsidRPr="009625F2">
        <w:t xml:space="preserve"> </w:t>
      </w:r>
      <w:r w:rsidRPr="009625F2">
        <w:t>deliver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schools.</w:t>
      </w:r>
    </w:p>
    <w:p w:rsidR="00B342F3" w:rsidRPr="009625F2" w:rsidRDefault="00B342F3" w:rsidP="00686938">
      <w:pPr>
        <w:pStyle w:val="H23G"/>
      </w:pPr>
      <w:r w:rsidRPr="009625F2">
        <w:tab/>
      </w:r>
      <w:r w:rsidRPr="009625F2">
        <w:tab/>
        <w:t>Support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="001A2002" w:rsidRPr="009625F2">
        <w:t xml:space="preserve">HIV/AIDS </w:t>
      </w:r>
    </w:p>
    <w:p w:rsidR="00B342F3" w:rsidRPr="009625F2" w:rsidRDefault="00B342F3" w:rsidP="00EB53EF">
      <w:pPr>
        <w:pStyle w:val="SingleTxtG"/>
      </w:pPr>
      <w:r w:rsidRPr="009625F2">
        <w:t>305.</w:t>
      </w:r>
      <w:r w:rsidRPr="009625F2">
        <w:tab/>
        <w:t>Support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carriers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families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first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foremost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psychological</w:t>
      </w:r>
      <w:r w:rsidR="00C9336A" w:rsidRPr="009625F2">
        <w:t xml:space="preserve"> </w:t>
      </w:r>
      <w:r w:rsidRPr="009625F2">
        <w:t>teams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eight</w:t>
      </w:r>
      <w:r w:rsidR="00C9336A" w:rsidRPr="009625F2">
        <w:t xml:space="preserve"> </w:t>
      </w:r>
      <w:r w:rsidRPr="009625F2">
        <w:t>(8)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throughout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country.</w:t>
      </w:r>
      <w:r w:rsidR="00C9336A" w:rsidRPr="009625F2">
        <w:t xml:space="preserve"> </w:t>
      </w:r>
      <w:r w:rsidRPr="009625F2">
        <w:t>Dedicated</w:t>
      </w:r>
      <w:r w:rsidR="00C9336A" w:rsidRPr="009625F2">
        <w:t xml:space="preserve"> </w:t>
      </w:r>
      <w:r w:rsidRPr="009625F2">
        <w:t>staff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available</w:t>
      </w:r>
      <w:r w:rsidR="00C9336A" w:rsidRPr="009625F2">
        <w:t xml:space="preserve"> </w:t>
      </w:r>
      <w:r w:rsidRPr="009625F2">
        <w:t>after</w:t>
      </w:r>
      <w:r w:rsidR="00C9336A" w:rsidRPr="009625F2">
        <w:t xml:space="preserve"> </w:t>
      </w:r>
      <w:r w:rsidRPr="009625F2">
        <w:t>hours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answer</w:t>
      </w:r>
      <w:r w:rsidR="00C9336A" w:rsidRPr="009625F2">
        <w:t xml:space="preserve"> </w:t>
      </w:r>
      <w:r w:rsidRPr="009625F2">
        <w:t>questions.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conduct</w:t>
      </w:r>
      <w:r w:rsidR="00C9336A" w:rsidRPr="009625F2">
        <w:t xml:space="preserve"> </w:t>
      </w:r>
      <w:r w:rsidRPr="009625F2">
        <w:t>home</w:t>
      </w:r>
      <w:r w:rsidR="00C9336A" w:rsidRPr="009625F2">
        <w:t xml:space="preserve"> </w:t>
      </w:r>
      <w:r w:rsidRPr="009625F2">
        <w:t>visits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accompany</w:t>
      </w:r>
      <w:r w:rsidR="00C9336A" w:rsidRPr="009625F2">
        <w:t xml:space="preserve"> </w:t>
      </w:r>
      <w:r w:rsidRPr="009625F2">
        <w:t>patients,</w:t>
      </w:r>
      <w:r w:rsidR="00C9336A" w:rsidRPr="009625F2">
        <w:t xml:space="preserve"> </w:t>
      </w:r>
      <w:r w:rsidRPr="009625F2">
        <w:t>where</w:t>
      </w:r>
      <w:r w:rsidR="00C9336A" w:rsidRPr="009625F2">
        <w:t xml:space="preserve"> </w:t>
      </w:r>
      <w:r w:rsidRPr="009625F2">
        <w:t>needed,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services.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space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family</w:t>
      </w:r>
      <w:r w:rsidR="00C9336A" w:rsidRPr="009625F2">
        <w:t xml:space="preserve"> </w:t>
      </w:r>
      <w:r w:rsidRPr="009625F2">
        <w:t>discourse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support.</w:t>
      </w:r>
      <w:r w:rsidR="00C9336A" w:rsidRPr="009625F2">
        <w:t xml:space="preserve"> </w:t>
      </w:r>
    </w:p>
    <w:p w:rsidR="00B342F3" w:rsidRPr="009625F2" w:rsidRDefault="00B342F3" w:rsidP="00686938">
      <w:pPr>
        <w:pStyle w:val="H23G"/>
      </w:pPr>
      <w:r w:rsidRPr="009625F2">
        <w:tab/>
      </w:r>
      <w:r w:rsidRPr="009625F2">
        <w:tab/>
        <w:t>Dealing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stigma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306.</w:t>
      </w:r>
      <w:r w:rsidRPr="009625F2">
        <w:tab/>
        <w:t>MoH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issued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2011</w:t>
      </w:r>
      <w:r w:rsidR="00C9336A" w:rsidRPr="009625F2">
        <w:t xml:space="preserve"> </w:t>
      </w:r>
      <w:r w:rsidRPr="009625F2">
        <w:t>strictly</w:t>
      </w:r>
      <w:r w:rsidR="00C9336A" w:rsidRPr="009625F2">
        <w:t xml:space="preserve"> </w:t>
      </w:r>
      <w:r w:rsidRPr="009625F2">
        <w:t>forbid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HIV</w:t>
      </w:r>
      <w:r w:rsidR="00C9336A" w:rsidRPr="009625F2">
        <w:t xml:space="preserve"> </w:t>
      </w:r>
      <w:r w:rsidRPr="009625F2">
        <w:t>positive</w:t>
      </w:r>
      <w:r w:rsidR="00C9336A" w:rsidRPr="009625F2">
        <w:t xml:space="preserve"> </w:t>
      </w:r>
      <w:r w:rsidRPr="009625F2">
        <w:t>patients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facilities.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issued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underscore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relation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dentistry.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brought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attention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307.</w:t>
      </w:r>
      <w:r w:rsidRPr="009625F2">
        <w:tab/>
        <w:t>MoE</w:t>
      </w:r>
      <w:r w:rsidR="00C9336A" w:rsidRPr="009625F2">
        <w:t xml:space="preserve"> </w:t>
      </w:r>
      <w:r w:rsidRPr="009625F2">
        <w:t>Director-General</w:t>
      </w:r>
      <w:r w:rsidR="00C9336A" w:rsidRPr="009625F2">
        <w:t xml:space="preserve"> </w:t>
      </w:r>
      <w:r w:rsidRPr="009625F2">
        <w:t>guidelines</w:t>
      </w:r>
      <w:r w:rsidR="00C9336A" w:rsidRPr="009625F2">
        <w:t xml:space="preserve"> </w:t>
      </w:r>
      <w:r w:rsidRPr="009625F2">
        <w:t>underscore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HIV/AIDS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same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pupils.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kindergartens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limit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pupils,</w:t>
      </w:r>
      <w:r w:rsidR="00C9336A" w:rsidRPr="009625F2">
        <w:t xml:space="preserve"> </w:t>
      </w:r>
      <w:r w:rsidRPr="009625F2">
        <w:t>unless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doctor</w:t>
      </w:r>
      <w:r w:rsidR="00C9336A" w:rsidRPr="009625F2">
        <w:t xml:space="preserve"> </w:t>
      </w:r>
      <w:r w:rsidRPr="009625F2">
        <w:t>directs</w:t>
      </w:r>
      <w:r w:rsidR="00C9336A" w:rsidRPr="009625F2">
        <w:t xml:space="preserve"> </w:t>
      </w:r>
      <w:r w:rsidRPr="009625F2">
        <w:t>otherwise.</w:t>
      </w:r>
    </w:p>
    <w:p w:rsidR="00B342F3" w:rsidRPr="009625F2" w:rsidRDefault="00B342F3" w:rsidP="00EB53EF">
      <w:pPr>
        <w:pStyle w:val="SingleTxtG"/>
      </w:pPr>
      <w:r w:rsidRPr="009625F2">
        <w:t>308.</w:t>
      </w:r>
      <w:r w:rsidRPr="009625F2">
        <w:tab/>
        <w:t>Each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publish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website</w:t>
      </w:r>
      <w:r w:rsidR="00C9336A" w:rsidRPr="009625F2">
        <w:t xml:space="preserve"> </w:t>
      </w:r>
      <w:r w:rsidRPr="009625F2">
        <w:t>contents</w:t>
      </w:r>
      <w:r w:rsidR="00C9336A" w:rsidRPr="009625F2">
        <w:t xml:space="preserve"> </w:t>
      </w:r>
      <w:r w:rsidRPr="009625F2">
        <w:t>intended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teachers,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parents,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dealing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stigmas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discrimination.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towards</w:t>
      </w:r>
      <w:r w:rsidR="00C9336A" w:rsidRPr="009625F2">
        <w:t xml:space="preserve"> </w:t>
      </w:r>
      <w:r w:rsidRPr="009625F2">
        <w:t>World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Day,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publish</w:t>
      </w:r>
      <w:r w:rsidR="00C9336A" w:rsidRPr="009625F2">
        <w:t xml:space="preserve"> </w:t>
      </w:r>
      <w:r w:rsidRPr="009625F2">
        <w:t>materials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promoted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discourse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matter,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messages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tolerance</w:t>
      </w:r>
      <w:r w:rsidR="00C9336A" w:rsidRPr="009625F2">
        <w:t xml:space="preserve"> </w:t>
      </w:r>
      <w:r w:rsidRPr="009625F2">
        <w:t>towards</w:t>
      </w:r>
      <w:r w:rsidR="00C9336A" w:rsidRPr="009625F2">
        <w:t xml:space="preserve"> </w:t>
      </w:r>
      <w:r w:rsidRPr="009625F2">
        <w:t>others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patients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carriers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importance</w:t>
      </w:r>
      <w:r w:rsidR="00C9336A" w:rsidRPr="009625F2">
        <w:t xml:space="preserve"> </w:t>
      </w:r>
      <w:r w:rsidRPr="009625F2">
        <w:t>using</w:t>
      </w:r>
      <w:r w:rsidR="00C9336A" w:rsidRPr="009625F2">
        <w:t xml:space="preserve"> </w:t>
      </w:r>
      <w:r w:rsidRPr="009625F2">
        <w:t>contraception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safe</w:t>
      </w:r>
      <w:r w:rsidR="00C9336A" w:rsidRPr="009625F2">
        <w:t xml:space="preserve"> </w:t>
      </w:r>
      <w:r w:rsidRPr="009625F2">
        <w:t>sex.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example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dedicated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fight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homophobia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month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May.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publishes</w:t>
      </w:r>
      <w:r w:rsidR="00C9336A" w:rsidRPr="009625F2">
        <w:t xml:space="preserve"> </w:t>
      </w:r>
      <w:r w:rsidRPr="009625F2">
        <w:t>dedicated</w:t>
      </w:r>
      <w:r w:rsidR="00C9336A" w:rsidRPr="009625F2">
        <w:t xml:space="preserve"> </w:t>
      </w:r>
      <w:r w:rsidRPr="009625F2">
        <w:t>contents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allows</w:t>
      </w:r>
      <w:r w:rsidR="00C9336A" w:rsidRPr="009625F2">
        <w:t xml:space="preserve"> </w:t>
      </w:r>
      <w:r w:rsidRPr="009625F2">
        <w:t>teaches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parents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explain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educate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tolerance,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identity.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9th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12th</w:t>
      </w:r>
      <w:r w:rsidR="00C9336A" w:rsidRPr="009625F2">
        <w:t xml:space="preserve"> </w:t>
      </w:r>
      <w:r w:rsidRPr="009625F2">
        <w:t>grade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underwent</w:t>
      </w:r>
      <w:r w:rsidR="00C9336A" w:rsidRPr="009625F2">
        <w:t xml:space="preserve"> </w:t>
      </w:r>
      <w:r w:rsidRPr="009625F2">
        <w:t>lectures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workshops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professionals,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counsels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members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LGBTI</w:t>
      </w:r>
      <w:r w:rsidR="00C9336A" w:rsidRPr="009625F2">
        <w:t xml:space="preserve"> </w:t>
      </w:r>
      <w:r w:rsidRPr="009625F2">
        <w:t>community.</w:t>
      </w:r>
    </w:p>
    <w:p w:rsidR="00B342F3" w:rsidRPr="009625F2" w:rsidRDefault="00B342F3" w:rsidP="00686938">
      <w:pPr>
        <w:pStyle w:val="H23G"/>
      </w:pPr>
      <w:r w:rsidRPr="009625F2">
        <w:tab/>
      </w:r>
      <w:r w:rsidRPr="009625F2">
        <w:tab/>
        <w:t>Affordable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essential</w:t>
      </w:r>
      <w:r w:rsidR="00C9336A" w:rsidRPr="009625F2">
        <w:t xml:space="preserve"> </w:t>
      </w:r>
      <w:r w:rsidRPr="009625F2">
        <w:t>drugs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309.</w:t>
      </w:r>
      <w:r w:rsidRPr="009625F2">
        <w:tab/>
        <w:t>Universal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care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affordable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essential</w:t>
      </w:r>
      <w:r w:rsidR="00C9336A" w:rsidRPr="009625F2">
        <w:t xml:space="preserve"> </w:t>
      </w:r>
      <w:r w:rsidRPr="009625F2">
        <w:t>drugs,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anti-retroviral</w:t>
      </w:r>
      <w:r w:rsidR="00C9336A" w:rsidRPr="009625F2">
        <w:t xml:space="preserve"> </w:t>
      </w:r>
      <w:r w:rsidRPr="009625F2">
        <w:t>medicines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medicines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chronic</w:t>
      </w:r>
      <w:r w:rsidR="00C9336A" w:rsidRPr="009625F2">
        <w:t xml:space="preserve"> </w:t>
      </w:r>
      <w:r w:rsidRPr="009625F2">
        <w:t>diseases.</w:t>
      </w:r>
      <w:r w:rsidR="00C9336A" w:rsidRPr="009625F2">
        <w:t xml:space="preserve"> </w:t>
      </w:r>
      <w:r w:rsidRPr="009625F2">
        <w:t>Therefore,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residents,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HIV/AIDS,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drugs,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they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charge.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310.</w:t>
      </w:r>
      <w:r w:rsidRPr="009625F2">
        <w:tab/>
        <w:t>Foreign</w:t>
      </w:r>
      <w:r w:rsidR="00C9336A" w:rsidRPr="009625F2">
        <w:t xml:space="preserve"> </w:t>
      </w:r>
      <w:r w:rsidRPr="009625F2">
        <w:t>residents,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insurance,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community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set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Tuberculosis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involvement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clinics,</w:t>
      </w:r>
      <w:r w:rsidR="00C9336A" w:rsidRPr="009625F2">
        <w:t xml:space="preserve"> </w:t>
      </w:r>
      <w:r w:rsidRPr="009625F2">
        <w:t>NGOs,</w:t>
      </w:r>
      <w:r w:rsidR="00C9336A" w:rsidRPr="009625F2">
        <w:t xml:space="preserve"> </w:t>
      </w:r>
      <w:r w:rsidRPr="009625F2">
        <w:t>pharmaceutical</w:t>
      </w:r>
      <w:r w:rsidR="00C9336A" w:rsidRPr="009625F2">
        <w:t xml:space="preserve"> </w:t>
      </w:r>
      <w:r w:rsidRPr="009625F2">
        <w:t>companies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commercial</w:t>
      </w:r>
      <w:r w:rsidR="00C9336A" w:rsidRPr="009625F2">
        <w:t xml:space="preserve"> </w:t>
      </w:r>
      <w:r w:rsidRPr="009625F2">
        <w:t>organisations.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funded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combination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budgets,</w:t>
      </w:r>
      <w:r w:rsidR="00C9336A" w:rsidRPr="009625F2">
        <w:t xml:space="preserve"> </w:t>
      </w:r>
      <w:r w:rsidRPr="009625F2">
        <w:t>donations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ART</w:t>
      </w:r>
      <w:r w:rsidR="00C9336A" w:rsidRPr="009625F2">
        <w:t xml:space="preserve"> </w:t>
      </w:r>
      <w:r w:rsidRPr="009625F2">
        <w:t>drugs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pharmaceutical</w:t>
      </w:r>
      <w:r w:rsidR="00C9336A" w:rsidRPr="009625F2">
        <w:t xml:space="preserve"> </w:t>
      </w:r>
      <w:r w:rsidRPr="009625F2">
        <w:t>companies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volunteer</w:t>
      </w:r>
      <w:r w:rsidR="00C9336A" w:rsidRPr="009625F2">
        <w:t xml:space="preserve"> </w:t>
      </w:r>
      <w:r w:rsidRPr="009625F2">
        <w:t>pharmacist</w:t>
      </w:r>
      <w:r w:rsidR="00C9336A" w:rsidRPr="009625F2">
        <w:t xml:space="preserve"> </w:t>
      </w:r>
      <w:r w:rsidRPr="009625F2">
        <w:t>service.</w:t>
      </w:r>
      <w:r w:rsidR="00C9336A" w:rsidRPr="009625F2">
        <w:t xml:space="preserve"> </w:t>
      </w:r>
    </w:p>
    <w:p w:rsidR="00B342F3" w:rsidRPr="009625F2" w:rsidRDefault="00B342F3" w:rsidP="00686938">
      <w:pPr>
        <w:pStyle w:val="H23G"/>
      </w:pPr>
      <w:r w:rsidRPr="009625F2">
        <w:lastRenderedPageBreak/>
        <w:tab/>
      </w:r>
      <w:r w:rsidRPr="009625F2">
        <w:tab/>
      </w:r>
      <w:bookmarkStart w:id="13" w:name="_Toc469567609"/>
      <w:bookmarkStart w:id="14" w:name="_Toc462859423"/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psychiatric</w:t>
      </w:r>
      <w:r w:rsidR="00C9336A" w:rsidRPr="009625F2">
        <w:t xml:space="preserve"> </w:t>
      </w:r>
      <w:r w:rsidRPr="009625F2">
        <w:t>hospitals</w:t>
      </w:r>
      <w:bookmarkEnd w:id="13"/>
      <w:bookmarkEnd w:id="14"/>
    </w:p>
    <w:p w:rsidR="00B342F3" w:rsidRPr="009625F2" w:rsidRDefault="00B342F3" w:rsidP="00EB53EF">
      <w:pPr>
        <w:pStyle w:val="SingleTxtG"/>
      </w:pPr>
      <w:r w:rsidRPr="009625F2">
        <w:t>311.</w:t>
      </w:r>
      <w:r w:rsidRPr="009625F2">
        <w:tab/>
        <w:t>Restraining</w:t>
      </w:r>
      <w:r w:rsidR="00C9336A" w:rsidRPr="009625F2">
        <w:t xml:space="preserve"> </w:t>
      </w:r>
      <w:r w:rsidRPr="009625F2">
        <w:t>orders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issued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used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imminent</w:t>
      </w:r>
      <w:r w:rsidR="00C9336A" w:rsidRPr="009625F2">
        <w:t xml:space="preserve"> </w:t>
      </w:r>
      <w:r w:rsidRPr="009625F2">
        <w:t>danger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physical</w:t>
      </w:r>
      <w:r w:rsidR="00C9336A" w:rsidRPr="009625F2">
        <w:t xml:space="preserve"> </w:t>
      </w:r>
      <w:r w:rsidRPr="009625F2">
        <w:t>harm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others,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consequence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deterioration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mental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condition,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means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="00D311F6">
        <w:t>“</w:t>
      </w:r>
      <w:r w:rsidRPr="009625F2">
        <w:t>punishment</w:t>
      </w:r>
      <w:r w:rsidR="00D311F6">
        <w:t>”</w:t>
      </w:r>
      <w:r w:rsidRPr="009625F2">
        <w:t>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312.</w:t>
      </w:r>
      <w:r w:rsidRPr="009625F2">
        <w:tab/>
        <w:t>In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Director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appointed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steering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possible</w:t>
      </w:r>
      <w:r w:rsidR="00C9336A" w:rsidRPr="009625F2">
        <w:t xml:space="preserve"> </w:t>
      </w:r>
      <w:r w:rsidRPr="009625F2">
        <w:t>plans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mechanical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headed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Ombudsman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Professions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professionals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mental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departments,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Commissioner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Equal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March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already</w:t>
      </w:r>
      <w:r w:rsidR="00C9336A" w:rsidRPr="009625F2">
        <w:t xml:space="preserve"> </w:t>
      </w:r>
      <w:r w:rsidRPr="009625F2">
        <w:t>decreased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50%.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June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include,</w:t>
      </w:r>
      <w:r w:rsidR="00C9336A" w:rsidRPr="009625F2">
        <w:t xml:space="preserve"> </w:t>
      </w:r>
      <w:r w:rsidRPr="009625F2">
        <w:rPr>
          <w:i/>
          <w:iCs/>
        </w:rPr>
        <w:t>inter</w:t>
      </w:r>
      <w:r w:rsidR="00C9336A" w:rsidRPr="009625F2">
        <w:rPr>
          <w:i/>
          <w:iCs/>
        </w:rPr>
        <w:t xml:space="preserve"> </w:t>
      </w:r>
      <w:r w:rsidRPr="009625F2">
        <w:rPr>
          <w:i/>
          <w:iCs/>
        </w:rPr>
        <w:t>alia</w:t>
      </w:r>
      <w:r w:rsidRPr="009625F2">
        <w:t>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recommendation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introduce</w:t>
      </w:r>
      <w:r w:rsidR="00C9336A" w:rsidRPr="009625F2">
        <w:t xml:space="preserve"> </w:t>
      </w:r>
      <w:r w:rsidRPr="009625F2">
        <w:t>methods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replace</w:t>
      </w:r>
      <w:r w:rsidR="00C9336A" w:rsidRPr="009625F2">
        <w:t xml:space="preserve"> </w:t>
      </w:r>
      <w:r w:rsidRPr="009625F2">
        <w:t>restraining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thus</w:t>
      </w:r>
      <w:r w:rsidR="00C9336A" w:rsidRPr="009625F2">
        <w:t xml:space="preserve"> </w:t>
      </w:r>
      <w:r w:rsidRPr="009625F2">
        <w:t>enabling</w:t>
      </w:r>
      <w:r w:rsidR="00C9336A" w:rsidRPr="009625F2">
        <w:t xml:space="preserve"> </w:t>
      </w:r>
      <w:r w:rsidRPr="009625F2">
        <w:t>immediate</w:t>
      </w:r>
      <w:r w:rsidR="00C9336A" w:rsidRPr="009625F2">
        <w:t xml:space="preserve"> </w:t>
      </w:r>
      <w:r w:rsidRPr="009625F2">
        <w:t>professional,</w:t>
      </w:r>
      <w:r w:rsidR="00C9336A" w:rsidRPr="009625F2">
        <w:t xml:space="preserve"> </w:t>
      </w:r>
      <w:r w:rsidRPr="009625F2">
        <w:t>safe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non-aggressive</w:t>
      </w:r>
      <w:r w:rsidR="00C9336A" w:rsidRPr="009625F2">
        <w:t xml:space="preserve"> </w:t>
      </w:r>
      <w:r w:rsidRPr="009625F2">
        <w:t>treatment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challenging</w:t>
      </w:r>
      <w:r w:rsidR="00C9336A" w:rsidRPr="009625F2">
        <w:t xml:space="preserve"> </w:t>
      </w:r>
      <w:r w:rsidRPr="009625F2">
        <w:t>patients</w:t>
      </w:r>
      <w:r w:rsidR="00D311F6">
        <w:t>’</w:t>
      </w:r>
      <w:r w:rsidR="00C9336A" w:rsidRPr="009625F2">
        <w:t xml:space="preserve"> </w:t>
      </w:r>
      <w:r w:rsidRPr="009625F2">
        <w:t>behaviours,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three-year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system.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practical</w:t>
      </w:r>
      <w:r w:rsidR="00C9336A" w:rsidRPr="009625F2">
        <w:t xml:space="preserve"> </w:t>
      </w:r>
      <w:r w:rsidRPr="009625F2">
        <w:t>aspect,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determined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retraining</w:t>
      </w:r>
      <w:r w:rsidR="00C9336A" w:rsidRPr="009625F2">
        <w:t xml:space="preserve"> </w:t>
      </w:r>
      <w:r w:rsidRPr="009625F2">
        <w:t>patients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allowed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very</w:t>
      </w:r>
      <w:r w:rsidR="00C9336A" w:rsidRPr="009625F2">
        <w:t xml:space="preserve"> </w:t>
      </w:r>
      <w:r w:rsidRPr="009625F2">
        <w:t>exceptional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narrow</w:t>
      </w:r>
      <w:r w:rsidR="00C9336A" w:rsidRPr="009625F2">
        <w:t xml:space="preserve"> </w:t>
      </w:r>
      <w:r w:rsidRPr="009625F2">
        <w:t>situations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immediate</w:t>
      </w:r>
      <w:r w:rsidR="00C9336A" w:rsidRPr="009625F2">
        <w:t xml:space="preserve"> </w:t>
      </w:r>
      <w:r w:rsidRPr="009625F2">
        <w:t>threat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limb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patient,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patients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staff</w:t>
      </w:r>
      <w:r w:rsidR="00C9336A" w:rsidRPr="009625F2">
        <w:t xml:space="preserve"> </w:t>
      </w:r>
      <w:r w:rsidRPr="009625F2">
        <w:t>member,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alternative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failed.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used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shortest</w:t>
      </w:r>
      <w:r w:rsidR="00C9336A" w:rsidRPr="009625F2">
        <w:t xml:space="preserve"> </w:t>
      </w:r>
      <w:r w:rsidRPr="009625F2">
        <w:t>time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required</w:t>
      </w:r>
      <w:r w:rsidR="00C9336A" w:rsidRPr="009625F2">
        <w:t xml:space="preserve"> </w:t>
      </w:r>
      <w:r w:rsidRPr="009625F2">
        <w:t>until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immediate</w:t>
      </w:r>
      <w:r w:rsidR="00C9336A" w:rsidRPr="009625F2">
        <w:t xml:space="preserve"> </w:t>
      </w:r>
      <w:r w:rsidRPr="009625F2">
        <w:t>threat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over.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restrained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examined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physician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hour,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he/she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released.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hospital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restraining</w:t>
      </w:r>
      <w:r w:rsidR="00C9336A" w:rsidRPr="009625F2">
        <w:t xml:space="preserve"> </w:t>
      </w:r>
      <w:r w:rsidRPr="009625F2">
        <w:t>authority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24</w:t>
      </w:r>
      <w:r w:rsidR="00C9336A" w:rsidRPr="009625F2">
        <w:t xml:space="preserve"> </w:t>
      </w:r>
      <w:r w:rsidRPr="009625F2">
        <w:t>hours,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exceptional</w:t>
      </w:r>
      <w:r w:rsidR="00C9336A" w:rsidRPr="009625F2">
        <w:t xml:space="preserve"> </w:t>
      </w:r>
      <w:r w:rsidRPr="009625F2">
        <w:t>cases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Hospital</w:t>
      </w:r>
      <w:r w:rsidR="00C9336A" w:rsidRPr="009625F2">
        <w:t xml:space="preserve"> </w:t>
      </w:r>
      <w:r w:rsidRPr="009625F2">
        <w:t>Director</w:t>
      </w:r>
      <w:r w:rsidR="00C9336A" w:rsidRPr="009625F2">
        <w:t xml:space="preserve"> </w:t>
      </w:r>
      <w:r w:rsidRPr="009625F2">
        <w:t>considers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necessary,</w:t>
      </w:r>
      <w:r w:rsidR="00C9336A" w:rsidRPr="009625F2">
        <w:t xml:space="preserve"> </w:t>
      </w:r>
      <w:r w:rsidRPr="009625F2">
        <w:t>he/she</w:t>
      </w:r>
      <w:r w:rsidR="00C9336A" w:rsidRPr="009625F2">
        <w:t xml:space="preserve"> </w:t>
      </w:r>
      <w:r w:rsidRPr="009625F2">
        <w:t>must</w:t>
      </w:r>
      <w:r w:rsidR="00C9336A" w:rsidRPr="009625F2">
        <w:t xml:space="preserve"> </w:t>
      </w:r>
      <w:r w:rsidRPr="009625F2">
        <w:t>request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designated</w:t>
      </w:r>
      <w:r w:rsidR="00C9336A" w:rsidRPr="009625F2">
        <w:t xml:space="preserve"> </w:t>
      </w:r>
      <w:r w:rsidRPr="009625F2">
        <w:t>psychiatric</w:t>
      </w:r>
      <w:r w:rsidR="00C9336A" w:rsidRPr="009625F2">
        <w:t xml:space="preserve"> </w:t>
      </w:r>
      <w:r w:rsidRPr="009625F2">
        <w:t>committee.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up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24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hours,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relevant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appeal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court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charge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aid.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minors</w:t>
      </w:r>
      <w:r w:rsidR="00C9336A" w:rsidRPr="009625F2">
        <w:t xml:space="preserve"> </w:t>
      </w:r>
      <w:r w:rsidRPr="009625F2">
        <w:t>(under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13)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restrained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put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isolation</w:t>
      </w:r>
      <w:r w:rsidR="00C9336A" w:rsidRPr="009625F2">
        <w:t xml:space="preserve"> </w:t>
      </w:r>
      <w:r w:rsidRPr="009625F2">
        <w:t>alone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(1)</w:t>
      </w:r>
      <w:r w:rsidR="00C9336A" w:rsidRPr="009625F2">
        <w:t xml:space="preserve"> </w:t>
      </w:r>
      <w:r w:rsidRPr="009625F2">
        <w:t>hour.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suggested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anchored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legislation.</w:t>
      </w:r>
    </w:p>
    <w:p w:rsidR="00B342F3" w:rsidRPr="009625F2" w:rsidRDefault="00B342F3" w:rsidP="00EB53EF">
      <w:pPr>
        <w:pStyle w:val="SingleTxtG"/>
      </w:pPr>
      <w:r w:rsidRPr="009625F2">
        <w:t>313.</w:t>
      </w:r>
      <w:r w:rsidRPr="009625F2">
        <w:tab/>
        <w:t>In</w:t>
      </w:r>
      <w:r w:rsidR="00C9336A" w:rsidRPr="009625F2">
        <w:t xml:space="preserve"> </w:t>
      </w:r>
      <w:r w:rsidRPr="009625F2">
        <w:t>April</w:t>
      </w:r>
      <w:r w:rsidR="00C9336A" w:rsidRPr="009625F2">
        <w:t xml:space="preserve"> </w:t>
      </w:r>
      <w:r w:rsidRPr="009625F2">
        <w:t>2018,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Circular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MoH</w:t>
      </w:r>
      <w:r w:rsidR="00C9336A" w:rsidRPr="009625F2">
        <w:t xml:space="preserve"> </w:t>
      </w:r>
      <w:r w:rsidRPr="009625F2">
        <w:t>Director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published.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Circular</w:t>
      </w:r>
      <w:r w:rsidR="00C9336A" w:rsidRPr="009625F2">
        <w:t xml:space="preserve"> </w:t>
      </w:r>
      <w:r w:rsidRPr="009625F2">
        <w:t>states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mechanical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isolation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extreme</w:t>
      </w:r>
      <w:r w:rsidR="00C9336A" w:rsidRPr="009625F2">
        <w:t xml:space="preserve"> </w:t>
      </w:r>
      <w:r w:rsidRPr="009625F2">
        <w:t>measures,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unusual</w:t>
      </w:r>
      <w:r w:rsidR="00C9336A" w:rsidRPr="009625F2">
        <w:t xml:space="preserve"> </w:t>
      </w:r>
      <w:r w:rsidRPr="009625F2">
        <w:t>circumstances,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purpose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preventing</w:t>
      </w:r>
      <w:r w:rsidR="00C9336A" w:rsidRPr="009625F2">
        <w:t xml:space="preserve"> </w:t>
      </w:r>
      <w:r w:rsidRPr="009625F2">
        <w:t>immediate</w:t>
      </w:r>
      <w:r w:rsidR="00C9336A" w:rsidRPr="009625F2">
        <w:t xml:space="preserve"> </w:t>
      </w:r>
      <w:r w:rsidRPr="009625F2">
        <w:t>substantive</w:t>
      </w:r>
      <w:r w:rsidR="00C9336A" w:rsidRPr="009625F2">
        <w:t xml:space="preserve"> </w:t>
      </w:r>
      <w:r w:rsidRPr="009625F2">
        <w:t>physical</w:t>
      </w:r>
      <w:r w:rsidR="00C9336A" w:rsidRPr="009625F2">
        <w:t xml:space="preserve"> </w:t>
      </w:r>
      <w:r w:rsidRPr="009625F2">
        <w:t>danger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surrounding</w:t>
      </w:r>
      <w:r w:rsidR="00730E77">
        <w:t>s</w:t>
      </w:r>
      <w:r w:rsidRPr="009625F2">
        <w:t>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instructed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prohibited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impose</w:t>
      </w:r>
      <w:r w:rsidR="00C9336A" w:rsidRPr="009625F2">
        <w:t xml:space="preserve"> </w:t>
      </w:r>
      <w:r w:rsidRPr="009625F2">
        <w:t>mechanical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isolation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situations: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measure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punishment;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measure;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psychomotoric</w:t>
      </w:r>
      <w:r w:rsidR="00C9336A" w:rsidRPr="009625F2">
        <w:t xml:space="preserve"> </w:t>
      </w:r>
      <w:r w:rsidRPr="009625F2">
        <w:t>unrest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does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endanger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environment;</w:t>
      </w:r>
      <w:r w:rsidR="00C9336A" w:rsidRPr="009625F2">
        <w:t xml:space="preserve"> </w:t>
      </w:r>
      <w:r w:rsidRPr="009625F2">
        <w:t>when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refuses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comply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instructions;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means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discipline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more.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Circular,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instruction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imposition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mechanical</w:t>
      </w:r>
      <w:r w:rsidR="00C9336A" w:rsidRPr="009625F2">
        <w:t xml:space="preserve"> </w:t>
      </w:r>
      <w:r w:rsidRPr="009625F2">
        <w:t>restraints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isolation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given</w:t>
      </w:r>
      <w:r w:rsidR="00C9336A" w:rsidRPr="009625F2">
        <w:t xml:space="preserve"> </w:t>
      </w:r>
      <w:r w:rsidRPr="009625F2">
        <w:t>based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considerations,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solely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purpose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preventing</w:t>
      </w:r>
      <w:r w:rsidR="00C9336A" w:rsidRPr="009625F2">
        <w:t xml:space="preserve"> </w:t>
      </w:r>
      <w:r w:rsidRPr="009625F2">
        <w:t>danger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surrounding,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when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risk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level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certainty.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general,</w:t>
      </w:r>
      <w:r w:rsidR="00C9336A" w:rsidRPr="009625F2">
        <w:t xml:space="preserve"> </w:t>
      </w:r>
      <w:r w:rsidRPr="009625F2">
        <w:t>isolation</w:t>
      </w:r>
      <w:r w:rsidR="00C9336A" w:rsidRPr="009625F2">
        <w:t xml:space="preserve"> </w:t>
      </w:r>
      <w:r w:rsidRPr="009625F2">
        <w:t>should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preferred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restraint,</w:t>
      </w:r>
      <w:r w:rsidR="00C9336A" w:rsidRPr="009625F2">
        <w:t xml:space="preserve"> </w:t>
      </w:r>
      <w:r w:rsidRPr="009625F2">
        <w:t>but</w:t>
      </w:r>
      <w:r w:rsidR="00C9336A" w:rsidRPr="009625F2">
        <w:t xml:space="preserve"> </w:t>
      </w:r>
      <w:r w:rsidRPr="009625F2">
        <w:t>if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alternative</w:t>
      </w:r>
      <w:r w:rsidR="00C9336A" w:rsidRPr="009625F2">
        <w:t xml:space="preserve"> </w:t>
      </w:r>
      <w:r w:rsidRPr="009625F2">
        <w:t>measure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can</w:t>
      </w:r>
      <w:r w:rsidR="00C9336A" w:rsidRPr="009625F2">
        <w:t xml:space="preserve"> </w:t>
      </w:r>
      <w:r w:rsidRPr="009625F2">
        <w:t>reduce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harm</w:t>
      </w:r>
      <w:r w:rsidR="00C9336A" w:rsidRPr="009625F2">
        <w:t xml:space="preserve"> </w:t>
      </w:r>
      <w:r w:rsidRPr="009625F2">
        <w:t>caused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patient,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dignity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staff</w:t>
      </w:r>
      <w:r w:rsidR="00C9336A" w:rsidRPr="009625F2">
        <w:t xml:space="preserve"> </w:t>
      </w:r>
      <w:r w:rsidRPr="009625F2">
        <w:t>must</w:t>
      </w:r>
      <w:r w:rsidR="00C9336A" w:rsidRPr="009625F2">
        <w:t xml:space="preserve"> </w:t>
      </w:r>
      <w:r w:rsidRPr="009625F2">
        <w:t>prefer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alternative.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restraining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patient</w:t>
      </w:r>
      <w:r w:rsidR="00C9336A" w:rsidRPr="009625F2">
        <w:t xml:space="preserve"> </w:t>
      </w:r>
      <w:r w:rsidRPr="009625F2">
        <w:t>should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shortest</w:t>
      </w:r>
      <w:r w:rsidR="00C9336A" w:rsidRPr="009625F2">
        <w:t xml:space="preserve"> </w:t>
      </w:r>
      <w:r w:rsidRPr="009625F2">
        <w:t>period</w:t>
      </w:r>
      <w:r w:rsidR="00C9336A" w:rsidRPr="009625F2">
        <w:t xml:space="preserve"> </w:t>
      </w:r>
      <w:r w:rsidRPr="009625F2">
        <w:t>possible,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terminate</w:t>
      </w:r>
      <w:r w:rsidR="00C9336A" w:rsidRPr="009625F2">
        <w:t xml:space="preserve"> </w:t>
      </w:r>
      <w:r w:rsidRPr="009625F2">
        <w:t>when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circumstances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provisions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restraint</w:t>
      </w:r>
      <w:r w:rsidR="00C9336A" w:rsidRPr="009625F2">
        <w:t xml:space="preserve"> </w:t>
      </w:r>
      <w:r w:rsidRPr="009625F2">
        <w:t>cease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exist.</w:t>
      </w:r>
    </w:p>
    <w:p w:rsidR="00B342F3" w:rsidRPr="009625F2" w:rsidRDefault="00B342F3" w:rsidP="00B3759F">
      <w:pPr>
        <w:pStyle w:val="H1G"/>
      </w:pPr>
      <w:r w:rsidRPr="009625F2">
        <w:tab/>
      </w:r>
      <w:r w:rsidRPr="009625F2">
        <w:tab/>
        <w:t>Article</w:t>
      </w:r>
      <w:r w:rsidR="00C9336A" w:rsidRPr="009625F2">
        <w:t xml:space="preserve"> </w:t>
      </w:r>
      <w:r w:rsidRPr="009625F2">
        <w:t>13</w:t>
      </w:r>
      <w:r w:rsidR="00C9336A" w:rsidRPr="009625F2">
        <w:t xml:space="preserve"> </w:t>
      </w:r>
    </w:p>
    <w:p w:rsidR="00B342F3" w:rsidRPr="009625F2" w:rsidRDefault="00B342F3" w:rsidP="00B3759F">
      <w:pPr>
        <w:pStyle w:val="H23G"/>
      </w:pPr>
      <w:r w:rsidRPr="009625F2">
        <w:tab/>
      </w:r>
      <w:r w:rsidRPr="009625F2">
        <w:tab/>
        <w:t>Education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economic,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314.</w:t>
      </w:r>
      <w:r w:rsidRPr="009625F2">
        <w:tab/>
        <w:t>The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Co-existence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promotes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bring</w:t>
      </w:r>
      <w:r w:rsidR="00C9336A" w:rsidRPr="009625F2">
        <w:t xml:space="preserve"> </w:t>
      </w:r>
      <w:r w:rsidRPr="009625F2">
        <w:t>together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society.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days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reinforce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marked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expansive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(such,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Elimination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Racial</w:t>
      </w:r>
      <w:r w:rsidR="00C9336A" w:rsidRPr="009625F2">
        <w:t xml:space="preserve"> </w:t>
      </w:r>
      <w:r w:rsidRPr="009625F2">
        <w:t>Discrimination);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run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promote</w:t>
      </w:r>
      <w:r w:rsidR="00C9336A" w:rsidRPr="009625F2">
        <w:t xml:space="preserve"> </w:t>
      </w:r>
      <w:r w:rsidRPr="009625F2">
        <w:t>tolerance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prevent</w:t>
      </w:r>
      <w:r w:rsidR="00C9336A" w:rsidRPr="009625F2">
        <w:t xml:space="preserve"> </w:t>
      </w:r>
      <w:r w:rsidRPr="009625F2">
        <w:t>racial</w:t>
      </w:r>
      <w:r w:rsidR="00C9336A" w:rsidRPr="009625F2">
        <w:t xml:space="preserve"> </w:t>
      </w:r>
      <w:r w:rsidRPr="009625F2">
        <w:t>discrimination;</w:t>
      </w:r>
      <w:r w:rsidR="00C9336A" w:rsidRPr="009625F2">
        <w:t xml:space="preserve"> </w:t>
      </w:r>
      <w:r w:rsidRPr="009625F2">
        <w:t>teach</w:t>
      </w:r>
      <w:r w:rsidR="00C9336A" w:rsidRPr="009625F2">
        <w:t xml:space="preserve"> </w:t>
      </w:r>
      <w:r w:rsidRPr="009625F2">
        <w:t>classes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civic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democratic</w:t>
      </w:r>
      <w:r w:rsidR="00C9336A" w:rsidRPr="009625F2">
        <w:t xml:space="preserve"> </w:t>
      </w:r>
      <w:r w:rsidRPr="009625F2">
        <w:t>values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="00D311F6">
        <w:t>“</w:t>
      </w:r>
      <w:r w:rsidRPr="009625F2">
        <w:t>life</w:t>
      </w:r>
      <w:r w:rsidR="00C9336A" w:rsidRPr="009625F2">
        <w:t xml:space="preserve"> </w:t>
      </w:r>
      <w:r w:rsidRPr="009625F2">
        <w:t>skills</w:t>
      </w:r>
      <w:r w:rsidR="00D311F6">
        <w:t>”</w:t>
      </w:r>
      <w:r w:rsidR="00C9336A" w:rsidRPr="009625F2">
        <w:t xml:space="preserve"> </w:t>
      </w:r>
      <w:r w:rsidRPr="009625F2">
        <w:t>classes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topics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gender-based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LGBTI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domestic</w:t>
      </w:r>
      <w:r w:rsidR="00C9336A" w:rsidRPr="009625F2">
        <w:t xml:space="preserve"> </w:t>
      </w:r>
      <w:r w:rsidRPr="009625F2">
        <w:t>violence.</w:t>
      </w:r>
    </w:p>
    <w:p w:rsidR="00B342F3" w:rsidRPr="009625F2" w:rsidRDefault="00B342F3" w:rsidP="00EB53EF">
      <w:pPr>
        <w:pStyle w:val="SingleTxtG"/>
      </w:pPr>
      <w:r w:rsidRPr="009625F2">
        <w:lastRenderedPageBreak/>
        <w:t>315.</w:t>
      </w:r>
      <w:r w:rsidRPr="009625F2">
        <w:tab/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offers</w:t>
      </w:r>
      <w:r w:rsidR="00C9336A" w:rsidRPr="009625F2">
        <w:t xml:space="preserve"> </w:t>
      </w:r>
      <w:r w:rsidRPr="009625F2">
        <w:t>hundreds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hours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professional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teachers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democratic</w:t>
      </w:r>
      <w:r w:rsidR="00C9336A" w:rsidRPr="009625F2">
        <w:t xml:space="preserve"> </w:t>
      </w:r>
      <w:r w:rsidRPr="009625F2">
        <w:t>values,</w:t>
      </w:r>
      <w:r w:rsidR="00C9336A" w:rsidRPr="009625F2">
        <w:t xml:space="preserve"> </w:t>
      </w:r>
      <w:r w:rsidRPr="009625F2">
        <w:t>dignity,</w:t>
      </w:r>
      <w:r w:rsidR="00C9336A" w:rsidRPr="009625F2">
        <w:t xml:space="preserve"> </w:t>
      </w:r>
      <w:r w:rsidRPr="009625F2">
        <w:t>pluralism,</w:t>
      </w:r>
      <w:r w:rsidR="00C9336A" w:rsidRPr="009625F2">
        <w:t xml:space="preserve"> </w:t>
      </w:r>
      <w:r w:rsidRPr="009625F2">
        <w:t>tolerance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preventing</w:t>
      </w:r>
      <w:r w:rsidR="00C9336A" w:rsidRPr="009625F2">
        <w:t xml:space="preserve"> </w:t>
      </w:r>
      <w:r w:rsidRPr="009625F2">
        <w:t>discrimination.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B3759F">
      <w:pPr>
        <w:pStyle w:val="H23G"/>
      </w:pPr>
      <w:r w:rsidRPr="009625F2">
        <w:tab/>
      </w:r>
      <w:r w:rsidRPr="009625F2">
        <w:tab/>
        <w:t>Free,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primary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316.</w:t>
      </w:r>
      <w:r w:rsidRPr="009625F2">
        <w:tab/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discussed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reports.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outlined,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until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17</w:t>
      </w:r>
      <w:r w:rsidR="00C9336A" w:rsidRPr="009625F2">
        <w:t xml:space="preserve"> </w:t>
      </w:r>
      <w:r w:rsidRPr="009625F2">
        <w:t>(12th</w:t>
      </w:r>
      <w:r w:rsidR="00C9336A" w:rsidRPr="009625F2">
        <w:t xml:space="preserve"> </w:t>
      </w:r>
      <w:r w:rsidRPr="009625F2">
        <w:t>grade).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5709-1949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applied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kindergartens</w:t>
      </w:r>
      <w:r w:rsidR="00C9336A" w:rsidRPr="009625F2">
        <w:t xml:space="preserve"> </w:t>
      </w:r>
      <w:r w:rsidRPr="009625F2">
        <w:t>now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age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(3).</w:t>
      </w:r>
    </w:p>
    <w:p w:rsidR="00B342F3" w:rsidRPr="009625F2" w:rsidRDefault="00B342F3" w:rsidP="00EB53EF">
      <w:pPr>
        <w:pStyle w:val="SingleTxtG"/>
      </w:pPr>
      <w:r w:rsidRPr="009625F2">
        <w:t>317.</w:t>
      </w:r>
      <w:r w:rsidRPr="009625F2">
        <w:tab/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Long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full</w:t>
      </w:r>
      <w:r w:rsidR="00C9336A" w:rsidRPr="009625F2">
        <w:t xml:space="preserve"> </w:t>
      </w:r>
      <w:r w:rsidRPr="009625F2">
        <w:t>implementation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Long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Day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Enrichment</w:t>
      </w:r>
      <w:r w:rsidR="00C9336A" w:rsidRPr="009625F2">
        <w:t xml:space="preserve"> </w:t>
      </w:r>
      <w:r w:rsidRPr="009625F2">
        <w:t>Studies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5757-1997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postponed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until</w:t>
      </w:r>
      <w:r w:rsidR="00C9336A" w:rsidRPr="009625F2">
        <w:t xml:space="preserve"> </w:t>
      </w:r>
      <w:r w:rsidRPr="009625F2">
        <w:t>2019.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December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implemented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106</w:t>
      </w:r>
      <w:r w:rsidR="00C9336A" w:rsidRPr="009625F2">
        <w:t xml:space="preserve"> </w:t>
      </w:r>
      <w:r w:rsidRPr="009625F2">
        <w:t>communities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kindergartens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92</w:t>
      </w:r>
      <w:r w:rsidR="00C9336A" w:rsidRPr="009625F2">
        <w:t xml:space="preserve"> </w:t>
      </w:r>
      <w:r w:rsidRPr="009625F2">
        <w:t>communities,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socio-economic</w:t>
      </w:r>
      <w:r w:rsidR="00C9336A" w:rsidRPr="009625F2">
        <w:t xml:space="preserve"> </w:t>
      </w:r>
      <w:r w:rsidRPr="009625F2">
        <w:t>parameters.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318.</w:t>
      </w:r>
      <w:r w:rsidRPr="009625F2">
        <w:tab/>
        <w:t>Parental</w:t>
      </w:r>
      <w:r w:rsidR="00C9336A" w:rsidRPr="009625F2">
        <w:t xml:space="preserve"> </w:t>
      </w:r>
      <w:r w:rsidRPr="009625F2">
        <w:t>payments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payments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requested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elective</w:t>
      </w:r>
      <w:r w:rsidR="00C9336A" w:rsidRPr="009625F2">
        <w:t xml:space="preserve"> </w:t>
      </w:r>
      <w:r w:rsidRPr="009625F2">
        <w:t>services.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only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service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insurance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personal</w:t>
      </w:r>
      <w:r w:rsidR="00C9336A" w:rsidRPr="009625F2">
        <w:t xml:space="preserve"> </w:t>
      </w:r>
      <w:r w:rsidRPr="009625F2">
        <w:t>accidents.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elective.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instructed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must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prevented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participating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due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difficulties.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maximum</w:t>
      </w:r>
      <w:r w:rsidR="00C9336A" w:rsidRPr="009625F2">
        <w:t xml:space="preserve"> </w:t>
      </w:r>
      <w:r w:rsidRPr="009625F2">
        <w:t>amounts</w:t>
      </w:r>
      <w:r w:rsidR="00C9336A" w:rsidRPr="009625F2">
        <w:t xml:space="preserve"> </w:t>
      </w:r>
      <w:r w:rsidRPr="009625F2">
        <w:t>permitted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collection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2016</w:t>
      </w:r>
      <w:r w:rsidR="00957C11" w:rsidRPr="009625F2">
        <w:t>–</w:t>
      </w:r>
      <w:r w:rsidRPr="009625F2">
        <w:t>7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year,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319.</w:t>
      </w:r>
      <w:r w:rsidRPr="009625F2">
        <w:tab/>
        <w:t>Special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needs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3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21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such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law.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numbers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disabilities,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320.</w:t>
      </w:r>
      <w:r w:rsidRPr="009625F2">
        <w:tab/>
        <w:t>School</w:t>
      </w:r>
      <w:r w:rsidR="00C9336A" w:rsidRPr="009625F2">
        <w:t xml:space="preserve"> </w:t>
      </w:r>
      <w:r w:rsidRPr="009625F2">
        <w:t>meals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meals</w:t>
      </w:r>
      <w:r w:rsidR="00C9336A" w:rsidRPr="009625F2">
        <w:t xml:space="preserve"> </w:t>
      </w:r>
      <w:r w:rsidRPr="009625F2">
        <w:t>served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schools,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321.</w:t>
      </w:r>
      <w:r w:rsidRPr="009625F2">
        <w:tab/>
        <w:t>The</w:t>
      </w:r>
      <w:r w:rsidR="00C9336A" w:rsidRPr="009625F2">
        <w:t xml:space="preserve"> </w:t>
      </w:r>
      <w:r w:rsidRPr="009625F2">
        <w:t>Early</w:t>
      </w:r>
      <w:r w:rsidR="00C9336A" w:rsidRPr="009625F2">
        <w:t xml:space="preserve"> </w:t>
      </w:r>
      <w:r w:rsidRPr="009625F2">
        <w:t>Childhood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August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passed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directs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Early</w:t>
      </w:r>
      <w:r w:rsidR="00C9336A" w:rsidRPr="009625F2">
        <w:t xml:space="preserve"> </w:t>
      </w:r>
      <w:r w:rsidRPr="009625F2">
        <w:t>Childhood</w:t>
      </w:r>
      <w:r w:rsidR="00C9336A" w:rsidRPr="009625F2">
        <w:t xml:space="preserve"> </w:t>
      </w:r>
      <w:r w:rsidRPr="009625F2">
        <w:t>Council.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B3759F">
      <w:pPr>
        <w:pStyle w:val="H23G"/>
      </w:pPr>
      <w:bookmarkStart w:id="15" w:name="_Toc405037241"/>
      <w:r w:rsidRPr="009625F2">
        <w:tab/>
      </w:r>
      <w:r w:rsidRPr="009625F2">
        <w:tab/>
        <w:t>Secondary</w:t>
      </w:r>
      <w:r w:rsidR="00C9336A" w:rsidRPr="009625F2">
        <w:t xml:space="preserve"> </w:t>
      </w:r>
      <w:r w:rsidRPr="009625F2">
        <w:t>education</w:t>
      </w:r>
      <w:bookmarkEnd w:id="15"/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322.</w:t>
      </w:r>
      <w:r w:rsidRPr="009625F2">
        <w:tab/>
        <w:t>Prohibition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Pupil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disallows</w:t>
      </w:r>
      <w:r w:rsidR="00C9336A" w:rsidRPr="009625F2">
        <w:t xml:space="preserve"> </w:t>
      </w:r>
      <w:r w:rsidRPr="009625F2">
        <w:t>any</w:t>
      </w:r>
      <w:r w:rsidR="00C9336A" w:rsidRPr="009625F2">
        <w:t xml:space="preserve"> </w:t>
      </w:r>
      <w:r w:rsidRPr="009625F2">
        <w:t>form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registration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schools.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2011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amended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country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origin,</w:t>
      </w:r>
      <w:r w:rsidR="00C9336A" w:rsidRPr="009625F2">
        <w:t xml:space="preserve"> </w:t>
      </w:r>
      <w:r w:rsidRPr="009625F2">
        <w:t>sexual</w:t>
      </w:r>
      <w:r w:rsidR="00C9336A" w:rsidRPr="009625F2">
        <w:t xml:space="preserve"> </w:t>
      </w:r>
      <w:r w:rsidRPr="009625F2">
        <w:t>orientation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identity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list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grounds</w:t>
      </w:r>
      <w:r w:rsidR="00C9336A" w:rsidRPr="009625F2">
        <w:t xml:space="preserve"> </w:t>
      </w:r>
      <w:r w:rsidRPr="009625F2">
        <w:t>upon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discrimination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prohibited.</w:t>
      </w:r>
    </w:p>
    <w:p w:rsidR="00B342F3" w:rsidRPr="009625F2" w:rsidRDefault="00B342F3" w:rsidP="00EB53EF">
      <w:pPr>
        <w:pStyle w:val="SingleTxtG"/>
      </w:pPr>
      <w:r w:rsidRPr="009625F2">
        <w:t>323.</w:t>
      </w:r>
      <w:r w:rsidRPr="009625F2">
        <w:tab/>
        <w:t>New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launched</w:t>
      </w:r>
      <w:r w:rsidR="00C9336A" w:rsidRPr="009625F2">
        <w:t xml:space="preserve"> </w:t>
      </w:r>
      <w:r w:rsidRPr="009625F2">
        <w:t>four</w:t>
      </w:r>
      <w:r w:rsidR="00C9336A" w:rsidRPr="009625F2">
        <w:t xml:space="preserve"> </w:t>
      </w:r>
      <w:r w:rsidRPr="009625F2">
        <w:t>(4)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scholastic</w:t>
      </w:r>
      <w:r w:rsidR="00C9336A" w:rsidRPr="009625F2">
        <w:t xml:space="preserve"> </w:t>
      </w:r>
      <w:r w:rsidRPr="009625F2">
        <w:t>achievements,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disadvantaged</w:t>
      </w:r>
      <w:r w:rsidR="00C9336A" w:rsidRPr="009625F2">
        <w:t xml:space="preserve"> </w:t>
      </w:r>
      <w:r w:rsidRPr="009625F2">
        <w:t>backgrounds.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statistical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participation,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324.</w:t>
      </w:r>
      <w:r w:rsidRPr="009625F2">
        <w:tab/>
        <w:t>Programs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below.</w:t>
      </w:r>
    </w:p>
    <w:p w:rsidR="00B342F3" w:rsidRPr="009625F2" w:rsidRDefault="00B342F3" w:rsidP="00EB53EF">
      <w:pPr>
        <w:pStyle w:val="SingleTxtG"/>
      </w:pPr>
      <w:r w:rsidRPr="009625F2">
        <w:t>325.</w:t>
      </w:r>
      <w:r w:rsidRPr="009625F2">
        <w:tab/>
        <w:t>Data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concerning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level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education,</w:t>
      </w:r>
      <w:r w:rsidR="00C9336A" w:rsidRPr="009625F2">
        <w:t xml:space="preserve"> </w:t>
      </w:r>
      <w:r w:rsidRPr="009625F2">
        <w:t>distribution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literacy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extent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formal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possessed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adult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2006</w:t>
      </w:r>
      <w:r w:rsidR="00EA2F51" w:rsidRPr="009625F2">
        <w:t>–</w:t>
      </w:r>
      <w:r w:rsidRPr="009625F2">
        <w:t>2014,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group,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age,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B3759F">
      <w:pPr>
        <w:pStyle w:val="H23G"/>
      </w:pPr>
      <w:bookmarkStart w:id="16" w:name="_941762861"/>
      <w:bookmarkStart w:id="17" w:name="_Toc499637664"/>
      <w:bookmarkEnd w:id="16"/>
      <w:r w:rsidRPr="009625F2">
        <w:tab/>
      </w:r>
      <w:r w:rsidRPr="009625F2">
        <w:tab/>
        <w:t>Technical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vocational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326.</w:t>
      </w:r>
      <w:r w:rsidRPr="009625F2">
        <w:tab/>
        <w:t>High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choose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theoretical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vocational-technological</w:t>
      </w:r>
      <w:r w:rsidR="00C9336A" w:rsidRPr="009625F2">
        <w:t xml:space="preserve"> </w:t>
      </w:r>
      <w:r w:rsidRPr="009625F2">
        <w:t>track.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vocational-technological</w:t>
      </w:r>
      <w:r w:rsidR="00C9336A" w:rsidRPr="009625F2">
        <w:t xml:space="preserve"> </w:t>
      </w:r>
      <w:r w:rsidRPr="009625F2">
        <w:t>track</w:t>
      </w:r>
      <w:r w:rsidR="00C9336A" w:rsidRPr="009625F2">
        <w:t xml:space="preserve"> </w:t>
      </w:r>
      <w:r w:rsidRPr="009625F2">
        <w:t>offers</w:t>
      </w:r>
      <w:r w:rsidR="00C9336A" w:rsidRPr="009625F2">
        <w:t xml:space="preserve"> </w:t>
      </w:r>
      <w:r w:rsidRPr="009625F2">
        <w:t>specialized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broad</w:t>
      </w:r>
      <w:r w:rsidR="00C9336A" w:rsidRPr="009625F2">
        <w:t xml:space="preserve"> </w:t>
      </w:r>
      <w:r w:rsidRPr="009625F2">
        <w:t>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fields,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machinery,</w:t>
      </w:r>
      <w:r w:rsidR="00C9336A" w:rsidRPr="009625F2">
        <w:t xml:space="preserve"> </w:t>
      </w:r>
      <w:r w:rsidRPr="009625F2">
        <w:t>electronics,</w:t>
      </w:r>
      <w:r w:rsidR="00C9336A" w:rsidRPr="009625F2">
        <w:t xml:space="preserve"> </w:t>
      </w:r>
      <w:r w:rsidRPr="009625F2">
        <w:t>healthcare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biotechnology.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759F" w:rsidP="00A4779A">
      <w:pPr>
        <w:pStyle w:val="SingleTxtG"/>
        <w:rPr>
          <w:rtl/>
        </w:rPr>
      </w:pPr>
      <w:r w:rsidRPr="009625F2">
        <w:rPr>
          <w:rtl/>
        </w:rPr>
        <w:t>32</w:t>
      </w:r>
      <w:r w:rsidR="00A4779A" w:rsidRPr="009625F2">
        <w:t>7.</w:t>
      </w:r>
      <w:r w:rsidR="00A4779A" w:rsidRPr="009625F2">
        <w:tab/>
      </w:r>
      <w:r w:rsidR="00B342F3" w:rsidRPr="009625F2">
        <w:t>Over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last</w:t>
      </w:r>
      <w:r w:rsidR="00C9336A" w:rsidRPr="009625F2">
        <w:t xml:space="preserve"> </w:t>
      </w:r>
      <w:r w:rsidR="00B342F3" w:rsidRPr="009625F2">
        <w:t>five</w:t>
      </w:r>
      <w:r w:rsidR="00C9336A" w:rsidRPr="009625F2">
        <w:t xml:space="preserve"> </w:t>
      </w:r>
      <w:r w:rsidR="00B342F3" w:rsidRPr="009625F2">
        <w:t>(5)</w:t>
      </w:r>
      <w:r w:rsidR="00C9336A" w:rsidRPr="009625F2">
        <w:t xml:space="preserve"> </w:t>
      </w:r>
      <w:r w:rsidR="00B342F3" w:rsidRPr="009625F2">
        <w:t>years,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number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pupils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these</w:t>
      </w:r>
      <w:r w:rsidR="00C9336A" w:rsidRPr="009625F2">
        <w:t xml:space="preserve"> </w:t>
      </w:r>
      <w:r w:rsidR="00B342F3" w:rsidRPr="009625F2">
        <w:t>various</w:t>
      </w:r>
      <w:r w:rsidR="00C9336A" w:rsidRPr="009625F2">
        <w:t xml:space="preserve"> </w:t>
      </w:r>
      <w:r w:rsidR="00B342F3" w:rsidRPr="009625F2">
        <w:t>programs</w:t>
      </w:r>
      <w:r w:rsidR="00C9336A" w:rsidRPr="009625F2">
        <w:t xml:space="preserve"> </w:t>
      </w:r>
      <w:r w:rsidR="00B342F3" w:rsidRPr="009625F2">
        <w:t>has</w:t>
      </w:r>
      <w:r w:rsidR="00C9336A" w:rsidRPr="009625F2">
        <w:t xml:space="preserve"> </w:t>
      </w:r>
      <w:r w:rsidR="00B342F3" w:rsidRPr="009625F2">
        <w:t>grown</w:t>
      </w:r>
      <w:r w:rsidR="00C9336A" w:rsidRPr="009625F2">
        <w:t xml:space="preserve"> </w:t>
      </w:r>
      <w:r w:rsidR="00B342F3" w:rsidRPr="009625F2">
        <w:t>from</w:t>
      </w:r>
      <w:r w:rsidR="00C9336A" w:rsidRPr="009625F2">
        <w:t xml:space="preserve"> </w:t>
      </w:r>
      <w:r w:rsidR="00B342F3" w:rsidRPr="009625F2">
        <w:t>100,000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150,000.</w:t>
      </w:r>
    </w:p>
    <w:p w:rsidR="00B342F3" w:rsidRPr="009625F2" w:rsidRDefault="00B342F3" w:rsidP="00EB53EF">
      <w:pPr>
        <w:pStyle w:val="SingleTxtG"/>
      </w:pPr>
      <w:r w:rsidRPr="009625F2">
        <w:t>328.</w:t>
      </w:r>
      <w:r w:rsidRPr="009625F2">
        <w:tab/>
        <w:t>Technological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runs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technological</w:t>
      </w:r>
      <w:r w:rsidR="00C9336A" w:rsidRPr="009625F2">
        <w:t xml:space="preserve"> </w:t>
      </w:r>
      <w:r w:rsidRPr="009625F2">
        <w:t>high-schools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</w:t>
      </w:r>
      <w:r w:rsidR="00C9336A" w:rsidRPr="009625F2">
        <w:t xml:space="preserve"> </w:t>
      </w:r>
      <w:r w:rsidRPr="009625F2">
        <w:t>(in</w:t>
      </w:r>
      <w:r w:rsidR="00C9336A" w:rsidRPr="009625F2">
        <w:t xml:space="preserve"> </w:t>
      </w:r>
      <w:r w:rsidRPr="009625F2">
        <w:t>Hura,</w:t>
      </w:r>
      <w:r w:rsidR="00C9336A" w:rsidRPr="009625F2">
        <w:t xml:space="preserve"> </w:t>
      </w:r>
      <w:r w:rsidRPr="009625F2">
        <w:t>Rahat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Segev-Shalom).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1,090</w:t>
      </w:r>
      <w:r w:rsidR="00C9336A" w:rsidRPr="009625F2">
        <w:t xml:space="preserve"> </w:t>
      </w:r>
      <w:r w:rsidRPr="009625F2">
        <w:t>pupils,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male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female,</w:t>
      </w:r>
      <w:r w:rsidR="00C9336A" w:rsidRPr="009625F2">
        <w:t xml:space="preserve"> </w:t>
      </w:r>
      <w:r w:rsidRPr="009625F2">
        <w:t>attended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schools.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lastRenderedPageBreak/>
        <w:t>329.</w:t>
      </w:r>
      <w:r w:rsidRPr="009625F2">
        <w:tab/>
        <w:t>Between</w:t>
      </w:r>
      <w:r w:rsidR="00C9336A" w:rsidRPr="009625F2">
        <w:t xml:space="preserve"> </w:t>
      </w:r>
      <w:r w:rsidRPr="009625F2">
        <w:t>2013</w:t>
      </w:r>
      <w:r w:rsidR="00EA2F51" w:rsidRPr="009625F2">
        <w:t>–</w:t>
      </w:r>
      <w:r w:rsidRPr="009625F2">
        <w:t>2015,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practical</w:t>
      </w:r>
      <w:r w:rsidR="00C9336A" w:rsidRPr="009625F2">
        <w:t xml:space="preserve"> </w:t>
      </w:r>
      <w:r w:rsidRPr="009625F2">
        <w:t>engineering</w:t>
      </w:r>
      <w:r w:rsidR="00C9336A" w:rsidRPr="009625F2">
        <w:t xml:space="preserve"> </w:t>
      </w:r>
      <w:r w:rsidRPr="009625F2">
        <w:t>course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attended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171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Negev,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women.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full</w:t>
      </w:r>
      <w:r w:rsidR="00C9336A" w:rsidRPr="009625F2">
        <w:t xml:space="preserve"> </w:t>
      </w:r>
      <w:r w:rsidRPr="009625F2">
        <w:t>scholarship,</w:t>
      </w:r>
      <w:r w:rsidR="00C9336A" w:rsidRPr="009625F2">
        <w:t xml:space="preserve"> </w:t>
      </w:r>
      <w:r w:rsidRPr="009625F2">
        <w:t>monthly</w:t>
      </w:r>
      <w:r w:rsidR="00C9336A" w:rsidRPr="009625F2">
        <w:t xml:space="preserve"> </w:t>
      </w:r>
      <w:r w:rsidRPr="009625F2">
        <w:t>stipend,</w:t>
      </w:r>
      <w:r w:rsidR="00C9336A" w:rsidRPr="009625F2">
        <w:t xml:space="preserve"> </w:t>
      </w:r>
      <w:r w:rsidRPr="009625F2">
        <w:t>transportation</w:t>
      </w:r>
      <w:r w:rsidR="00C9336A" w:rsidRPr="009625F2">
        <w:t xml:space="preserve"> </w:t>
      </w:r>
      <w:r w:rsidRPr="009625F2">
        <w:t>fees,</w:t>
      </w:r>
      <w:r w:rsidR="00C9336A" w:rsidRPr="009625F2">
        <w:t xml:space="preserve"> </w:t>
      </w:r>
      <w:r w:rsidRPr="009625F2">
        <w:t>personal</w:t>
      </w:r>
      <w:r w:rsidR="00C9336A" w:rsidRPr="009625F2">
        <w:t xml:space="preserve"> </w:t>
      </w:r>
      <w:r w:rsidRPr="009625F2">
        <w:t>tutoring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placement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graduation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met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requirements.</w:t>
      </w:r>
    </w:p>
    <w:bookmarkEnd w:id="17"/>
    <w:p w:rsidR="00B342F3" w:rsidRPr="009625F2" w:rsidRDefault="00B342F3" w:rsidP="00A4779A">
      <w:pPr>
        <w:pStyle w:val="H23G"/>
      </w:pPr>
      <w:r w:rsidRPr="009625F2">
        <w:tab/>
      </w:r>
      <w:r w:rsidRPr="009625F2">
        <w:tab/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="00EA2F51" w:rsidRPr="009625F2">
        <w:t>–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330.</w:t>
      </w:r>
      <w:r w:rsidRPr="009625F2">
        <w:tab/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studying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first</w:t>
      </w:r>
      <w:r w:rsidR="00C9336A" w:rsidRPr="009625F2">
        <w:t xml:space="preserve"> </w:t>
      </w:r>
      <w:r w:rsidRPr="009625F2">
        <w:t>degree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steadily</w:t>
      </w:r>
      <w:r w:rsidR="00C9336A" w:rsidRPr="009625F2">
        <w:t xml:space="preserve"> </w:t>
      </w:r>
      <w:r w:rsidRPr="009625F2">
        <w:t>increasing.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figures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(CHE)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</w:t>
      </w:r>
      <w:r w:rsidR="00EA2F51" w:rsidRPr="009625F2">
        <w:t>–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percentage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studying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bachelor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degree</w:t>
      </w:r>
      <w:r w:rsidR="00C9336A" w:rsidRPr="009625F2">
        <w:t xml:space="preserve"> </w:t>
      </w:r>
      <w:r w:rsidRPr="009625F2">
        <w:t>stood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14.6%,</w:t>
      </w:r>
      <w:r w:rsidR="00C9336A" w:rsidRPr="009625F2">
        <w:t xml:space="preserve"> </w:t>
      </w:r>
      <w:r w:rsidRPr="009625F2">
        <w:t>compared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9.9%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2006</w:t>
      </w:r>
      <w:r w:rsidR="00EA2F51" w:rsidRPr="009625F2">
        <w:t>–</w:t>
      </w:r>
      <w:r w:rsidRPr="009625F2">
        <w:t>2007.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331.</w:t>
      </w:r>
      <w:r w:rsidRPr="009625F2">
        <w:tab/>
        <w:t>Multi-year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January</w:t>
      </w:r>
      <w:r w:rsidR="00C9336A" w:rsidRPr="009625F2">
        <w:t xml:space="preserve"> </w:t>
      </w:r>
      <w:r w:rsidRPr="009625F2">
        <w:t>2010,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Budgeting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(PBC)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CHE</w:t>
      </w:r>
      <w:r w:rsidR="00C9336A" w:rsidRPr="009625F2">
        <w:t xml:space="preserve"> </w:t>
      </w:r>
      <w:r w:rsidRPr="009625F2">
        <w:t>launched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multi-year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2011</w:t>
      </w:r>
      <w:r w:rsidR="00F24DF5" w:rsidRPr="009625F2">
        <w:t>–</w:t>
      </w:r>
      <w:r w:rsidRPr="009625F2">
        <w:t>2016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make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accessible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500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(138.9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Pr="009625F2">
        <w:rPr>
          <w:rtl/>
        </w:rPr>
        <w:t>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332.</w:t>
      </w:r>
      <w:r w:rsidRPr="009625F2">
        <w:tab/>
        <w:t>As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plan,</w:t>
      </w:r>
      <w:r w:rsidR="00C9336A" w:rsidRPr="009625F2">
        <w:t xml:space="preserve"> </w:t>
      </w:r>
      <w:r w:rsidRPr="009625F2">
        <w:t>guidance</w:t>
      </w:r>
      <w:r w:rsidR="00C9336A" w:rsidRPr="009625F2">
        <w:t xml:space="preserve"> </w:t>
      </w:r>
      <w:r w:rsidRPr="009625F2">
        <w:t>centers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established,</w:t>
      </w:r>
      <w:r w:rsidR="00C9336A" w:rsidRPr="009625F2">
        <w:t xml:space="preserve"> </w:t>
      </w:r>
      <w:r w:rsidRPr="009625F2">
        <w:t>preparatory</w:t>
      </w:r>
      <w:r w:rsidR="00C9336A" w:rsidRPr="009625F2">
        <w:t xml:space="preserve"> </w:t>
      </w:r>
      <w:r w:rsidRPr="009625F2">
        <w:t>colleges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study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funding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wide</w:t>
      </w:r>
      <w:r w:rsidR="00C9336A" w:rsidRPr="009625F2">
        <w:t xml:space="preserve"> </w:t>
      </w:r>
      <w:r w:rsidRPr="009625F2">
        <w:t>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courses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preparation,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guidance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scholarships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333.</w:t>
      </w:r>
      <w:r w:rsidRPr="009625F2">
        <w:tab/>
        <w:t>Plans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state-funded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college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started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process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establishing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state-funded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college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locality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northern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institute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render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accessible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especially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women.</w:t>
      </w:r>
    </w:p>
    <w:p w:rsidR="00B342F3" w:rsidRPr="009625F2" w:rsidRDefault="00B342F3" w:rsidP="00EB53EF">
      <w:pPr>
        <w:pStyle w:val="SingleTxtG"/>
      </w:pPr>
      <w:r w:rsidRPr="009625F2">
        <w:t>334.</w:t>
      </w:r>
      <w:r w:rsidRPr="009625F2">
        <w:tab/>
        <w:t>Universities</w:t>
      </w:r>
      <w:r w:rsidR="00C9336A" w:rsidRPr="009625F2">
        <w:t xml:space="preserve"> </w:t>
      </w:r>
      <w:r w:rsidRPr="009625F2">
        <w:t>Psychometric</w:t>
      </w:r>
      <w:r w:rsidR="00C9336A" w:rsidRPr="009625F2">
        <w:t xml:space="preserve"> </w:t>
      </w:r>
      <w:r w:rsidRPr="009625F2">
        <w:t>Entry</w:t>
      </w:r>
      <w:r w:rsidR="00C9336A" w:rsidRPr="009625F2">
        <w:t xml:space="preserve"> </w:t>
      </w:r>
      <w:r w:rsidRPr="009625F2">
        <w:t>Test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Psychometric</w:t>
      </w:r>
      <w:r w:rsidR="00C9336A" w:rsidRPr="009625F2">
        <w:t xml:space="preserve"> </w:t>
      </w:r>
      <w:r w:rsidRPr="009625F2">
        <w:t>Entrance</w:t>
      </w:r>
      <w:r w:rsidR="00C9336A" w:rsidRPr="009625F2">
        <w:t xml:space="preserve"> </w:t>
      </w:r>
      <w:r w:rsidRPr="009625F2">
        <w:t>Test</w:t>
      </w:r>
      <w:r w:rsidR="00C9336A" w:rsidRPr="009625F2">
        <w:t xml:space="preserve"> </w:t>
      </w:r>
      <w:r w:rsidRPr="009625F2">
        <w:t>(PET)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standardized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exam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generally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admissions</w:t>
      </w:r>
      <w:r w:rsidR="00C9336A" w:rsidRPr="009625F2">
        <w:t xml:space="preserve"> </w:t>
      </w:r>
      <w:r w:rsidRPr="009625F2">
        <w:t>exam.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Hebrew,</w:t>
      </w:r>
      <w:r w:rsidR="00C9336A" w:rsidRPr="009625F2">
        <w:t xml:space="preserve"> </w:t>
      </w:r>
      <w:r w:rsidRPr="009625F2">
        <w:t>Arabic,</w:t>
      </w:r>
      <w:r w:rsidR="00C9336A" w:rsidRPr="009625F2">
        <w:t xml:space="preserve"> </w:t>
      </w:r>
      <w:r w:rsidRPr="009625F2">
        <w:t>Russian,</w:t>
      </w:r>
      <w:r w:rsidR="00C9336A" w:rsidRPr="009625F2">
        <w:t xml:space="preserve"> </w:t>
      </w:r>
      <w:r w:rsidRPr="009625F2">
        <w:t>French,</w:t>
      </w:r>
      <w:r w:rsidR="00C9336A" w:rsidRPr="009625F2">
        <w:t xml:space="preserve"> </w:t>
      </w:r>
      <w:r w:rsidRPr="009625F2">
        <w:t>Spanish,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Hebrew/English.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PET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evaluated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fairness,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sensitivity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gender,</w:t>
      </w:r>
      <w:r w:rsidR="00C9336A" w:rsidRPr="009625F2">
        <w:t xml:space="preserve"> </w:t>
      </w:r>
      <w:r w:rsidRPr="009625F2">
        <w:t>religion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version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test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drafted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native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speakers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unequal</w:t>
      </w:r>
      <w:r w:rsidR="00C9336A" w:rsidRPr="009625F2">
        <w:t xml:space="preserve"> </w:t>
      </w:r>
      <w:r w:rsidRPr="009625F2">
        <w:t>reference</w:t>
      </w:r>
      <w:r w:rsidR="00C9336A" w:rsidRPr="009625F2">
        <w:t xml:space="preserve"> </w:t>
      </w:r>
      <w:r w:rsidRPr="009625F2">
        <w:t>points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versions.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MoSTaS</w:t>
      </w:r>
      <w:r w:rsidR="00C9336A" w:rsidRPr="009625F2">
        <w:t xml:space="preserve"> </w:t>
      </w:r>
      <w:r w:rsidRPr="009625F2">
        <w:t>allocates</w:t>
      </w:r>
      <w:r w:rsidR="00C9336A" w:rsidRPr="009625F2">
        <w:t xml:space="preserve"> </w:t>
      </w:r>
      <w:r w:rsidRPr="009625F2">
        <w:t>scholarships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preparatory</w:t>
      </w:r>
      <w:r w:rsidR="00C9336A" w:rsidRPr="009625F2">
        <w:t xml:space="preserve"> </w:t>
      </w:r>
      <w:r w:rsidRPr="009625F2">
        <w:t>course.</w:t>
      </w:r>
    </w:p>
    <w:p w:rsidR="00B342F3" w:rsidRPr="009625F2" w:rsidRDefault="00B342F3" w:rsidP="00EB53EF">
      <w:pPr>
        <w:pStyle w:val="SingleTxtG"/>
      </w:pPr>
      <w:r w:rsidRPr="009625F2">
        <w:t>335.</w:t>
      </w:r>
      <w:r w:rsidRPr="009625F2">
        <w:tab/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CHE</w:t>
      </w:r>
      <w:r w:rsidR="00C9336A" w:rsidRPr="009625F2">
        <w:t xml:space="preserve"> </w:t>
      </w:r>
      <w:r w:rsidRPr="009625F2">
        <w:t>appointed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evaluate</w:t>
      </w:r>
      <w:r w:rsidR="00C9336A" w:rsidRPr="009625F2">
        <w:t xml:space="preserve"> </w:t>
      </w:r>
      <w:r w:rsidRPr="009625F2">
        <w:t>study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Arabic.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committee,</w:t>
      </w:r>
      <w:r w:rsidR="00C9336A" w:rsidRPr="009625F2">
        <w:t xml:space="preserve"> </w:t>
      </w:r>
      <w:r w:rsidRPr="009625F2">
        <w:t>composed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experts,</w:t>
      </w:r>
      <w:r w:rsidR="00C9336A" w:rsidRPr="009625F2">
        <w:t xml:space="preserve"> </w:t>
      </w:r>
      <w:r w:rsidRPr="009625F2">
        <w:t>examined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four</w:t>
      </w:r>
      <w:r w:rsidR="00C9336A" w:rsidRPr="009625F2">
        <w:t xml:space="preserve"> </w:t>
      </w:r>
      <w:r w:rsidRPr="009625F2">
        <w:t>(4)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universities.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expressed</w:t>
      </w:r>
      <w:r w:rsidR="00C9336A" w:rsidRPr="009625F2">
        <w:t xml:space="preserve"> </w:t>
      </w:r>
      <w:r w:rsidRPr="009625F2">
        <w:t>satisfaction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level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teaching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commended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Hebrew</w:t>
      </w:r>
      <w:r w:rsidR="00C9336A" w:rsidRPr="009625F2">
        <w:t xml:space="preserve"> </w:t>
      </w:r>
      <w:r w:rsidRPr="009625F2">
        <w:t>University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matter.</w:t>
      </w:r>
    </w:p>
    <w:p w:rsidR="00B342F3" w:rsidRPr="009625F2" w:rsidRDefault="00B342F3" w:rsidP="00A4779A">
      <w:pPr>
        <w:pStyle w:val="H23G"/>
      </w:pPr>
      <w:r w:rsidRPr="009625F2">
        <w:tab/>
      </w:r>
      <w:r w:rsidRPr="009625F2">
        <w:tab/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336.</w:t>
      </w:r>
      <w:r w:rsidRPr="009625F2">
        <w:tab/>
        <w:t>In</w:t>
      </w:r>
      <w:r w:rsidR="00C9336A" w:rsidRPr="009625F2">
        <w:t xml:space="preserve"> </w:t>
      </w:r>
      <w:r w:rsidRPr="009625F2">
        <w:t>June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group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examined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obstacles</w:t>
      </w:r>
      <w:r w:rsidR="00C9336A" w:rsidRPr="009625F2">
        <w:t xml:space="preserve"> </w:t>
      </w:r>
      <w:r w:rsidRPr="009625F2">
        <w:t>faced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CHE</w:t>
      </w:r>
      <w:r w:rsidR="00C9336A" w:rsidRPr="009625F2">
        <w:t xml:space="preserve"> </w:t>
      </w:r>
      <w:r w:rsidRPr="009625F2">
        <w:t>decided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implement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increasing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participation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education.</w:t>
      </w:r>
      <w:r w:rsidR="00C9336A" w:rsidRPr="009625F2">
        <w:t xml:space="preserve"> </w:t>
      </w:r>
      <w:r w:rsidRPr="009625F2">
        <w:t>100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(28.6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fund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classes,</w:t>
      </w:r>
      <w:r w:rsidR="00C9336A" w:rsidRPr="009625F2">
        <w:t xml:space="preserve"> </w:t>
      </w:r>
      <w:r w:rsidRPr="009625F2">
        <w:t>personal</w:t>
      </w:r>
      <w:r w:rsidR="00C9336A" w:rsidRPr="009625F2">
        <w:t xml:space="preserve"> </w:t>
      </w:r>
      <w:r w:rsidRPr="009625F2">
        <w:t>tutors,</w:t>
      </w:r>
      <w:r w:rsidR="00C9336A" w:rsidRPr="009625F2">
        <w:t xml:space="preserve"> </w:t>
      </w:r>
      <w:r w:rsidRPr="009625F2">
        <w:t>employment</w:t>
      </w:r>
      <w:r w:rsidR="00C9336A" w:rsidRPr="009625F2">
        <w:t xml:space="preserve"> </w:t>
      </w:r>
      <w:r w:rsidRPr="009625F2">
        <w:t>preparation</w:t>
      </w:r>
      <w:r w:rsidR="00C9336A" w:rsidRPr="009625F2">
        <w:t xml:space="preserve"> </w:t>
      </w:r>
      <w:r w:rsidRPr="009625F2">
        <w:t>courses,</w:t>
      </w:r>
      <w:r w:rsidR="00C9336A" w:rsidRPr="009625F2">
        <w:t xml:space="preserve"> </w:t>
      </w:r>
      <w:r w:rsidRPr="009625F2">
        <w:t>stipends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scholarships.</w:t>
      </w:r>
    </w:p>
    <w:p w:rsidR="00B342F3" w:rsidRPr="009625F2" w:rsidRDefault="00B342F3" w:rsidP="00EB53EF">
      <w:pPr>
        <w:pStyle w:val="SingleTxtG"/>
      </w:pPr>
      <w:r w:rsidRPr="009625F2">
        <w:t>337.</w:t>
      </w:r>
      <w:r w:rsidRPr="009625F2">
        <w:tab/>
        <w:t>In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CHE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Steering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representatives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Academia,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representatives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students,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majority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Steering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examined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issue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barriers,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required</w:t>
      </w:r>
      <w:r w:rsidR="00C9336A" w:rsidRPr="009625F2">
        <w:t xml:space="preserve"> </w:t>
      </w:r>
      <w:r w:rsidRPr="009625F2">
        <w:t>changes,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2017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preliminary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PCB.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Steering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inter</w:t>
      </w:r>
      <w:r w:rsidR="00C9336A" w:rsidRPr="009625F2">
        <w:t xml:space="preserve"> </w:t>
      </w:r>
      <w:r w:rsidRPr="009625F2">
        <w:t>alia,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following: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t>•</w:t>
      </w:r>
      <w:r w:rsidRPr="009625F2">
        <w:tab/>
      </w:r>
      <w:r w:rsidR="00B342F3" w:rsidRPr="009625F2">
        <w:t>The</w:t>
      </w:r>
      <w:r w:rsidR="00C9336A" w:rsidRPr="009625F2">
        <w:t xml:space="preserve"> </w:t>
      </w:r>
      <w:r w:rsidR="00B342F3" w:rsidRPr="009625F2">
        <w:t>expansion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D311F6">
        <w:t>“</w:t>
      </w:r>
      <w:r w:rsidR="00B342F3" w:rsidRPr="009625F2">
        <w:t>achievements</w:t>
      </w:r>
      <w:r w:rsidR="00D311F6">
        <w:t>”</w:t>
      </w:r>
      <w:r w:rsidR="00C9336A" w:rsidRPr="009625F2">
        <w:t xml:space="preserve"> </w:t>
      </w:r>
      <w:r w:rsidR="00B342F3" w:rsidRPr="009625F2">
        <w:t>program</w:t>
      </w:r>
      <w:r w:rsidR="00C9336A" w:rsidRPr="009625F2">
        <w:t xml:space="preserve"> </w:t>
      </w:r>
      <w:r w:rsidR="00B342F3" w:rsidRPr="009625F2">
        <w:t>that</w:t>
      </w:r>
      <w:r w:rsidR="00C9336A" w:rsidRPr="009625F2">
        <w:t xml:space="preserve"> </w:t>
      </w:r>
      <w:r w:rsidR="00B342F3" w:rsidRPr="009625F2">
        <w:t>operates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32</w:t>
      </w:r>
      <w:r w:rsidR="00C9336A" w:rsidRPr="009625F2">
        <w:t xml:space="preserve"> </w:t>
      </w:r>
      <w:r w:rsidR="00B342F3" w:rsidRPr="009625F2">
        <w:t>cities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municipalities,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which</w:t>
      </w:r>
      <w:r w:rsidR="00C9336A" w:rsidRPr="009625F2">
        <w:t xml:space="preserve"> </w:t>
      </w:r>
      <w:r w:rsidR="00B342F3" w:rsidRPr="009625F2">
        <w:t>young</w:t>
      </w:r>
      <w:r w:rsidR="00C9336A" w:rsidRPr="009625F2">
        <w:t xml:space="preserve"> </w:t>
      </w:r>
      <w:r w:rsidR="00B342F3" w:rsidRPr="009625F2">
        <w:t>persons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who</w:t>
      </w:r>
      <w:r w:rsidR="00C9336A" w:rsidRPr="009625F2">
        <w:t xml:space="preserve"> </w:t>
      </w:r>
      <w:r w:rsidR="00B342F3" w:rsidRPr="009625F2">
        <w:t>are</w:t>
      </w:r>
      <w:r w:rsidR="00C9336A" w:rsidRPr="009625F2">
        <w:t xml:space="preserve"> </w:t>
      </w:r>
      <w:r w:rsidR="00B342F3" w:rsidRPr="009625F2">
        <w:t>most</w:t>
      </w:r>
      <w:r w:rsidR="00C9336A" w:rsidRPr="009625F2">
        <w:t xml:space="preserve"> </w:t>
      </w:r>
      <w:r w:rsidR="00B342F3" w:rsidRPr="009625F2">
        <w:t>suitable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higher</w:t>
      </w:r>
      <w:r w:rsidR="00C9336A" w:rsidRPr="009625F2">
        <w:t xml:space="preserve"> </w:t>
      </w:r>
      <w:r w:rsidR="00B342F3" w:rsidRPr="009625F2">
        <w:t>education</w:t>
      </w:r>
      <w:r w:rsidR="00C9336A" w:rsidRPr="009625F2">
        <w:t xml:space="preserve"> </w:t>
      </w:r>
      <w:r w:rsidR="00B342F3" w:rsidRPr="009625F2">
        <w:t>are</w:t>
      </w:r>
      <w:r w:rsidR="00C9336A" w:rsidRPr="009625F2">
        <w:t xml:space="preserve"> </w:t>
      </w:r>
      <w:r w:rsidR="00B342F3" w:rsidRPr="009625F2">
        <w:t>located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receive</w:t>
      </w:r>
      <w:r w:rsidR="00C9336A" w:rsidRPr="009625F2">
        <w:t xml:space="preserve"> </w:t>
      </w:r>
      <w:r w:rsidR="00B342F3" w:rsidRPr="009625F2">
        <w:t>assistance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accessing</w:t>
      </w:r>
      <w:r w:rsidR="00C9336A" w:rsidRPr="009625F2">
        <w:t xml:space="preserve"> </w:t>
      </w:r>
      <w:r w:rsidR="00B342F3" w:rsidRPr="009625F2">
        <w:t>higher</w:t>
      </w:r>
      <w:r w:rsidR="00C9336A" w:rsidRPr="009625F2">
        <w:t xml:space="preserve"> </w:t>
      </w:r>
      <w:r w:rsidR="00B342F3" w:rsidRPr="009625F2">
        <w:t>education</w:t>
      </w:r>
      <w:r w:rsidR="00C9336A" w:rsidRPr="009625F2">
        <w:t xml:space="preserve"> </w:t>
      </w:r>
      <w:r w:rsidR="00B342F3" w:rsidRPr="009625F2">
        <w:t>institutions.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addition,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order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assist</w:t>
      </w:r>
      <w:r w:rsidR="00C9336A" w:rsidRPr="009625F2">
        <w:t xml:space="preserve"> </w:t>
      </w:r>
      <w:r w:rsidR="00B342F3" w:rsidRPr="009625F2">
        <w:t>persons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better</w:t>
      </w:r>
      <w:r w:rsidR="00C9336A" w:rsidRPr="009625F2">
        <w:t xml:space="preserve"> </w:t>
      </w:r>
      <w:r w:rsidR="00B342F3" w:rsidRPr="009625F2">
        <w:t>prepare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psychometric</w:t>
      </w:r>
      <w:r w:rsidR="00C9336A" w:rsidRPr="009625F2">
        <w:t xml:space="preserve"> </w:t>
      </w:r>
      <w:r w:rsidR="00B342F3" w:rsidRPr="009625F2">
        <w:t>exam</w:t>
      </w:r>
      <w:r w:rsidR="00C9336A" w:rsidRPr="009625F2">
        <w:t xml:space="preserve"> </w:t>
      </w:r>
      <w:r w:rsidR="00B342F3" w:rsidRPr="009625F2">
        <w:t>(higher</w:t>
      </w:r>
      <w:r w:rsidR="00C9336A" w:rsidRPr="009625F2">
        <w:t xml:space="preserve"> </w:t>
      </w:r>
      <w:r w:rsidR="00B342F3" w:rsidRPr="009625F2">
        <w:t>education</w:t>
      </w:r>
      <w:r w:rsidR="00C9336A" w:rsidRPr="009625F2">
        <w:t xml:space="preserve"> </w:t>
      </w:r>
      <w:r w:rsidR="00B342F3" w:rsidRPr="009625F2">
        <w:t>entry</w:t>
      </w:r>
      <w:r w:rsidR="00C9336A" w:rsidRPr="009625F2">
        <w:t xml:space="preserve"> </w:t>
      </w:r>
      <w:r w:rsidR="00B342F3" w:rsidRPr="009625F2">
        <w:t>exam),</w:t>
      </w:r>
      <w:r w:rsidR="00C9336A" w:rsidRPr="009625F2">
        <w:t xml:space="preserve"> </w:t>
      </w:r>
      <w:r w:rsidR="00B342F3" w:rsidRPr="009625F2">
        <w:t>vouchers</w:t>
      </w:r>
      <w:r w:rsidR="00C9336A" w:rsidRPr="009625F2">
        <w:t xml:space="preserve"> </w:t>
      </w:r>
      <w:r w:rsidR="00B342F3" w:rsidRPr="009625F2">
        <w:t>are</w:t>
      </w:r>
      <w:r w:rsidR="00C9336A" w:rsidRPr="009625F2">
        <w:t xml:space="preserve"> </w:t>
      </w:r>
      <w:r w:rsidR="00B342F3" w:rsidRPr="009625F2">
        <w:t>allocated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preparation</w:t>
      </w:r>
      <w:r w:rsidR="00C9336A" w:rsidRPr="009625F2">
        <w:t xml:space="preserve"> </w:t>
      </w:r>
      <w:r w:rsidR="00B342F3" w:rsidRPr="009625F2">
        <w:t>courses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budget</w:t>
      </w:r>
      <w:r w:rsidR="00C9336A" w:rsidRPr="009625F2">
        <w:t xml:space="preserve"> </w:t>
      </w:r>
      <w:r w:rsidR="00B342F3" w:rsidRPr="009625F2">
        <w:t>was</w:t>
      </w:r>
      <w:r w:rsidR="00C9336A" w:rsidRPr="009625F2">
        <w:t xml:space="preserve"> </w:t>
      </w:r>
      <w:r w:rsidR="00B342F3" w:rsidRPr="009625F2">
        <w:t>allocated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pre-academic</w:t>
      </w:r>
      <w:r w:rsidR="00C9336A" w:rsidRPr="009625F2">
        <w:t xml:space="preserve"> </w:t>
      </w:r>
      <w:r w:rsidR="00B342F3" w:rsidRPr="009625F2">
        <w:t>colleges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provision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academic</w:t>
      </w:r>
      <w:r w:rsidR="00C9336A" w:rsidRPr="009625F2">
        <w:t xml:space="preserve"> </w:t>
      </w:r>
      <w:r w:rsidR="00B342F3" w:rsidRPr="009625F2">
        <w:t>or</w:t>
      </w:r>
      <w:r w:rsidR="00C9336A" w:rsidRPr="009625F2">
        <w:t xml:space="preserve"> </w:t>
      </w:r>
      <w:r w:rsidR="00B342F3" w:rsidRPr="009625F2">
        <w:t>financial</w:t>
      </w:r>
      <w:r w:rsidR="00C9336A" w:rsidRPr="009625F2">
        <w:t xml:space="preserve"> </w:t>
      </w:r>
      <w:r w:rsidR="00B342F3" w:rsidRPr="009625F2">
        <w:t>assistance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descent;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lastRenderedPageBreak/>
        <w:t>•</w:t>
      </w:r>
      <w:r w:rsidRPr="009625F2">
        <w:tab/>
      </w:r>
      <w:r w:rsidR="00B342F3" w:rsidRPr="009625F2">
        <w:t>The</w:t>
      </w:r>
      <w:r w:rsidR="00C9336A" w:rsidRPr="009625F2">
        <w:t xml:space="preserve"> </w:t>
      </w:r>
      <w:r w:rsidR="00B342F3" w:rsidRPr="009625F2">
        <w:t>Steering</w:t>
      </w:r>
      <w:r w:rsidR="00C9336A" w:rsidRPr="009625F2">
        <w:t xml:space="preserve"> </w:t>
      </w:r>
      <w:r w:rsidR="00B342F3" w:rsidRPr="009625F2">
        <w:t>Committee</w:t>
      </w:r>
      <w:r w:rsidR="00C9336A" w:rsidRPr="009625F2">
        <w:t xml:space="preserve"> </w:t>
      </w:r>
      <w:r w:rsidR="00B342F3" w:rsidRPr="009625F2">
        <w:t>noticed</w:t>
      </w:r>
      <w:r w:rsidR="00C9336A" w:rsidRPr="009625F2">
        <w:t xml:space="preserve"> </w:t>
      </w:r>
      <w:r w:rsidR="00B342F3" w:rsidRPr="009625F2">
        <w:t>that</w:t>
      </w:r>
      <w:r w:rsidR="00C9336A" w:rsidRPr="009625F2">
        <w:t xml:space="preserve"> </w:t>
      </w:r>
      <w:r w:rsidR="00B342F3" w:rsidRPr="009625F2">
        <w:t>while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rate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population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Israel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about</w:t>
      </w:r>
      <w:r w:rsidR="00C9336A" w:rsidRPr="009625F2">
        <w:t xml:space="preserve"> </w:t>
      </w:r>
      <w:r w:rsidR="00B342F3" w:rsidRPr="009625F2">
        <w:t>1.7%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rate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only</w:t>
      </w:r>
      <w:r w:rsidR="00C9336A" w:rsidRPr="009625F2">
        <w:t xml:space="preserve"> </w:t>
      </w:r>
      <w:r w:rsidR="00B342F3" w:rsidRPr="009625F2">
        <w:t>1.1%.</w:t>
      </w:r>
      <w:r w:rsidR="00C9336A" w:rsidRPr="009625F2">
        <w:t xml:space="preserve"> </w:t>
      </w:r>
      <w:r w:rsidR="00B342F3" w:rsidRPr="009625F2">
        <w:t>Therefore</w:t>
      </w:r>
      <w:r w:rsidR="00730E77">
        <w:t>,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PCB</w:t>
      </w:r>
      <w:r w:rsidR="00C9336A" w:rsidRPr="009625F2">
        <w:t xml:space="preserve"> </w:t>
      </w:r>
      <w:r w:rsidR="00B342F3" w:rsidRPr="009625F2">
        <w:t>set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target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reaching</w:t>
      </w:r>
      <w:r w:rsidR="00C9336A" w:rsidRPr="009625F2">
        <w:t xml:space="preserve"> </w:t>
      </w:r>
      <w:r w:rsidR="00B342F3" w:rsidRPr="009625F2">
        <w:t>at</w:t>
      </w:r>
      <w:r w:rsidR="00C9336A" w:rsidRPr="009625F2">
        <w:t xml:space="preserve"> </w:t>
      </w:r>
      <w:r w:rsidR="00B342F3" w:rsidRPr="009625F2">
        <w:t>least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rate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1.7%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at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end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current</w:t>
      </w:r>
      <w:r w:rsidR="00C9336A" w:rsidRPr="009625F2">
        <w:t xml:space="preserve"> </w:t>
      </w:r>
      <w:r w:rsidR="00B342F3" w:rsidRPr="009625F2">
        <w:t>five-year</w:t>
      </w:r>
      <w:r w:rsidR="00C9336A" w:rsidRPr="009625F2">
        <w:t xml:space="preserve"> </w:t>
      </w:r>
      <w:r w:rsidR="00B342F3" w:rsidRPr="009625F2">
        <w:t>plan;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t>•</w:t>
      </w:r>
      <w:r w:rsidRPr="009625F2">
        <w:tab/>
      </w:r>
      <w:r w:rsidR="00B342F3" w:rsidRPr="009625F2">
        <w:t>The</w:t>
      </w:r>
      <w:r w:rsidR="00C9336A" w:rsidRPr="009625F2">
        <w:t xml:space="preserve"> </w:t>
      </w:r>
      <w:r w:rsidR="00B342F3" w:rsidRPr="009625F2">
        <w:t>Council</w:t>
      </w:r>
      <w:r w:rsidR="00C9336A" w:rsidRPr="009625F2">
        <w:t xml:space="preserve"> </w:t>
      </w:r>
      <w:r w:rsidR="00B342F3" w:rsidRPr="009625F2">
        <w:t>also</w:t>
      </w:r>
      <w:r w:rsidR="00C9336A" w:rsidRPr="009625F2">
        <w:t xml:space="preserve"> </w:t>
      </w:r>
      <w:r w:rsidR="00B342F3" w:rsidRPr="009625F2">
        <w:t>set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goal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decreasing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dropout</w:t>
      </w:r>
      <w:r w:rsidR="00C9336A" w:rsidRPr="009625F2">
        <w:t xml:space="preserve"> </w:t>
      </w:r>
      <w:r w:rsidR="00B342F3" w:rsidRPr="009625F2">
        <w:t>rate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first</w:t>
      </w:r>
      <w:r w:rsidR="00C9336A" w:rsidRPr="009625F2">
        <w:t xml:space="preserve"> </w:t>
      </w:r>
      <w:r w:rsidR="00B342F3" w:rsidRPr="009625F2">
        <w:t>degree</w:t>
      </w:r>
      <w:r w:rsidR="00C9336A" w:rsidRPr="009625F2">
        <w:t xml:space="preserve"> </w:t>
      </w:r>
      <w:r w:rsidR="00B342F3" w:rsidRPr="009625F2">
        <w:t>rate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descent,</w:t>
      </w:r>
      <w:r w:rsidR="00C9336A" w:rsidRPr="009625F2">
        <w:t xml:space="preserve"> </w:t>
      </w:r>
      <w:r w:rsidR="00B342F3" w:rsidRPr="009625F2">
        <w:t>which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20%</w:t>
      </w:r>
      <w:r w:rsidR="00C9336A" w:rsidRPr="009625F2">
        <w:t xml:space="preserve"> </w:t>
      </w:r>
      <w:r w:rsidR="00B342F3" w:rsidRPr="009625F2">
        <w:t>higher</w:t>
      </w:r>
      <w:r w:rsidR="00C9336A" w:rsidRPr="009625F2">
        <w:t xml:space="preserve"> </w:t>
      </w:r>
      <w:r w:rsidR="00B342F3" w:rsidRPr="009625F2">
        <w:t>than</w:t>
      </w:r>
      <w:r w:rsidR="00C9336A" w:rsidRPr="009625F2">
        <w:t xml:space="preserve"> </w:t>
      </w:r>
      <w:r w:rsidR="00B342F3" w:rsidRPr="009625F2">
        <w:t>that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general</w:t>
      </w:r>
      <w:r w:rsidR="00C9336A" w:rsidRPr="009625F2">
        <w:t xml:space="preserve"> </w:t>
      </w:r>
      <w:r w:rsidR="00B342F3" w:rsidRPr="009625F2">
        <w:t>population,</w:t>
      </w:r>
      <w:r w:rsidR="00C9336A" w:rsidRPr="009625F2">
        <w:t xml:space="preserve"> </w:t>
      </w:r>
      <w:r w:rsidR="00B342F3" w:rsidRPr="009625F2">
        <w:t>by</w:t>
      </w:r>
      <w:r w:rsidR="00C9336A" w:rsidRPr="009625F2">
        <w:t xml:space="preserve"> </w:t>
      </w:r>
      <w:r w:rsidR="00B342F3" w:rsidRPr="009625F2">
        <w:t>allocating</w:t>
      </w:r>
      <w:r w:rsidR="00C9336A" w:rsidRPr="009625F2">
        <w:t xml:space="preserve"> </w:t>
      </w:r>
      <w:r w:rsidR="00B342F3" w:rsidRPr="009625F2">
        <w:t>personal</w:t>
      </w:r>
      <w:r w:rsidR="00C9336A" w:rsidRPr="009625F2">
        <w:t xml:space="preserve"> </w:t>
      </w:r>
      <w:r w:rsidR="00B342F3" w:rsidRPr="009625F2">
        <w:t>academic</w:t>
      </w:r>
      <w:r w:rsidR="00C9336A" w:rsidRPr="009625F2">
        <w:t xml:space="preserve"> </w:t>
      </w:r>
      <w:r w:rsidR="00B342F3" w:rsidRPr="009625F2">
        <w:t>tutoring</w:t>
      </w:r>
      <w:r w:rsidR="00C9336A" w:rsidRPr="009625F2">
        <w:t xml:space="preserve"> </w:t>
      </w:r>
      <w:r w:rsidR="00B342F3" w:rsidRPr="009625F2">
        <w:t>classes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financial</w:t>
      </w:r>
      <w:r w:rsidR="00C9336A" w:rsidRPr="009625F2">
        <w:t xml:space="preserve"> </w:t>
      </w:r>
      <w:r w:rsidR="00B342F3" w:rsidRPr="009625F2">
        <w:t>assistance</w:t>
      </w:r>
      <w:r w:rsidR="00C9336A" w:rsidRPr="009625F2">
        <w:t xml:space="preserve"> </w:t>
      </w:r>
      <w:r w:rsidR="00B342F3" w:rsidRPr="009625F2">
        <w:t>if</w:t>
      </w:r>
      <w:r w:rsidR="00C9336A" w:rsidRPr="009625F2">
        <w:t xml:space="preserve"> </w:t>
      </w:r>
      <w:r w:rsidR="00B342F3" w:rsidRPr="009625F2">
        <w:t>needed,</w:t>
      </w:r>
      <w:r w:rsidR="00C9336A" w:rsidRPr="009625F2">
        <w:t xml:space="preserve"> </w:t>
      </w:r>
      <w:r w:rsidR="00B342F3" w:rsidRPr="009625F2">
        <w:t>financing</w:t>
      </w:r>
      <w:r w:rsidR="00C9336A" w:rsidRPr="009625F2">
        <w:t xml:space="preserve"> </w:t>
      </w:r>
      <w:r w:rsidR="00B342F3" w:rsidRPr="009625F2">
        <w:t>residence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dormitories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required,</w:t>
      </w:r>
      <w:r w:rsidR="00C9336A" w:rsidRPr="009625F2">
        <w:t xml:space="preserve"> </w:t>
      </w:r>
      <w:r w:rsidR="00B342F3" w:rsidRPr="009625F2">
        <w:t>psychologic</w:t>
      </w:r>
      <w:r w:rsidR="00C9336A" w:rsidRPr="009625F2">
        <w:t xml:space="preserve"> </w:t>
      </w:r>
      <w:r w:rsidR="00B342F3" w:rsidRPr="009625F2">
        <w:t>assistance</w:t>
      </w:r>
      <w:r w:rsidR="00C9336A" w:rsidRPr="009625F2">
        <w:t xml:space="preserve"> </w:t>
      </w:r>
      <w:r w:rsidR="00B342F3" w:rsidRPr="009625F2">
        <w:t>(personal</w:t>
      </w:r>
      <w:r w:rsidR="00C9336A" w:rsidRPr="009625F2">
        <w:t xml:space="preserve"> </w:t>
      </w:r>
      <w:r w:rsidR="00B342F3" w:rsidRPr="009625F2">
        <w:t>or</w:t>
      </w:r>
      <w:r w:rsidR="00C9336A" w:rsidRPr="009625F2">
        <w:t xml:space="preserve"> </w:t>
      </w:r>
      <w:r w:rsidR="00B342F3" w:rsidRPr="009625F2">
        <w:t>group</w:t>
      </w:r>
      <w:r w:rsidR="00C9336A" w:rsidRPr="009625F2">
        <w:t xml:space="preserve"> </w:t>
      </w:r>
      <w:r w:rsidR="00B342F3" w:rsidRPr="009625F2">
        <w:t>sessions),</w:t>
      </w:r>
      <w:r w:rsidR="00C9336A" w:rsidRPr="009625F2">
        <w:t xml:space="preserve"> </w:t>
      </w:r>
      <w:r w:rsidR="00B342F3" w:rsidRPr="009625F2">
        <w:t>including</w:t>
      </w:r>
      <w:r w:rsidR="00C9336A" w:rsidRPr="009625F2">
        <w:t xml:space="preserve"> </w:t>
      </w:r>
      <w:r w:rsidR="00B342F3" w:rsidRPr="009625F2">
        <w:t>by</w:t>
      </w:r>
      <w:r w:rsidR="00C9336A" w:rsidRPr="009625F2">
        <w:t xml:space="preserve"> </w:t>
      </w:r>
      <w:r w:rsidR="00B342F3" w:rsidRPr="009625F2">
        <w:t>diagnosing</w:t>
      </w:r>
      <w:r w:rsidR="00C9336A" w:rsidRPr="009625F2">
        <w:t xml:space="preserve"> </w:t>
      </w:r>
      <w:r w:rsidR="00B342F3" w:rsidRPr="009625F2">
        <w:t>learning</w:t>
      </w:r>
      <w:r w:rsidR="00C9336A" w:rsidRPr="009625F2">
        <w:t xml:space="preserve"> </w:t>
      </w:r>
      <w:r w:rsidR="00B342F3" w:rsidRPr="009625F2">
        <w:t>disabilities.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total</w:t>
      </w:r>
      <w:r w:rsidR="00C9336A" w:rsidRPr="009625F2">
        <w:t xml:space="preserve"> </w:t>
      </w:r>
      <w:r w:rsidR="00B342F3" w:rsidRPr="009625F2">
        <w:t>annual</w:t>
      </w:r>
      <w:r w:rsidR="00C9336A" w:rsidRPr="009625F2">
        <w:t xml:space="preserve"> </w:t>
      </w:r>
      <w:r w:rsidR="00B342F3" w:rsidRPr="009625F2">
        <w:t>budget</w:t>
      </w:r>
      <w:r w:rsidR="00C9336A" w:rsidRPr="009625F2">
        <w:t xml:space="preserve"> </w:t>
      </w:r>
      <w:r w:rsidR="00B342F3" w:rsidRPr="009625F2">
        <w:t>per</w:t>
      </w:r>
      <w:r w:rsidR="00C9336A" w:rsidRPr="009625F2">
        <w:t xml:space="preserve"> </w:t>
      </w:r>
      <w:r w:rsidR="00B342F3" w:rsidRPr="009625F2">
        <w:t>student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this</w:t>
      </w:r>
      <w:r w:rsidR="00C9336A" w:rsidRPr="009625F2">
        <w:t xml:space="preserve"> </w:t>
      </w:r>
      <w:r w:rsidR="00B342F3" w:rsidRPr="009625F2">
        <w:t>issue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between</w:t>
      </w:r>
      <w:r w:rsidR="00C9336A" w:rsidRPr="009625F2">
        <w:t xml:space="preserve"> </w:t>
      </w:r>
      <w:r w:rsidR="00B342F3" w:rsidRPr="009625F2">
        <w:t>4,000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5,500</w:t>
      </w:r>
      <w:r w:rsidR="00C9336A" w:rsidRPr="009625F2">
        <w:t xml:space="preserve"> </w:t>
      </w:r>
      <w:r w:rsidR="00B342F3" w:rsidRPr="009625F2">
        <w:t>NIS</w:t>
      </w:r>
      <w:r w:rsidR="00C9336A" w:rsidRPr="009625F2">
        <w:t xml:space="preserve"> </w:t>
      </w:r>
      <w:r w:rsidR="00B342F3" w:rsidRPr="009625F2">
        <w:t>(1,100</w:t>
      </w:r>
      <w:r w:rsidR="00F24DF5" w:rsidRPr="009625F2">
        <w:t>–</w:t>
      </w:r>
      <w:r w:rsidR="00B342F3" w:rsidRPr="009625F2">
        <w:t>1,530</w:t>
      </w:r>
      <w:r w:rsidR="00C9336A" w:rsidRPr="009625F2">
        <w:t xml:space="preserve"> </w:t>
      </w:r>
      <w:r w:rsidR="00B342F3" w:rsidRPr="009625F2">
        <w:t>USD);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t>•</w:t>
      </w:r>
      <w:r w:rsidRPr="009625F2">
        <w:tab/>
      </w:r>
      <w:r w:rsidR="00B342F3" w:rsidRPr="009625F2">
        <w:t>Excellence</w:t>
      </w:r>
      <w:r w:rsidR="00C9336A" w:rsidRPr="009625F2">
        <w:t xml:space="preserve"> </w:t>
      </w:r>
      <w:r w:rsidR="00B342F3" w:rsidRPr="009625F2">
        <w:t>program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frame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this</w:t>
      </w:r>
      <w:r w:rsidR="00C9336A" w:rsidRPr="009625F2">
        <w:t xml:space="preserve"> </w:t>
      </w:r>
      <w:r w:rsidR="00B342F3" w:rsidRPr="009625F2">
        <w:t>program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will</w:t>
      </w:r>
      <w:r w:rsidR="00C9336A" w:rsidRPr="009625F2">
        <w:t xml:space="preserve"> </w:t>
      </w:r>
      <w:r w:rsidR="00B342F3" w:rsidRPr="009625F2">
        <w:t>receive</w:t>
      </w:r>
      <w:r w:rsidR="00C9336A" w:rsidRPr="009625F2">
        <w:t xml:space="preserve"> </w:t>
      </w:r>
      <w:r w:rsidR="00B342F3" w:rsidRPr="009625F2">
        <w:t>enrichment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empowerment</w:t>
      </w:r>
      <w:r w:rsidR="00C9336A" w:rsidRPr="009625F2">
        <w:t xml:space="preserve"> </w:t>
      </w:r>
      <w:r w:rsidR="00B342F3" w:rsidRPr="009625F2">
        <w:t>classes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academic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financial</w:t>
      </w:r>
      <w:r w:rsidR="00C9336A" w:rsidRPr="009625F2">
        <w:t xml:space="preserve"> </w:t>
      </w:r>
      <w:r w:rsidR="00B342F3" w:rsidRPr="009625F2">
        <w:t>assistance</w:t>
      </w:r>
      <w:r w:rsidR="00C9336A" w:rsidRPr="009625F2">
        <w:t xml:space="preserve"> </w:t>
      </w:r>
      <w:r w:rsidR="00B342F3" w:rsidRPr="009625F2">
        <w:t>if</w:t>
      </w:r>
      <w:r w:rsidR="00C9336A" w:rsidRPr="009625F2">
        <w:t xml:space="preserve"> </w:t>
      </w:r>
      <w:r w:rsidR="00B342F3" w:rsidRPr="009625F2">
        <w:t>needed;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t>•</w:t>
      </w:r>
      <w:r w:rsidRPr="009625F2">
        <w:tab/>
      </w:r>
      <w:r w:rsidR="00B342F3" w:rsidRPr="009625F2">
        <w:t>The</w:t>
      </w:r>
      <w:r w:rsidR="00C9336A" w:rsidRPr="009625F2">
        <w:t xml:space="preserve"> </w:t>
      </w:r>
      <w:r w:rsidR="00B342F3" w:rsidRPr="009625F2">
        <w:t>CHE</w:t>
      </w:r>
      <w:r w:rsidR="00C9336A" w:rsidRPr="009625F2">
        <w:t xml:space="preserve"> </w:t>
      </w:r>
      <w:r w:rsidR="00B342F3" w:rsidRPr="009625F2">
        <w:t>sees</w:t>
      </w:r>
      <w:r w:rsidR="00C9336A" w:rsidRPr="009625F2">
        <w:t xml:space="preserve"> </w:t>
      </w:r>
      <w:r w:rsidR="00B342F3" w:rsidRPr="009625F2">
        <w:t>great</w:t>
      </w:r>
      <w:r w:rsidR="00C9336A" w:rsidRPr="009625F2">
        <w:t xml:space="preserve"> </w:t>
      </w:r>
      <w:r w:rsidR="00B342F3" w:rsidRPr="009625F2">
        <w:t>importance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transferring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from</w:t>
      </w:r>
      <w:r w:rsidR="00C9336A" w:rsidRPr="009625F2">
        <w:t xml:space="preserve"> </w:t>
      </w:r>
      <w:r w:rsidR="00B342F3" w:rsidRPr="009625F2">
        <w:t>programs</w:t>
      </w:r>
      <w:r w:rsidR="00C9336A" w:rsidRPr="009625F2">
        <w:t xml:space="preserve"> </w:t>
      </w:r>
      <w:r w:rsidR="00B342F3" w:rsidRPr="009625F2">
        <w:t>that</w:t>
      </w:r>
      <w:r w:rsidR="00C9336A" w:rsidRPr="009625F2">
        <w:t xml:space="preserve"> </w:t>
      </w:r>
      <w:r w:rsidR="00B342F3" w:rsidRPr="009625F2">
        <w:t>were</w:t>
      </w:r>
      <w:r w:rsidR="00C9336A" w:rsidRPr="009625F2">
        <w:t xml:space="preserve"> </w:t>
      </w:r>
      <w:r w:rsidR="00B342F3" w:rsidRPr="009625F2">
        <w:t>intended</w:t>
      </w:r>
      <w:r w:rsidR="00C9336A" w:rsidRPr="009625F2">
        <w:t xml:space="preserve"> </w:t>
      </w:r>
      <w:r w:rsidR="00B342F3" w:rsidRPr="009625F2">
        <w:t>specifically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them,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general</w:t>
      </w:r>
      <w:r w:rsidR="00C9336A" w:rsidRPr="009625F2">
        <w:t xml:space="preserve"> </w:t>
      </w:r>
      <w:r w:rsidR="00B342F3" w:rsidRPr="009625F2">
        <w:t>programs;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t>•</w:t>
      </w:r>
      <w:r w:rsidRPr="009625F2">
        <w:tab/>
      </w:r>
      <w:r w:rsidR="00B342F3" w:rsidRPr="009625F2">
        <w:t>In</w:t>
      </w:r>
      <w:r w:rsidR="00C9336A" w:rsidRPr="009625F2">
        <w:t xml:space="preserve"> </w:t>
      </w:r>
      <w:r w:rsidR="00B342F3" w:rsidRPr="009625F2">
        <w:t>addition,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Steering</w:t>
      </w:r>
      <w:r w:rsidR="00C9336A" w:rsidRPr="009625F2">
        <w:t xml:space="preserve"> </w:t>
      </w:r>
      <w:r w:rsidR="00B342F3" w:rsidRPr="009625F2">
        <w:t>Committee</w:t>
      </w:r>
      <w:r w:rsidR="00C9336A" w:rsidRPr="009625F2">
        <w:t xml:space="preserve"> </w:t>
      </w:r>
      <w:r w:rsidR="00B342F3" w:rsidRPr="009625F2">
        <w:t>also</w:t>
      </w:r>
      <w:r w:rsidR="00C9336A" w:rsidRPr="009625F2">
        <w:t xml:space="preserve"> </w:t>
      </w:r>
      <w:r w:rsidR="00B342F3" w:rsidRPr="009625F2">
        <w:t>formed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plan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absorb</w:t>
      </w:r>
      <w:r w:rsidR="00C9336A" w:rsidRPr="009625F2">
        <w:t xml:space="preserve"> </w:t>
      </w:r>
      <w:r w:rsidR="00B342F3" w:rsidRPr="009625F2">
        <w:t>academic</w:t>
      </w:r>
      <w:r w:rsidR="00C9336A" w:rsidRPr="009625F2">
        <w:t xml:space="preserve"> </w:t>
      </w:r>
      <w:r w:rsidR="00B342F3" w:rsidRPr="009625F2">
        <w:t>staff</w:t>
      </w:r>
      <w:r w:rsidR="00C9336A" w:rsidRPr="009625F2">
        <w:t xml:space="preserve"> </w:t>
      </w:r>
      <w:r w:rsidR="00B342F3" w:rsidRPr="009625F2">
        <w:t>members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higher</w:t>
      </w:r>
      <w:r w:rsidR="00C9336A" w:rsidRPr="009625F2">
        <w:t xml:space="preserve"> </w:t>
      </w:r>
      <w:r w:rsidR="00B342F3" w:rsidRPr="009625F2">
        <w:t>education</w:t>
      </w:r>
      <w:r w:rsidR="00C9336A" w:rsidRPr="009625F2">
        <w:t xml:space="preserve"> </w:t>
      </w:r>
      <w:r w:rsidR="00B342F3" w:rsidRPr="009625F2">
        <w:t>institutions.</w:t>
      </w:r>
      <w:r w:rsidR="00C9336A" w:rsidRPr="009625F2">
        <w:t xml:space="preserve"> </w:t>
      </w:r>
      <w:r w:rsidR="00B342F3" w:rsidRPr="009625F2">
        <w:t>According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this</w:t>
      </w:r>
      <w:r w:rsidR="00C9336A" w:rsidRPr="009625F2">
        <w:t xml:space="preserve"> </w:t>
      </w:r>
      <w:r w:rsidR="00B342F3" w:rsidRPr="009625F2">
        <w:t>plan,</w:t>
      </w:r>
      <w:r w:rsidR="00C9336A" w:rsidRPr="009625F2">
        <w:t xml:space="preserve"> </w:t>
      </w:r>
      <w:r w:rsidR="00B342F3" w:rsidRPr="009625F2">
        <w:t>as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2018</w:t>
      </w:r>
      <w:r w:rsidR="00F24DF5" w:rsidRPr="009625F2">
        <w:t>–</w:t>
      </w:r>
      <w:r w:rsidR="00B342F3" w:rsidRPr="009625F2">
        <w:t>9</w:t>
      </w:r>
      <w:r w:rsidR="00C9336A" w:rsidRPr="009625F2">
        <w:t xml:space="preserve"> </w:t>
      </w:r>
      <w:r w:rsidR="00B342F3" w:rsidRPr="009625F2">
        <w:t>academic</w:t>
      </w:r>
      <w:r w:rsidR="00C9336A" w:rsidRPr="009625F2">
        <w:t xml:space="preserve"> </w:t>
      </w:r>
      <w:r w:rsidR="00B342F3" w:rsidRPr="009625F2">
        <w:t>year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PBC</w:t>
      </w:r>
      <w:r w:rsidR="00C9336A" w:rsidRPr="009625F2">
        <w:t xml:space="preserve"> </w:t>
      </w:r>
      <w:r w:rsidR="00B342F3" w:rsidRPr="009625F2">
        <w:t>will</w:t>
      </w:r>
      <w:r w:rsidR="00C9336A" w:rsidRPr="009625F2">
        <w:t xml:space="preserve"> </w:t>
      </w:r>
      <w:r w:rsidR="00B342F3" w:rsidRPr="009625F2">
        <w:t>allocate</w:t>
      </w:r>
      <w:r w:rsidR="00C9336A" w:rsidRPr="009625F2">
        <w:t xml:space="preserve"> </w:t>
      </w:r>
      <w:r w:rsidR="00B342F3" w:rsidRPr="009625F2">
        <w:t>two</w:t>
      </w:r>
      <w:r w:rsidR="00C9336A" w:rsidRPr="009625F2">
        <w:t xml:space="preserve"> </w:t>
      </w:r>
      <w:r w:rsidR="00B342F3" w:rsidRPr="009625F2">
        <w:t>(2)</w:t>
      </w:r>
      <w:r w:rsidR="00C9336A" w:rsidRPr="009625F2">
        <w:t xml:space="preserve"> </w:t>
      </w:r>
      <w:r w:rsidR="00B342F3" w:rsidRPr="009625F2">
        <w:t>three-year</w:t>
      </w:r>
      <w:r w:rsidR="00C9336A" w:rsidRPr="009625F2">
        <w:t xml:space="preserve"> </w:t>
      </w:r>
      <w:r w:rsidR="00B342F3" w:rsidRPr="009625F2">
        <w:t>scholarships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this</w:t>
      </w:r>
      <w:r w:rsidR="00C9336A" w:rsidRPr="009625F2">
        <w:t xml:space="preserve"> </w:t>
      </w:r>
      <w:r w:rsidR="00B342F3" w:rsidRPr="009625F2">
        <w:t>purpose,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following</w:t>
      </w:r>
      <w:r w:rsidR="00C9336A" w:rsidRPr="009625F2">
        <w:t xml:space="preserve"> </w:t>
      </w:r>
      <w:r w:rsidR="00B342F3" w:rsidRPr="009625F2">
        <w:t>years</w:t>
      </w:r>
      <w:r w:rsidR="00C9336A" w:rsidRPr="009625F2">
        <w:t xml:space="preserve"> </w:t>
      </w:r>
      <w:r w:rsidR="00B342F3" w:rsidRPr="009625F2">
        <w:t>this</w:t>
      </w:r>
      <w:r w:rsidR="00C9336A" w:rsidRPr="009625F2">
        <w:t xml:space="preserve"> </w:t>
      </w:r>
      <w:r w:rsidR="00B342F3" w:rsidRPr="009625F2">
        <w:t>number</w:t>
      </w:r>
      <w:r w:rsidR="00C9336A" w:rsidRPr="009625F2">
        <w:t xml:space="preserve"> </w:t>
      </w:r>
      <w:r w:rsidR="00B342F3" w:rsidRPr="009625F2">
        <w:t>shall</w:t>
      </w:r>
      <w:r w:rsidR="00C9336A" w:rsidRPr="009625F2">
        <w:t xml:space="preserve"> </w:t>
      </w:r>
      <w:r w:rsidR="00B342F3" w:rsidRPr="009625F2">
        <w:t>increase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four</w:t>
      </w:r>
      <w:r w:rsidR="00C9336A" w:rsidRPr="009625F2">
        <w:t xml:space="preserve"> </w:t>
      </w:r>
      <w:r w:rsidR="00B342F3" w:rsidRPr="009625F2">
        <w:t>(4)</w:t>
      </w:r>
      <w:r w:rsidR="00C9336A" w:rsidRPr="009625F2">
        <w:t xml:space="preserve"> </w:t>
      </w:r>
      <w:r w:rsidR="00B342F3" w:rsidRPr="009625F2">
        <w:t>such</w:t>
      </w:r>
      <w:r w:rsidR="00C9336A" w:rsidRPr="009625F2">
        <w:t xml:space="preserve"> </w:t>
      </w:r>
      <w:r w:rsidR="00B342F3" w:rsidRPr="009625F2">
        <w:t>scholarships.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total</w:t>
      </w:r>
      <w:r w:rsidR="00C9336A" w:rsidRPr="009625F2">
        <w:t xml:space="preserve"> </w:t>
      </w:r>
      <w:r w:rsidR="00B342F3" w:rsidRPr="009625F2">
        <w:t>budget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this</w:t>
      </w:r>
      <w:r w:rsidR="00C9336A" w:rsidRPr="009625F2">
        <w:t xml:space="preserve"> </w:t>
      </w:r>
      <w:r w:rsidR="00B342F3" w:rsidRPr="009625F2">
        <w:t>plan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9.5</w:t>
      </w:r>
      <w:r w:rsidR="00C9336A" w:rsidRPr="009625F2">
        <w:t xml:space="preserve"> </w:t>
      </w:r>
      <w:r w:rsidR="00B342F3" w:rsidRPr="009625F2">
        <w:t>Million</w:t>
      </w:r>
      <w:r w:rsidR="00C9336A" w:rsidRPr="009625F2">
        <w:t xml:space="preserve"> </w:t>
      </w:r>
      <w:r w:rsidR="00B342F3" w:rsidRPr="009625F2">
        <w:t>NIS</w:t>
      </w:r>
      <w:r w:rsidR="00C9336A" w:rsidRPr="009625F2">
        <w:t xml:space="preserve"> </w:t>
      </w:r>
      <w:r w:rsidR="00B342F3" w:rsidRPr="009625F2">
        <w:t>(2.64</w:t>
      </w:r>
      <w:r w:rsidR="00C9336A" w:rsidRPr="009625F2">
        <w:t xml:space="preserve"> </w:t>
      </w:r>
      <w:r w:rsidR="00B342F3" w:rsidRPr="009625F2">
        <w:t>Million</w:t>
      </w:r>
      <w:r w:rsidR="00C9336A" w:rsidRPr="009625F2">
        <w:t xml:space="preserve"> </w:t>
      </w:r>
      <w:r w:rsidR="00B342F3" w:rsidRPr="009625F2">
        <w:t>USD);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t>•</w:t>
      </w:r>
      <w:r w:rsidRPr="009625F2">
        <w:tab/>
      </w:r>
      <w:r w:rsidR="00B342F3" w:rsidRPr="009625F2">
        <w:t>The</w:t>
      </w:r>
      <w:r w:rsidR="00C9336A" w:rsidRPr="009625F2">
        <w:t xml:space="preserve"> </w:t>
      </w:r>
      <w:r w:rsidR="00B342F3" w:rsidRPr="009625F2">
        <w:t>MoSTaS</w:t>
      </w:r>
      <w:r w:rsidR="00C9336A" w:rsidRPr="009625F2">
        <w:t xml:space="preserve"> </w:t>
      </w:r>
      <w:r w:rsidR="00B342F3" w:rsidRPr="009625F2">
        <w:t>is</w:t>
      </w:r>
      <w:r w:rsidR="00C9336A" w:rsidRPr="009625F2">
        <w:t xml:space="preserve"> </w:t>
      </w:r>
      <w:r w:rsidR="00B342F3" w:rsidRPr="009625F2">
        <w:t>operating</w:t>
      </w:r>
      <w:r w:rsidR="00C9336A" w:rsidRPr="009625F2">
        <w:t xml:space="preserve"> </w:t>
      </w:r>
      <w:r w:rsidR="00B342F3" w:rsidRPr="009625F2">
        <w:t>since</w:t>
      </w:r>
      <w:r w:rsidR="00C9336A" w:rsidRPr="009625F2">
        <w:t xml:space="preserve"> </w:t>
      </w:r>
      <w:r w:rsidR="00B342F3" w:rsidRPr="009625F2">
        <w:t>2017,</w:t>
      </w:r>
      <w:r w:rsidR="00C9336A" w:rsidRPr="009625F2">
        <w:t xml:space="preserve"> </w:t>
      </w:r>
      <w:r w:rsidR="00B342F3" w:rsidRPr="009625F2">
        <w:t>a</w:t>
      </w:r>
      <w:r w:rsidR="00C9336A" w:rsidRPr="009625F2">
        <w:t xml:space="preserve"> </w:t>
      </w:r>
      <w:r w:rsidR="00B342F3" w:rsidRPr="009625F2">
        <w:t>program</w:t>
      </w:r>
      <w:r w:rsidR="00C9336A" w:rsidRPr="009625F2">
        <w:t xml:space="preserve"> </w:t>
      </w:r>
      <w:r w:rsidR="00B342F3" w:rsidRPr="009625F2">
        <w:t>intended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encourage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Ethiopian</w:t>
      </w:r>
      <w:r w:rsidR="00C9336A" w:rsidRPr="009625F2">
        <w:t xml:space="preserve"> </w:t>
      </w:r>
      <w:r w:rsidR="00B342F3" w:rsidRPr="009625F2">
        <w:t>descent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study</w:t>
      </w:r>
      <w:r w:rsidR="00C9336A" w:rsidRPr="009625F2">
        <w:t xml:space="preserve"> </w:t>
      </w:r>
      <w:r w:rsidR="00B342F3" w:rsidRPr="009625F2">
        <w:t>second,</w:t>
      </w:r>
      <w:r w:rsidR="00C9336A" w:rsidRPr="009625F2">
        <w:t xml:space="preserve"> </w:t>
      </w:r>
      <w:r w:rsidR="00B342F3" w:rsidRPr="009625F2">
        <w:t>third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post</w:t>
      </w:r>
      <w:r w:rsidR="00C9336A" w:rsidRPr="009625F2">
        <w:t xml:space="preserve"> </w:t>
      </w:r>
      <w:r w:rsidR="00B342F3" w:rsidRPr="009625F2">
        <w:t>doctorate</w:t>
      </w:r>
      <w:r w:rsidR="00C9336A" w:rsidRPr="009625F2">
        <w:t xml:space="preserve"> </w:t>
      </w:r>
      <w:r w:rsidR="00B342F3" w:rsidRPr="009625F2">
        <w:t>degrees,</w:t>
      </w:r>
      <w:r w:rsidR="00C9336A" w:rsidRPr="009625F2">
        <w:t xml:space="preserve"> </w:t>
      </w:r>
      <w:r w:rsidR="00B342F3" w:rsidRPr="009625F2">
        <w:t>with</w:t>
      </w:r>
      <w:r w:rsidR="00C9336A" w:rsidRPr="009625F2">
        <w:t xml:space="preserve"> </w:t>
      </w:r>
      <w:r w:rsidR="00B342F3" w:rsidRPr="009625F2">
        <w:t>scholarship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50,00,</w:t>
      </w:r>
      <w:r w:rsidR="00C9336A" w:rsidRPr="009625F2">
        <w:t xml:space="preserve"> </w:t>
      </w:r>
      <w:r w:rsidR="00B342F3" w:rsidRPr="009625F2">
        <w:t>80,000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100,000</w:t>
      </w:r>
      <w:r w:rsidR="00C9336A" w:rsidRPr="009625F2">
        <w:t xml:space="preserve"> </w:t>
      </w:r>
      <w:r w:rsidR="00B342F3" w:rsidRPr="009625F2">
        <w:t>NIS</w:t>
      </w:r>
      <w:r w:rsidR="00C9336A" w:rsidRPr="009625F2">
        <w:t xml:space="preserve"> </w:t>
      </w:r>
      <w:r w:rsidR="00B342F3" w:rsidRPr="009625F2">
        <w:t>respectively</w:t>
      </w:r>
      <w:r w:rsidR="00C9336A" w:rsidRPr="009625F2">
        <w:t xml:space="preserve"> </w:t>
      </w:r>
      <w:r w:rsidR="00B342F3" w:rsidRPr="009625F2">
        <w:t>(13,900,</w:t>
      </w:r>
      <w:r w:rsidR="00C9336A" w:rsidRPr="009625F2">
        <w:t xml:space="preserve"> </w:t>
      </w:r>
      <w:r w:rsidR="00B342F3" w:rsidRPr="009625F2">
        <w:t>22,200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27,800</w:t>
      </w:r>
      <w:r w:rsidR="00C9336A" w:rsidRPr="009625F2">
        <w:t xml:space="preserve"> </w:t>
      </w:r>
      <w:r w:rsidR="00B342F3" w:rsidRPr="009625F2">
        <w:t>USD</w:t>
      </w:r>
      <w:r w:rsidR="00C9336A" w:rsidRPr="009625F2">
        <w:t xml:space="preserve"> </w:t>
      </w:r>
      <w:r w:rsidR="00B342F3" w:rsidRPr="009625F2">
        <w:t>respectively).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Ministry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Aliya</w:t>
      </w:r>
      <w:r w:rsidR="00C9336A" w:rsidRPr="009625F2">
        <w:t xml:space="preserve"> </w:t>
      </w:r>
      <w:r w:rsidR="00B342F3" w:rsidRPr="009625F2">
        <w:t>and</w:t>
      </w:r>
      <w:r w:rsidR="00C9336A" w:rsidRPr="009625F2">
        <w:t xml:space="preserve"> </w:t>
      </w:r>
      <w:r w:rsidR="00B342F3" w:rsidRPr="009625F2">
        <w:t>Immigrant</w:t>
      </w:r>
      <w:r w:rsidR="00C9336A" w:rsidRPr="009625F2">
        <w:t xml:space="preserve"> </w:t>
      </w:r>
      <w:r w:rsidR="00B342F3" w:rsidRPr="009625F2">
        <w:t>absorption</w:t>
      </w:r>
      <w:r w:rsidR="00C9336A" w:rsidRPr="009625F2">
        <w:t xml:space="preserve"> </w:t>
      </w:r>
      <w:r w:rsidR="00B342F3" w:rsidRPr="009625F2">
        <w:t>also</w:t>
      </w:r>
      <w:r w:rsidR="00C9336A" w:rsidRPr="009625F2">
        <w:t xml:space="preserve"> </w:t>
      </w:r>
      <w:r w:rsidR="00B342F3" w:rsidRPr="009625F2">
        <w:t>provides</w:t>
      </w:r>
      <w:r w:rsidR="00C9336A" w:rsidRPr="009625F2">
        <w:t xml:space="preserve"> </w:t>
      </w:r>
      <w:r w:rsidR="00B342F3" w:rsidRPr="009625F2">
        <w:t>scholarships</w:t>
      </w:r>
      <w:r w:rsidR="00C9336A" w:rsidRPr="009625F2">
        <w:t xml:space="preserve"> </w:t>
      </w:r>
      <w:r w:rsidR="00B342F3" w:rsidRPr="009625F2">
        <w:t>for</w:t>
      </w:r>
      <w:r w:rsidR="00C9336A" w:rsidRPr="009625F2">
        <w:t xml:space="preserve"> </w:t>
      </w:r>
      <w:r w:rsidR="00B342F3" w:rsidRPr="009625F2">
        <w:t>third</w:t>
      </w:r>
      <w:r w:rsidR="00C9336A" w:rsidRPr="009625F2">
        <w:t xml:space="preserve"> </w:t>
      </w:r>
      <w:r w:rsidR="00B342F3" w:rsidRPr="009625F2">
        <w:t>degree</w:t>
      </w:r>
      <w:r w:rsidR="00C9336A" w:rsidRPr="009625F2">
        <w:t xml:space="preserve"> </w:t>
      </w:r>
      <w:r w:rsidR="00B342F3" w:rsidRPr="009625F2">
        <w:t>students</w:t>
      </w:r>
      <w:r w:rsidR="00C9336A" w:rsidRPr="009625F2">
        <w:t xml:space="preserve"> </w:t>
      </w:r>
      <w:r w:rsidR="00B342F3" w:rsidRPr="009625F2">
        <w:t>in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sum</w:t>
      </w:r>
      <w:r w:rsidR="00C9336A" w:rsidRPr="009625F2">
        <w:t xml:space="preserve"> </w:t>
      </w:r>
      <w:r w:rsidR="00B342F3" w:rsidRPr="009625F2">
        <w:t>of</w:t>
      </w:r>
      <w:r w:rsidR="00C9336A" w:rsidRPr="009625F2">
        <w:t xml:space="preserve"> </w:t>
      </w:r>
      <w:r w:rsidR="00B342F3" w:rsidRPr="009625F2">
        <w:t>72,000</w:t>
      </w:r>
      <w:r w:rsidR="00C9336A" w:rsidRPr="009625F2">
        <w:t xml:space="preserve"> </w:t>
      </w:r>
      <w:r w:rsidR="00B342F3" w:rsidRPr="009625F2">
        <w:t>NIS</w:t>
      </w:r>
      <w:r w:rsidR="00C9336A" w:rsidRPr="009625F2">
        <w:t xml:space="preserve"> </w:t>
      </w:r>
      <w:r w:rsidR="00B342F3" w:rsidRPr="009625F2">
        <w:t>(20,000</w:t>
      </w:r>
      <w:r w:rsidR="00C9336A" w:rsidRPr="009625F2">
        <w:t xml:space="preserve"> </w:t>
      </w:r>
      <w:r w:rsidR="00B342F3" w:rsidRPr="009625F2">
        <w:t>USD);</w:t>
      </w:r>
    </w:p>
    <w:p w:rsidR="00B342F3" w:rsidRPr="009625F2" w:rsidRDefault="00BE7D66" w:rsidP="00BE7D6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625F2">
        <w:t>•</w:t>
      </w:r>
      <w:r w:rsidRPr="009625F2">
        <w:tab/>
      </w:r>
      <w:r w:rsidR="00B342F3" w:rsidRPr="009625F2">
        <w:t>In</w:t>
      </w:r>
      <w:r w:rsidR="00C9336A" w:rsidRPr="009625F2">
        <w:t xml:space="preserve"> </w:t>
      </w:r>
      <w:r w:rsidR="00B342F3" w:rsidRPr="009625F2">
        <w:t>addition</w:t>
      </w:r>
      <w:r w:rsidR="00C9336A" w:rsidRPr="009625F2">
        <w:t xml:space="preserve"> </w:t>
      </w:r>
      <w:r w:rsidR="00B342F3" w:rsidRPr="009625F2">
        <w:t>to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steps</w:t>
      </w:r>
      <w:r w:rsidR="00C9336A" w:rsidRPr="009625F2">
        <w:t xml:space="preserve"> </w:t>
      </w:r>
      <w:r w:rsidR="00B342F3" w:rsidRPr="009625F2">
        <w:t>described</w:t>
      </w:r>
      <w:r w:rsidR="00C9336A" w:rsidRPr="009625F2">
        <w:t xml:space="preserve"> </w:t>
      </w:r>
      <w:r w:rsidR="00B342F3" w:rsidRPr="009625F2">
        <w:t>above,</w:t>
      </w:r>
      <w:r w:rsidR="00C9336A" w:rsidRPr="009625F2">
        <w:t xml:space="preserve"> </w:t>
      </w:r>
      <w:r w:rsidR="00B342F3" w:rsidRPr="009625F2">
        <w:t>there</w:t>
      </w:r>
      <w:r w:rsidR="00C9336A" w:rsidRPr="009625F2">
        <w:t xml:space="preserve"> </w:t>
      </w:r>
      <w:r w:rsidR="00B342F3" w:rsidRPr="009625F2">
        <w:t>are</w:t>
      </w:r>
      <w:r w:rsidR="00C9336A" w:rsidRPr="009625F2">
        <w:t xml:space="preserve"> </w:t>
      </w:r>
      <w:r w:rsidR="00B342F3" w:rsidRPr="009625F2">
        <w:t>additional</w:t>
      </w:r>
      <w:r w:rsidR="00C9336A" w:rsidRPr="009625F2">
        <w:t xml:space="preserve"> </w:t>
      </w:r>
      <w:r w:rsidR="00B342F3" w:rsidRPr="009625F2">
        <w:t>measures</w:t>
      </w:r>
      <w:r w:rsidR="00C9336A" w:rsidRPr="009625F2">
        <w:t xml:space="preserve"> </w:t>
      </w:r>
      <w:r w:rsidR="00B342F3" w:rsidRPr="009625F2">
        <w:t>which</w:t>
      </w:r>
      <w:r w:rsidR="00C9336A" w:rsidRPr="009625F2">
        <w:t xml:space="preserve"> </w:t>
      </w:r>
      <w:r w:rsidR="00B342F3" w:rsidRPr="009625F2">
        <w:t>are</w:t>
      </w:r>
      <w:r w:rsidR="00C9336A" w:rsidRPr="009625F2">
        <w:t xml:space="preserve"> </w:t>
      </w:r>
      <w:r w:rsidR="00B342F3" w:rsidRPr="009625F2">
        <w:t>taken</w:t>
      </w:r>
      <w:r w:rsidR="00C9336A" w:rsidRPr="009625F2">
        <w:t xml:space="preserve"> </w:t>
      </w:r>
      <w:r w:rsidR="00B342F3" w:rsidRPr="009625F2">
        <w:t>by</w:t>
      </w:r>
      <w:r w:rsidR="00C9336A" w:rsidRPr="009625F2">
        <w:t xml:space="preserve"> </w:t>
      </w:r>
      <w:r w:rsidR="00B342F3" w:rsidRPr="009625F2">
        <w:t>the</w:t>
      </w:r>
      <w:r w:rsidR="00C9336A" w:rsidRPr="009625F2">
        <w:t xml:space="preserve"> </w:t>
      </w:r>
      <w:r w:rsidR="00B342F3" w:rsidRPr="009625F2">
        <w:t>relevant</w:t>
      </w:r>
      <w:r w:rsidR="00C9336A" w:rsidRPr="009625F2">
        <w:t xml:space="preserve"> </w:t>
      </w:r>
      <w:r w:rsidR="00B342F3" w:rsidRPr="009625F2">
        <w:t>higher</w:t>
      </w:r>
      <w:r w:rsidR="00C9336A" w:rsidRPr="009625F2">
        <w:t xml:space="preserve"> </w:t>
      </w:r>
      <w:r w:rsidR="00B342F3" w:rsidRPr="009625F2">
        <w:t>education</w:t>
      </w:r>
      <w:r w:rsidR="00C9336A" w:rsidRPr="009625F2">
        <w:t xml:space="preserve"> </w:t>
      </w:r>
      <w:r w:rsidR="00B342F3" w:rsidRPr="009625F2">
        <w:t>institution,</w:t>
      </w:r>
      <w:r w:rsidR="00C9336A" w:rsidRPr="009625F2">
        <w:t xml:space="preserve"> </w:t>
      </w:r>
      <w:r w:rsidR="00B342F3" w:rsidRPr="009625F2">
        <w:t>i.e.</w:t>
      </w:r>
      <w:r w:rsidR="00C9336A" w:rsidRPr="009625F2">
        <w:t xml:space="preserve"> </w:t>
      </w:r>
      <w:r w:rsidR="00B342F3" w:rsidRPr="009625F2">
        <w:t>personal</w:t>
      </w:r>
      <w:r w:rsidR="00C9336A" w:rsidRPr="009625F2">
        <w:t xml:space="preserve"> </w:t>
      </w:r>
      <w:r w:rsidR="00B342F3" w:rsidRPr="009625F2">
        <w:t>assistance,</w:t>
      </w:r>
      <w:r w:rsidR="00C9336A" w:rsidRPr="009625F2">
        <w:t xml:space="preserve"> </w:t>
      </w:r>
      <w:r w:rsidR="00B342F3" w:rsidRPr="009625F2">
        <w:t>cognitive</w:t>
      </w:r>
      <w:r w:rsidR="00C9336A" w:rsidRPr="009625F2">
        <w:t xml:space="preserve"> </w:t>
      </w:r>
      <w:r w:rsidR="00B342F3" w:rsidRPr="009625F2">
        <w:t>counselling,</w:t>
      </w:r>
      <w:r w:rsidR="00C9336A" w:rsidRPr="009625F2">
        <w:t xml:space="preserve"> </w:t>
      </w:r>
      <w:r w:rsidR="00B342F3" w:rsidRPr="009625F2">
        <w:t>instrumental</w:t>
      </w:r>
      <w:r w:rsidR="00C9336A" w:rsidRPr="009625F2">
        <w:t xml:space="preserve"> </w:t>
      </w:r>
      <w:r w:rsidR="00B342F3" w:rsidRPr="009625F2">
        <w:t>enrichment</w:t>
      </w:r>
      <w:r w:rsidR="00C9336A" w:rsidRPr="009625F2">
        <w:t xml:space="preserve"> </w:t>
      </w:r>
      <w:r w:rsidR="00B342F3" w:rsidRPr="009625F2">
        <w:t>course,</w:t>
      </w:r>
      <w:r w:rsidR="00C9336A" w:rsidRPr="009625F2">
        <w:t xml:space="preserve"> </w:t>
      </w:r>
      <w:r w:rsidR="00B342F3" w:rsidRPr="009625F2">
        <w:t>test</w:t>
      </w:r>
      <w:r w:rsidR="00C9336A" w:rsidRPr="009625F2">
        <w:t xml:space="preserve"> </w:t>
      </w:r>
      <w:r w:rsidR="00B342F3" w:rsidRPr="009625F2">
        <w:t>preparation</w:t>
      </w:r>
      <w:r w:rsidR="00C9336A" w:rsidRPr="009625F2">
        <w:t xml:space="preserve"> </w:t>
      </w:r>
      <w:r w:rsidR="00B342F3" w:rsidRPr="009625F2">
        <w:t>workshops</w:t>
      </w:r>
      <w:r w:rsidR="00C9336A" w:rsidRPr="009625F2">
        <w:t xml:space="preserve"> </w:t>
      </w:r>
      <w:r w:rsidR="00B342F3" w:rsidRPr="009625F2">
        <w:t>etc.</w:t>
      </w:r>
    </w:p>
    <w:p w:rsidR="00B342F3" w:rsidRPr="009625F2" w:rsidRDefault="00B342F3" w:rsidP="00A4779A">
      <w:pPr>
        <w:pStyle w:val="H23G"/>
      </w:pPr>
      <w:r w:rsidRPr="009625F2">
        <w:tab/>
      </w:r>
      <w:r w:rsidRPr="009625F2">
        <w:tab/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338.</w:t>
      </w:r>
      <w:r w:rsidRPr="009625F2">
        <w:tab/>
        <w:t>The</w:t>
      </w:r>
      <w:r w:rsidR="00C9336A" w:rsidRPr="009625F2">
        <w:t xml:space="preserve"> </w:t>
      </w:r>
      <w:r w:rsidRPr="009625F2">
        <w:t>PBC</w:t>
      </w:r>
      <w:r w:rsidR="00C9336A" w:rsidRPr="009625F2">
        <w:t xml:space="preserve"> </w:t>
      </w:r>
      <w:r w:rsidRPr="009625F2">
        <w:t>invests</w:t>
      </w:r>
      <w:r w:rsidR="00C9336A" w:rsidRPr="009625F2">
        <w:t xml:space="preserve"> </w:t>
      </w:r>
      <w:r w:rsidRPr="009625F2">
        <w:t>significant</w:t>
      </w:r>
      <w:r w:rsidR="00C9336A" w:rsidRPr="009625F2">
        <w:t xml:space="preserve"> </w:t>
      </w:r>
      <w:r w:rsidRPr="009625F2">
        <w:t>efforts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resources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allow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integrate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system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subsequently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labour</w:t>
      </w:r>
      <w:r w:rsidR="00C9336A" w:rsidRPr="009625F2">
        <w:t xml:space="preserve"> </w:t>
      </w:r>
      <w:r w:rsidRPr="009625F2">
        <w:t>market.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339.</w:t>
      </w:r>
      <w:r w:rsidRPr="009625F2">
        <w:tab/>
        <w:t>In</w:t>
      </w:r>
      <w:r w:rsidR="00C9336A" w:rsidRPr="009625F2">
        <w:t xml:space="preserve"> </w:t>
      </w:r>
      <w:r w:rsidRPr="009625F2">
        <w:t>2012,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PCB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CHE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five-year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integrating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frameworks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adapted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them.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plan,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frameworks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near</w:t>
      </w:r>
      <w:r w:rsidR="00C9336A" w:rsidRPr="009625F2">
        <w:t xml:space="preserve"> </w:t>
      </w:r>
      <w:r w:rsidRPr="009625F2">
        <w:t>universities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colleges,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responsibility.</w:t>
      </w:r>
    </w:p>
    <w:p w:rsidR="00B342F3" w:rsidRPr="009625F2" w:rsidRDefault="00B342F3" w:rsidP="00EB53EF">
      <w:pPr>
        <w:pStyle w:val="SingleTxtG"/>
      </w:pPr>
      <w:r w:rsidRPr="009625F2">
        <w:t>340.</w:t>
      </w:r>
      <w:r w:rsidRPr="009625F2">
        <w:tab/>
        <w:t>A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evaluation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reveals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exceeded</w:t>
      </w:r>
      <w:r w:rsidR="00C9336A" w:rsidRPr="009625F2">
        <w:t xml:space="preserve"> </w:t>
      </w:r>
      <w:r w:rsidRPr="009625F2">
        <w:t>most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goals.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petitions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filed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HCJ</w:t>
      </w:r>
      <w:r w:rsidR="00C9336A" w:rsidRPr="009625F2">
        <w:t xml:space="preserve"> </w:t>
      </w:r>
      <w:r w:rsidRPr="009625F2">
        <w:t>against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claiming,</w:t>
      </w:r>
      <w:r w:rsidR="00C9336A" w:rsidRPr="009625F2">
        <w:t xml:space="preserve"> </w:t>
      </w:r>
      <w:r w:rsidRPr="009625F2">
        <w:t>inter</w:t>
      </w:r>
      <w:r w:rsidR="00C9336A" w:rsidRPr="009625F2">
        <w:t xml:space="preserve"> </w:t>
      </w:r>
      <w:r w:rsidRPr="009625F2">
        <w:t>alia,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permit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separation.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petitions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still</w:t>
      </w:r>
      <w:r w:rsidR="00C9336A" w:rsidRPr="009625F2">
        <w:t xml:space="preserve"> </w:t>
      </w:r>
      <w:r w:rsidRPr="009625F2">
        <w:t>pending</w:t>
      </w:r>
      <w:r w:rsidR="00C9336A" w:rsidRPr="009625F2">
        <w:t xml:space="preserve"> </w:t>
      </w:r>
      <w:r w:rsidRPr="009625F2">
        <w:t>before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Court.</w:t>
      </w:r>
    </w:p>
    <w:p w:rsidR="00B342F3" w:rsidRPr="009625F2" w:rsidRDefault="00B342F3" w:rsidP="00EB53EF">
      <w:pPr>
        <w:pStyle w:val="SingleTxtG"/>
      </w:pPr>
      <w:r w:rsidRPr="009625F2">
        <w:t>341.</w:t>
      </w:r>
      <w:r w:rsidRPr="009625F2">
        <w:tab/>
        <w:t>The</w:t>
      </w:r>
      <w:r w:rsidR="00C9336A" w:rsidRPr="009625F2">
        <w:t xml:space="preserve"> </w:t>
      </w:r>
      <w:r w:rsidRPr="009625F2">
        <w:t>PBC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scholarships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loans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students.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2,500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participated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program,</w:t>
      </w:r>
      <w:r w:rsidR="00C9336A" w:rsidRPr="009625F2">
        <w:t xml:space="preserve"> </w:t>
      </w:r>
      <w:r w:rsidRPr="009625F2">
        <w:t>50%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whom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women.</w:t>
      </w:r>
    </w:p>
    <w:p w:rsidR="00B342F3" w:rsidRPr="009625F2" w:rsidRDefault="00B342F3" w:rsidP="00A4779A">
      <w:pPr>
        <w:pStyle w:val="H23G"/>
      </w:pPr>
      <w:r w:rsidRPr="009625F2">
        <w:tab/>
      </w:r>
      <w:r w:rsidRPr="009625F2">
        <w:tab/>
        <w:t>Integration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342.</w:t>
      </w:r>
      <w:r w:rsidRPr="009625F2">
        <w:tab/>
        <w:t>In</w:t>
      </w:r>
      <w:r w:rsidR="00C9336A" w:rsidRPr="009625F2">
        <w:t xml:space="preserve"> </w:t>
      </w:r>
      <w:r w:rsidRPr="009625F2">
        <w:t>2013,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Representation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main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obstacles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representation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Academia.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July</w:t>
      </w:r>
      <w:r w:rsidR="00C9336A" w:rsidRPr="009625F2">
        <w:t xml:space="preserve"> </w:t>
      </w:r>
      <w:r w:rsidRPr="009625F2">
        <w:t>2015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focusing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prominent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encouraging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towards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research,</w:t>
      </w:r>
      <w:r w:rsidR="00C9336A" w:rsidRPr="009625F2">
        <w:t xml:space="preserve"> </w:t>
      </w:r>
      <w:r w:rsidRPr="009625F2">
        <w:lastRenderedPageBreak/>
        <w:t>recruiting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staff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promoting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staff.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343.</w:t>
      </w:r>
      <w:r w:rsidRPr="009625F2">
        <w:tab/>
        <w:t>In</w:t>
      </w:r>
      <w:r w:rsidR="00C9336A" w:rsidRPr="009625F2">
        <w:t xml:space="preserve"> </w:t>
      </w:r>
      <w:r w:rsidRPr="009625F2">
        <w:t>July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PBC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CHE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resolutions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basis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recommendations.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4C5AF3">
      <w:pPr>
        <w:pStyle w:val="H23G"/>
      </w:pPr>
      <w:r w:rsidRPr="009625F2">
        <w:tab/>
      </w:r>
      <w:r w:rsidRPr="009625F2">
        <w:tab/>
        <w:t>Access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students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344.</w:t>
      </w:r>
      <w:r w:rsidRPr="009625F2">
        <w:tab/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legislative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Pr="009625F2">
        <w:t>improving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higher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PWD,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4C5AF3">
      <w:pPr>
        <w:pStyle w:val="H23G"/>
      </w:pPr>
      <w:r w:rsidRPr="009625F2">
        <w:tab/>
      </w:r>
      <w:r w:rsidRPr="009625F2">
        <w:tab/>
        <w:t>Adult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continuing</w:t>
      </w:r>
      <w:r w:rsidR="00C9336A" w:rsidRPr="009625F2">
        <w:t xml:space="preserve"> </w:t>
      </w:r>
      <w:r w:rsidRPr="009625F2">
        <w:t>education</w:t>
      </w:r>
    </w:p>
    <w:p w:rsidR="00B342F3" w:rsidRPr="009625F2" w:rsidRDefault="00B342F3" w:rsidP="00EB53EF">
      <w:pPr>
        <w:pStyle w:val="SingleTxtG"/>
      </w:pPr>
      <w:r w:rsidRPr="009625F2">
        <w:t>345.</w:t>
      </w:r>
      <w:r w:rsidRPr="009625F2">
        <w:tab/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further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women,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Article</w:t>
      </w:r>
      <w:r w:rsidR="00C9336A" w:rsidRPr="009625F2">
        <w:t xml:space="preserve"> </w:t>
      </w:r>
      <w:r w:rsidRPr="009625F2">
        <w:t>6.</w:t>
      </w:r>
      <w:r w:rsidR="00C9336A" w:rsidRPr="009625F2">
        <w:t xml:space="preserve"> </w:t>
      </w:r>
    </w:p>
    <w:p w:rsidR="00B342F3" w:rsidRPr="009625F2" w:rsidRDefault="00B342F3" w:rsidP="004C5AF3">
      <w:pPr>
        <w:pStyle w:val="H23G"/>
      </w:pPr>
      <w:bookmarkStart w:id="18" w:name="_Toc499637636"/>
      <w:r w:rsidRPr="009625F2">
        <w:tab/>
      </w:r>
      <w:r w:rsidRPr="009625F2">
        <w:tab/>
        <w:t>National</w:t>
      </w:r>
      <w:r w:rsidR="00C9336A" w:rsidRPr="009625F2">
        <w:t xml:space="preserve"> </w:t>
      </w:r>
      <w:r w:rsidRPr="009625F2">
        <w:t>expenditure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education</w:t>
      </w:r>
      <w:bookmarkStart w:id="19" w:name="_Toc499637637"/>
      <w:bookmarkEnd w:id="18"/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346.</w:t>
      </w:r>
      <w:r w:rsidRPr="009625F2">
        <w:tab/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allocates</w:t>
      </w:r>
      <w:r w:rsidR="00C9336A" w:rsidRPr="009625F2">
        <w:t xml:space="preserve"> </w:t>
      </w:r>
      <w:r w:rsidRPr="009625F2">
        <w:t>funding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clear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transparent</w:t>
      </w:r>
      <w:r w:rsidR="00C9336A" w:rsidRPr="009625F2">
        <w:t xml:space="preserve"> </w:t>
      </w:r>
      <w:r w:rsidRPr="009625F2">
        <w:t>criteria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ensure</w:t>
      </w:r>
      <w:r w:rsidR="00C9336A" w:rsidRPr="009625F2">
        <w:t xml:space="preserve"> </w:t>
      </w:r>
      <w:r w:rsidRPr="009625F2">
        <w:t>equality,</w:t>
      </w:r>
      <w:r w:rsidR="00C9336A" w:rsidRPr="009625F2">
        <w:t xml:space="preserve"> </w:t>
      </w:r>
      <w:r w:rsidRPr="009625F2">
        <w:t>whilst</w:t>
      </w:r>
      <w:r w:rsidR="00C9336A" w:rsidRPr="009625F2">
        <w:t xml:space="preserve"> </w:t>
      </w:r>
      <w:r w:rsidRPr="009625F2">
        <w:t>providing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budgets</w:t>
      </w:r>
      <w:r w:rsidR="00C9336A" w:rsidRPr="009625F2">
        <w:t xml:space="preserve"> </w:t>
      </w:r>
      <w:r w:rsidRPr="009625F2">
        <w:t>where</w:t>
      </w:r>
      <w:r w:rsidR="00C9336A" w:rsidRPr="009625F2">
        <w:t xml:space="preserve"> </w:t>
      </w:r>
      <w:r w:rsidRPr="009625F2">
        <w:t>needed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socio-economic</w:t>
      </w:r>
      <w:r w:rsidR="00C9336A" w:rsidRPr="009625F2">
        <w:t xml:space="preserve"> </w:t>
      </w:r>
      <w:r w:rsidRPr="009625F2">
        <w:t>reasons.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major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resources</w:t>
      </w:r>
      <w:r w:rsidR="00C9336A" w:rsidRPr="009625F2">
        <w:t xml:space="preserve"> </w:t>
      </w:r>
      <w:r w:rsidRPr="009625F2">
        <w:t>deferentially,</w:t>
      </w:r>
      <w:r w:rsidR="00C9336A" w:rsidRPr="009625F2">
        <w:t xml:space="preserve"> </w:t>
      </w:r>
      <w:r w:rsidRPr="009625F2">
        <w:t>giving</w:t>
      </w:r>
      <w:r w:rsidR="00C9336A" w:rsidRPr="009625F2">
        <w:t xml:space="preserve"> </w:t>
      </w:r>
      <w:r w:rsidRPr="009625F2">
        <w:t>preference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peripheral</w:t>
      </w:r>
      <w:r w:rsidR="00C9336A" w:rsidRPr="009625F2">
        <w:t xml:space="preserve"> </w:t>
      </w:r>
      <w:r w:rsidRPr="009625F2">
        <w:t>areas,</w:t>
      </w:r>
      <w:r w:rsidR="00C9336A" w:rsidRPr="009625F2">
        <w:t xml:space="preserve"> </w:t>
      </w:r>
      <w:r w:rsidRPr="009625F2">
        <w:t>weaker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accordingly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Thus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2018,</w:t>
      </w:r>
      <w:r w:rsidR="00C9336A" w:rsidRPr="009625F2">
        <w:t xml:space="preserve"> </w:t>
      </w:r>
      <w:r w:rsidRPr="009625F2">
        <w:t>69.3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(19.25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Negev.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2018,</w:t>
      </w:r>
      <w:r w:rsidR="00C9336A" w:rsidRPr="009625F2">
        <w:t xml:space="preserve"> </w:t>
      </w:r>
      <w:r w:rsidRPr="009625F2">
        <w:t>239.3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(66.47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(together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178.1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(49.47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authorization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obligation),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27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(7.5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Druze</w:t>
      </w:r>
      <w:r w:rsidR="00C9336A" w:rsidRPr="009625F2">
        <w:t xml:space="preserve"> </w:t>
      </w:r>
      <w:r w:rsidRPr="009625F2">
        <w:t>localities</w:t>
      </w:r>
      <w:r w:rsidR="00C9336A" w:rsidRPr="009625F2">
        <w:t xml:space="preserve"> </w:t>
      </w:r>
      <w:r w:rsidRPr="009625F2">
        <w:t>(together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13.5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(3.75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authorization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obligation).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expenditure,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4C5AF3">
      <w:pPr>
        <w:pStyle w:val="H23G"/>
      </w:pPr>
      <w:r w:rsidRPr="009625F2">
        <w:tab/>
      </w:r>
      <w:r w:rsidRPr="009625F2">
        <w:tab/>
        <w:t>Investment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Arab,</w:t>
      </w:r>
      <w:r w:rsidR="00C9336A" w:rsidRPr="009625F2">
        <w:t xml:space="preserve"> </w:t>
      </w:r>
      <w:r w:rsidRPr="009625F2">
        <w:t>Druze,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Circassian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347.</w:t>
      </w:r>
      <w:r w:rsidRPr="009625F2">
        <w:tab/>
        <w:t>Data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disaggregated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level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numbers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classrooms,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EB53EF">
      <w:pPr>
        <w:pStyle w:val="SingleTxtG"/>
      </w:pPr>
      <w:r w:rsidRPr="009625F2">
        <w:t>348.</w:t>
      </w:r>
      <w:r w:rsidRPr="009625F2">
        <w:tab/>
        <w:t>National</w:t>
      </w:r>
      <w:r w:rsidR="00C9336A" w:rsidRPr="009625F2">
        <w:t xml:space="preserve"> </w:t>
      </w:r>
      <w:r w:rsidRPr="009625F2">
        <w:t>plans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sought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define</w:t>
      </w:r>
      <w:r w:rsidR="00C9336A" w:rsidRPr="009625F2">
        <w:t xml:space="preserve"> </w:t>
      </w:r>
      <w:r w:rsidRPr="009625F2">
        <w:t>five-year</w:t>
      </w:r>
      <w:r w:rsidR="00C9336A" w:rsidRPr="009625F2">
        <w:t xml:space="preserve"> </w:t>
      </w:r>
      <w:r w:rsidRPr="009625F2">
        <w:t>plans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direct</w:t>
      </w:r>
      <w:r w:rsidR="00C9336A" w:rsidRPr="009625F2">
        <w:t xml:space="preserve"> </w:t>
      </w:r>
      <w:r w:rsidRPr="009625F2">
        <w:t>substantial</w:t>
      </w:r>
      <w:r w:rsidR="00C9336A" w:rsidRPr="009625F2">
        <w:t xml:space="preserve"> </w:t>
      </w:r>
      <w:r w:rsidRPr="009625F2">
        <w:t>investment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building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refurbishment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Arab,</w:t>
      </w:r>
      <w:r w:rsidR="00C9336A" w:rsidRPr="009625F2">
        <w:t xml:space="preserve"> </w:t>
      </w:r>
      <w:r w:rsidRPr="009625F2">
        <w:t>Bedouin,</w:t>
      </w:r>
      <w:r w:rsidR="00C9336A" w:rsidRPr="009625F2">
        <w:t xml:space="preserve"> </w:t>
      </w:r>
      <w:r w:rsidRPr="009625F2">
        <w:t>Druze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Circassian</w:t>
      </w:r>
      <w:r w:rsidR="00C9336A" w:rsidRPr="009625F2">
        <w:t xml:space="preserve"> </w:t>
      </w:r>
      <w:r w:rsidRPr="009625F2">
        <w:t>populations.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349.</w:t>
      </w:r>
      <w:r w:rsidRPr="009625F2">
        <w:tab/>
        <w:t>Financial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oversees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scholarship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assist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weak</w:t>
      </w:r>
      <w:r w:rsidR="00C9336A" w:rsidRPr="009625F2">
        <w:t xml:space="preserve"> </w:t>
      </w:r>
      <w:r w:rsidRPr="009625F2">
        <w:t>families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Arab,</w:t>
      </w:r>
      <w:r w:rsidR="00C9336A" w:rsidRPr="009625F2">
        <w:t xml:space="preserve"> </w:t>
      </w:r>
      <w:r w:rsidRPr="009625F2">
        <w:t>Bedouin,</w:t>
      </w:r>
      <w:r w:rsidR="00C9336A" w:rsidRPr="009625F2">
        <w:t xml:space="preserve"> </w:t>
      </w:r>
      <w:r w:rsidRPr="009625F2">
        <w:t>Druze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Circassian</w:t>
      </w:r>
      <w:r w:rsidR="00C9336A" w:rsidRPr="009625F2">
        <w:t xml:space="preserve"> </w:t>
      </w:r>
      <w:r w:rsidRPr="009625F2">
        <w:t>populations.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assist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funding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payments,</w:t>
      </w:r>
      <w:r w:rsidR="00C9336A" w:rsidRPr="009625F2">
        <w:t xml:space="preserve"> </w:t>
      </w:r>
      <w:r w:rsidRPr="009625F2">
        <w:t>learning</w:t>
      </w:r>
      <w:r w:rsidR="00C9336A" w:rsidRPr="009625F2">
        <w:t xml:space="preserve"> </w:t>
      </w:r>
      <w:r w:rsidRPr="009625F2">
        <w:t>aids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payments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field</w:t>
      </w:r>
      <w:r w:rsidR="00C9336A" w:rsidRPr="009625F2">
        <w:t xml:space="preserve"> </w:t>
      </w:r>
      <w:r w:rsidRPr="009625F2">
        <w:t>trips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socio-educational</w:t>
      </w:r>
      <w:r w:rsidR="00C9336A" w:rsidRPr="009625F2">
        <w:t xml:space="preserve"> </w:t>
      </w:r>
      <w:r w:rsidRPr="009625F2">
        <w:t>activities.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estimated</w:t>
      </w:r>
      <w:r w:rsidR="00C9336A" w:rsidRPr="009625F2">
        <w:t xml:space="preserve"> </w:t>
      </w:r>
      <w:r w:rsidRPr="009625F2">
        <w:t>44%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Arab,</w:t>
      </w:r>
      <w:r w:rsidR="00C9336A" w:rsidRPr="009625F2">
        <w:t xml:space="preserve"> </w:t>
      </w:r>
      <w:r w:rsidRPr="009625F2">
        <w:t>Bedouin,</w:t>
      </w:r>
      <w:r w:rsidR="00C9336A" w:rsidRPr="009625F2">
        <w:t xml:space="preserve"> </w:t>
      </w:r>
      <w:r w:rsidRPr="009625F2">
        <w:t>Druze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Circassian</w:t>
      </w:r>
      <w:r w:rsidR="00C9336A" w:rsidRPr="009625F2">
        <w:t xml:space="preserve"> </w:t>
      </w:r>
      <w:r w:rsidRPr="009625F2">
        <w:t>populations.</w:t>
      </w:r>
    </w:p>
    <w:p w:rsidR="00B342F3" w:rsidRPr="009625F2" w:rsidRDefault="00B342F3" w:rsidP="00EB53EF">
      <w:pPr>
        <w:pStyle w:val="SingleTxtG"/>
      </w:pPr>
      <w:r w:rsidRPr="009625F2">
        <w:t>350.</w:t>
      </w:r>
      <w:r w:rsidRPr="009625F2">
        <w:tab/>
        <w:t>Construction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="00F24DF5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concluding</w:t>
      </w:r>
      <w:r w:rsidR="00C9336A" w:rsidRPr="009625F2">
        <w:t xml:space="preserve"> </w:t>
      </w:r>
      <w:r w:rsidRPr="009625F2">
        <w:t>observations,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recommended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measures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address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shortage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children.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regard,</w:t>
      </w:r>
      <w:r w:rsidR="00C9336A" w:rsidRPr="009625F2">
        <w:t xml:space="preserve"> </w:t>
      </w:r>
      <w:r w:rsidRPr="009625F2">
        <w:t>there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steady</w:t>
      </w:r>
      <w:r w:rsidR="00C9336A" w:rsidRPr="009625F2">
        <w:t xml:space="preserve"> </w:t>
      </w:r>
      <w:r w:rsidRPr="009625F2">
        <w:t>increase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schools.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2010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system</w:t>
      </w:r>
      <w:r w:rsidR="00C9336A" w:rsidRPr="009625F2">
        <w:t xml:space="preserve"> </w:t>
      </w:r>
      <w:r w:rsidRPr="009625F2">
        <w:t>rose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15.1%</w:t>
      </w:r>
      <w:r w:rsidR="00C9336A" w:rsidRPr="009625F2">
        <w:t xml:space="preserve"> </w:t>
      </w:r>
      <w:r w:rsidRPr="009625F2">
        <w:t>(from</w:t>
      </w:r>
      <w:r w:rsidR="00C9336A" w:rsidRPr="009625F2">
        <w:t xml:space="preserve"> </w:t>
      </w:r>
      <w:r w:rsidRPr="009625F2">
        <w:t>878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1,011).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way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comparison,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Hebrew</w:t>
      </w:r>
      <w:r w:rsidR="00C9336A" w:rsidRPr="009625F2">
        <w:t xml:space="preserve"> </w:t>
      </w:r>
      <w:r w:rsidRPr="009625F2">
        <w:t>system</w:t>
      </w:r>
      <w:r w:rsidR="00C9336A" w:rsidRPr="009625F2">
        <w:t xml:space="preserve"> </w:t>
      </w:r>
      <w:r w:rsidRPr="009625F2">
        <w:t>rose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9.3%</w:t>
      </w:r>
      <w:r w:rsidR="00C9336A" w:rsidRPr="009625F2">
        <w:t xml:space="preserve"> </w:t>
      </w:r>
      <w:r w:rsidRPr="009625F2">
        <w:t>(from</w:t>
      </w:r>
      <w:r w:rsidR="00C9336A" w:rsidRPr="009625F2">
        <w:t xml:space="preserve"> </w:t>
      </w:r>
      <w:r w:rsidRPr="009625F2">
        <w:t>3,480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3,807).</w:t>
      </w:r>
    </w:p>
    <w:bookmarkEnd w:id="19"/>
    <w:p w:rsidR="00B342F3" w:rsidRPr="009625F2" w:rsidRDefault="00B342F3" w:rsidP="00EB53EF">
      <w:pPr>
        <w:pStyle w:val="SingleTxtG"/>
      </w:pPr>
      <w:r w:rsidRPr="009625F2">
        <w:t>351.</w:t>
      </w:r>
      <w:r w:rsidRPr="009625F2">
        <w:tab/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</w:t>
      </w:r>
      <w:r w:rsidR="00C9336A" w:rsidRPr="009625F2">
        <w:t xml:space="preserve"> </w:t>
      </w:r>
      <w:r w:rsidR="00957C11" w:rsidRPr="009625F2">
        <w:t>–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constructed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contain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800</w:t>
      </w:r>
      <w:r w:rsidR="00C9336A" w:rsidRPr="009625F2">
        <w:t xml:space="preserve"> </w:t>
      </w:r>
      <w:r w:rsidRPr="009625F2">
        <w:t>classrooms.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1,000</w:t>
      </w:r>
      <w:r w:rsidR="00C9336A" w:rsidRPr="009625F2">
        <w:t xml:space="preserve"> </w:t>
      </w:r>
      <w:r w:rsidRPr="009625F2">
        <w:t>classes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planning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stages.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sport</w:t>
      </w:r>
      <w:r w:rsidR="00C9336A" w:rsidRPr="009625F2">
        <w:t xml:space="preserve"> </w:t>
      </w:r>
      <w:r w:rsidRPr="009625F2">
        <w:t>halls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Beit</w:t>
      </w:r>
      <w:r w:rsidR="00C9336A" w:rsidRPr="009625F2">
        <w:t xml:space="preserve"> </w:t>
      </w:r>
      <w:r w:rsidRPr="009625F2">
        <w:t>Safafa,</w:t>
      </w:r>
      <w:r w:rsidR="00C9336A" w:rsidRPr="009625F2">
        <w:t xml:space="preserve"> </w:t>
      </w:r>
      <w:r w:rsidRPr="009625F2">
        <w:t>Al-Issawiya,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neighbourhoods.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352.</w:t>
      </w:r>
      <w:r w:rsidRPr="009625F2">
        <w:tab/>
        <w:t>Every</w:t>
      </w:r>
      <w:r w:rsidR="00C9336A" w:rsidRPr="009625F2">
        <w:t xml:space="preserve"> </w:t>
      </w:r>
      <w:r w:rsidRPr="009625F2">
        <w:t>year,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Jerusalem</w:t>
      </w:r>
      <w:r w:rsidR="00C9336A" w:rsidRPr="009625F2">
        <w:t xml:space="preserve"> </w:t>
      </w:r>
      <w:r w:rsidRPr="009625F2">
        <w:t>Municipality</w:t>
      </w:r>
      <w:r w:rsidR="00C9336A" w:rsidRPr="009625F2">
        <w:t xml:space="preserve"> </w:t>
      </w:r>
      <w:r w:rsidRPr="009625F2">
        <w:t>opens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average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than</w:t>
      </w:r>
      <w:r w:rsidR="00C9336A" w:rsidRPr="009625F2">
        <w:t xml:space="preserve"> </w:t>
      </w:r>
      <w:r w:rsidRPr="009625F2">
        <w:t>100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classrooms.</w:t>
      </w:r>
      <w:r w:rsidR="00C9336A" w:rsidRPr="009625F2">
        <w:t xml:space="preserve"> </w:t>
      </w:r>
      <w:r w:rsidRPr="009625F2">
        <w:t>Temporary</w:t>
      </w:r>
      <w:r w:rsidR="00C9336A" w:rsidRPr="009625F2">
        <w:t xml:space="preserve"> </w:t>
      </w:r>
      <w:r w:rsidRPr="009625F2">
        <w:t>solutions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provided</w:t>
      </w:r>
      <w:r w:rsidR="00C9336A" w:rsidRPr="009625F2">
        <w:t xml:space="preserve"> </w:t>
      </w:r>
      <w:r w:rsidRPr="009625F2">
        <w:t>where</w:t>
      </w:r>
      <w:r w:rsidR="00C9336A" w:rsidRPr="009625F2">
        <w:t xml:space="preserve"> </w:t>
      </w:r>
      <w:r w:rsidRPr="009625F2">
        <w:t>needed,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adding</w:t>
      </w:r>
      <w:r w:rsidR="00C9336A" w:rsidRPr="009625F2">
        <w:t xml:space="preserve"> </w:t>
      </w:r>
      <w:r w:rsidRPr="009625F2">
        <w:t>transportation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existing</w:t>
      </w:r>
      <w:r w:rsidR="00C9336A" w:rsidRPr="009625F2">
        <w:t xml:space="preserve"> </w:t>
      </w:r>
      <w:r w:rsidRPr="009625F2">
        <w:t>schools,</w:t>
      </w:r>
      <w:r w:rsidR="00C9336A" w:rsidRPr="009625F2">
        <w:t xml:space="preserve"> </w:t>
      </w:r>
      <w:r w:rsidRPr="009625F2">
        <w:t>renting</w:t>
      </w:r>
      <w:r w:rsidR="00C9336A" w:rsidRPr="009625F2">
        <w:t xml:space="preserve"> </w:t>
      </w:r>
      <w:r w:rsidRPr="009625F2">
        <w:t>buildings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="00D311F6">
        <w:t>“</w:t>
      </w:r>
      <w:r w:rsidRPr="009625F2">
        <w:t>evening</w:t>
      </w:r>
      <w:r w:rsidR="00C9336A" w:rsidRPr="009625F2">
        <w:t xml:space="preserve"> </w:t>
      </w:r>
      <w:r w:rsidRPr="009625F2">
        <w:t>schools</w:t>
      </w:r>
      <w:r w:rsidR="00D311F6">
        <w:t>”</w:t>
      </w:r>
      <w:r w:rsidRPr="009625F2">
        <w:t>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lastRenderedPageBreak/>
        <w:t>2011</w:t>
      </w:r>
      <w:r w:rsidR="002D592A" w:rsidRPr="009625F2">
        <w:t>–</w:t>
      </w:r>
      <w:r w:rsidRPr="009625F2">
        <w:t>2015,</w:t>
      </w:r>
      <w:r w:rsidR="00C9336A" w:rsidRPr="009625F2">
        <w:t xml:space="preserve"> </w:t>
      </w:r>
      <w:r w:rsidRPr="009625F2">
        <w:t>20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(5.6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renting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255</w:t>
      </w:r>
      <w:r w:rsidR="00C9336A" w:rsidRPr="009625F2">
        <w:t xml:space="preserve"> </w:t>
      </w:r>
      <w:r w:rsidRPr="009625F2">
        <w:t>classrooms.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353.</w:t>
      </w:r>
      <w:r w:rsidRPr="009625F2">
        <w:tab/>
        <w:t>For</w:t>
      </w:r>
      <w:r w:rsidR="00C9336A" w:rsidRPr="009625F2">
        <w:t xml:space="preserve"> </w:t>
      </w:r>
      <w:r w:rsidRPr="009625F2">
        <w:t>initiatives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improve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quality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neighbourhoods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Jerusalem,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distribution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computers,</w:t>
      </w:r>
      <w:r w:rsidR="00C9336A" w:rsidRPr="009625F2">
        <w:t xml:space="preserve"> </w:t>
      </w:r>
      <w:r w:rsidRPr="009625F2">
        <w:t>lengthening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day,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scholarships,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354.</w:t>
      </w:r>
      <w:r w:rsidRPr="009625F2">
        <w:tab/>
        <w:t>New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last</w:t>
      </w:r>
      <w:r w:rsidR="00C9336A" w:rsidRPr="009625F2">
        <w:t xml:space="preserve"> </w:t>
      </w:r>
      <w:r w:rsidRPr="009625F2">
        <w:t>five</w:t>
      </w:r>
      <w:r w:rsidR="00C9336A" w:rsidRPr="009625F2">
        <w:t xml:space="preserve"> </w:t>
      </w:r>
      <w:r w:rsidRPr="009625F2">
        <w:t>(5)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30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kindergartens.</w:t>
      </w:r>
      <w:r w:rsidR="00C9336A" w:rsidRPr="009625F2">
        <w:t xml:space="preserve"> </w:t>
      </w:r>
      <w:r w:rsidRPr="009625F2">
        <w:t>Most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equipped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laboratories,</w:t>
      </w:r>
      <w:r w:rsidR="00C9336A" w:rsidRPr="009625F2">
        <w:t xml:space="preserve"> </w:t>
      </w:r>
      <w:r w:rsidRPr="009625F2">
        <w:t>computer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advanced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tools.</w:t>
      </w:r>
    </w:p>
    <w:p w:rsidR="00B342F3" w:rsidRPr="009625F2" w:rsidRDefault="00B342F3" w:rsidP="00EB53EF">
      <w:pPr>
        <w:pStyle w:val="SingleTxtG"/>
      </w:pPr>
      <w:r w:rsidRPr="009625F2">
        <w:t>355.</w:t>
      </w:r>
      <w:r w:rsidRPr="009625F2">
        <w:tab/>
        <w:t>Schools</w:t>
      </w:r>
      <w:r w:rsidR="00C9336A" w:rsidRPr="009625F2">
        <w:t xml:space="preserve"> </w:t>
      </w:r>
      <w:r w:rsidRPr="009625F2">
        <w:t>serving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adopted</w:t>
      </w:r>
      <w:r w:rsidR="00C9336A" w:rsidRPr="009625F2">
        <w:t xml:space="preserve"> </w:t>
      </w:r>
      <w:r w:rsidRPr="009625F2">
        <w:t>specially</w:t>
      </w:r>
      <w:r w:rsidR="00C9336A" w:rsidRPr="009625F2">
        <w:t xml:space="preserve"> </w:t>
      </w:r>
      <w:r w:rsidRPr="009625F2">
        <w:t>developed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budgetary</w:t>
      </w:r>
      <w:r w:rsidR="00C9336A" w:rsidRPr="009625F2">
        <w:t xml:space="preserve"> </w:t>
      </w:r>
      <w:r w:rsidRPr="009625F2">
        <w:t>priority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pedagogical</w:t>
      </w:r>
      <w:r w:rsidR="00C9336A" w:rsidRPr="009625F2">
        <w:t xml:space="preserve"> </w:t>
      </w:r>
      <w:r w:rsidRPr="009625F2">
        <w:t>support,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Marom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elementary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middle</w:t>
      </w:r>
      <w:r w:rsidR="00C9336A" w:rsidRPr="009625F2">
        <w:t xml:space="preserve"> </w:t>
      </w:r>
      <w:r w:rsidRPr="009625F2">
        <w:t>schools.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last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next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years,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hours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differential</w:t>
      </w:r>
      <w:r w:rsidR="00C9336A" w:rsidRPr="009625F2">
        <w:t xml:space="preserve"> </w:t>
      </w:r>
      <w:r w:rsidRPr="009625F2">
        <w:t>budget.</w:t>
      </w:r>
    </w:p>
    <w:p w:rsidR="00B342F3" w:rsidRPr="009625F2" w:rsidRDefault="00B342F3" w:rsidP="00EB53EF">
      <w:pPr>
        <w:pStyle w:val="SingleTxtG"/>
      </w:pPr>
      <w:r w:rsidRPr="009625F2">
        <w:t>356.</w:t>
      </w:r>
      <w:r w:rsidRPr="009625F2">
        <w:tab/>
        <w:t>Special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Frameworks</w:t>
      </w:r>
      <w:r w:rsidR="00C9336A" w:rsidRPr="009625F2">
        <w:t xml:space="preserve"> </w:t>
      </w:r>
      <w:r w:rsidRPr="009625F2">
        <w:t>Serving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three-part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complex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needs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Tel-Sheva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construction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</w:t>
      </w:r>
      <w:r w:rsidR="00C9336A" w:rsidRPr="009625F2">
        <w:t xml:space="preserve"> </w:t>
      </w:r>
      <w:r w:rsidRPr="009625F2">
        <w:t>No.</w:t>
      </w:r>
      <w:r w:rsidR="00C9336A" w:rsidRPr="009625F2">
        <w:t xml:space="preserve"> </w:t>
      </w:r>
      <w:r w:rsidRPr="009625F2">
        <w:t>3148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2011.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fully</w:t>
      </w:r>
      <w:r w:rsidR="00C9336A" w:rsidRPr="009625F2">
        <w:t xml:space="preserve"> </w:t>
      </w:r>
      <w:r w:rsidRPr="009625F2">
        <w:t>operational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services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270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children.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comprises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eight</w:t>
      </w:r>
      <w:r w:rsidR="00C9336A" w:rsidRPr="009625F2">
        <w:t xml:space="preserve"> </w:t>
      </w:r>
      <w:r w:rsidRPr="009625F2">
        <w:t>(8)</w:t>
      </w:r>
      <w:r w:rsidR="00C9336A" w:rsidRPr="009625F2">
        <w:t xml:space="preserve"> </w:t>
      </w:r>
      <w:r w:rsidRPr="009625F2">
        <w:t>kindergarten</w:t>
      </w:r>
      <w:r w:rsidR="00C9336A" w:rsidRPr="009625F2">
        <w:t xml:space="preserve"> </w:t>
      </w:r>
      <w:r w:rsidRPr="009625F2">
        <w:t>classrooms,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ten</w:t>
      </w:r>
      <w:r w:rsidR="00C9336A" w:rsidRPr="009625F2">
        <w:t xml:space="preserve"> </w:t>
      </w:r>
      <w:r w:rsidRPr="009625F2">
        <w:t>(10)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mobility</w:t>
      </w:r>
      <w:r w:rsidR="00C9336A" w:rsidRPr="009625F2">
        <w:t xml:space="preserve"> </w:t>
      </w:r>
      <w:r w:rsidRPr="009625F2">
        <w:t>and/or</w:t>
      </w:r>
      <w:r w:rsidR="00C9336A" w:rsidRPr="009625F2">
        <w:t xml:space="preserve"> </w:t>
      </w:r>
      <w:r w:rsidRPr="009625F2">
        <w:t>moderate</w:t>
      </w:r>
      <w:r w:rsidR="00C9336A" w:rsidRPr="009625F2">
        <w:t xml:space="preserve"> </w:t>
      </w:r>
      <w:r w:rsidRPr="009625F2">
        <w:t>mental</w:t>
      </w:r>
      <w:r w:rsidR="00C9336A" w:rsidRPr="009625F2">
        <w:t xml:space="preserve"> </w:t>
      </w:r>
      <w:r w:rsidRPr="009625F2">
        <w:t>disabilities,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elementary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ten</w:t>
      </w:r>
      <w:r w:rsidR="00C9336A" w:rsidRPr="009625F2">
        <w:t xml:space="preserve"> </w:t>
      </w:r>
      <w:r w:rsidRPr="009625F2">
        <w:t>(10)</w:t>
      </w:r>
      <w:r w:rsidR="00C9336A" w:rsidRPr="009625F2">
        <w:t xml:space="preserve"> </w:t>
      </w:r>
      <w:r w:rsidRPr="009625F2">
        <w:t>classrooms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mental</w:t>
      </w:r>
      <w:r w:rsidR="00C9336A" w:rsidRPr="009625F2">
        <w:t xml:space="preserve"> </w:t>
      </w:r>
      <w:r w:rsidRPr="009625F2">
        <w:t>disabilities.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second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complex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rehabilitative</w:t>
      </w:r>
      <w:r w:rsidR="00C9336A" w:rsidRPr="009625F2">
        <w:t xml:space="preserve"> </w:t>
      </w:r>
      <w:r w:rsidRPr="009625F2">
        <w:t>day-care</w:t>
      </w:r>
      <w:r w:rsidR="00C9336A" w:rsidRPr="009625F2">
        <w:t xml:space="preserve"> </w:t>
      </w:r>
      <w:r w:rsidRPr="009625F2">
        <w:t>center,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rehabilitation</w:t>
      </w:r>
      <w:r w:rsidR="00C9336A" w:rsidRPr="009625F2">
        <w:t xml:space="preserve"> </w:t>
      </w:r>
      <w:r w:rsidRPr="009625F2">
        <w:t>center,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center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art</w:t>
      </w:r>
      <w:r w:rsidR="00C9336A" w:rsidRPr="009625F2">
        <w:t xml:space="preserve"> </w:t>
      </w:r>
      <w:r w:rsidRPr="009625F2">
        <w:t>therapy</w:t>
      </w:r>
      <w:r w:rsidR="00C9336A" w:rsidRPr="009625F2">
        <w:t xml:space="preserve"> </w:t>
      </w:r>
      <w:r w:rsidRPr="009625F2">
        <w:t>treatment,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unit</w:t>
      </w:r>
      <w:r w:rsidR="00C9336A" w:rsidRPr="009625F2">
        <w:t xml:space="preserve"> </w:t>
      </w:r>
      <w:r w:rsidRPr="009625F2">
        <w:t>under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auspices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Ben-Gurion</w:t>
      </w:r>
      <w:r w:rsidR="00C9336A" w:rsidRPr="009625F2">
        <w:t xml:space="preserve"> </w:t>
      </w:r>
      <w:r w:rsidRPr="009625F2">
        <w:t>University.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complex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post-elementary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center.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construction.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total,</w:t>
      </w:r>
      <w:r w:rsidR="00C9336A" w:rsidRPr="009625F2">
        <w:t xml:space="preserve"> </w:t>
      </w:r>
      <w:r w:rsidRPr="009625F2">
        <w:t>550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attend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three-part</w:t>
      </w:r>
      <w:r w:rsidR="00C9336A" w:rsidRPr="009625F2">
        <w:t xml:space="preserve"> </w:t>
      </w:r>
      <w:r w:rsidRPr="009625F2">
        <w:t>complex</w:t>
      </w:r>
      <w:r w:rsidR="00C9336A" w:rsidRPr="009625F2">
        <w:t xml:space="preserve"> </w:t>
      </w:r>
      <w:r w:rsidRPr="009625F2">
        <w:t>upon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completion.</w:t>
      </w:r>
    </w:p>
    <w:p w:rsidR="00B342F3" w:rsidRPr="009625F2" w:rsidRDefault="00B342F3" w:rsidP="00084452">
      <w:pPr>
        <w:pStyle w:val="H23G"/>
      </w:pPr>
      <w:r w:rsidRPr="009625F2">
        <w:tab/>
      </w:r>
      <w:r w:rsidRPr="009625F2">
        <w:tab/>
        <w:t>Language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instruction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357.</w:t>
      </w:r>
      <w:r w:rsidRPr="009625F2">
        <w:tab/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358.</w:t>
      </w:r>
      <w:r w:rsidRPr="009625F2">
        <w:tab/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implemented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enhance</w:t>
      </w:r>
      <w:r w:rsidR="00C9336A" w:rsidRPr="009625F2">
        <w:t xml:space="preserve"> </w:t>
      </w:r>
      <w:r w:rsidRPr="009625F2">
        <w:t>knowledge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kindergartens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elementary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2,156</w:t>
      </w:r>
      <w:r w:rsidR="00C9336A" w:rsidRPr="009625F2">
        <w:t xml:space="preserve"> </w:t>
      </w:r>
      <w:r w:rsidRPr="009625F2">
        <w:t>weekly</w:t>
      </w:r>
      <w:r w:rsidR="00C9336A" w:rsidRPr="009625F2">
        <w:t xml:space="preserve"> </w:t>
      </w:r>
      <w:r w:rsidRPr="009625F2">
        <w:t>hours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learning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language,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lessons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world,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culture,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Islam.</w:t>
      </w:r>
      <w:r w:rsidR="00C9336A" w:rsidRPr="009625F2">
        <w:t xml:space="preserve"> </w:t>
      </w:r>
    </w:p>
    <w:p w:rsidR="00B342F3" w:rsidRPr="009625F2" w:rsidRDefault="00B342F3" w:rsidP="00084452">
      <w:pPr>
        <w:pStyle w:val="H23G"/>
      </w:pPr>
      <w:r w:rsidRPr="009625F2">
        <w:tab/>
      </w:r>
      <w:r w:rsidRPr="009625F2">
        <w:tab/>
        <w:t>Mixed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359.</w:t>
      </w:r>
      <w:r w:rsidRPr="009625F2">
        <w:tab/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mixed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study</w:t>
      </w:r>
      <w:r w:rsidR="00C9336A" w:rsidRPr="009625F2">
        <w:t xml:space="preserve"> </w:t>
      </w:r>
      <w:r w:rsidRPr="009625F2">
        <w:t>together,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84452">
      <w:pPr>
        <w:pStyle w:val="H23G"/>
      </w:pPr>
      <w:r w:rsidRPr="009625F2">
        <w:tab/>
      </w:r>
      <w:r w:rsidRPr="009625F2">
        <w:tab/>
        <w:t>Investment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360.</w:t>
      </w:r>
      <w:r w:rsidRPr="009625F2">
        <w:tab/>
        <w:t>General</w:t>
      </w:r>
      <w:r w:rsidR="00C9336A" w:rsidRPr="009625F2">
        <w:t xml:space="preserve"> </w:t>
      </w:r>
      <w:r w:rsidRPr="009625F2">
        <w:t>overview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Following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important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Resolutions,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series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round</w:t>
      </w:r>
      <w:r w:rsidR="00C9336A" w:rsidRPr="009625F2">
        <w:t xml:space="preserve"> </w:t>
      </w:r>
      <w:r w:rsidRPr="009625F2">
        <w:t>tables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consultation</w:t>
      </w:r>
      <w:r w:rsidR="00C9336A" w:rsidRPr="009625F2">
        <w:t xml:space="preserve"> </w:t>
      </w:r>
      <w:r w:rsidRPr="009625F2">
        <w:t>exercise,</w:t>
      </w:r>
      <w:r w:rsidR="00C9336A" w:rsidRPr="009625F2">
        <w:t xml:space="preserve"> </w:t>
      </w:r>
      <w:r w:rsidRPr="009625F2">
        <w:t>below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important</w:t>
      </w:r>
      <w:r w:rsidR="00C9336A" w:rsidRPr="009625F2">
        <w:t xml:space="preserve"> </w:t>
      </w:r>
      <w:r w:rsidRPr="009625F2">
        <w:t>steps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taken.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Resolutions,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budgets</w:t>
      </w:r>
      <w:r w:rsidR="00C9336A" w:rsidRPr="009625F2">
        <w:t xml:space="preserve"> </w:t>
      </w:r>
      <w:r w:rsidRPr="009625F2">
        <w:t>allocated,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361.</w:t>
      </w:r>
      <w:r w:rsidRPr="009625F2">
        <w:tab/>
        <w:t>Educational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undertook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examination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existing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run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NGOs,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light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basic</w:t>
      </w:r>
      <w:r w:rsidR="00C9336A" w:rsidRPr="009625F2">
        <w:t xml:space="preserve"> </w:t>
      </w:r>
      <w:r w:rsidRPr="009625F2">
        <w:t>tenants.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formed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authorize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frameworks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descent,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formal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informal</w:t>
      </w:r>
      <w:r w:rsidR="00C9336A" w:rsidRPr="009625F2">
        <w:t xml:space="preserve"> </w:t>
      </w:r>
      <w:r w:rsidRPr="009625F2">
        <w:t>education.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unit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incorporated</w:t>
      </w:r>
      <w:r w:rsidR="00C9336A" w:rsidRPr="009625F2">
        <w:t xml:space="preserve"> </w:t>
      </w:r>
      <w:r w:rsidRPr="009625F2">
        <w:t>into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curriculum.</w:t>
      </w:r>
    </w:p>
    <w:p w:rsidR="00B342F3" w:rsidRPr="009625F2" w:rsidRDefault="00B342F3" w:rsidP="00EB53EF">
      <w:pPr>
        <w:pStyle w:val="SingleTxtG"/>
      </w:pPr>
      <w:r w:rsidRPr="009625F2">
        <w:t>362.</w:t>
      </w:r>
      <w:r w:rsidRPr="009625F2">
        <w:tab/>
        <w:t>Increasing</w:t>
      </w:r>
      <w:r w:rsidR="00C9336A" w:rsidRPr="009625F2">
        <w:t xml:space="preserve"> </w:t>
      </w:r>
      <w:r w:rsidRPr="009625F2">
        <w:t>parental</w:t>
      </w:r>
      <w:r w:rsidR="00C9336A" w:rsidRPr="009625F2">
        <w:t xml:space="preserve"> </w:t>
      </w:r>
      <w:r w:rsidRPr="009625F2">
        <w:t>involvement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parent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age-group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25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percentage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descent.</w:t>
      </w:r>
    </w:p>
    <w:p w:rsidR="00B342F3" w:rsidRPr="009625F2" w:rsidRDefault="00B342F3" w:rsidP="00EB53EF">
      <w:pPr>
        <w:pStyle w:val="SingleTxtG"/>
      </w:pPr>
      <w:r w:rsidRPr="009625F2">
        <w:t>363.</w:t>
      </w:r>
      <w:r w:rsidRPr="009625F2">
        <w:tab/>
        <w:t>Academic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November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core</w:t>
      </w:r>
      <w:r w:rsidR="00C9336A" w:rsidRPr="009625F2">
        <w:t xml:space="preserve"> </w:t>
      </w:r>
      <w:r w:rsidRPr="009625F2">
        <w:t>studies,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provision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food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extra</w:t>
      </w:r>
      <w:r w:rsidR="00C9336A" w:rsidRPr="009625F2">
        <w:t xml:space="preserve"> </w:t>
      </w:r>
      <w:r w:rsidRPr="009625F2">
        <w:t>classes,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aided</w:t>
      </w:r>
      <w:r w:rsidR="00C9336A" w:rsidRPr="009625F2">
        <w:t xml:space="preserve"> </w:t>
      </w:r>
      <w:r w:rsidRPr="009625F2">
        <w:t>almost</w:t>
      </w:r>
      <w:r w:rsidR="00C9336A" w:rsidRPr="009625F2">
        <w:t xml:space="preserve"> </w:t>
      </w:r>
      <w:r w:rsidRPr="009625F2">
        <w:lastRenderedPageBreak/>
        <w:t>7,000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35</w:t>
      </w:r>
      <w:r w:rsidR="00C9336A" w:rsidRPr="009625F2">
        <w:t xml:space="preserve"> </w:t>
      </w:r>
      <w:r w:rsidRPr="009625F2">
        <w:t>areas.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similar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l62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schools.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projects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pre-school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elementary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level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focused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Hebrew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Pr="009625F2">
        <w:t>skills.</w:t>
      </w:r>
    </w:p>
    <w:p w:rsidR="00B342F3" w:rsidRPr="009625F2" w:rsidRDefault="00B342F3" w:rsidP="00EB53EF">
      <w:pPr>
        <w:pStyle w:val="SingleTxtG"/>
      </w:pPr>
      <w:r w:rsidRPr="009625F2">
        <w:t>364.</w:t>
      </w:r>
      <w:r w:rsidRPr="009625F2">
        <w:tab/>
        <w:t>Matriculation</w:t>
      </w:r>
      <w:r w:rsidR="002D592A" w:rsidRPr="009625F2">
        <w:t xml:space="preserve"> –</w:t>
      </w:r>
      <w:r w:rsidR="00C9336A" w:rsidRPr="009625F2">
        <w:t xml:space="preserve"> </w:t>
      </w:r>
      <w:r w:rsidRPr="009625F2">
        <w:t>49.24%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eligible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full</w:t>
      </w:r>
      <w:r w:rsidR="00C9336A" w:rsidRPr="009625F2">
        <w:t xml:space="preserve"> </w:t>
      </w:r>
      <w:r w:rsidRPr="009625F2">
        <w:t>matriculation</w:t>
      </w:r>
      <w:r w:rsidR="00C9336A" w:rsidRPr="009625F2">
        <w:t xml:space="preserve"> </w:t>
      </w:r>
      <w:r w:rsidRPr="009625F2">
        <w:t>certificate,</w:t>
      </w:r>
      <w:r w:rsidR="00C9336A" w:rsidRPr="009625F2">
        <w:t xml:space="preserve"> </w:t>
      </w:r>
      <w:r w:rsidRPr="009625F2">
        <w:t>compared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64.2%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population.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created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enhance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matriculation</w:t>
      </w:r>
      <w:r w:rsidR="00C9336A" w:rsidRPr="009625F2">
        <w:t xml:space="preserve"> </w:t>
      </w:r>
      <w:r w:rsidRPr="009625F2">
        <w:t>amongst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November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220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participated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45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run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28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percentage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descent.</w:t>
      </w:r>
      <w:r w:rsidR="00C9336A" w:rsidRPr="009625F2">
        <w:t xml:space="preserve"> </w:t>
      </w:r>
      <w:r w:rsidR="00D311F6">
        <w:t>“</w:t>
      </w:r>
      <w:r w:rsidRPr="009625F2">
        <w:t>Virtual</w:t>
      </w:r>
      <w:r w:rsidR="00C9336A" w:rsidRPr="009625F2">
        <w:t xml:space="preserve"> </w:t>
      </w:r>
      <w:r w:rsidRPr="009625F2">
        <w:t>coaching</w:t>
      </w:r>
      <w:r w:rsidR="00D311F6">
        <w:t>”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offered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improve</w:t>
      </w:r>
      <w:r w:rsidR="00C9336A" w:rsidRPr="009625F2">
        <w:t xml:space="preserve"> </w:t>
      </w:r>
      <w:r w:rsidRPr="009625F2">
        <w:t>academic</w:t>
      </w:r>
      <w:r w:rsidR="00C9336A" w:rsidRPr="009625F2">
        <w:t xml:space="preserve"> </w:t>
      </w:r>
      <w:r w:rsidRPr="009625F2">
        <w:t>achievement.</w:t>
      </w:r>
    </w:p>
    <w:p w:rsidR="00B342F3" w:rsidRPr="009625F2" w:rsidRDefault="00B342F3" w:rsidP="00EB53EF">
      <w:pPr>
        <w:pStyle w:val="SingleTxtG"/>
      </w:pPr>
      <w:r w:rsidRPr="009625F2">
        <w:t>365.</w:t>
      </w:r>
      <w:r w:rsidRPr="009625F2">
        <w:tab/>
        <w:t>Social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–teachers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workers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trained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sensitivity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dialogue;</w:t>
      </w:r>
      <w:r w:rsidR="00C9336A" w:rsidRPr="009625F2">
        <w:t xml:space="preserve"> </w:t>
      </w:r>
      <w:r w:rsidRPr="009625F2">
        <w:t>seven</w:t>
      </w:r>
      <w:r w:rsidR="00C9336A" w:rsidRPr="009625F2">
        <w:t xml:space="preserve"> </w:t>
      </w:r>
      <w:r w:rsidRPr="009625F2">
        <w:t>(7)</w:t>
      </w:r>
      <w:r w:rsidR="00C9336A" w:rsidRPr="009625F2">
        <w:t xml:space="preserve"> </w:t>
      </w:r>
      <w:r w:rsidRPr="009625F2">
        <w:t>psychologists,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training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sensitivity,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placed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trained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percentage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education.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366.</w:t>
      </w:r>
      <w:r w:rsidRPr="009625F2">
        <w:tab/>
        <w:t>The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Institute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Innovation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Hebrew</w:t>
      </w:r>
      <w:r w:rsidR="00C9336A" w:rsidRPr="009625F2">
        <w:t xml:space="preserve"> </w:t>
      </w:r>
      <w:r w:rsidRPr="009625F2">
        <w:t>University</w:t>
      </w:r>
      <w:r w:rsidR="00C9336A" w:rsidRPr="009625F2">
        <w:t xml:space="preserve"> </w:t>
      </w:r>
      <w:r w:rsidRPr="009625F2">
        <w:t>runs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project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trains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girls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aid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origin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cognitive,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linguistic</w:t>
      </w:r>
      <w:r w:rsidR="00C9336A" w:rsidRPr="009625F2">
        <w:t xml:space="preserve"> </w:t>
      </w:r>
      <w:r w:rsidRPr="009625F2">
        <w:t>skills,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better</w:t>
      </w:r>
      <w:r w:rsidR="00C9336A" w:rsidRPr="009625F2">
        <w:t xml:space="preserve"> </w:t>
      </w:r>
      <w:r w:rsidRPr="009625F2">
        <w:t>prepare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school.</w:t>
      </w:r>
    </w:p>
    <w:p w:rsidR="00B342F3" w:rsidRPr="009625F2" w:rsidRDefault="00B342F3" w:rsidP="00EB53EF">
      <w:pPr>
        <w:pStyle w:val="SingleTxtG"/>
      </w:pPr>
      <w:r w:rsidRPr="009625F2">
        <w:t>367.</w:t>
      </w:r>
      <w:r w:rsidRPr="009625F2">
        <w:tab/>
        <w:t>Financial</w:t>
      </w:r>
      <w:r w:rsidR="00C9336A" w:rsidRPr="009625F2">
        <w:t xml:space="preserve"> </w:t>
      </w:r>
      <w:r w:rsidRPr="009625F2">
        <w:t>aid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developed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program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coupons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child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participate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after-school</w:t>
      </w:r>
      <w:r w:rsidR="00C9336A" w:rsidRPr="009625F2">
        <w:t xml:space="preserve"> </w:t>
      </w:r>
      <w:r w:rsidRPr="009625F2">
        <w:t>activity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neighbourhood.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November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approx.</w:t>
      </w:r>
      <w:r w:rsidR="00C9336A" w:rsidRPr="009625F2">
        <w:t xml:space="preserve"> </w:t>
      </w:r>
      <w:r w:rsidRPr="009625F2">
        <w:t>60%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coupons</w:t>
      </w:r>
      <w:r w:rsidR="00C9336A" w:rsidRPr="009625F2">
        <w:t xml:space="preserve"> </w:t>
      </w:r>
      <w:r w:rsidRPr="009625F2">
        <w:t>had</w:t>
      </w:r>
      <w:r w:rsidR="00C9336A" w:rsidRPr="009625F2">
        <w:t xml:space="preserve"> </w:t>
      </w:r>
      <w:r w:rsidRPr="009625F2">
        <w:t>been</w:t>
      </w:r>
      <w:r w:rsidR="00C9336A" w:rsidRPr="009625F2">
        <w:t xml:space="preserve"> </w:t>
      </w:r>
      <w:r w:rsidRPr="009625F2">
        <w:t>utilized,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expectation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80%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used.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368.</w:t>
      </w:r>
      <w:r w:rsidRPr="009625F2">
        <w:tab/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allocates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400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800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month</w:t>
      </w:r>
      <w:r w:rsidR="00C9336A" w:rsidRPr="009625F2">
        <w:t xml:space="preserve"> </w:t>
      </w:r>
      <w:r w:rsidRPr="009625F2">
        <w:t>(105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210</w:t>
      </w:r>
      <w:r w:rsidR="00C9336A" w:rsidRPr="009625F2">
        <w:t xml:space="preserve"> </w:t>
      </w:r>
      <w:r w:rsidRPr="009625F2">
        <w:t>USD),</w:t>
      </w:r>
      <w:r w:rsidR="00C9336A" w:rsidRPr="009625F2">
        <w:t xml:space="preserve"> </w:t>
      </w:r>
      <w:r w:rsidRPr="009625F2">
        <w:t>based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date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immigration.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2015,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10,322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assistance.</w:t>
      </w:r>
      <w:r w:rsidR="00C9336A" w:rsidRPr="009625F2">
        <w:t xml:space="preserve"> </w:t>
      </w:r>
    </w:p>
    <w:p w:rsidR="00B342F3" w:rsidRPr="009625F2" w:rsidRDefault="00B342F3" w:rsidP="00084452">
      <w:pPr>
        <w:pStyle w:val="H23G"/>
      </w:pPr>
      <w:r w:rsidRPr="009625F2">
        <w:tab/>
      </w:r>
      <w:r w:rsidRPr="009625F2">
        <w:tab/>
        <w:t>The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girls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369.</w:t>
      </w:r>
      <w:r w:rsidRPr="009625F2">
        <w:tab/>
        <w:t>Admission</w:t>
      </w:r>
      <w:r w:rsidR="00C9336A" w:rsidRPr="009625F2">
        <w:t xml:space="preserve"> </w:t>
      </w:r>
      <w:r w:rsidRPr="009625F2">
        <w:t>criteria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makes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distinction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boys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girls.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generally</w:t>
      </w:r>
      <w:r w:rsidR="00C9336A" w:rsidRPr="009625F2">
        <w:t xml:space="preserve"> </w:t>
      </w:r>
      <w:r w:rsidRPr="009625F2">
        <w:t>not</w:t>
      </w:r>
      <w:r w:rsidR="00C9336A" w:rsidRPr="009625F2">
        <w:t xml:space="preserve"> </w:t>
      </w:r>
      <w:r w:rsidRPr="009625F2">
        <w:t>permitted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admission</w:t>
      </w:r>
      <w:r w:rsidR="00C9336A" w:rsidRPr="009625F2">
        <w:t xml:space="preserve"> </w:t>
      </w:r>
      <w:r w:rsidRPr="009625F2">
        <w:t>criteria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intake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determined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catchment</w:t>
      </w:r>
      <w:r w:rsidR="00C9336A" w:rsidRPr="009625F2">
        <w:t xml:space="preserve"> </w:t>
      </w:r>
      <w:r w:rsidRPr="009625F2">
        <w:t>area</w:t>
      </w:r>
      <w:r w:rsidR="00C9336A" w:rsidRPr="009625F2">
        <w:t xml:space="preserve"> </w:t>
      </w:r>
      <w:r w:rsidRPr="009625F2">
        <w:t>alone.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true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mixed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single-sex</w:t>
      </w:r>
      <w:r w:rsidR="00C9336A" w:rsidRPr="009625F2">
        <w:t xml:space="preserve"> </w:t>
      </w:r>
      <w:r w:rsidRPr="009625F2">
        <w:t>schools.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370.</w:t>
      </w:r>
      <w:r w:rsidRPr="009625F2">
        <w:tab/>
        <w:t>The</w:t>
      </w:r>
      <w:r w:rsidR="00C9336A" w:rsidRPr="009625F2">
        <w:t xml:space="preserve"> </w:t>
      </w:r>
      <w:r w:rsidRPr="009625F2">
        <w:t>value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educating</w:t>
      </w:r>
      <w:r w:rsidR="00C9336A" w:rsidRPr="009625F2">
        <w:t xml:space="preserve"> </w:t>
      </w:r>
      <w:r w:rsidRPr="009625F2">
        <w:t>girls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generally</w:t>
      </w:r>
      <w:r w:rsidR="00C9336A" w:rsidRPr="009625F2">
        <w:t xml:space="preserve"> </w:t>
      </w:r>
      <w:r w:rsidRPr="009625F2">
        <w:t>appreciated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segments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society.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371.</w:t>
      </w:r>
      <w:r w:rsidRPr="009625F2">
        <w:tab/>
        <w:t>Sciences,</w:t>
      </w:r>
      <w:r w:rsidR="00C9336A" w:rsidRPr="009625F2">
        <w:t xml:space="preserve"> </w:t>
      </w:r>
      <w:r w:rsidRPr="009625F2">
        <w:t>technology,</w:t>
      </w:r>
      <w:r w:rsidR="00C9336A" w:rsidRPr="009625F2">
        <w:t xml:space="preserve"> </w:t>
      </w:r>
      <w:r w:rsidRPr="009625F2">
        <w:t>engineering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mathematics</w:t>
      </w:r>
      <w:r w:rsidR="00C9336A" w:rsidRPr="009625F2">
        <w:t xml:space="preserve"> </w:t>
      </w:r>
      <w:r w:rsidRPr="009625F2">
        <w:t>(STEM)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efforts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augment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girls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STEM</w:t>
      </w:r>
      <w:r w:rsidR="00C9336A" w:rsidRPr="009625F2">
        <w:t xml:space="preserve"> </w:t>
      </w:r>
      <w:r w:rsidRPr="009625F2">
        <w:t>subjects,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372.</w:t>
      </w:r>
      <w:r w:rsidRPr="009625F2">
        <w:tab/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Early</w:t>
      </w:r>
      <w:r w:rsidR="00C9336A" w:rsidRPr="009625F2">
        <w:t xml:space="preserve"> </w:t>
      </w:r>
      <w:r w:rsidRPr="009625F2">
        <w:t>Marriage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efforts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prevent</w:t>
      </w:r>
      <w:r w:rsidR="00C9336A" w:rsidRPr="009625F2">
        <w:t xml:space="preserve"> </w:t>
      </w:r>
      <w:r w:rsidRPr="009625F2">
        <w:t>early</w:t>
      </w:r>
      <w:r w:rsidR="00C9336A" w:rsidRPr="009625F2">
        <w:t xml:space="preserve"> </w:t>
      </w:r>
      <w:r w:rsidRPr="009625F2">
        <w:t>marriages,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have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direct</w:t>
      </w:r>
      <w:r w:rsidR="00C9336A" w:rsidRPr="009625F2">
        <w:t xml:space="preserve"> </w:t>
      </w:r>
      <w:r w:rsidRPr="009625F2">
        <w:t>effect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girls,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84452">
      <w:pPr>
        <w:pStyle w:val="H23G"/>
      </w:pPr>
      <w:r w:rsidRPr="009625F2">
        <w:tab/>
      </w:r>
      <w:r w:rsidRPr="009625F2">
        <w:tab/>
        <w:t>Drop-out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373.</w:t>
      </w:r>
      <w:r w:rsidRPr="009625F2">
        <w:tab/>
        <w:t>The</w:t>
      </w:r>
      <w:r w:rsidR="00C9336A" w:rsidRPr="009625F2">
        <w:t xml:space="preserve"> </w:t>
      </w:r>
      <w:r w:rsidRPr="009625F2">
        <w:t>Pedagogical</w:t>
      </w:r>
      <w:r w:rsidR="00C9336A" w:rsidRPr="009625F2">
        <w:t xml:space="preserve"> </w:t>
      </w:r>
      <w:r w:rsidRPr="009625F2">
        <w:t>Administration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defined</w:t>
      </w:r>
      <w:r w:rsidR="00C9336A" w:rsidRPr="009625F2">
        <w:t xml:space="preserve"> </w:t>
      </w:r>
      <w:r w:rsidRPr="009625F2">
        <w:t>reducing</w:t>
      </w:r>
      <w:r w:rsidR="00C9336A" w:rsidRPr="009625F2">
        <w:t xml:space="preserve"> </w:t>
      </w:r>
      <w:r w:rsidRPr="009625F2">
        <w:t>dropout</w:t>
      </w:r>
      <w:r w:rsidR="00C9336A" w:rsidRPr="009625F2">
        <w:t xml:space="preserve"> </w:t>
      </w:r>
      <w:r w:rsidRPr="009625F2">
        <w:t>rates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central</w:t>
      </w:r>
      <w:r w:rsidR="00C9336A" w:rsidRPr="009625F2">
        <w:t xml:space="preserve"> </w:t>
      </w:r>
      <w:r w:rsidRPr="009625F2">
        <w:t>objective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coming</w:t>
      </w:r>
      <w:r w:rsidR="00C9336A" w:rsidRPr="009625F2">
        <w:t xml:space="preserve"> </w:t>
      </w:r>
      <w:r w:rsidRPr="009625F2">
        <w:t>years.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374.</w:t>
      </w:r>
      <w:r w:rsidRPr="009625F2">
        <w:tab/>
        <w:t>Statistics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Action</w:t>
      </w:r>
      <w:r w:rsidR="00C9336A" w:rsidRPr="009625F2">
        <w:t xml:space="preserve"> </w:t>
      </w:r>
      <w:r w:rsidRPr="009625F2">
        <w:t>taken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significantly</w:t>
      </w:r>
      <w:r w:rsidR="00C9336A" w:rsidRPr="009625F2">
        <w:t xml:space="preserve"> </w:t>
      </w:r>
      <w:r w:rsidRPr="009625F2">
        <w:t>reduced,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almost</w:t>
      </w:r>
      <w:r w:rsidR="00C9336A" w:rsidRPr="009625F2">
        <w:t xml:space="preserve"> </w:t>
      </w:r>
      <w:r w:rsidRPr="009625F2">
        <w:t>every</w:t>
      </w:r>
      <w:r w:rsidR="00C9336A" w:rsidRPr="009625F2">
        <w:t xml:space="preserve"> </w:t>
      </w:r>
      <w:r w:rsidRPr="009625F2">
        <w:t>grade,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dropout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among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populations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total</w:t>
      </w:r>
      <w:r w:rsidR="00C9336A" w:rsidRPr="009625F2">
        <w:t xml:space="preserve"> </w:t>
      </w:r>
      <w:r w:rsidRPr="009625F2">
        <w:t>dropout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decreased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42.8%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2010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2013.</w:t>
      </w:r>
    </w:p>
    <w:p w:rsidR="00B342F3" w:rsidRPr="009625F2" w:rsidRDefault="00B342F3" w:rsidP="00EB53EF">
      <w:pPr>
        <w:pStyle w:val="SingleTxtG"/>
      </w:pPr>
      <w:r w:rsidRPr="009625F2">
        <w:t>375.</w:t>
      </w:r>
      <w:r w:rsidRPr="009625F2">
        <w:tab/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dropout</w:t>
      </w:r>
      <w:r w:rsidR="00C9336A" w:rsidRPr="009625F2">
        <w:t xml:space="preserve"> </w:t>
      </w:r>
      <w:r w:rsidRPr="009625F2">
        <w:t>rate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eligibility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matriculation</w:t>
      </w:r>
      <w:r w:rsidR="00C9336A" w:rsidRPr="009625F2">
        <w:t xml:space="preserve"> </w:t>
      </w:r>
      <w:r w:rsidRPr="009625F2">
        <w:t>certificates,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376.</w:t>
      </w:r>
      <w:r w:rsidRPr="009625F2">
        <w:tab/>
        <w:t>Attendance</w:t>
      </w:r>
      <w:r w:rsidR="00C9336A" w:rsidRPr="009625F2">
        <w:t xml:space="preserve"> </w:t>
      </w:r>
      <w:r w:rsidRPr="009625F2">
        <w:t>Officers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Attendance</w:t>
      </w:r>
      <w:r w:rsidR="00C9336A" w:rsidRPr="009625F2">
        <w:t xml:space="preserve"> </w:t>
      </w:r>
      <w:r w:rsidRPr="009625F2">
        <w:t>officers</w:t>
      </w:r>
      <w:r w:rsidR="00C9336A" w:rsidRPr="009625F2">
        <w:t xml:space="preserve"> </w:t>
      </w:r>
      <w:r w:rsidRPr="009625F2">
        <w:t>regularly</w:t>
      </w:r>
      <w:r w:rsidR="00C9336A" w:rsidRPr="009625F2">
        <w:t xml:space="preserve"> </w:t>
      </w:r>
      <w:r w:rsidRPr="009625F2">
        <w:t>visit</w:t>
      </w:r>
      <w:r w:rsidR="00C9336A" w:rsidRPr="009625F2">
        <w:t xml:space="preserve"> </w:t>
      </w:r>
      <w:r w:rsidRPr="009625F2">
        <w:t>schools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maintain</w:t>
      </w:r>
      <w:r w:rsidR="00C9336A" w:rsidRPr="009625F2">
        <w:t xml:space="preserve"> </w:t>
      </w:r>
      <w:r w:rsidRPr="009625F2">
        <w:t>school</w:t>
      </w:r>
      <w:r w:rsidR="00C9336A" w:rsidRPr="009625F2">
        <w:t xml:space="preserve"> </w:t>
      </w:r>
      <w:r w:rsidRPr="009625F2">
        <w:t>attendance,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accordance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(Section</w:t>
      </w:r>
      <w:r w:rsidR="00C9336A" w:rsidRPr="009625F2">
        <w:t xml:space="preserve"> </w:t>
      </w:r>
      <w:r w:rsidRPr="009625F2">
        <w:t>4).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data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populations,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377.</w:t>
      </w:r>
      <w:r w:rsidRPr="009625F2">
        <w:tab/>
        <w:t>Guidelines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Procedures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updates,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378.</w:t>
      </w:r>
      <w:r w:rsidRPr="009625F2">
        <w:tab/>
        <w:t>Encouraging</w:t>
      </w:r>
      <w:r w:rsidR="00C9336A" w:rsidRPr="009625F2">
        <w:t xml:space="preserve"> </w:t>
      </w:r>
      <w:r w:rsidRPr="009625F2">
        <w:t>achievement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runs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improve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achievements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risk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dropping</w:t>
      </w:r>
      <w:r w:rsidR="00C9336A" w:rsidRPr="009625F2">
        <w:t xml:space="preserve"> </w:t>
      </w:r>
      <w:r w:rsidRPr="009625F2">
        <w:t>out.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programs,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084452">
      <w:pPr>
        <w:pStyle w:val="H1G"/>
      </w:pPr>
      <w:r w:rsidRPr="009625F2">
        <w:lastRenderedPageBreak/>
        <w:tab/>
      </w:r>
      <w:r w:rsidRPr="009625F2">
        <w:tab/>
        <w:t>Article</w:t>
      </w:r>
      <w:r w:rsidR="00C9336A" w:rsidRPr="009625F2">
        <w:t xml:space="preserve"> </w:t>
      </w:r>
      <w:r w:rsidRPr="009625F2">
        <w:t>15</w:t>
      </w:r>
      <w:r w:rsidR="00C9336A" w:rsidRPr="009625F2">
        <w:t xml:space="preserve"> </w:t>
      </w:r>
    </w:p>
    <w:p w:rsidR="00B342F3" w:rsidRPr="009625F2" w:rsidRDefault="00B342F3" w:rsidP="00084452">
      <w:pPr>
        <w:pStyle w:val="H23G"/>
      </w:pPr>
      <w:r w:rsidRPr="009625F2">
        <w:tab/>
      </w:r>
      <w:r w:rsidRPr="009625F2">
        <w:tab/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segments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379.</w:t>
      </w:r>
      <w:r w:rsidRPr="009625F2">
        <w:tab/>
        <w:t>Broadcasting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events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MoCS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events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importance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aired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channels.</w:t>
      </w:r>
      <w:r w:rsidR="00C9336A" w:rsidRPr="009625F2">
        <w:t xml:space="preserve"> </w:t>
      </w:r>
    </w:p>
    <w:p w:rsidR="00B342F3" w:rsidRPr="009625F2" w:rsidRDefault="00B342F3" w:rsidP="00CD7F24">
      <w:pPr>
        <w:pStyle w:val="H23G"/>
      </w:pPr>
      <w:r w:rsidRPr="009625F2">
        <w:tab/>
      </w:r>
      <w:r w:rsidRPr="009625F2">
        <w:tab/>
        <w:t>Participation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older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380.</w:t>
      </w:r>
      <w:r w:rsidRPr="009625F2">
        <w:tab/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(Reductions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Performances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Museums)</w:t>
      </w:r>
      <w:r w:rsidR="00C9336A" w:rsidRPr="009625F2">
        <w:t xml:space="preserve"> </w:t>
      </w:r>
      <w:r w:rsidRPr="009625F2">
        <w:t>Regulations</w:t>
      </w:r>
      <w:r w:rsidR="00C9336A" w:rsidRPr="009625F2">
        <w:t xml:space="preserve"> </w:t>
      </w:r>
      <w:r w:rsidRPr="009625F2">
        <w:t>5758-1998</w:t>
      </w:r>
      <w:r w:rsidR="00C9336A" w:rsidRPr="009625F2">
        <w:t xml:space="preserve"> </w:t>
      </w:r>
      <w:r w:rsidRPr="009625F2">
        <w:t>requires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institutions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offer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tickets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reduced</w:t>
      </w:r>
      <w:r w:rsidR="00C9336A" w:rsidRPr="009625F2">
        <w:t xml:space="preserve"> </w:t>
      </w:r>
      <w:r w:rsidRPr="009625F2">
        <w:t>price.</w:t>
      </w:r>
    </w:p>
    <w:p w:rsidR="00B342F3" w:rsidRPr="009625F2" w:rsidRDefault="00B342F3" w:rsidP="00EB53EF">
      <w:pPr>
        <w:pStyle w:val="SingleTxtG"/>
      </w:pPr>
      <w:r w:rsidRPr="009625F2">
        <w:t>381.</w:t>
      </w:r>
      <w:r w:rsidRPr="009625F2">
        <w:tab/>
        <w:t>The</w:t>
      </w:r>
      <w:r w:rsidR="00C9336A" w:rsidRPr="009625F2">
        <w:t xml:space="preserve"> </w:t>
      </w:r>
      <w:r w:rsidRPr="009625F2">
        <w:t>MoSE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operating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initiative</w:t>
      </w:r>
      <w:r w:rsidR="00C9336A" w:rsidRPr="009625F2">
        <w:t xml:space="preserve"> </w:t>
      </w:r>
      <w:r w:rsidRPr="009625F2">
        <w:t>titled</w:t>
      </w:r>
      <w:r w:rsidR="00C9336A" w:rsidRPr="009625F2">
        <w:t xml:space="preserve"> </w:t>
      </w:r>
      <w:r w:rsidR="00D311F6">
        <w:t>“</w:t>
      </w:r>
      <w:r w:rsidRPr="009625F2">
        <w:t>Tuesday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suspenders</w:t>
      </w:r>
      <w:r w:rsidR="00D311F6">
        <w:t>”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senior</w:t>
      </w:r>
      <w:r w:rsidR="00C9336A" w:rsidRPr="009625F2">
        <w:t xml:space="preserve"> </w:t>
      </w:r>
      <w:r w:rsidRPr="009625F2">
        <w:t>citizens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tickets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events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reduced</w:t>
      </w:r>
      <w:r w:rsidR="00C9336A" w:rsidRPr="009625F2">
        <w:t xml:space="preserve"> </w:t>
      </w:r>
      <w:r w:rsidRPr="009625F2">
        <w:t>prices</w:t>
      </w:r>
      <w:r w:rsidR="00C9336A" w:rsidRPr="009625F2">
        <w:t xml:space="preserve"> </w:t>
      </w:r>
      <w:r w:rsidRPr="009625F2">
        <w:t>(such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movie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theatre</w:t>
      </w:r>
      <w:r w:rsidR="00C9336A" w:rsidRPr="009625F2">
        <w:t xml:space="preserve"> </w:t>
      </w:r>
      <w:r w:rsidRPr="009625F2">
        <w:t>tickets</w:t>
      </w:r>
      <w:r w:rsidR="00C9336A" w:rsidRPr="009625F2">
        <w:t xml:space="preserve"> </w:t>
      </w:r>
      <w:r w:rsidRPr="009625F2">
        <w:t>etc.).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382.</w:t>
      </w:r>
      <w:r w:rsidRPr="009625F2">
        <w:tab/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frame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sport</w:t>
      </w:r>
      <w:r w:rsidR="00C9336A" w:rsidRPr="009625F2">
        <w:t xml:space="preserve"> </w:t>
      </w:r>
      <w:r w:rsidRPr="009625F2">
        <w:t>week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Culture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Sport</w:t>
      </w:r>
      <w:r w:rsidR="00C9336A" w:rsidRPr="009625F2">
        <w:t xml:space="preserve"> </w:t>
      </w:r>
      <w:r w:rsidRPr="009625F2">
        <w:t>(MoCS),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3,</w:t>
      </w:r>
      <w:r w:rsidR="00C9336A" w:rsidRPr="009625F2">
        <w:t xml:space="preserve"> </w:t>
      </w:r>
      <w:r w:rsidRPr="009625F2">
        <w:t>2018,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11th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children</w:t>
      </w:r>
      <w:r w:rsidR="00D311F6">
        <w:t>’</w:t>
      </w:r>
      <w:r w:rsidRPr="009625F2">
        <w:t>s</w:t>
      </w:r>
      <w:r w:rsidR="00D311F6">
        <w:t>’</w:t>
      </w:r>
      <w:r w:rsidR="00C9336A" w:rsidRPr="009625F2">
        <w:t xml:space="preserve"> </w:t>
      </w:r>
      <w:r w:rsidRPr="009625F2">
        <w:t>Olympic</w:t>
      </w:r>
      <w:r w:rsidR="00C9336A" w:rsidRPr="009625F2">
        <w:t xml:space="preserve"> </w:t>
      </w:r>
      <w:r w:rsidRPr="009625F2">
        <w:t>Games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opened.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games</w:t>
      </w:r>
      <w:r w:rsidR="00C9336A" w:rsidRPr="009625F2">
        <w:t xml:space="preserve"> </w:t>
      </w:r>
      <w:r w:rsidRPr="009625F2">
        <w:t>host</w:t>
      </w:r>
      <w:r w:rsidR="00C9336A" w:rsidRPr="009625F2">
        <w:t xml:space="preserve"> </w:t>
      </w:r>
      <w:r w:rsidRPr="009625F2">
        <w:t>competitions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28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fields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participated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6,200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between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ages</w:t>
      </w:r>
      <w:r w:rsidR="00C9336A" w:rsidRPr="009625F2">
        <w:t xml:space="preserve"> </w:t>
      </w:r>
      <w:r w:rsidRPr="009625F2">
        <w:t>11</w:t>
      </w:r>
      <w:r w:rsidR="002D592A" w:rsidRPr="009625F2">
        <w:t>–</w:t>
      </w:r>
      <w:r w:rsidRPr="009625F2">
        <w:t>16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populations.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list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participants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representatives</w:t>
      </w:r>
      <w:r w:rsidR="00C9336A" w:rsidRPr="009625F2">
        <w:t xml:space="preserve"> </w:t>
      </w:r>
      <w:r w:rsidRPr="009625F2">
        <w:t>(this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Greece,</w:t>
      </w:r>
      <w:r w:rsidR="00C9336A" w:rsidRPr="009625F2">
        <w:t xml:space="preserve"> </w:t>
      </w:r>
      <w:r w:rsidRPr="009625F2">
        <w:t>Slovenia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Lithuania).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383.</w:t>
      </w:r>
      <w:r w:rsidRPr="009625F2">
        <w:tab/>
        <w:t>Accessibility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facilities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Legislative</w:t>
      </w:r>
      <w:r w:rsidR="00C9336A" w:rsidRPr="009625F2">
        <w:t xml:space="preserve"> </w:t>
      </w:r>
      <w:r w:rsidRPr="009625F2">
        <w:t>amendments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bookmarkStart w:id="20" w:name="_Toc462859498"/>
      <w:bookmarkStart w:id="21" w:name="_Toc469567676"/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number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important</w:t>
      </w:r>
      <w:r w:rsidR="00C9336A" w:rsidRPr="009625F2">
        <w:t xml:space="preserve"> </w:t>
      </w:r>
      <w:r w:rsidRPr="009625F2">
        <w:t>legislative</w:t>
      </w:r>
      <w:r w:rsidR="00C9336A" w:rsidRPr="009625F2">
        <w:t xml:space="preserve"> </w:t>
      </w:r>
      <w:r w:rsidRPr="009625F2">
        <w:t>amendments,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bookmarkEnd w:id="20"/>
    <w:bookmarkEnd w:id="21"/>
    <w:p w:rsidR="00B342F3" w:rsidRPr="009625F2" w:rsidRDefault="00B342F3" w:rsidP="00EB53EF">
      <w:pPr>
        <w:pStyle w:val="SingleTxtG"/>
      </w:pPr>
      <w:r w:rsidRPr="009625F2">
        <w:t>384.</w:t>
      </w:r>
      <w:r w:rsidRPr="009625F2">
        <w:tab/>
        <w:t>Funding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MoCS</w:t>
      </w:r>
      <w:r w:rsidR="00C9336A" w:rsidRPr="009625F2">
        <w:t xml:space="preserve"> </w:t>
      </w:r>
      <w:r w:rsidRPr="009625F2">
        <w:t>assists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making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institutes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accessible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PWD.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funding</w:t>
      </w:r>
      <w:r w:rsidR="00C9336A" w:rsidRPr="009625F2">
        <w:t xml:space="preserve"> </w:t>
      </w:r>
      <w:r w:rsidRPr="009625F2">
        <w:t>approved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2014,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</w:p>
    <w:p w:rsidR="00B342F3" w:rsidRPr="009625F2" w:rsidRDefault="00B342F3" w:rsidP="00EB53EF">
      <w:pPr>
        <w:pStyle w:val="SingleTxtG"/>
      </w:pPr>
      <w:r w:rsidRPr="009625F2">
        <w:t>385.</w:t>
      </w:r>
      <w:r w:rsidRPr="009625F2">
        <w:tab/>
        <w:t>The</w:t>
      </w:r>
      <w:r w:rsidR="00C9336A" w:rsidRPr="009625F2">
        <w:t xml:space="preserve"> </w:t>
      </w:r>
      <w:r w:rsidRPr="009625F2">
        <w:t>MoAaRD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funded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agreement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Organization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Disabled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operation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ten</w:t>
      </w:r>
      <w:r w:rsidR="00C9336A" w:rsidRPr="009625F2">
        <w:t xml:space="preserve"> </w:t>
      </w:r>
      <w:r w:rsidRPr="009625F2">
        <w:t>(10)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groups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disability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Bedouin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cost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500,000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(approx.</w:t>
      </w:r>
      <w:r w:rsidR="00C9336A" w:rsidRPr="009625F2">
        <w:t xml:space="preserve"> </w:t>
      </w:r>
      <w:r w:rsidRPr="009625F2">
        <w:t>142,857</w:t>
      </w:r>
      <w:r w:rsidR="00C9336A" w:rsidRPr="009625F2">
        <w:t xml:space="preserve"> </w:t>
      </w:r>
      <w:r w:rsidRPr="009625F2">
        <w:t>USD).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386.</w:t>
      </w:r>
      <w:r w:rsidRPr="009625F2">
        <w:tab/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works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blind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March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ratified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WIPO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Marrakesh</w:t>
      </w:r>
      <w:r w:rsidR="00C9336A" w:rsidRPr="009625F2">
        <w:t xml:space="preserve"> </w:t>
      </w:r>
      <w:r w:rsidRPr="009625F2">
        <w:t>Treaty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Facilitate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Works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Blind,</w:t>
      </w:r>
      <w:r w:rsidR="00C9336A" w:rsidRPr="009625F2">
        <w:t xml:space="preserve"> </w:t>
      </w:r>
      <w:r w:rsidRPr="009625F2">
        <w:t>Visually</w:t>
      </w:r>
      <w:r w:rsidR="00C9336A" w:rsidRPr="009625F2">
        <w:t xml:space="preserve"> </w:t>
      </w:r>
      <w:r w:rsidRPr="009625F2">
        <w:t>Impaired,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Otherwise</w:t>
      </w:r>
      <w:r w:rsidR="00C9336A" w:rsidRPr="009625F2">
        <w:t xml:space="preserve"> </w:t>
      </w:r>
      <w:r w:rsidRPr="009625F2">
        <w:t>Print</w:t>
      </w:r>
      <w:r w:rsidR="00C9336A" w:rsidRPr="009625F2">
        <w:t xml:space="preserve"> </w:t>
      </w:r>
      <w:r w:rsidRPr="009625F2">
        <w:t>Disabled,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establishes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exception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intellectual</w:t>
      </w:r>
      <w:r w:rsidR="00C9336A" w:rsidRPr="009625F2">
        <w:t xml:space="preserve"> </w:t>
      </w:r>
      <w:r w:rsidRPr="009625F2">
        <w:t>property</w:t>
      </w:r>
      <w:r w:rsidR="00C9336A" w:rsidRPr="009625F2">
        <w:t xml:space="preserve"> </w:t>
      </w:r>
      <w:r w:rsidRPr="009625F2">
        <w:t>laws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enable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copy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work,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format</w:t>
      </w:r>
      <w:r w:rsidR="00C9336A" w:rsidRPr="009625F2">
        <w:t xml:space="preserve"> </w:t>
      </w:r>
      <w:r w:rsidRPr="009625F2">
        <w:t>suitable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enjoyment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who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visually</w:t>
      </w:r>
      <w:r w:rsidR="00C9336A" w:rsidRPr="009625F2">
        <w:t xml:space="preserve"> </w:t>
      </w:r>
      <w:r w:rsidRPr="009625F2">
        <w:t>impaired</w:t>
      </w:r>
      <w:r w:rsidR="00C9336A" w:rsidRPr="009625F2">
        <w:t xml:space="preserve"> </w:t>
      </w:r>
      <w:r w:rsidRPr="009625F2">
        <w:t>without</w:t>
      </w:r>
      <w:r w:rsidR="00C9336A" w:rsidRPr="009625F2">
        <w:t xml:space="preserve"> </w:t>
      </w:r>
      <w:r w:rsidRPr="009625F2">
        <w:t>requiring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consent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right-holder.</w:t>
      </w:r>
    </w:p>
    <w:p w:rsidR="00B342F3" w:rsidRPr="009625F2" w:rsidRDefault="00B342F3" w:rsidP="00CD7F24">
      <w:pPr>
        <w:pStyle w:val="H23G"/>
      </w:pPr>
      <w:r w:rsidRPr="009625F2">
        <w:tab/>
      </w:r>
      <w:r w:rsidRPr="009625F2">
        <w:tab/>
        <w:t>Enhancement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mankind,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technologies</w:t>
      </w:r>
    </w:p>
    <w:p w:rsidR="00B342F3" w:rsidRPr="009625F2" w:rsidRDefault="00B342F3" w:rsidP="00EB53EF">
      <w:pPr>
        <w:pStyle w:val="SingleTxtG"/>
      </w:pPr>
      <w:r w:rsidRPr="009625F2">
        <w:t>387.</w:t>
      </w:r>
      <w:r w:rsidRPr="009625F2">
        <w:tab/>
        <w:t>On</w:t>
      </w:r>
      <w:r w:rsidR="00C9336A" w:rsidRPr="009625F2">
        <w:t xml:space="preserve"> </w:t>
      </w:r>
      <w:r w:rsidRPr="009625F2">
        <w:t>November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joint</w:t>
      </w:r>
      <w:r w:rsidR="00C9336A" w:rsidRPr="009625F2">
        <w:t xml:space="preserve"> </w:t>
      </w:r>
      <w:r w:rsidRPr="009625F2">
        <w:t>project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Prime</w:t>
      </w:r>
      <w:r w:rsidR="00C9336A" w:rsidRPr="009625F2">
        <w:t xml:space="preserve"> </w:t>
      </w:r>
      <w:r w:rsidRPr="009625F2">
        <w:t>Minister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office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MoCS,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Museum</w:t>
      </w:r>
      <w:r w:rsidR="00C9336A" w:rsidRPr="009625F2">
        <w:t xml:space="preserve"> </w:t>
      </w:r>
      <w:r w:rsidRPr="009625F2">
        <w:t>Internet</w:t>
      </w:r>
      <w:r w:rsidR="00C9336A" w:rsidRPr="009625F2">
        <w:t xml:space="preserve"> </w:t>
      </w:r>
      <w:r w:rsidRPr="009625F2">
        <w:t>Portal</w:t>
      </w:r>
      <w:r w:rsidRPr="009625F2">
        <w:rPr>
          <w:rStyle w:val="FootnoteReference"/>
        </w:rPr>
        <w:footnoteReference w:id="3"/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initiated.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Portal</w:t>
      </w:r>
      <w:r w:rsidR="00C9336A" w:rsidRPr="009625F2">
        <w:t xml:space="preserve"> </w:t>
      </w:r>
      <w:r w:rsidRPr="009625F2">
        <w:t>currently</w:t>
      </w:r>
      <w:r w:rsidR="00C9336A" w:rsidRPr="009625F2">
        <w:t xml:space="preserve"> </w:t>
      </w:r>
      <w:r w:rsidRPr="009625F2">
        <w:t>includes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over</w:t>
      </w:r>
      <w:r w:rsidR="00C9336A" w:rsidRPr="009625F2">
        <w:t xml:space="preserve"> </w:t>
      </w:r>
      <w:r w:rsidRPr="009625F2">
        <w:t>63,000</w:t>
      </w:r>
      <w:r w:rsidR="00C9336A" w:rsidRPr="009625F2">
        <w:t xml:space="preserve"> </w:t>
      </w:r>
      <w:r w:rsidRPr="009625F2">
        <w:t>items,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located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museums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receives</w:t>
      </w:r>
      <w:r w:rsidR="00C9336A" w:rsidRPr="009625F2">
        <w:t xml:space="preserve"> </w:t>
      </w:r>
      <w:r w:rsidRPr="009625F2">
        <w:t>State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support.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portal</w:t>
      </w:r>
      <w:r w:rsidR="00C9336A" w:rsidRPr="009625F2">
        <w:t xml:space="preserve"> </w:t>
      </w:r>
      <w:r w:rsidRPr="009625F2">
        <w:t>received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recognition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parallel</w:t>
      </w:r>
      <w:r w:rsidR="00C9336A" w:rsidRPr="009625F2">
        <w:t xml:space="preserve"> </w:t>
      </w:r>
      <w:r w:rsidRPr="009625F2">
        <w:t>European</w:t>
      </w:r>
      <w:r w:rsidR="00C9336A" w:rsidRPr="009625F2">
        <w:t xml:space="preserve"> </w:t>
      </w:r>
      <w:r w:rsidRPr="009625F2">
        <w:t>portal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European</w:t>
      </w:r>
      <w:r w:rsidR="00C9336A" w:rsidRPr="009625F2">
        <w:t xml:space="preserve"> </w:t>
      </w:r>
      <w:r w:rsidRPr="009625F2">
        <w:t>Collections,</w:t>
      </w:r>
      <w:r w:rsidR="00C9336A" w:rsidRPr="009625F2">
        <w:t xml:space="preserve"> </w:t>
      </w:r>
      <w:r w:rsidRPr="009625F2">
        <w:t>out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understanding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items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museums</w:t>
      </w:r>
      <w:r w:rsidR="00C9336A" w:rsidRPr="009625F2">
        <w:t xml:space="preserve"> </w:t>
      </w:r>
      <w:r w:rsidRPr="009625F2">
        <w:t>hold</w:t>
      </w:r>
      <w:r w:rsidR="00C9336A" w:rsidRPr="009625F2">
        <w:t xml:space="preserve"> </w:t>
      </w:r>
      <w:r w:rsidRPr="009625F2">
        <w:t>profound</w:t>
      </w:r>
      <w:r w:rsidR="00C9336A" w:rsidRPr="009625F2">
        <w:t xml:space="preserve"> </w:t>
      </w:r>
      <w:r w:rsidRPr="009625F2">
        <w:t>value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history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mankind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history.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388.</w:t>
      </w:r>
      <w:r w:rsidRPr="009625F2">
        <w:tab/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another</w:t>
      </w:r>
      <w:r w:rsidR="00C9336A" w:rsidRPr="009625F2">
        <w:t xml:space="preserve"> </w:t>
      </w:r>
      <w:r w:rsidRPr="009625F2">
        <w:t>three</w:t>
      </w:r>
      <w:r w:rsidR="00C9336A" w:rsidRPr="009625F2">
        <w:t xml:space="preserve"> </w:t>
      </w:r>
      <w:r w:rsidRPr="009625F2">
        <w:t>(3)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sites</w:t>
      </w:r>
      <w:r w:rsidR="00C9336A" w:rsidRPr="009625F2">
        <w:t xml:space="preserve"> </w:t>
      </w:r>
      <w:r w:rsidRPr="009625F2">
        <w:t>located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recognized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UNESCO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World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Sites:</w:t>
      </w:r>
      <w:r w:rsidR="00C9336A" w:rsidRPr="009625F2">
        <w:t xml:space="preserve"> </w:t>
      </w:r>
      <w:r w:rsidRPr="009625F2">
        <w:t>Beit</w:t>
      </w:r>
      <w:r w:rsidR="00C9336A" w:rsidRPr="009625F2">
        <w:t xml:space="preserve"> </w:t>
      </w:r>
      <w:r w:rsidRPr="009625F2">
        <w:t>Guvrin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Park,</w:t>
      </w:r>
      <w:r w:rsidR="00C9336A" w:rsidRPr="009625F2">
        <w:t xml:space="preserve"> </w:t>
      </w:r>
      <w:r w:rsidRPr="009625F2">
        <w:t>Nahal</w:t>
      </w:r>
      <w:r w:rsidR="00C9336A" w:rsidRPr="009625F2">
        <w:t xml:space="preserve"> </w:t>
      </w:r>
      <w:r w:rsidRPr="009625F2">
        <w:t>Mearot</w:t>
      </w:r>
      <w:r w:rsidR="00C9336A" w:rsidRPr="009625F2">
        <w:t xml:space="preserve"> </w:t>
      </w:r>
      <w:r w:rsidRPr="009625F2">
        <w:t>Nature</w:t>
      </w:r>
      <w:r w:rsidR="00C9336A" w:rsidRPr="009625F2">
        <w:t xml:space="preserve"> </w:t>
      </w:r>
      <w:r w:rsidRPr="009625F2">
        <w:t>reserve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Beit</w:t>
      </w:r>
      <w:r w:rsidR="00C9336A" w:rsidRPr="009625F2">
        <w:t xml:space="preserve"> </w:t>
      </w:r>
      <w:r w:rsidRPr="009625F2">
        <w:t>Shearim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Park.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sites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well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22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recognized</w:t>
      </w:r>
      <w:r w:rsidR="00C9336A" w:rsidRPr="009625F2">
        <w:t xml:space="preserve"> </w:t>
      </w:r>
      <w:r w:rsidRPr="009625F2">
        <w:t>World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Sites</w:t>
      </w:r>
      <w:r w:rsidR="00C9336A" w:rsidRPr="009625F2">
        <w:t xml:space="preserve"> </w:t>
      </w:r>
      <w:r w:rsidRPr="009625F2">
        <w:t>located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sites,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open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accessible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public.</w:t>
      </w:r>
    </w:p>
    <w:p w:rsidR="00B342F3" w:rsidRPr="009625F2" w:rsidRDefault="00B342F3" w:rsidP="00CD7F24">
      <w:pPr>
        <w:pStyle w:val="H23G"/>
      </w:pPr>
      <w:r w:rsidRPr="009625F2">
        <w:tab/>
      </w:r>
      <w:r w:rsidRPr="009625F2">
        <w:tab/>
        <w:t>Encourage</w:t>
      </w:r>
      <w:r w:rsidR="00C9336A" w:rsidRPr="009625F2">
        <w:t xml:space="preserve"> </w:t>
      </w:r>
      <w:r w:rsidRPr="009625F2">
        <w:t>participation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life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children,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poorer</w:t>
      </w:r>
      <w:r w:rsidR="00C9336A" w:rsidRPr="009625F2">
        <w:t xml:space="preserve"> </w:t>
      </w:r>
      <w:r w:rsidRPr="009625F2">
        <w:t>families,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migrant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refugee</w:t>
      </w:r>
      <w:r w:rsidR="00C9336A" w:rsidRPr="009625F2">
        <w:t xml:space="preserve"> </w:t>
      </w:r>
      <w:r w:rsidRPr="009625F2">
        <w:t>children</w:t>
      </w:r>
    </w:p>
    <w:p w:rsidR="00B342F3" w:rsidRPr="009625F2" w:rsidRDefault="00B342F3" w:rsidP="00EB53EF">
      <w:pPr>
        <w:pStyle w:val="SingleTxtG"/>
      </w:pPr>
      <w:r w:rsidRPr="009625F2">
        <w:t>389.</w:t>
      </w:r>
      <w:r w:rsidRPr="009625F2">
        <w:tab/>
        <w:t>In</w:t>
      </w:r>
      <w:r w:rsidR="00C9336A" w:rsidRPr="009625F2">
        <w:t xml:space="preserve"> </w:t>
      </w:r>
      <w:r w:rsidRPr="009625F2">
        <w:t>recent</w:t>
      </w:r>
      <w:r w:rsidR="00C9336A" w:rsidRPr="009625F2">
        <w:t xml:space="preserve"> </w:t>
      </w:r>
      <w:r w:rsidRPr="009625F2">
        <w:t>years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holidays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Sukkot,</w:t>
      </w:r>
      <w:r w:rsidR="00C9336A" w:rsidRPr="009625F2">
        <w:t xml:space="preserve"> </w:t>
      </w:r>
      <w:r w:rsidRPr="009625F2">
        <w:t>Passover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Hanukah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MoCS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festivals</w:t>
      </w:r>
      <w:r w:rsidR="00C9336A" w:rsidRPr="009625F2">
        <w:t xml:space="preserve"> </w:t>
      </w:r>
      <w:r w:rsidRPr="009625F2">
        <w:t>across</w:t>
      </w:r>
      <w:r w:rsidR="00C9336A" w:rsidRPr="009625F2">
        <w:t xml:space="preserve"> </w:t>
      </w:r>
      <w:r w:rsidRPr="009625F2">
        <w:t>Israel,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emphasis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peripheral</w:t>
      </w:r>
      <w:r w:rsidR="00C9336A" w:rsidRPr="009625F2">
        <w:t xml:space="preserve"> </w:t>
      </w:r>
      <w:r w:rsidRPr="009625F2">
        <w:t>areas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participants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populations.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during</w:t>
      </w:r>
      <w:r w:rsidR="00C9336A" w:rsidRPr="009625F2">
        <w:t xml:space="preserve"> </w:t>
      </w:r>
      <w:r w:rsidRPr="009625F2">
        <w:t>Sukkot</w:t>
      </w:r>
      <w:r w:rsidR="00C9336A" w:rsidRPr="009625F2">
        <w:t xml:space="preserve"> </w:t>
      </w:r>
      <w:r w:rsidRPr="009625F2">
        <w:lastRenderedPageBreak/>
        <w:t>2016,</w:t>
      </w:r>
      <w:r w:rsidR="00C9336A" w:rsidRPr="009625F2">
        <w:t xml:space="preserve"> </w:t>
      </w:r>
      <w:r w:rsidRPr="009625F2">
        <w:t>about</w:t>
      </w:r>
      <w:r w:rsidR="00C9336A" w:rsidRPr="009625F2">
        <w:t xml:space="preserve"> </w:t>
      </w:r>
      <w:r w:rsidRPr="009625F2">
        <w:t>50</w:t>
      </w:r>
      <w:r w:rsidR="00C9336A" w:rsidRPr="009625F2">
        <w:t xml:space="preserve"> </w:t>
      </w:r>
      <w:r w:rsidRPr="009625F2">
        <w:t>festivals</w:t>
      </w:r>
      <w:r w:rsidR="00C9336A" w:rsidRPr="009625F2">
        <w:t xml:space="preserve"> </w:t>
      </w:r>
      <w:r w:rsidRPr="009625F2">
        <w:t>were</w:t>
      </w:r>
      <w:r w:rsidR="00C9336A" w:rsidRPr="009625F2">
        <w:t xml:space="preserve"> </w:t>
      </w:r>
      <w:r w:rsidRPr="009625F2">
        <w:t>held</w:t>
      </w:r>
      <w:r w:rsidR="00C9336A" w:rsidRPr="009625F2">
        <w:t xml:space="preserve"> </w:t>
      </w:r>
      <w:r w:rsidRPr="009625F2">
        <w:t>nationwide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various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authorities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support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MoCS,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free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performances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shows.</w:t>
      </w:r>
    </w:p>
    <w:p w:rsidR="00B342F3" w:rsidRPr="009625F2" w:rsidRDefault="00B342F3" w:rsidP="00EB53EF">
      <w:pPr>
        <w:pStyle w:val="SingleTxtG"/>
      </w:pPr>
      <w:r w:rsidRPr="009625F2">
        <w:t>390.</w:t>
      </w:r>
      <w:r w:rsidRPr="009625F2">
        <w:tab/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regard</w:t>
      </w:r>
      <w:r w:rsidR="00C9336A" w:rsidRPr="009625F2">
        <w:t xml:space="preserve"> </w:t>
      </w:r>
      <w:r w:rsidRPr="009625F2">
        <w:t>please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above</w:t>
      </w:r>
      <w:r w:rsidR="00C9336A" w:rsidRPr="009625F2">
        <w:t xml:space="preserve"> </w:t>
      </w:r>
      <w:r w:rsidRPr="009625F2">
        <w:t>information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local</w:t>
      </w:r>
      <w:r w:rsidR="00C9336A" w:rsidRPr="009625F2">
        <w:t xml:space="preserve"> </w:t>
      </w:r>
      <w:r w:rsidRPr="009625F2">
        <w:t>children</w:t>
      </w:r>
      <w:r w:rsidR="00C9336A" w:rsidRPr="009625F2">
        <w:t xml:space="preserve"> </w:t>
      </w:r>
      <w:r w:rsidRPr="009625F2">
        <w:t>Olympic</w:t>
      </w:r>
      <w:r w:rsidR="00C9336A" w:rsidRPr="009625F2">
        <w:t xml:space="preserve"> </w:t>
      </w:r>
      <w:r w:rsidRPr="009625F2">
        <w:t>Games.</w:t>
      </w:r>
    </w:p>
    <w:p w:rsidR="00B342F3" w:rsidRPr="009625F2" w:rsidRDefault="00B342F3" w:rsidP="00EB53EF">
      <w:pPr>
        <w:pStyle w:val="SingleTxtG"/>
      </w:pPr>
      <w:r w:rsidRPr="009625F2">
        <w:t>391.</w:t>
      </w:r>
      <w:r w:rsidRPr="009625F2">
        <w:tab/>
        <w:t>Prevention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Violence,</w:t>
      </w:r>
      <w:r w:rsidR="00C9336A" w:rsidRPr="009625F2">
        <w:t xml:space="preserve"> </w:t>
      </w:r>
      <w:r w:rsidRPr="009625F2">
        <w:t>Hostility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Racism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Sports</w:t>
      </w:r>
      <w:r w:rsidR="00C9336A" w:rsidRPr="009625F2">
        <w:t xml:space="preserve"> </w:t>
      </w:r>
      <w:r w:rsidRPr="009625F2">
        <w:t>Events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392.</w:t>
      </w:r>
      <w:r w:rsidRPr="009625F2">
        <w:tab/>
        <w:t>National</w:t>
      </w:r>
      <w:r w:rsidR="00C9336A" w:rsidRPr="009625F2">
        <w:t xml:space="preserve"> </w:t>
      </w:r>
      <w:r w:rsidRPr="009625F2">
        <w:t>expenditure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culture,</w:t>
      </w:r>
      <w:r w:rsidR="00C9336A" w:rsidRPr="009625F2">
        <w:t xml:space="preserve"> </w:t>
      </w:r>
      <w:r w:rsidRPr="009625F2">
        <w:t>entertainment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sport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CD7F24">
      <w:pPr>
        <w:pStyle w:val="H23G"/>
      </w:pPr>
      <w:r w:rsidRPr="009625F2">
        <w:tab/>
      </w:r>
      <w:r w:rsidRPr="009625F2">
        <w:tab/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diversity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393.</w:t>
      </w:r>
      <w:r w:rsidRPr="009625F2">
        <w:tab/>
        <w:t>Arab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Culture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March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Culture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Sport</w:t>
      </w:r>
      <w:r w:rsidR="00C9336A" w:rsidRPr="009625F2">
        <w:t xml:space="preserve"> </w:t>
      </w:r>
      <w:r w:rsidRPr="009625F2">
        <w:t>presented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five-year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</w:t>
      </w:r>
      <w:r w:rsidR="00C9336A" w:rsidRPr="009625F2">
        <w:t xml:space="preserve"> </w:t>
      </w:r>
      <w:r w:rsidRPr="009625F2">
        <w:t>population,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additional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initiatives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events.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doubled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20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(5.6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USD).</w:t>
      </w:r>
    </w:p>
    <w:p w:rsidR="00B342F3" w:rsidRPr="009625F2" w:rsidRDefault="00B342F3" w:rsidP="00EB53EF">
      <w:pPr>
        <w:pStyle w:val="SingleTxtG"/>
      </w:pPr>
      <w:r w:rsidRPr="009625F2">
        <w:t>394.</w:t>
      </w:r>
      <w:r w:rsidRPr="009625F2">
        <w:tab/>
        <w:t>Andalusian</w:t>
      </w:r>
      <w:r w:rsidR="00C9336A" w:rsidRPr="009625F2">
        <w:t xml:space="preserve"> </w:t>
      </w:r>
      <w:r w:rsidRPr="009625F2">
        <w:t>Orchestra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September</w:t>
      </w:r>
      <w:r w:rsidR="00C9336A" w:rsidRPr="009625F2">
        <w:t xml:space="preserve"> </w:t>
      </w:r>
      <w:r w:rsidRPr="009625F2">
        <w:t>2017,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MoCS</w:t>
      </w:r>
      <w:r w:rsidR="00C9336A" w:rsidRPr="009625F2">
        <w:t xml:space="preserve"> </w:t>
      </w:r>
      <w:r w:rsidRPr="009625F2">
        <w:t>issued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regulation,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Andalusian</w:t>
      </w:r>
      <w:r w:rsidR="00C9336A" w:rsidRPr="009625F2">
        <w:t xml:space="preserve"> </w:t>
      </w:r>
      <w:r w:rsidRPr="009625F2">
        <w:t>Orchestra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shall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chosen</w:t>
      </w:r>
      <w:r w:rsidR="00C9336A" w:rsidRPr="009625F2">
        <w:t xml:space="preserve"> </w:t>
      </w:r>
      <w:r w:rsidRPr="009625F2">
        <w:t>(an</w:t>
      </w:r>
      <w:r w:rsidR="00C9336A" w:rsidRPr="009625F2">
        <w:t xml:space="preserve"> </w:t>
      </w:r>
      <w:r w:rsidRPr="009625F2">
        <w:t>Orchestra</w:t>
      </w:r>
      <w:r w:rsidR="00C9336A" w:rsidRPr="009625F2">
        <w:t xml:space="preserve"> </w:t>
      </w:r>
      <w:r w:rsidRPr="009625F2">
        <w:t>playing</w:t>
      </w:r>
      <w:r w:rsidR="00C9336A" w:rsidRPr="009625F2">
        <w:t xml:space="preserve"> </w:t>
      </w:r>
      <w:r w:rsidRPr="009625F2">
        <w:t>classic</w:t>
      </w:r>
      <w:r w:rsidR="00C9336A" w:rsidRPr="009625F2">
        <w:t xml:space="preserve"> </w:t>
      </w:r>
      <w:r w:rsidRPr="009625F2">
        <w:t>Middle</w:t>
      </w:r>
      <w:r w:rsidR="00C9336A" w:rsidRPr="009625F2">
        <w:t xml:space="preserve"> </w:t>
      </w:r>
      <w:r w:rsidRPr="009625F2">
        <w:t>Eastern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Northern-African</w:t>
      </w:r>
      <w:r w:rsidR="00C9336A" w:rsidRPr="009625F2">
        <w:t xml:space="preserve"> </w:t>
      </w:r>
      <w:r w:rsidRPr="009625F2">
        <w:t>music)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upgraded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shall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recognized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orchestra</w:t>
      </w:r>
      <w:r w:rsidR="00C9336A" w:rsidRPr="009625F2">
        <w:t xml:space="preserve"> </w:t>
      </w:r>
      <w:r w:rsidRPr="009625F2">
        <w:t>alongside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Philharmonic</w:t>
      </w:r>
      <w:r w:rsidR="00C9336A" w:rsidRPr="009625F2">
        <w:t xml:space="preserve"> </w:t>
      </w:r>
      <w:r w:rsidRPr="009625F2">
        <w:t>Orchestra.</w:t>
      </w:r>
      <w:r w:rsidR="00C9336A" w:rsidRPr="009625F2">
        <w:t xml:space="preserve"> </w:t>
      </w:r>
      <w:r w:rsidRPr="009625F2"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regulation,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orchestra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shall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chosen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music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culture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art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MoCS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increased</w:t>
      </w:r>
      <w:r w:rsidR="00C9336A" w:rsidRPr="009625F2">
        <w:t xml:space="preserve"> </w:t>
      </w:r>
      <w:r w:rsidRPr="009625F2">
        <w:t>budget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five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(1.39</w:t>
      </w:r>
      <w:r w:rsidR="00C9336A" w:rsidRPr="009625F2">
        <w:t xml:space="preserve"> </w:t>
      </w:r>
      <w:r w:rsidRPr="009625F2">
        <w:t>Million</w:t>
      </w:r>
      <w:r w:rsidR="00C9336A" w:rsidRPr="009625F2">
        <w:t xml:space="preserve"> </w:t>
      </w:r>
      <w:r w:rsidRPr="009625F2">
        <w:t>USD)</w:t>
      </w:r>
      <w:r w:rsidR="00FD11C0" w:rsidRPr="009625F2">
        <w:t>.</w:t>
      </w:r>
    </w:p>
    <w:p w:rsidR="00B342F3" w:rsidRPr="009625F2" w:rsidRDefault="00B342F3" w:rsidP="00EB53EF">
      <w:pPr>
        <w:pStyle w:val="SingleTxtG"/>
      </w:pPr>
      <w:r w:rsidRPr="009625F2">
        <w:t>395.</w:t>
      </w:r>
      <w:r w:rsidRPr="009625F2">
        <w:tab/>
        <w:t>The</w:t>
      </w:r>
      <w:r w:rsidR="00C9336A" w:rsidRPr="009625F2">
        <w:t xml:space="preserve"> </w:t>
      </w:r>
      <w:r w:rsidRPr="009625F2">
        <w:t>Status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24,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marked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first-ever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Pr="009625F2">
        <w:t>Day.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396.</w:t>
      </w:r>
      <w:r w:rsidRPr="009625F2">
        <w:tab/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Pr="009625F2">
        <w:t>cable</w:t>
      </w:r>
      <w:r w:rsidR="00C9336A" w:rsidRPr="009625F2">
        <w:t xml:space="preserve"> </w:t>
      </w:r>
      <w:r w:rsidRPr="009625F2">
        <w:t>channel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September</w:t>
      </w:r>
      <w:r w:rsidR="00C9336A" w:rsidRPr="009625F2">
        <w:t xml:space="preserve"> </w:t>
      </w:r>
      <w:r w:rsidRPr="009625F2">
        <w:t>2011,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regulatory</w:t>
      </w:r>
      <w:r w:rsidR="00C9336A" w:rsidRPr="009625F2">
        <w:t xml:space="preserve"> </w:t>
      </w:r>
      <w:r w:rsidRPr="009625F2">
        <w:t>body</w:t>
      </w:r>
      <w:r w:rsidR="00C9336A" w:rsidRPr="009625F2">
        <w:t xml:space="preserve"> </w:t>
      </w:r>
      <w:r w:rsidRPr="009625F2">
        <w:t>granted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licence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language</w:t>
      </w:r>
      <w:r w:rsidR="00C9336A" w:rsidRPr="009625F2">
        <w:t xml:space="preserve"> </w:t>
      </w:r>
      <w:r w:rsidRPr="009625F2">
        <w:t>cable</w:t>
      </w:r>
      <w:r w:rsidR="00C9336A" w:rsidRPr="009625F2">
        <w:t xml:space="preserve"> </w:t>
      </w:r>
      <w:r w:rsidRPr="009625F2">
        <w:t>channel</w:t>
      </w:r>
      <w:r w:rsidR="00C9336A" w:rsidRPr="009625F2">
        <w:t xml:space="preserve"> </w:t>
      </w:r>
      <w:r w:rsidR="00D311F6">
        <w:t>“</w:t>
      </w:r>
      <w:r w:rsidRPr="009625F2">
        <w:t>Hala</w:t>
      </w:r>
      <w:r w:rsidR="00C9336A" w:rsidRPr="009625F2">
        <w:t xml:space="preserve"> </w:t>
      </w:r>
      <w:r w:rsidRPr="009625F2">
        <w:t>TV</w:t>
      </w:r>
      <w:r w:rsidR="00D311F6">
        <w:t>”</w:t>
      </w:r>
      <w:r w:rsidRPr="009625F2">
        <w:t>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started</w:t>
      </w:r>
      <w:r w:rsidR="00C9336A" w:rsidRPr="009625F2">
        <w:t xml:space="preserve"> </w:t>
      </w:r>
      <w:r w:rsidRPr="009625F2">
        <w:t>broadcasting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March</w:t>
      </w:r>
      <w:r w:rsidR="00C9336A" w:rsidRPr="009625F2">
        <w:t xml:space="preserve"> </w:t>
      </w:r>
      <w:r w:rsidRPr="009625F2">
        <w:t>2012.</w:t>
      </w:r>
      <w:r w:rsidR="00C9336A" w:rsidRPr="009625F2">
        <w:t xml:space="preserve"> </w:t>
      </w:r>
      <w:r w:rsidRPr="009625F2">
        <w:t>Note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channel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available</w:t>
      </w:r>
      <w:r w:rsidR="00C9336A" w:rsidRPr="009625F2">
        <w:t xml:space="preserve"> </w:t>
      </w:r>
      <w:r w:rsidRPr="009625F2">
        <w:t>both</w:t>
      </w:r>
      <w:r w:rsidR="00C9336A" w:rsidRPr="009625F2">
        <w:t xml:space="preserve"> </w:t>
      </w:r>
      <w:r w:rsidRPr="009625F2">
        <w:t>through</w:t>
      </w:r>
      <w:r w:rsidR="00C9336A" w:rsidRPr="009625F2">
        <w:t xml:space="preserve"> </w:t>
      </w:r>
      <w:r w:rsidRPr="009625F2">
        <w:t>cable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satellite</w:t>
      </w:r>
      <w:r w:rsidR="00C9336A" w:rsidRPr="009625F2">
        <w:t xml:space="preserve"> </w:t>
      </w:r>
      <w:r w:rsidRPr="009625F2">
        <w:t>platforms.</w:t>
      </w:r>
    </w:p>
    <w:p w:rsidR="00B342F3" w:rsidRPr="009625F2" w:rsidRDefault="00B342F3" w:rsidP="00CD7F24">
      <w:pPr>
        <w:pStyle w:val="H23G"/>
      </w:pPr>
      <w:r w:rsidRPr="009625F2">
        <w:tab/>
      </w:r>
      <w:r w:rsidRPr="009625F2">
        <w:tab/>
        <w:t>School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professional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culture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arts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397.</w:t>
      </w:r>
      <w:r w:rsidRPr="009625F2">
        <w:tab/>
        <w:t>The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Empowerment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Sephardi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Mizrahi</w:t>
      </w:r>
      <w:r w:rsidR="00C9336A" w:rsidRPr="009625F2">
        <w:t xml:space="preserve"> </w:t>
      </w:r>
      <w:r w:rsidRPr="009625F2">
        <w:t>Jews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appointed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February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examine</w:t>
      </w:r>
      <w:r w:rsidR="00C9336A" w:rsidRPr="009625F2">
        <w:t xml:space="preserve"> </w:t>
      </w:r>
      <w:r w:rsidRPr="009625F2">
        <w:t>ways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enrich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curriculum</w:t>
      </w:r>
      <w:r w:rsidR="00C9336A" w:rsidRPr="009625F2">
        <w:t xml:space="preserve"> </w:t>
      </w:r>
      <w:r w:rsidRPr="009625F2">
        <w:t>(especially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history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literature)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Mizrachi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Sfaradic</w:t>
      </w:r>
      <w:r w:rsidR="00C9336A" w:rsidRPr="009625F2">
        <w:t xml:space="preserve"> </w:t>
      </w:r>
      <w:r w:rsidRPr="009625F2">
        <w:t>Jewish</w:t>
      </w:r>
      <w:r w:rsidR="00C9336A" w:rsidRPr="009625F2">
        <w:t xml:space="preserve"> </w:t>
      </w:r>
      <w:r w:rsidRPr="009625F2">
        <w:t>culture.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recommendations,</w:t>
      </w:r>
      <w:r w:rsidR="00C9336A" w:rsidRPr="009625F2">
        <w:t xml:space="preserve"> </w:t>
      </w:r>
      <w:r w:rsidRPr="009625F2">
        <w:t>submitted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June</w:t>
      </w:r>
      <w:r w:rsidR="00C9336A" w:rsidRPr="009625F2">
        <w:t xml:space="preserve"> </w:t>
      </w:r>
      <w:r w:rsidRPr="009625F2">
        <w:t>2016,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recommendation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make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study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Mizrahi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Sfaradic</w:t>
      </w:r>
      <w:r w:rsidR="00C9336A" w:rsidRPr="009625F2">
        <w:t xml:space="preserve"> </w:t>
      </w:r>
      <w:r w:rsidRPr="009625F2">
        <w:t>history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culture</w:t>
      </w:r>
      <w:r w:rsidR="00C9336A" w:rsidRPr="009625F2">
        <w:t xml:space="preserve"> </w:t>
      </w:r>
      <w:r w:rsidRPr="009625F2">
        <w:t>compulsory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Hebrew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system;</w:t>
      </w:r>
      <w:r w:rsidR="00C9336A" w:rsidRPr="009625F2">
        <w:t xml:space="preserve"> </w:t>
      </w:r>
      <w:r w:rsidRPr="009625F2">
        <w:t>creating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educational</w:t>
      </w:r>
      <w:r w:rsidR="00C9336A" w:rsidRPr="009625F2">
        <w:t xml:space="preserve"> </w:t>
      </w:r>
      <w:r w:rsidRPr="009625F2">
        <w:t>television</w:t>
      </w:r>
      <w:r w:rsidR="00C9336A" w:rsidRPr="009625F2">
        <w:t xml:space="preserve"> </w:t>
      </w:r>
      <w:r w:rsidRPr="009625F2">
        <w:t>series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history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Mizrahi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Sfaradic</w:t>
      </w:r>
      <w:r w:rsidR="00C9336A" w:rsidRPr="009625F2">
        <w:t xml:space="preserve"> </w:t>
      </w:r>
      <w:r w:rsidRPr="009625F2">
        <w:t>culture;</w:t>
      </w:r>
      <w:r w:rsidR="00C9336A" w:rsidRPr="009625F2">
        <w:t xml:space="preserve"> </w:t>
      </w:r>
      <w:r w:rsidRPr="009625F2">
        <w:t>increasing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within</w:t>
      </w:r>
      <w:r w:rsidR="00C9336A" w:rsidRPr="009625F2">
        <w:t xml:space="preserve"> </w:t>
      </w:r>
      <w:r w:rsidRPr="009625F2">
        <w:t>humanity</w:t>
      </w:r>
      <w:r w:rsidR="00C9336A" w:rsidRPr="009625F2">
        <w:t xml:space="preserve"> </w:t>
      </w:r>
      <w:r w:rsidRPr="009625F2">
        <w:t>faculties;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establishing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Mizrahi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Sfaradic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museum.</w:t>
      </w:r>
    </w:p>
    <w:p w:rsidR="00B342F3" w:rsidRPr="009625F2" w:rsidRDefault="00B342F3" w:rsidP="00EB53EF">
      <w:pPr>
        <w:pStyle w:val="SingleTxtG"/>
      </w:pPr>
      <w:r w:rsidRPr="009625F2">
        <w:t>398.</w:t>
      </w:r>
      <w:r w:rsidRPr="009625F2">
        <w:tab/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order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present</w:t>
      </w:r>
      <w:r w:rsidR="00C9336A" w:rsidRPr="009625F2">
        <w:t xml:space="preserve"> </w:t>
      </w:r>
      <w:r w:rsidRPr="009625F2">
        <w:t>cinema</w:t>
      </w:r>
      <w:r w:rsidR="00C9336A" w:rsidRPr="009625F2">
        <w:t xml:space="preserve"> </w:t>
      </w:r>
      <w:r w:rsidRPr="009625F2">
        <w:t>productions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persons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decided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publish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tender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operation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friendly</w:t>
      </w:r>
      <w:r w:rsidR="00C9336A" w:rsidRPr="009625F2">
        <w:t xml:space="preserve"> </w:t>
      </w:r>
      <w:r w:rsidRPr="009625F2">
        <w:t>environment</w:t>
      </w:r>
      <w:r w:rsidR="00C9336A" w:rsidRPr="009625F2">
        <w:t xml:space="preserve"> </w:t>
      </w:r>
      <w:r w:rsidRPr="009625F2">
        <w:t>cinema</w:t>
      </w:r>
      <w:r w:rsidR="00C9336A" w:rsidRPr="009625F2">
        <w:t xml:space="preserve"> </w:t>
      </w:r>
      <w:r w:rsidRPr="009625F2">
        <w:t>incubators,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assist</w:t>
      </w:r>
      <w:r w:rsidR="00C9336A" w:rsidRPr="009625F2">
        <w:t xml:space="preserve"> </w:t>
      </w:r>
      <w:r w:rsidRPr="009625F2">
        <w:t>creators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descent,</w:t>
      </w:r>
      <w:r w:rsidR="00C9336A" w:rsidRPr="009625F2">
        <w:t xml:space="preserve"> </w:t>
      </w:r>
      <w:r w:rsidRPr="009625F2">
        <w:t>present</w:t>
      </w:r>
      <w:r w:rsidR="00C9336A" w:rsidRPr="009625F2">
        <w:t xml:space="preserve"> </w:t>
      </w:r>
      <w:r w:rsidRPr="009625F2">
        <w:t>their</w:t>
      </w:r>
      <w:r w:rsidR="00C9336A" w:rsidRPr="009625F2">
        <w:t xml:space="preserve"> </w:t>
      </w:r>
      <w:r w:rsidRPr="009625F2">
        <w:t>works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creations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allow</w:t>
      </w:r>
      <w:r w:rsidR="00C9336A" w:rsidRPr="009625F2">
        <w:t xml:space="preserve"> </w:t>
      </w:r>
      <w:r w:rsidRPr="009625F2">
        <w:t>them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provide</w:t>
      </w:r>
      <w:r w:rsidR="00C9336A" w:rsidRPr="009625F2">
        <w:t xml:space="preserve"> </w:t>
      </w:r>
      <w:r w:rsidRPr="009625F2">
        <w:t>contents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TV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Internet</w:t>
      </w:r>
      <w:r w:rsidR="00C9336A" w:rsidRPr="009625F2">
        <w:t xml:space="preserve"> </w:t>
      </w:r>
      <w:r w:rsidRPr="009625F2">
        <w:t>networks.</w:t>
      </w:r>
    </w:p>
    <w:p w:rsidR="00B342F3" w:rsidRPr="009625F2" w:rsidRDefault="00B342F3" w:rsidP="00EB53EF">
      <w:pPr>
        <w:pStyle w:val="SingleTxtG"/>
      </w:pPr>
      <w:r w:rsidRPr="009625F2">
        <w:t>399.</w:t>
      </w:r>
      <w:r w:rsidRPr="009625F2">
        <w:tab/>
        <w:t>The</w:t>
      </w:r>
      <w:r w:rsidR="00C9336A" w:rsidRPr="009625F2">
        <w:t xml:space="preserve"> </w:t>
      </w:r>
      <w:r w:rsidRPr="009625F2">
        <w:t>MoCS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published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tender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financial</w:t>
      </w:r>
      <w:r w:rsidR="00C9336A" w:rsidRPr="009625F2">
        <w:t xml:space="preserve"> </w:t>
      </w:r>
      <w:r w:rsidRPr="009625F2">
        <w:t>assistance</w:t>
      </w:r>
      <w:r w:rsidR="00C9336A" w:rsidRPr="009625F2">
        <w:t xml:space="preserve"> </w:t>
      </w:r>
      <w:r w:rsidRPr="009625F2">
        <w:t>fund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independent</w:t>
      </w:r>
      <w:r w:rsidR="00C9336A" w:rsidRPr="009625F2">
        <w:t xml:space="preserve"> </w:t>
      </w:r>
      <w:r w:rsidRPr="009625F2">
        <w:t>creators.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frame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fund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500,000</w:t>
      </w:r>
      <w:r w:rsidR="00C9336A" w:rsidRPr="009625F2">
        <w:t xml:space="preserve"> </w:t>
      </w:r>
      <w:r w:rsidRPr="009625F2">
        <w:t>NIS</w:t>
      </w:r>
      <w:r w:rsidR="00C9336A" w:rsidRPr="009625F2">
        <w:t xml:space="preserve"> </w:t>
      </w:r>
      <w:r w:rsidRPr="009625F2">
        <w:t>(139,000</w:t>
      </w:r>
      <w:r w:rsidR="00C9336A" w:rsidRPr="009625F2">
        <w:t xml:space="preserve"> </w:t>
      </w:r>
      <w:r w:rsidRPr="009625F2">
        <w:t>USD)</w:t>
      </w:r>
      <w:r w:rsidR="00C9336A" w:rsidRPr="009625F2">
        <w:t xml:space="preserve"> </w:t>
      </w:r>
      <w:r w:rsidRPr="009625F2">
        <w:t>will</w:t>
      </w:r>
      <w:r w:rsidR="00C9336A" w:rsidRPr="009625F2">
        <w:t xml:space="preserve"> </w:t>
      </w:r>
      <w:r w:rsidRPr="009625F2">
        <w:t>be</w:t>
      </w:r>
      <w:r w:rsidR="00C9336A" w:rsidRPr="009625F2">
        <w:t xml:space="preserve"> </w:t>
      </w:r>
      <w:r w:rsidRPr="009625F2">
        <w:t>allocated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creators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descent.</w:t>
      </w:r>
      <w:r w:rsidR="00C9336A" w:rsidRPr="009625F2">
        <w:t xml:space="preserve"> </w:t>
      </w:r>
      <w:r w:rsidRPr="009625F2">
        <w:t>Note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supports</w:t>
      </w:r>
      <w:r w:rsidR="00C9336A" w:rsidRPr="009625F2">
        <w:t xml:space="preserve"> </w:t>
      </w:r>
      <w:r w:rsidRPr="009625F2">
        <w:t>festivals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events</w:t>
      </w:r>
      <w:r w:rsidR="00C9336A" w:rsidRPr="009625F2">
        <w:t xml:space="preserve"> </w:t>
      </w:r>
      <w:r w:rsidRPr="009625F2">
        <w:t>celebrating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Jewry;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work</w:t>
      </w:r>
      <w:r w:rsidR="00C9336A" w:rsidRPr="009625F2">
        <w:t xml:space="preserve"> </w:t>
      </w:r>
      <w:r w:rsidRPr="009625F2">
        <w:t>plan</w:t>
      </w:r>
      <w:r w:rsidR="00C9336A" w:rsidRPr="009625F2">
        <w:t xml:space="preserve"> </w:t>
      </w:r>
      <w:r w:rsidRPr="009625F2">
        <w:t>regarding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establishment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society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commemoration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Jewry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advance</w:t>
      </w:r>
      <w:r w:rsidR="00C9336A" w:rsidRPr="009625F2">
        <w:t xml:space="preserve"> </w:t>
      </w:r>
      <w:r w:rsidRPr="009625F2">
        <w:t>stages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several</w:t>
      </w:r>
      <w:r w:rsidR="00C9336A" w:rsidRPr="009625F2">
        <w:t xml:space="preserve"> </w:t>
      </w:r>
      <w:r w:rsidRPr="009625F2">
        <w:t>project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frame</w:t>
      </w:r>
      <w:r w:rsidR="00C9336A" w:rsidRPr="009625F2">
        <w:t xml:space="preserve"> </w:t>
      </w:r>
      <w:r w:rsidRPr="009625F2">
        <w:t>are</w:t>
      </w:r>
      <w:r w:rsidR="00C9336A" w:rsidRPr="009625F2">
        <w:t xml:space="preserve"> </w:t>
      </w:r>
      <w:r w:rsidRPr="009625F2">
        <w:t>already</w:t>
      </w:r>
      <w:r w:rsidR="00C9336A" w:rsidRPr="009625F2">
        <w:t xml:space="preserve"> </w:t>
      </w:r>
      <w:r w:rsidRPr="009625F2">
        <w:t>being</w:t>
      </w:r>
      <w:r w:rsidR="00C9336A" w:rsidRPr="009625F2">
        <w:t xml:space="preserve"> </w:t>
      </w:r>
      <w:r w:rsidRPr="009625F2">
        <w:t>implemented</w:t>
      </w:r>
      <w:r w:rsidR="00C9336A" w:rsidRPr="009625F2">
        <w:t xml:space="preserve"> </w:t>
      </w:r>
      <w:r w:rsidRPr="009625F2">
        <w:t>(religious</w:t>
      </w:r>
      <w:r w:rsidR="00C9336A" w:rsidRPr="009625F2">
        <w:t xml:space="preserve"> </w:t>
      </w:r>
      <w:r w:rsidRPr="009625F2">
        <w:t>poetry</w:t>
      </w:r>
      <w:r w:rsidR="00C9336A" w:rsidRPr="009625F2">
        <w:t xml:space="preserve"> </w:t>
      </w:r>
      <w:r w:rsidRPr="009625F2">
        <w:t>festival,</w:t>
      </w:r>
      <w:r w:rsidR="00C9336A" w:rsidRPr="009625F2">
        <w:t xml:space="preserve"> </w:t>
      </w:r>
      <w:r w:rsidRPr="009625F2">
        <w:t>festival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commemorate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Sigd</w:t>
      </w:r>
      <w:r w:rsidR="00C9336A" w:rsidRPr="009625F2">
        <w:t xml:space="preserve"> </w:t>
      </w:r>
      <w:r w:rsidRPr="009625F2">
        <w:t>holiday</w:t>
      </w:r>
      <w:r w:rsidR="00C9336A" w:rsidRPr="009625F2">
        <w:t xml:space="preserve"> </w:t>
      </w:r>
      <w:r w:rsidRPr="009625F2">
        <w:t>etc.).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Ministry</w:t>
      </w:r>
      <w:r w:rsidR="00C9336A" w:rsidRPr="009625F2">
        <w:t xml:space="preserve"> </w:t>
      </w:r>
      <w:r w:rsidRPr="009625F2">
        <w:t>provides</w:t>
      </w:r>
      <w:r w:rsidR="00C9336A" w:rsidRPr="009625F2">
        <w:t xml:space="preserve"> </w:t>
      </w:r>
      <w:r w:rsidRPr="009625F2">
        <w:t>scholarships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peripheral</w:t>
      </w:r>
      <w:r w:rsidR="00C9336A" w:rsidRPr="009625F2">
        <w:t xml:space="preserve"> </w:t>
      </w:r>
      <w:r w:rsidRPr="009625F2">
        <w:t>areas,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those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Ethiopian</w:t>
      </w:r>
      <w:r w:rsidR="00C9336A" w:rsidRPr="009625F2">
        <w:t xml:space="preserve"> </w:t>
      </w:r>
      <w:r w:rsidRPr="009625F2">
        <w:t>descent.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400.</w:t>
      </w:r>
      <w:r w:rsidRPr="009625F2">
        <w:tab/>
        <w:t>Essay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competition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Unit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Israeli</w:t>
      </w:r>
      <w:r w:rsidR="00C9336A" w:rsidRPr="009625F2">
        <w:t xml:space="preserve"> </w:t>
      </w:r>
      <w:r w:rsidRPr="009625F2">
        <w:t>Communities</w:t>
      </w:r>
      <w:r w:rsidR="00D311F6">
        <w:t>’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MoE</w:t>
      </w:r>
      <w:r w:rsidR="00C9336A" w:rsidRPr="009625F2">
        <w:t xml:space="preserve"> </w:t>
      </w:r>
      <w:r w:rsidRPr="009625F2">
        <w:t>holds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annual</w:t>
      </w:r>
      <w:r w:rsidR="00C9336A" w:rsidRPr="009625F2">
        <w:t xml:space="preserve"> </w:t>
      </w:r>
      <w:r w:rsidRPr="009625F2">
        <w:t>essay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competition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relating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heritage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Israel</w:t>
      </w:r>
      <w:r w:rsidR="00D311F6">
        <w:t>’</w:t>
      </w:r>
      <w:r w:rsidRPr="009625F2">
        <w:t>s</w:t>
      </w:r>
      <w:r w:rsidR="00C9336A" w:rsidRPr="009625F2">
        <w:t xml:space="preserve"> </w:t>
      </w:r>
      <w:r w:rsidRPr="009625F2">
        <w:t>communities.</w:t>
      </w:r>
      <w:r w:rsidR="00C9336A" w:rsidRPr="009625F2">
        <w:t xml:space="preserve"> </w:t>
      </w:r>
    </w:p>
    <w:p w:rsidR="00B342F3" w:rsidRPr="009625F2" w:rsidRDefault="00B342F3" w:rsidP="00CD7F24">
      <w:pPr>
        <w:pStyle w:val="H23G"/>
      </w:pPr>
      <w:r w:rsidRPr="009625F2">
        <w:lastRenderedPageBreak/>
        <w:tab/>
      </w:r>
      <w:r w:rsidRPr="009625F2">
        <w:tab/>
        <w:t>Affordable</w:t>
      </w:r>
      <w:r w:rsidR="00C9336A" w:rsidRPr="009625F2">
        <w:t xml:space="preserve"> </w:t>
      </w:r>
      <w:r w:rsidRPr="009625F2">
        <w:t>access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benefits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scient</w:t>
      </w:r>
      <w:r w:rsidR="00CD7F24" w:rsidRPr="009625F2">
        <w:t>if</w:t>
      </w:r>
      <w:r w:rsidRPr="009625F2">
        <w:t>ic</w:t>
      </w:r>
      <w:r w:rsidR="00C9336A" w:rsidRPr="009625F2">
        <w:t xml:space="preserve"> </w:t>
      </w:r>
      <w:r w:rsidRPr="009625F2">
        <w:t>progress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401.</w:t>
      </w:r>
      <w:r w:rsidRPr="009625F2">
        <w:tab/>
        <w:t>The</w:t>
      </w:r>
      <w:r w:rsidR="00C9336A" w:rsidRPr="009625F2">
        <w:t xml:space="preserve"> </w:t>
      </w:r>
      <w:r w:rsidRPr="009625F2">
        <w:t>MoSTaS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dedicated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promoting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technology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public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one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main</w:t>
      </w:r>
      <w:r w:rsidR="00C9336A" w:rsidRPr="009625F2">
        <w:t xml:space="preserve"> </w:t>
      </w:r>
      <w:r w:rsidRPr="009625F2">
        <w:t>goals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encourage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study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fields.</w:t>
      </w:r>
      <w:r w:rsidR="00C9336A" w:rsidRPr="009625F2">
        <w:t xml:space="preserve"> </w:t>
      </w:r>
      <w:r w:rsidRPr="009625F2">
        <w:t>Each</w:t>
      </w:r>
      <w:r w:rsidR="00C9336A" w:rsidRPr="009625F2">
        <w:t xml:space="preserve"> </w:t>
      </w:r>
      <w:r w:rsidRPr="009625F2">
        <w:t>year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holds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series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extra-curricula</w:t>
      </w:r>
      <w:r w:rsidR="00396DA5" w:rsidRPr="009625F2">
        <w:t>r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aimed</w:t>
      </w:r>
      <w:r w:rsidR="00C9336A" w:rsidRPr="009625F2">
        <w:t xml:space="preserve"> </w:t>
      </w:r>
      <w:r w:rsidRPr="009625F2">
        <w:t>at</w:t>
      </w:r>
      <w:r w:rsidR="00C9336A" w:rsidRPr="009625F2">
        <w:t xml:space="preserve"> </w:t>
      </w:r>
      <w:r w:rsidRPr="009625F2">
        <w:t>making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accessible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youth,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special</w:t>
      </w:r>
      <w:r w:rsidR="00C9336A" w:rsidRPr="009625F2">
        <w:t xml:space="preserve"> </w:t>
      </w:r>
      <w:r w:rsidRPr="009625F2">
        <w:t>emphasis</w:t>
      </w:r>
      <w:r w:rsidR="00C9336A" w:rsidRPr="009625F2">
        <w:t xml:space="preserve"> </w:t>
      </w:r>
      <w:r w:rsidRPr="009625F2">
        <w:t>placed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inclusion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minority</w:t>
      </w:r>
      <w:r w:rsidR="00C9336A" w:rsidRPr="009625F2">
        <w:t xml:space="preserve"> </w:t>
      </w:r>
      <w:r w:rsidRPr="009625F2">
        <w:t>groups.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promotion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digital</w:t>
      </w:r>
      <w:r w:rsidR="00C9336A" w:rsidRPr="009625F2">
        <w:t xml:space="preserve"> </w:t>
      </w:r>
      <w:r w:rsidRPr="009625F2">
        <w:t>literacy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outlying</w:t>
      </w:r>
      <w:r w:rsidR="00C9336A" w:rsidRPr="009625F2">
        <w:t xml:space="preserve"> </w:t>
      </w:r>
      <w:r w:rsidRPr="009625F2">
        <w:t>areas;</w:t>
      </w:r>
      <w:r w:rsidR="00C9336A" w:rsidRPr="009625F2">
        <w:t xml:space="preserve"> </w:t>
      </w:r>
      <w:r w:rsidRPr="009625F2">
        <w:t>informal</w:t>
      </w:r>
      <w:r w:rsidR="00C9336A" w:rsidRPr="009625F2">
        <w:t xml:space="preserve"> </w:t>
      </w:r>
      <w:r w:rsidRPr="009625F2">
        <w:t>education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exact</w:t>
      </w:r>
      <w:r w:rsidR="00C9336A" w:rsidRPr="009625F2">
        <w:t xml:space="preserve"> </w:t>
      </w:r>
      <w:r w:rsidRPr="009625F2">
        <w:t>sciences,</w:t>
      </w:r>
      <w:r w:rsidR="00C9336A" w:rsidRPr="009625F2">
        <w:t xml:space="preserve"> </w:t>
      </w:r>
      <w:r w:rsidRPr="009625F2">
        <w:t>particularly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areas</w:t>
      </w:r>
      <w:r w:rsidR="00C9336A" w:rsidRPr="009625F2">
        <w:t xml:space="preserve"> </w:t>
      </w:r>
      <w:r w:rsidRPr="009625F2">
        <w:t>ranked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low</w:t>
      </w:r>
      <w:r w:rsidR="00C9336A" w:rsidRPr="009625F2">
        <w:t xml:space="preserve"> </w:t>
      </w:r>
      <w:r w:rsidRPr="009625F2">
        <w:t>socio-economic</w:t>
      </w:r>
      <w:r w:rsidR="00C9336A" w:rsidRPr="009625F2">
        <w:t xml:space="preserve"> </w:t>
      </w:r>
      <w:r w:rsidRPr="009625F2">
        <w:t>brackets;</w:t>
      </w:r>
      <w:r w:rsidR="00C9336A" w:rsidRPr="009625F2">
        <w:t xml:space="preserve"> </w:t>
      </w:r>
      <w:r w:rsidRPr="009625F2">
        <w:t>improving</w:t>
      </w:r>
      <w:r w:rsidR="00C9336A" w:rsidRPr="009625F2">
        <w:t xml:space="preserve"> </w:t>
      </w:r>
      <w:r w:rsidRPr="009625F2">
        <w:t>accessibility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ultra-Orthodox</w:t>
      </w:r>
      <w:r w:rsidR="00C9336A" w:rsidRPr="009625F2">
        <w:t xml:space="preserve"> </w:t>
      </w:r>
      <w:r w:rsidRPr="009625F2">
        <w:t>population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space-related</w:t>
      </w:r>
      <w:r w:rsidR="00C9336A" w:rsidRPr="009625F2">
        <w:t xml:space="preserve"> </w:t>
      </w:r>
      <w:r w:rsidRPr="009625F2">
        <w:t>activities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general</w:t>
      </w:r>
      <w:r w:rsidR="00C9336A" w:rsidRPr="009625F2">
        <w:t xml:space="preserve"> </w:t>
      </w:r>
      <w:r w:rsidRPr="009625F2">
        <w:t>public,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pupils</w:t>
      </w:r>
      <w:r w:rsidR="00C9336A" w:rsidRPr="009625F2">
        <w:t xml:space="preserve"> </w:t>
      </w:r>
      <w:r w:rsidRPr="009625F2">
        <w:t>from</w:t>
      </w:r>
      <w:r w:rsidR="00C9336A" w:rsidRPr="009625F2">
        <w:t xml:space="preserve"> </w:t>
      </w:r>
      <w:r w:rsidRPr="009625F2">
        <w:t>Arabic</w:t>
      </w:r>
      <w:r w:rsidR="00C9336A" w:rsidRPr="009625F2">
        <w:t xml:space="preserve"> </w:t>
      </w:r>
      <w:r w:rsidRPr="009625F2">
        <w:t>schools.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402.</w:t>
      </w:r>
      <w:r w:rsidRPr="009625F2">
        <w:tab/>
        <w:t>For</w:t>
      </w:r>
      <w:r w:rsidR="00C9336A" w:rsidRPr="009625F2">
        <w:t xml:space="preserve"> </w:t>
      </w:r>
      <w:r w:rsidRPr="009625F2">
        <w:t>details,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summary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related</w:t>
      </w:r>
      <w:r w:rsidR="00C9336A" w:rsidRPr="009625F2">
        <w:t xml:space="preserve"> </w:t>
      </w:r>
      <w:r w:rsidRPr="009625F2">
        <w:t>activities,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budgets,</w:t>
      </w:r>
      <w:r w:rsidR="00C9336A" w:rsidRPr="009625F2">
        <w:t xml:space="preserve"> </w:t>
      </w:r>
      <w:r w:rsidRPr="009625F2">
        <w:t>see</w:t>
      </w:r>
      <w:r w:rsidR="00C9336A" w:rsidRPr="009625F2">
        <w:t xml:space="preserve"> </w:t>
      </w:r>
      <w:r w:rsidRPr="009625F2">
        <w:t>Annex</w:t>
      </w:r>
      <w:r w:rsidR="00C9336A" w:rsidRPr="009625F2">
        <w:t xml:space="preserve"> </w:t>
      </w:r>
      <w:r w:rsidRPr="009625F2">
        <w:t>II.</w:t>
      </w:r>
    </w:p>
    <w:p w:rsidR="00B342F3" w:rsidRPr="009625F2" w:rsidRDefault="00B342F3" w:rsidP="00AA6039">
      <w:pPr>
        <w:pStyle w:val="H23G"/>
      </w:pPr>
      <w:r w:rsidRPr="009625F2">
        <w:tab/>
      </w:r>
      <w:r w:rsidRPr="009625F2">
        <w:tab/>
        <w:t>Measures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prevent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misuse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technical</w:t>
      </w:r>
      <w:r w:rsidR="00C9336A" w:rsidRPr="009625F2">
        <w:t xml:space="preserve"> </w:t>
      </w:r>
      <w:r w:rsidRPr="009625F2">
        <w:t>progress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403.</w:t>
      </w:r>
      <w:r w:rsidRPr="009625F2">
        <w:tab/>
        <w:t>National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detailed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our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role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make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fields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civil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development,</w:t>
      </w:r>
      <w:r w:rsidR="00C9336A" w:rsidRPr="009625F2">
        <w:t xml:space="preserve"> </w:t>
      </w:r>
      <w:r w:rsidRPr="009625F2">
        <w:t>including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development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infrastructure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projects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technology.</w:t>
      </w:r>
    </w:p>
    <w:p w:rsidR="00B342F3" w:rsidRPr="009625F2" w:rsidRDefault="00B342F3" w:rsidP="00EB53EF">
      <w:pPr>
        <w:pStyle w:val="SingleTxtG"/>
      </w:pPr>
      <w:r w:rsidRPr="009625F2">
        <w:t>404.</w:t>
      </w:r>
      <w:r w:rsidRPr="009625F2">
        <w:tab/>
        <w:t>The</w:t>
      </w:r>
      <w:r w:rsidR="00C9336A" w:rsidRPr="009625F2">
        <w:t xml:space="preserve"> </w:t>
      </w:r>
      <w:r w:rsidRPr="009625F2">
        <w:t>National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Medical</w:t>
      </w:r>
      <w:r w:rsidR="00C9336A" w:rsidRPr="009625F2">
        <w:t xml:space="preserve"> </w:t>
      </w:r>
      <w:r w:rsidRPr="009625F2">
        <w:t>Bioethics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council</w:t>
      </w:r>
      <w:r w:rsidR="00C9336A" w:rsidRPr="009625F2">
        <w:t xml:space="preserve"> </w:t>
      </w:r>
      <w:r w:rsidRPr="009625F2">
        <w:t>was</w:t>
      </w:r>
      <w:r w:rsidR="00C9336A" w:rsidRPr="009625F2">
        <w:t xml:space="preserve"> </w:t>
      </w:r>
      <w:r w:rsidRPr="009625F2">
        <w:t>established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2004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make</w:t>
      </w:r>
      <w:r w:rsidR="00C9336A" w:rsidRPr="009625F2">
        <w:t xml:space="preserve"> </w:t>
      </w:r>
      <w:r w:rsidRPr="009625F2">
        <w:t>recommendations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all</w:t>
      </w:r>
      <w:r w:rsidR="00C9336A" w:rsidRPr="009625F2">
        <w:t xml:space="preserve"> </w:t>
      </w:r>
      <w:r w:rsidRPr="009625F2">
        <w:t>branches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ethical</w:t>
      </w:r>
      <w:r w:rsidR="00C9336A" w:rsidRPr="009625F2">
        <w:t xml:space="preserve"> </w:t>
      </w:r>
      <w:r w:rsidRPr="009625F2">
        <w:t>issues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social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legal</w:t>
      </w:r>
      <w:r w:rsidR="00C9336A" w:rsidRPr="009625F2">
        <w:t xml:space="preserve"> </w:t>
      </w:r>
      <w:r w:rsidRPr="009625F2">
        <w:t>ramifications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biology,</w:t>
      </w:r>
      <w:r w:rsidR="00C9336A" w:rsidRPr="009625F2">
        <w:t xml:space="preserve"> </w:t>
      </w:r>
      <w:r w:rsidRPr="009625F2">
        <w:t>bio-technology,</w:t>
      </w:r>
      <w:r w:rsidR="00C9336A" w:rsidRPr="009625F2">
        <w:t xml:space="preserve"> </w:t>
      </w:r>
      <w:r w:rsidRPr="009625F2">
        <w:t>medicine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genetics.</w:t>
      </w:r>
    </w:p>
    <w:p w:rsidR="00B342F3" w:rsidRPr="009625F2" w:rsidRDefault="00B342F3" w:rsidP="00EB53EF">
      <w:pPr>
        <w:pStyle w:val="SingleTxtG"/>
      </w:pPr>
      <w:r w:rsidRPr="009625F2">
        <w:t>405.</w:t>
      </w:r>
      <w:r w:rsidRPr="009625F2">
        <w:tab/>
        <w:t>The</w:t>
      </w:r>
      <w:r w:rsidR="00C9336A" w:rsidRPr="009625F2">
        <w:t xml:space="preserve"> </w:t>
      </w:r>
      <w:r w:rsidRPr="009625F2">
        <w:t>High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Subject</w:t>
      </w:r>
      <w:r w:rsidR="00C9336A" w:rsidRPr="009625F2">
        <w:t xml:space="preserve"> </w:t>
      </w:r>
      <w:r w:rsidRPr="009625F2">
        <w:t>Experiments</w:t>
      </w:r>
      <w:r w:rsidR="00C9336A" w:rsidRPr="009625F2">
        <w:t xml:space="preserve"> </w:t>
      </w:r>
      <w:r w:rsidRPr="009625F2">
        <w:t>(Helsinki</w:t>
      </w:r>
      <w:r w:rsidR="00C9336A" w:rsidRPr="009625F2">
        <w:t xml:space="preserve"> </w:t>
      </w:r>
      <w:r w:rsidRPr="009625F2">
        <w:t>Committee)</w:t>
      </w:r>
      <w:r w:rsidR="00C9336A" w:rsidRPr="009625F2">
        <w:t xml:space="preserve"> </w:t>
      </w:r>
      <w:r w:rsidR="002D592A" w:rsidRPr="009625F2">
        <w:t>–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multi-disciplinary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examines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proposals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fields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human</w:t>
      </w:r>
      <w:r w:rsidR="00C9336A" w:rsidRPr="009625F2">
        <w:t xml:space="preserve"> </w:t>
      </w:r>
      <w:r w:rsidRPr="009625F2">
        <w:t>genetics,</w:t>
      </w:r>
      <w:r w:rsidR="00C9336A" w:rsidRPr="009625F2">
        <w:t xml:space="preserve"> </w:t>
      </w:r>
      <w:r w:rsidRPr="009625F2">
        <w:t>reproductive</w:t>
      </w:r>
      <w:r w:rsidR="00C9336A" w:rsidRPr="009625F2">
        <w:t xml:space="preserve"> </w:t>
      </w:r>
      <w:r w:rsidRPr="009625F2">
        <w:t>technologies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fields,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requested.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examines</w:t>
      </w:r>
      <w:r w:rsidR="00C9336A" w:rsidRPr="009625F2">
        <w:t xml:space="preserve"> </w:t>
      </w:r>
      <w:r w:rsidRPr="009625F2">
        <w:t>policy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fields.</w:t>
      </w:r>
      <w:r w:rsidR="00C9336A" w:rsidRPr="009625F2">
        <w:t xml:space="preserve"> </w:t>
      </w:r>
      <w:r w:rsidRPr="009625F2">
        <w:t>It</w:t>
      </w:r>
      <w:r w:rsidR="00C9336A" w:rsidRPr="009625F2">
        <w:t xml:space="preserve"> </w:t>
      </w:r>
      <w:r w:rsidRPr="009625F2">
        <w:t>serves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an</w:t>
      </w:r>
      <w:r w:rsidR="00C9336A" w:rsidRPr="009625F2">
        <w:t xml:space="preserve"> </w:t>
      </w:r>
      <w:r w:rsidRPr="009625F2">
        <w:t>advisory</w:t>
      </w:r>
      <w:r w:rsidR="00C9336A" w:rsidRPr="009625F2">
        <w:t xml:space="preserve"> </w:t>
      </w:r>
      <w:r w:rsidRPr="009625F2">
        <w:t>committee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Minister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Health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Technology</w:t>
      </w:r>
      <w:r w:rsidR="00C9336A" w:rsidRPr="009625F2">
        <w:t xml:space="preserve"> </w:t>
      </w:r>
      <w:r w:rsidRPr="009625F2">
        <w:t>Committees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Knesset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developments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medicine,</w:t>
      </w:r>
      <w:r w:rsidR="00C9336A" w:rsidRPr="009625F2">
        <w:t xml:space="preserve"> </w:t>
      </w:r>
      <w:r w:rsidRPr="009625F2">
        <w:t>science,</w:t>
      </w:r>
      <w:r w:rsidR="00C9336A" w:rsidRPr="009625F2">
        <w:t xml:space="preserve"> </w:t>
      </w:r>
      <w:r w:rsidRPr="009625F2">
        <w:t>biotechnology,</w:t>
      </w:r>
      <w:r w:rsidR="00C9336A" w:rsidRPr="009625F2">
        <w:t xml:space="preserve"> </w:t>
      </w:r>
      <w:r w:rsidRPr="009625F2">
        <w:t>bioethics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more.</w:t>
      </w:r>
    </w:p>
    <w:p w:rsidR="00B342F3" w:rsidRPr="009625F2" w:rsidRDefault="00B342F3" w:rsidP="00AA6039">
      <w:pPr>
        <w:pStyle w:val="H23G"/>
      </w:pPr>
      <w:r w:rsidRPr="009625F2">
        <w:tab/>
      </w:r>
      <w:r w:rsidRPr="009625F2">
        <w:tab/>
        <w:t>Effective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moral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material</w:t>
      </w:r>
      <w:r w:rsidR="00C9336A" w:rsidRPr="009625F2">
        <w:t xml:space="preserve"> </w:t>
      </w:r>
      <w:r w:rsidRPr="009625F2">
        <w:t>interests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creators</w:t>
      </w:r>
    </w:p>
    <w:p w:rsidR="00B342F3" w:rsidRPr="009625F2" w:rsidRDefault="00B342F3" w:rsidP="00EB53EF">
      <w:pPr>
        <w:pStyle w:val="SingleTxtG"/>
      </w:pPr>
      <w:r w:rsidRPr="009625F2">
        <w:t>406.</w:t>
      </w:r>
      <w:r w:rsidRPr="009625F2">
        <w:tab/>
        <w:t>According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Copy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5768-2007,</w:t>
      </w:r>
      <w:r w:rsidR="00C9336A" w:rsidRPr="009625F2">
        <w:t xml:space="preserve"> </w:t>
      </w:r>
      <w:r w:rsidRPr="009625F2">
        <w:t>regulates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moral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creator,</w:t>
      </w:r>
      <w:r w:rsidR="00C9336A" w:rsidRPr="009625F2">
        <w:t xml:space="preserve"> </w:t>
      </w:r>
      <w:r w:rsidRPr="009625F2">
        <w:t>by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creator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entitled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may</w:t>
      </w:r>
      <w:r w:rsidR="00C9336A" w:rsidRPr="009625F2">
        <w:t xml:space="preserve"> </w:t>
      </w:r>
      <w:r w:rsidRPr="009625F2">
        <w:t>also</w:t>
      </w:r>
      <w:r w:rsidR="00C9336A" w:rsidRPr="009625F2">
        <w:t xml:space="preserve"> </w:t>
      </w:r>
      <w:r w:rsidRPr="009625F2">
        <w:t>collect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fee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use</w:t>
      </w:r>
      <w:r w:rsidR="00C9336A" w:rsidRPr="009625F2">
        <w:t xml:space="preserve"> </w:t>
      </w:r>
      <w:r w:rsidRPr="009625F2">
        <w:t>made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her/his</w:t>
      </w:r>
      <w:r w:rsidR="00C9336A" w:rsidRPr="009625F2">
        <w:t xml:space="preserve"> </w:t>
      </w:r>
      <w:r w:rsidRPr="009625F2">
        <w:t>right.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moral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consists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two</w:t>
      </w:r>
      <w:r w:rsidR="00C9336A" w:rsidRPr="009625F2">
        <w:t xml:space="preserve"> </w:t>
      </w:r>
      <w:r w:rsidRPr="009625F2">
        <w:t>(2)</w:t>
      </w:r>
      <w:r w:rsidR="00C9336A" w:rsidRPr="009625F2">
        <w:t xml:space="preserve"> </w:t>
      </w:r>
      <w:r w:rsidRPr="009625F2">
        <w:t>rights: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attribution</w:t>
      </w:r>
      <w:r w:rsidR="00C9336A" w:rsidRPr="009625F2">
        <w:t xml:space="preserve"> </w:t>
      </w:r>
      <w:r w:rsidRPr="009625F2">
        <w:t>(credit)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perfection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creation</w:t>
      </w:r>
      <w:r w:rsidR="00C9336A" w:rsidRPr="009625F2">
        <w:t xml:space="preserve"> </w:t>
      </w:r>
      <w:r w:rsidRPr="009625F2">
        <w:t>so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no</w:t>
      </w:r>
      <w:r w:rsidR="00C9336A" w:rsidRPr="009625F2">
        <w:t xml:space="preserve"> </w:t>
      </w:r>
      <w:r w:rsidRPr="009625F2">
        <w:t>alteration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misrepresentation</w:t>
      </w:r>
      <w:r w:rsidR="00C9336A" w:rsidRPr="009625F2">
        <w:t xml:space="preserve"> </w:t>
      </w:r>
      <w:r w:rsidRPr="009625F2">
        <w:t>that</w:t>
      </w:r>
      <w:r w:rsidR="00C9336A" w:rsidRPr="009625F2">
        <w:t xml:space="preserve"> </w:t>
      </w:r>
      <w:r w:rsidRPr="009625F2">
        <w:t>harms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name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dignity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creator</w:t>
      </w:r>
      <w:r w:rsidR="00C9336A" w:rsidRPr="009625F2">
        <w:t xml:space="preserve"> </w:t>
      </w:r>
      <w:r w:rsidRPr="009625F2">
        <w:t>is</w:t>
      </w:r>
      <w:r w:rsidR="00C9336A" w:rsidRPr="009625F2">
        <w:t xml:space="preserve"> </w:t>
      </w:r>
      <w:r w:rsidRPr="009625F2">
        <w:t>made.</w:t>
      </w:r>
    </w:p>
    <w:p w:rsidR="00B342F3" w:rsidRPr="009625F2" w:rsidRDefault="00B342F3" w:rsidP="00EB53EF">
      <w:pPr>
        <w:pStyle w:val="SingleTxtG"/>
      </w:pPr>
      <w:r w:rsidRPr="009625F2">
        <w:t>407.</w:t>
      </w:r>
      <w:r w:rsidRPr="009625F2">
        <w:tab/>
        <w:t>The</w:t>
      </w:r>
      <w:r w:rsidR="00C9336A" w:rsidRPr="009625F2">
        <w:t xml:space="preserve"> </w:t>
      </w:r>
      <w:r w:rsidRPr="009625F2">
        <w:t>Rights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Performers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Broadcasters</w:t>
      </w:r>
      <w:r w:rsidR="00C9336A" w:rsidRPr="009625F2">
        <w:t xml:space="preserve"> </w:t>
      </w:r>
      <w:r w:rsidRPr="009625F2">
        <w:t>Law</w:t>
      </w:r>
      <w:r w:rsidR="00C9336A" w:rsidRPr="009625F2">
        <w:t xml:space="preserve"> </w:t>
      </w:r>
      <w:r w:rsidRPr="009625F2">
        <w:t>5744-1984,</w:t>
      </w:r>
      <w:r w:rsidR="00C9336A" w:rsidRPr="009625F2">
        <w:t xml:space="preserve"> </w:t>
      </w:r>
      <w:r w:rsidRPr="009625F2">
        <w:t>regulate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protection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performer,</w:t>
      </w:r>
      <w:r w:rsidR="00C9336A" w:rsidRPr="009625F2">
        <w:t xml:space="preserve"> </w:t>
      </w:r>
      <w:r w:rsidRPr="009625F2">
        <w:t>which</w:t>
      </w:r>
      <w:r w:rsidR="00C9336A" w:rsidRPr="009625F2">
        <w:t xml:space="preserve"> </w:t>
      </w:r>
      <w:r w:rsidRPr="009625F2">
        <w:t>includes,</w:t>
      </w:r>
      <w:r w:rsidR="00C9336A" w:rsidRPr="009625F2">
        <w:t xml:space="preserve"> </w:t>
      </w:r>
      <w:r w:rsidRPr="009625F2">
        <w:t>inter</w:t>
      </w:r>
      <w:r w:rsidR="00C9336A" w:rsidRPr="009625F2">
        <w:t xml:space="preserve"> </w:t>
      </w:r>
      <w:r w:rsidRPr="009625F2">
        <w:t>alia,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right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receive</w:t>
      </w:r>
      <w:r w:rsidR="00C9336A" w:rsidRPr="009625F2">
        <w:t xml:space="preserve"> </w:t>
      </w:r>
      <w:r w:rsidRPr="009625F2">
        <w:t>proper</w:t>
      </w:r>
      <w:r w:rsidR="00C9336A" w:rsidRPr="009625F2">
        <w:t xml:space="preserve"> </w:t>
      </w:r>
      <w:r w:rsidRPr="009625F2">
        <w:t>royalties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presentation</w:t>
      </w:r>
      <w:r w:rsidR="00C9336A" w:rsidRPr="009625F2">
        <w:t xml:space="preserve"> </w:t>
      </w:r>
      <w:r w:rsidRPr="009625F2">
        <w:t>or</w:t>
      </w:r>
      <w:r w:rsidR="00C9336A" w:rsidRPr="009625F2">
        <w:t xml:space="preserve"> </w:t>
      </w:r>
      <w:r w:rsidRPr="009625F2">
        <w:t>playing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his/her</w:t>
      </w:r>
      <w:r w:rsidR="00C9336A" w:rsidRPr="009625F2">
        <w:t xml:space="preserve"> </w:t>
      </w:r>
      <w:r w:rsidRPr="009625F2">
        <w:t>performance,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well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moral</w:t>
      </w:r>
      <w:r w:rsidR="00C9336A" w:rsidRPr="009625F2">
        <w:t xml:space="preserve"> </w:t>
      </w:r>
      <w:r w:rsidRPr="009625F2">
        <w:t>performance</w:t>
      </w:r>
      <w:r w:rsidR="00C9336A" w:rsidRPr="009625F2">
        <w:t xml:space="preserve"> </w:t>
      </w:r>
      <w:r w:rsidRPr="009625F2">
        <w:t>right.</w:t>
      </w:r>
    </w:p>
    <w:p w:rsidR="00B342F3" w:rsidRPr="009625F2" w:rsidRDefault="00B342F3" w:rsidP="00AA6039">
      <w:pPr>
        <w:pStyle w:val="H23G"/>
      </w:pPr>
      <w:r w:rsidRPr="009625F2">
        <w:tab/>
      </w:r>
      <w:r w:rsidRPr="009625F2">
        <w:tab/>
        <w:t>Freedom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creative</w:t>
      </w:r>
      <w:r w:rsidR="00C9336A" w:rsidRPr="009625F2">
        <w:t xml:space="preserve"> </w:t>
      </w:r>
      <w:r w:rsidRPr="009625F2">
        <w:t>activity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408.</w:t>
      </w:r>
      <w:r w:rsidRPr="009625F2">
        <w:tab/>
        <w:t>No</w:t>
      </w:r>
      <w:r w:rsidR="00C9336A" w:rsidRPr="009625F2">
        <w:t xml:space="preserve"> </w:t>
      </w:r>
      <w:r w:rsidRPr="009625F2">
        <w:t>change</w:t>
      </w:r>
      <w:r w:rsidR="00C9336A" w:rsidRPr="009625F2">
        <w:t xml:space="preserve"> </w:t>
      </w:r>
      <w:r w:rsidRPr="009625F2">
        <w:t>has</w:t>
      </w:r>
      <w:r w:rsidR="00C9336A" w:rsidRPr="009625F2">
        <w:t xml:space="preserve"> </w:t>
      </w:r>
      <w:r w:rsidRPr="009625F2">
        <w:t>occurred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this</w:t>
      </w:r>
      <w:r w:rsidR="00C9336A" w:rsidRPr="009625F2">
        <w:t xml:space="preserve"> </w:t>
      </w:r>
      <w:r w:rsidRPr="009625F2">
        <w:t>area</w:t>
      </w:r>
      <w:r w:rsidR="00C9336A" w:rsidRPr="009625F2">
        <w:t xml:space="preserve"> </w:t>
      </w:r>
      <w:r w:rsidRPr="009625F2">
        <w:t>since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submission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third</w:t>
      </w:r>
      <w:r w:rsidR="00C9336A" w:rsidRPr="009625F2">
        <w:t xml:space="preserve"> </w:t>
      </w:r>
      <w:r w:rsidRPr="009625F2">
        <w:t>periodic</w:t>
      </w:r>
      <w:r w:rsidR="00C9336A" w:rsidRPr="009625F2">
        <w:t xml:space="preserve"> </w:t>
      </w:r>
      <w:r w:rsidRPr="009625F2">
        <w:t>report.</w:t>
      </w:r>
    </w:p>
    <w:p w:rsidR="00B342F3" w:rsidRPr="009625F2" w:rsidRDefault="00B342F3" w:rsidP="00AA6039">
      <w:pPr>
        <w:pStyle w:val="H23G"/>
      </w:pPr>
      <w:r w:rsidRPr="009625F2">
        <w:tab/>
      </w:r>
      <w:r w:rsidRPr="009625F2">
        <w:tab/>
        <w:t>International</w:t>
      </w:r>
      <w:r w:rsidR="00C9336A" w:rsidRPr="009625F2">
        <w:t xml:space="preserve"> </w:t>
      </w:r>
      <w:r w:rsidRPr="009625F2">
        <w:t>contacts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fields</w:t>
      </w:r>
      <w:r w:rsidR="00C9336A" w:rsidRPr="009625F2">
        <w:t xml:space="preserve"> </w:t>
      </w:r>
    </w:p>
    <w:p w:rsidR="00B342F3" w:rsidRPr="009625F2" w:rsidRDefault="00B342F3" w:rsidP="00EB53EF">
      <w:pPr>
        <w:pStyle w:val="SingleTxtG"/>
      </w:pPr>
      <w:r w:rsidRPr="009625F2">
        <w:t>409.</w:t>
      </w:r>
      <w:r w:rsidRPr="009625F2">
        <w:tab/>
        <w:t>The</w:t>
      </w:r>
      <w:r w:rsidR="00C9336A" w:rsidRPr="009625F2">
        <w:t xml:space="preserve"> </w:t>
      </w:r>
      <w:r w:rsidRPr="009625F2">
        <w:t>Foreign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Relations</w:t>
      </w:r>
      <w:r w:rsidR="00C9336A" w:rsidRPr="009625F2">
        <w:t xml:space="preserve"> </w:t>
      </w:r>
      <w:r w:rsidRPr="009625F2">
        <w:t>Department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MoSTaS</w:t>
      </w:r>
      <w:r w:rsidR="00C9336A" w:rsidRPr="009625F2">
        <w:t xml:space="preserve"> </w:t>
      </w:r>
      <w:r w:rsidRPr="009625F2">
        <w:t>initiates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carries</w:t>
      </w:r>
      <w:r w:rsidR="00C9336A" w:rsidRPr="009625F2">
        <w:t xml:space="preserve"> </w:t>
      </w:r>
      <w:r w:rsidRPr="009625F2">
        <w:t>out</w:t>
      </w:r>
      <w:r w:rsidR="00C9336A" w:rsidRPr="009625F2">
        <w:t xml:space="preserve"> </w:t>
      </w:r>
      <w:r w:rsidRPr="009625F2">
        <w:t>a</w:t>
      </w:r>
      <w:r w:rsidR="00C9336A" w:rsidRPr="009625F2">
        <w:t xml:space="preserve"> </w:t>
      </w:r>
      <w:r w:rsidRPr="009625F2">
        <w:t>wide</w:t>
      </w:r>
      <w:r w:rsidR="00C9336A" w:rsidRPr="009625F2">
        <w:t xml:space="preserve"> </w:t>
      </w:r>
      <w:r w:rsidRPr="009625F2">
        <w:t>range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collaborations.</w:t>
      </w:r>
      <w:r w:rsidR="00C9336A" w:rsidRPr="009625F2">
        <w:t xml:space="preserve"> </w:t>
      </w:r>
      <w:r w:rsidRPr="009625F2">
        <w:t>These</w:t>
      </w:r>
      <w:r w:rsidR="00C9336A" w:rsidRPr="009625F2">
        <w:t xml:space="preserve"> </w:t>
      </w:r>
      <w:r w:rsidRPr="009625F2">
        <w:t>include</w:t>
      </w:r>
      <w:r w:rsidR="00C9336A" w:rsidRPr="009625F2">
        <w:t xml:space="preserve"> </w:t>
      </w:r>
      <w:r w:rsidRPr="009625F2">
        <w:t>membership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organizations</w:t>
      </w:r>
      <w:r w:rsidR="00C9336A" w:rsidRPr="009625F2">
        <w:t xml:space="preserve"> </w:t>
      </w:r>
      <w:r w:rsidRPr="009625F2">
        <w:t>working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field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gender</w:t>
      </w:r>
      <w:r w:rsidR="00C9336A" w:rsidRPr="009625F2">
        <w:t xml:space="preserve"> </w:t>
      </w:r>
      <w:r w:rsidRPr="009625F2">
        <w:t>equality</w:t>
      </w:r>
      <w:r w:rsidR="00C9336A" w:rsidRPr="009625F2">
        <w:t xml:space="preserve"> </w:t>
      </w:r>
      <w:r w:rsidRPr="009625F2">
        <w:t>(such</w:t>
      </w:r>
      <w:r w:rsidR="00C9336A" w:rsidRPr="009625F2">
        <w:t xml:space="preserve"> </w:t>
      </w:r>
      <w:r w:rsidRPr="009625F2">
        <w:t>as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Helsinki</w:t>
      </w:r>
      <w:r w:rsidR="00C9336A" w:rsidRPr="009625F2">
        <w:t xml:space="preserve"> </w:t>
      </w:r>
      <w:r w:rsidRPr="009625F2">
        <w:t>Group</w:t>
      </w:r>
      <w:r w:rsidR="00C9336A" w:rsidRPr="009625F2">
        <w:t xml:space="preserve"> </w:t>
      </w:r>
      <w:r w:rsidRPr="009625F2">
        <w:t>advising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European</w:t>
      </w:r>
      <w:r w:rsidR="00C9336A" w:rsidRPr="009625F2">
        <w:t xml:space="preserve"> </w:t>
      </w:r>
      <w:r w:rsidRPr="009625F2">
        <w:t>Commission</w:t>
      </w:r>
      <w:r w:rsidR="00C9336A" w:rsidRPr="009625F2">
        <w:t xml:space="preserve"> </w:t>
      </w:r>
      <w:r w:rsidRPr="009625F2">
        <w:t>on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advancement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women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gender);</w:t>
      </w:r>
      <w:r w:rsidR="00C9336A" w:rsidRPr="009625F2">
        <w:t xml:space="preserve"> </w:t>
      </w:r>
      <w:r w:rsidRPr="009625F2">
        <w:t>membership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multinational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technology</w:t>
      </w:r>
      <w:r w:rsidR="00C9336A" w:rsidRPr="009625F2">
        <w:t xml:space="preserve"> </w:t>
      </w:r>
      <w:r w:rsidRPr="009625F2">
        <w:t>organisations</w:t>
      </w:r>
      <w:r w:rsidR="00C9336A" w:rsidRPr="009625F2">
        <w:t xml:space="preserve"> </w:t>
      </w:r>
      <w:r w:rsidRPr="009625F2">
        <w:t>(for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CERN,</w:t>
      </w:r>
      <w:r w:rsidR="00C9336A" w:rsidRPr="009625F2">
        <w:t xml:space="preserve"> </w:t>
      </w:r>
      <w:r w:rsidRPr="009625F2">
        <w:t>Horizon</w:t>
      </w:r>
      <w:r w:rsidR="00C9336A" w:rsidRPr="009625F2">
        <w:t xml:space="preserve"> </w:t>
      </w:r>
      <w:r w:rsidRPr="009625F2">
        <w:t>2020,</w:t>
      </w:r>
      <w:r w:rsidR="00C9336A" w:rsidRPr="009625F2">
        <w:t xml:space="preserve"> </w:t>
      </w:r>
      <w:r w:rsidRPr="009625F2">
        <w:t>European</w:t>
      </w:r>
      <w:r w:rsidR="00C9336A" w:rsidRPr="009625F2">
        <w:t xml:space="preserve"> </w:t>
      </w:r>
      <w:r w:rsidRPr="009625F2">
        <w:t>Molecular</w:t>
      </w:r>
      <w:r w:rsidR="00C9336A" w:rsidRPr="009625F2">
        <w:t xml:space="preserve"> </w:t>
      </w:r>
      <w:r w:rsidRPr="009625F2">
        <w:t>Biology</w:t>
      </w:r>
      <w:r w:rsidR="00C9336A" w:rsidRPr="009625F2">
        <w:t xml:space="preserve"> </w:t>
      </w:r>
      <w:r w:rsidRPr="009625F2">
        <w:t>Laboratory,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European</w:t>
      </w:r>
      <w:r w:rsidR="00C9336A" w:rsidRPr="009625F2">
        <w:t xml:space="preserve"> </w:t>
      </w:r>
      <w:r w:rsidRPr="009625F2">
        <w:t>Cooperation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Science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Technology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more);</w:t>
      </w:r>
      <w:r w:rsidR="00C9336A" w:rsidRPr="009625F2">
        <w:t xml:space="preserve"> </w:t>
      </w:r>
      <w:r w:rsidRPr="009625F2">
        <w:t>state-level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collaboration</w:t>
      </w:r>
      <w:r w:rsidR="00C9336A" w:rsidRPr="009625F2">
        <w:t xml:space="preserve"> </w:t>
      </w:r>
      <w:r w:rsidRPr="009625F2">
        <w:t>agreements;</w:t>
      </w:r>
      <w:r w:rsidR="00C9336A" w:rsidRPr="009625F2">
        <w:t xml:space="preserve"> </w:t>
      </w:r>
      <w:r w:rsidRPr="009625F2">
        <w:t>bi-national</w:t>
      </w:r>
      <w:r w:rsidR="00C9336A" w:rsidRPr="009625F2">
        <w:t xml:space="preserve"> </w:t>
      </w:r>
      <w:r w:rsidRPr="009625F2">
        <w:t>funding</w:t>
      </w:r>
      <w:r w:rsidR="00C9336A" w:rsidRPr="009625F2">
        <w:t xml:space="preserve"> </w:t>
      </w:r>
      <w:r w:rsidRPr="009625F2">
        <w:t>of</w:t>
      </w:r>
      <w:r w:rsidR="00C9336A" w:rsidRPr="009625F2">
        <w:t xml:space="preserve"> </w:t>
      </w:r>
      <w:r w:rsidRPr="009625F2">
        <w:t>joint</w:t>
      </w:r>
      <w:r w:rsidR="00C9336A" w:rsidRPr="009625F2">
        <w:t xml:space="preserve"> </w:t>
      </w:r>
      <w:r w:rsidRPr="009625F2">
        <w:t>research</w:t>
      </w:r>
      <w:r w:rsidR="00C9336A" w:rsidRPr="009625F2">
        <w:t xml:space="preserve"> </w:t>
      </w:r>
      <w:r w:rsidRPr="009625F2">
        <w:t>programs</w:t>
      </w:r>
      <w:r w:rsidR="00C9336A" w:rsidRPr="009625F2">
        <w:t xml:space="preserve"> </w:t>
      </w:r>
      <w:r w:rsidRPr="009625F2">
        <w:t>(for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took</w:t>
      </w:r>
      <w:r w:rsidR="00C9336A" w:rsidRPr="009625F2">
        <w:t xml:space="preserve"> </w:t>
      </w:r>
      <w:r w:rsidRPr="009625F2">
        <w:t>part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59</w:t>
      </w:r>
      <w:r w:rsidR="00C9336A" w:rsidRPr="009625F2">
        <w:t xml:space="preserve"> </w:t>
      </w:r>
      <w:r w:rsidRPr="009625F2">
        <w:t>new</w:t>
      </w:r>
      <w:r w:rsidR="00C9336A" w:rsidRPr="009625F2">
        <w:t xml:space="preserve"> </w:t>
      </w:r>
      <w:r w:rsidRPr="009625F2">
        <w:t>bi-national</w:t>
      </w:r>
      <w:r w:rsidR="00C9336A" w:rsidRPr="009625F2">
        <w:t xml:space="preserve"> </w:t>
      </w:r>
      <w:r w:rsidRPr="009625F2">
        <w:t>studies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neuroscience,</w:t>
      </w:r>
      <w:r w:rsidR="00C9336A" w:rsidRPr="009625F2">
        <w:t xml:space="preserve"> </w:t>
      </w:r>
      <w:r w:rsidRPr="009625F2">
        <w:t>Nano</w:t>
      </w:r>
      <w:r w:rsidR="00C9336A" w:rsidRPr="009625F2">
        <w:t xml:space="preserve"> </w:t>
      </w:r>
      <w:r w:rsidRPr="009625F2">
        <w:t>technologies,</w:t>
      </w:r>
      <w:r w:rsidR="00C9336A" w:rsidRPr="009625F2">
        <w:t xml:space="preserve"> </w:t>
      </w:r>
      <w:r w:rsidRPr="009625F2">
        <w:t>remote</w:t>
      </w:r>
      <w:r w:rsidR="00C9336A" w:rsidRPr="009625F2">
        <w:t xml:space="preserve"> </w:t>
      </w:r>
      <w:r w:rsidRPr="009625F2">
        <w:t>learning,</w:t>
      </w:r>
      <w:r w:rsidR="00C9336A" w:rsidRPr="009625F2">
        <w:t xml:space="preserve"> </w:t>
      </w:r>
      <w:r w:rsidRPr="009625F2">
        <w:t>communication,</w:t>
      </w:r>
      <w:r w:rsidR="00C9336A" w:rsidRPr="009625F2">
        <w:t xml:space="preserve"> </w:t>
      </w:r>
      <w:r w:rsidRPr="009625F2">
        <w:t>material</w:t>
      </w:r>
      <w:r w:rsidR="00C9336A" w:rsidRPr="009625F2">
        <w:t xml:space="preserve"> </w:t>
      </w:r>
      <w:r w:rsidRPr="009625F2">
        <w:t>engineering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many</w:t>
      </w:r>
      <w:r w:rsidR="00C9336A" w:rsidRPr="009625F2">
        <w:t xml:space="preserve"> </w:t>
      </w:r>
      <w:r w:rsidRPr="009625F2">
        <w:t>more</w:t>
      </w:r>
      <w:r w:rsidR="00C9336A" w:rsidRPr="009625F2">
        <w:t xml:space="preserve"> </w:t>
      </w:r>
      <w:r w:rsidRPr="009625F2">
        <w:t>areas,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addition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ongoing</w:t>
      </w:r>
      <w:r w:rsidR="00C9336A" w:rsidRPr="009625F2">
        <w:t xml:space="preserve"> </w:t>
      </w:r>
      <w:r w:rsidRPr="009625F2">
        <w:t>studies</w:t>
      </w:r>
      <w:r w:rsidR="00C9336A" w:rsidRPr="009625F2">
        <w:t xml:space="preserve"> </w:t>
      </w:r>
      <w:r w:rsidRPr="009625F2">
        <w:t>initiated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previous</w:t>
      </w:r>
      <w:r w:rsidR="00C9336A" w:rsidRPr="009625F2">
        <w:t xml:space="preserve"> </w:t>
      </w:r>
      <w:r w:rsidRPr="009625F2">
        <w:t>years);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hosting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assisting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meetings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conferences.</w:t>
      </w:r>
    </w:p>
    <w:p w:rsidR="00B342F3" w:rsidRPr="009625F2" w:rsidRDefault="00B342F3" w:rsidP="00EB53EF">
      <w:pPr>
        <w:pStyle w:val="SingleTxtG"/>
      </w:pPr>
      <w:r w:rsidRPr="009625F2">
        <w:lastRenderedPageBreak/>
        <w:t>410.</w:t>
      </w:r>
      <w:r w:rsidRPr="009625F2">
        <w:tab/>
        <w:t>In</w:t>
      </w:r>
      <w:r w:rsidR="00C9336A" w:rsidRPr="009625F2">
        <w:t xml:space="preserve"> </w:t>
      </w:r>
      <w:r w:rsidRPr="009625F2">
        <w:t>addition,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Israel</w:t>
      </w:r>
      <w:r w:rsidR="00C9336A" w:rsidRPr="009625F2">
        <w:t xml:space="preserve"> </w:t>
      </w:r>
      <w:r w:rsidRPr="009625F2">
        <w:t>Space</w:t>
      </w:r>
      <w:r w:rsidR="00C9336A" w:rsidRPr="009625F2">
        <w:t xml:space="preserve"> </w:t>
      </w:r>
      <w:r w:rsidRPr="009625F2">
        <w:t>Agency</w:t>
      </w:r>
      <w:r w:rsidR="00C9336A" w:rsidRPr="009625F2">
        <w:t xml:space="preserve"> </w:t>
      </w:r>
      <w:r w:rsidRPr="009625F2">
        <w:t>promotes</w:t>
      </w:r>
      <w:r w:rsidR="00C9336A" w:rsidRPr="009625F2">
        <w:t xml:space="preserve"> </w:t>
      </w:r>
      <w:r w:rsidRPr="009625F2">
        <w:t>collaborations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its</w:t>
      </w:r>
      <w:r w:rsidR="00C9336A" w:rsidRPr="009625F2">
        <w:t xml:space="preserve"> </w:t>
      </w:r>
      <w:r w:rsidRPr="009625F2">
        <w:t>international</w:t>
      </w:r>
      <w:r w:rsidR="00C9336A" w:rsidRPr="009625F2">
        <w:t xml:space="preserve"> </w:t>
      </w:r>
      <w:r w:rsidRPr="009625F2">
        <w:t>counterparts.</w:t>
      </w:r>
      <w:r w:rsidR="00C9336A" w:rsidRPr="009625F2">
        <w:t xml:space="preserve"> </w:t>
      </w:r>
    </w:p>
    <w:p w:rsidR="007268F9" w:rsidRPr="009625F2" w:rsidRDefault="00B342F3" w:rsidP="00EB53EF">
      <w:pPr>
        <w:pStyle w:val="SingleTxtG"/>
      </w:pPr>
      <w:r w:rsidRPr="009625F2">
        <w:t>411.</w:t>
      </w:r>
      <w:r w:rsidRPr="009625F2">
        <w:tab/>
        <w:t>The</w:t>
      </w:r>
      <w:r w:rsidR="00C9336A" w:rsidRPr="009625F2">
        <w:t xml:space="preserve"> </w:t>
      </w:r>
      <w:r w:rsidRPr="009625F2">
        <w:t>MoFA</w:t>
      </w:r>
      <w:r w:rsidR="00C9336A" w:rsidRPr="009625F2">
        <w:t xml:space="preserve"> </w:t>
      </w:r>
      <w:r w:rsidRPr="009625F2">
        <w:t>works</w:t>
      </w:r>
      <w:r w:rsidR="00C9336A" w:rsidRPr="009625F2">
        <w:t xml:space="preserve"> </w:t>
      </w:r>
      <w:r w:rsidRPr="009625F2">
        <w:t>to</w:t>
      </w:r>
      <w:r w:rsidR="00C9336A" w:rsidRPr="009625F2">
        <w:t xml:space="preserve"> </w:t>
      </w:r>
      <w:r w:rsidRPr="009625F2">
        <w:t>enhance</w:t>
      </w:r>
      <w:r w:rsidR="00C9336A" w:rsidRPr="009625F2">
        <w:t xml:space="preserve"> </w:t>
      </w:r>
      <w:r w:rsidRPr="009625F2">
        <w:t>cultural</w:t>
      </w:r>
      <w:r w:rsidR="00C9336A" w:rsidRPr="009625F2">
        <w:t xml:space="preserve"> </w:t>
      </w:r>
      <w:r w:rsidRPr="009625F2">
        <w:t>relations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different</w:t>
      </w:r>
      <w:r w:rsidR="00C9336A" w:rsidRPr="009625F2">
        <w:t xml:space="preserve"> </w:t>
      </w:r>
      <w:r w:rsidRPr="009625F2">
        <w:t>countries,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conjunction</w:t>
      </w:r>
      <w:r w:rsidR="00C9336A" w:rsidRPr="009625F2">
        <w:t xml:space="preserve"> </w:t>
      </w:r>
      <w:r w:rsidRPr="009625F2">
        <w:t>with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artistic,</w:t>
      </w:r>
      <w:r w:rsidR="00C9336A" w:rsidRPr="009625F2">
        <w:t xml:space="preserve"> </w:t>
      </w:r>
      <w:r w:rsidRPr="009625F2">
        <w:t>literary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scientific</w:t>
      </w:r>
      <w:r w:rsidR="00C9336A" w:rsidRPr="009625F2">
        <w:t xml:space="preserve"> </w:t>
      </w:r>
      <w:r w:rsidRPr="009625F2">
        <w:t>community,</w:t>
      </w:r>
      <w:r w:rsidR="00C9336A" w:rsidRPr="009625F2">
        <w:t xml:space="preserve"> </w:t>
      </w:r>
      <w:r w:rsidRPr="009625F2">
        <w:t>professional</w:t>
      </w:r>
      <w:r w:rsidR="00C9336A" w:rsidRPr="009625F2">
        <w:t xml:space="preserve"> </w:t>
      </w:r>
      <w:r w:rsidRPr="009625F2">
        <w:t>organisations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other</w:t>
      </w:r>
      <w:r w:rsidR="00C9336A" w:rsidRPr="009625F2">
        <w:t xml:space="preserve"> </w:t>
      </w:r>
      <w:r w:rsidRPr="009625F2">
        <w:t>Government</w:t>
      </w:r>
      <w:r w:rsidR="00C9336A" w:rsidRPr="009625F2">
        <w:t xml:space="preserve"> </w:t>
      </w:r>
      <w:r w:rsidRPr="009625F2">
        <w:t>Ministries.</w:t>
      </w:r>
      <w:r w:rsidR="00C9336A" w:rsidRPr="009625F2">
        <w:t xml:space="preserve"> </w:t>
      </w:r>
      <w:r w:rsidRPr="009625F2">
        <w:t>For</w:t>
      </w:r>
      <w:r w:rsidR="00C9336A" w:rsidRPr="009625F2">
        <w:t xml:space="preserve"> </w:t>
      </w:r>
      <w:r w:rsidRPr="009625F2">
        <w:t>example,</w:t>
      </w:r>
      <w:r w:rsidR="00C9336A" w:rsidRPr="009625F2">
        <w:t xml:space="preserve"> </w:t>
      </w:r>
      <w:r w:rsidRPr="009625F2">
        <w:t>projects</w:t>
      </w:r>
      <w:r w:rsidR="00C9336A" w:rsidRPr="009625F2">
        <w:t xml:space="preserve"> </w:t>
      </w:r>
      <w:r w:rsidRPr="009625F2">
        <w:t>in</w:t>
      </w:r>
      <w:r w:rsidR="00C9336A" w:rsidRPr="009625F2">
        <w:t xml:space="preserve"> </w:t>
      </w:r>
      <w:r w:rsidRPr="009625F2">
        <w:t>2016</w:t>
      </w:r>
      <w:r w:rsidR="00C9336A" w:rsidRPr="009625F2">
        <w:t xml:space="preserve"> </w:t>
      </w:r>
      <w:r w:rsidRPr="009625F2">
        <w:t>included</w:t>
      </w:r>
      <w:r w:rsidR="00C9336A" w:rsidRPr="009625F2">
        <w:t xml:space="preserve"> </w:t>
      </w:r>
      <w:r w:rsidRPr="009625F2">
        <w:t>music,</w:t>
      </w:r>
      <w:r w:rsidR="00C9336A" w:rsidRPr="009625F2">
        <w:t xml:space="preserve"> </w:t>
      </w:r>
      <w:r w:rsidRPr="009625F2">
        <w:t>literary</w:t>
      </w:r>
      <w:r w:rsidR="00C9336A" w:rsidRPr="009625F2">
        <w:t xml:space="preserve"> </w:t>
      </w:r>
      <w:r w:rsidRPr="009625F2">
        <w:t>and</w:t>
      </w:r>
      <w:r w:rsidR="00C9336A" w:rsidRPr="009625F2">
        <w:t xml:space="preserve"> </w:t>
      </w:r>
      <w:r w:rsidRPr="009625F2">
        <w:t>film</w:t>
      </w:r>
      <w:r w:rsidR="00C9336A" w:rsidRPr="009625F2">
        <w:t xml:space="preserve"> </w:t>
      </w:r>
      <w:r w:rsidRPr="009625F2">
        <w:t>festivals</w:t>
      </w:r>
      <w:r w:rsidR="00C9336A" w:rsidRPr="009625F2">
        <w:t xml:space="preserve"> </w:t>
      </w:r>
      <w:r w:rsidRPr="009625F2">
        <w:t>around</w:t>
      </w:r>
      <w:r w:rsidR="00C9336A" w:rsidRPr="009625F2">
        <w:t xml:space="preserve"> </w:t>
      </w:r>
      <w:r w:rsidRPr="009625F2">
        <w:t>the</w:t>
      </w:r>
      <w:r w:rsidR="00C9336A" w:rsidRPr="009625F2">
        <w:t xml:space="preserve"> </w:t>
      </w:r>
      <w:r w:rsidRPr="009625F2">
        <w:t>world.</w:t>
      </w:r>
    </w:p>
    <w:p w:rsidR="00AA6039" w:rsidRPr="009625F2" w:rsidRDefault="00AA6039" w:rsidP="00AA6039">
      <w:pPr>
        <w:pStyle w:val="SingleTxtG"/>
        <w:spacing w:before="240"/>
        <w:jc w:val="center"/>
      </w:pPr>
      <w:r w:rsidRPr="009625F2">
        <w:rPr>
          <w:u w:val="single"/>
        </w:rPr>
        <w:tab/>
      </w:r>
      <w:r w:rsidRPr="009625F2">
        <w:rPr>
          <w:u w:val="single"/>
        </w:rPr>
        <w:tab/>
      </w:r>
      <w:r w:rsidRPr="009625F2">
        <w:rPr>
          <w:u w:val="single"/>
        </w:rPr>
        <w:tab/>
      </w:r>
    </w:p>
    <w:sectPr w:rsidR="00AA6039" w:rsidRPr="009625F2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24" w:rsidRPr="00FB1744" w:rsidRDefault="00766024" w:rsidP="00FB1744">
      <w:pPr>
        <w:pStyle w:val="Footer"/>
      </w:pPr>
    </w:p>
  </w:endnote>
  <w:endnote w:type="continuationSeparator" w:id="0">
    <w:p w:rsidR="00766024" w:rsidRPr="00FB1744" w:rsidRDefault="0076602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24" w:rsidRDefault="00766024" w:rsidP="00B342F3">
    <w:pPr>
      <w:pStyle w:val="Footer"/>
      <w:tabs>
        <w:tab w:val="right" w:pos="9638"/>
      </w:tabs>
    </w:pPr>
    <w:r w:rsidRPr="00F60487">
      <w:rPr>
        <w:b/>
        <w:bCs/>
        <w:sz w:val="18"/>
      </w:rPr>
      <w:fldChar w:fldCharType="begin"/>
    </w:r>
    <w:r w:rsidRPr="00F60487">
      <w:rPr>
        <w:b/>
        <w:bCs/>
        <w:sz w:val="18"/>
      </w:rPr>
      <w:instrText xml:space="preserve"> PAGE  \* MERGEFORMAT </w:instrText>
    </w:r>
    <w:r w:rsidRPr="00F60487">
      <w:rPr>
        <w:b/>
        <w:bCs/>
        <w:sz w:val="18"/>
      </w:rPr>
      <w:fldChar w:fldCharType="separate"/>
    </w:r>
    <w:r w:rsidR="00BE7D66">
      <w:rPr>
        <w:b/>
        <w:bCs/>
        <w:noProof/>
        <w:sz w:val="18"/>
      </w:rPr>
      <w:t>4</w:t>
    </w:r>
    <w:r w:rsidRPr="00F6048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24" w:rsidRDefault="00766024" w:rsidP="00F60487">
    <w:pPr>
      <w:pStyle w:val="Footer"/>
      <w:tabs>
        <w:tab w:val="right" w:pos="9638"/>
      </w:tabs>
    </w:pPr>
    <w:r>
      <w:tab/>
    </w:r>
    <w:r w:rsidRPr="00F60487">
      <w:rPr>
        <w:b/>
        <w:bCs/>
        <w:sz w:val="18"/>
      </w:rPr>
      <w:fldChar w:fldCharType="begin"/>
    </w:r>
    <w:r w:rsidRPr="00F60487">
      <w:rPr>
        <w:b/>
        <w:bCs/>
        <w:sz w:val="18"/>
      </w:rPr>
      <w:instrText xml:space="preserve"> PAGE  \* MERGEFORMAT </w:instrText>
    </w:r>
    <w:r w:rsidRPr="00F60487">
      <w:rPr>
        <w:b/>
        <w:bCs/>
        <w:sz w:val="18"/>
      </w:rPr>
      <w:fldChar w:fldCharType="separate"/>
    </w:r>
    <w:r w:rsidR="00BE7D66">
      <w:rPr>
        <w:b/>
        <w:bCs/>
        <w:noProof/>
        <w:sz w:val="18"/>
      </w:rPr>
      <w:t>3</w:t>
    </w:r>
    <w:r w:rsidRPr="00F6048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66" w:rsidRDefault="00BE7D66" w:rsidP="00BE7D6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7D66" w:rsidRDefault="00BE7D66" w:rsidP="00BE7D66">
    <w:pPr>
      <w:pStyle w:val="Footer"/>
      <w:ind w:right="1134"/>
      <w:rPr>
        <w:sz w:val="20"/>
      </w:rPr>
    </w:pPr>
    <w:r>
      <w:rPr>
        <w:sz w:val="20"/>
      </w:rPr>
      <w:t>GE.19-00562(E)</w:t>
    </w:r>
  </w:p>
  <w:p w:rsidR="00BE7D66" w:rsidRPr="00BE7D66" w:rsidRDefault="00BE7D66" w:rsidP="00BE7D6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/C.12/ISR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ISR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24" w:rsidRPr="00FB1744" w:rsidRDefault="0076602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66024" w:rsidRPr="00FB1744" w:rsidRDefault="0076602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66024" w:rsidRPr="00EB537D" w:rsidRDefault="00766024" w:rsidP="00CD7F24">
      <w:pPr>
        <w:pStyle w:val="FootnoteText"/>
      </w:pPr>
      <w:r>
        <w:rPr>
          <w:rStyle w:val="FootnoteReference"/>
        </w:rPr>
        <w:tab/>
      </w:r>
      <w:r w:rsidRPr="00EB537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The present document is being issued without formal editing.</w:t>
      </w:r>
    </w:p>
  </w:footnote>
  <w:footnote w:id="2">
    <w:p w:rsidR="00766024" w:rsidRPr="00EB537D" w:rsidRDefault="00766024" w:rsidP="00CD7F24">
      <w:pPr>
        <w:pStyle w:val="FootnoteText"/>
      </w:pPr>
      <w:r>
        <w:rPr>
          <w:rStyle w:val="FootnoteReference"/>
        </w:rPr>
        <w:tab/>
      </w:r>
      <w:r w:rsidRPr="00EB537D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E46179">
        <w:t xml:space="preserve">The annexes to the present report are available </w:t>
      </w:r>
      <w:r>
        <w:t>on</w:t>
      </w:r>
      <w:r w:rsidRPr="00E46179">
        <w:t xml:space="preserve"> the </w:t>
      </w:r>
      <w:r>
        <w:t>Committee</w:t>
      </w:r>
      <w:r w:rsidR="00D311F6">
        <w:t>’</w:t>
      </w:r>
      <w:r>
        <w:t>s</w:t>
      </w:r>
      <w:r w:rsidRPr="00E46179">
        <w:t xml:space="preserve"> web page</w:t>
      </w:r>
      <w:r>
        <w:t>.</w:t>
      </w:r>
    </w:p>
  </w:footnote>
  <w:footnote w:id="3">
    <w:p w:rsidR="00766024" w:rsidRDefault="00766024" w:rsidP="00CD7F24">
      <w:pPr>
        <w:pStyle w:val="FootnoteText"/>
      </w:pPr>
      <w:r>
        <w:tab/>
      </w:r>
      <w:r w:rsidRPr="00957C11">
        <w:rPr>
          <w:rStyle w:val="FootnoteReference"/>
        </w:rPr>
        <w:footnoteRef/>
      </w:r>
      <w:r>
        <w:tab/>
      </w:r>
      <w:hyperlink r:id="rId1" w:history="1">
        <w:r w:rsidRPr="00822670">
          <w:rPr>
            <w:szCs w:val="18"/>
          </w:rPr>
          <w:t>http://www.museumsinisrael.gov.il/he/Pages/default.aspx</w:t>
        </w:r>
      </w:hyperlink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24" w:rsidRDefault="00766024" w:rsidP="00F60487">
    <w:pPr>
      <w:pStyle w:val="Header"/>
    </w:pPr>
    <w:r>
      <w:t>E/C.12/ISR/4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24" w:rsidRDefault="00766024" w:rsidP="00F60487">
    <w:pPr>
      <w:pStyle w:val="Header"/>
      <w:jc w:val="right"/>
    </w:pPr>
    <w:r>
      <w:t>E/C.12/ISR/4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ctiveWritingStyle w:appName="MSWord" w:lang="ar-SA" w:vendorID="64" w:dllVersion="131078" w:nlCheck="1" w:checkStyle="0"/>
  <w:activeWritingStyle w:appName="MSWord" w:lang="en-GB" w:vendorID="64" w:dllVersion="131078" w:nlCheck="1" w:checkStyle="1"/>
  <w:attachedTemplate r:id="rId1"/>
  <w:defaultTabStop w:val="567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871"/>
    <w:rsid w:val="00046E92"/>
    <w:rsid w:val="000679C2"/>
    <w:rsid w:val="00076A8D"/>
    <w:rsid w:val="00084452"/>
    <w:rsid w:val="00096895"/>
    <w:rsid w:val="000C04D5"/>
    <w:rsid w:val="000C67A4"/>
    <w:rsid w:val="000D1B89"/>
    <w:rsid w:val="000F765D"/>
    <w:rsid w:val="001170DC"/>
    <w:rsid w:val="00143A50"/>
    <w:rsid w:val="00152AE0"/>
    <w:rsid w:val="0018508D"/>
    <w:rsid w:val="001A2002"/>
    <w:rsid w:val="001E223D"/>
    <w:rsid w:val="00247E2C"/>
    <w:rsid w:val="00283EF9"/>
    <w:rsid w:val="002B3FC8"/>
    <w:rsid w:val="002D592A"/>
    <w:rsid w:val="002D6C53"/>
    <w:rsid w:val="002F5595"/>
    <w:rsid w:val="00334F6A"/>
    <w:rsid w:val="00342AC8"/>
    <w:rsid w:val="003447EB"/>
    <w:rsid w:val="00393654"/>
    <w:rsid w:val="00396DA5"/>
    <w:rsid w:val="003B4550"/>
    <w:rsid w:val="00461253"/>
    <w:rsid w:val="004C5AF3"/>
    <w:rsid w:val="005042C2"/>
    <w:rsid w:val="00506C12"/>
    <w:rsid w:val="00563FE6"/>
    <w:rsid w:val="0056599A"/>
    <w:rsid w:val="00587690"/>
    <w:rsid w:val="005D3374"/>
    <w:rsid w:val="00650FDF"/>
    <w:rsid w:val="00671529"/>
    <w:rsid w:val="006847D1"/>
    <w:rsid w:val="00686938"/>
    <w:rsid w:val="006D23D6"/>
    <w:rsid w:val="00703880"/>
    <w:rsid w:val="00717266"/>
    <w:rsid w:val="007268F9"/>
    <w:rsid w:val="00730E77"/>
    <w:rsid w:val="00766024"/>
    <w:rsid w:val="00774871"/>
    <w:rsid w:val="007C52B0"/>
    <w:rsid w:val="007F50C0"/>
    <w:rsid w:val="008D7A46"/>
    <w:rsid w:val="008F054C"/>
    <w:rsid w:val="009411B4"/>
    <w:rsid w:val="00957C11"/>
    <w:rsid w:val="009625F2"/>
    <w:rsid w:val="009B38E0"/>
    <w:rsid w:val="009B45F0"/>
    <w:rsid w:val="009D0139"/>
    <w:rsid w:val="009F5CDC"/>
    <w:rsid w:val="00A4779A"/>
    <w:rsid w:val="00A775CF"/>
    <w:rsid w:val="00AA6039"/>
    <w:rsid w:val="00AB3C7E"/>
    <w:rsid w:val="00AC092D"/>
    <w:rsid w:val="00B02AA5"/>
    <w:rsid w:val="00B06045"/>
    <w:rsid w:val="00B342F3"/>
    <w:rsid w:val="00B3759F"/>
    <w:rsid w:val="00BA3464"/>
    <w:rsid w:val="00BB21AF"/>
    <w:rsid w:val="00BD77C5"/>
    <w:rsid w:val="00BE7D66"/>
    <w:rsid w:val="00C110F8"/>
    <w:rsid w:val="00C17548"/>
    <w:rsid w:val="00C245C2"/>
    <w:rsid w:val="00C35A27"/>
    <w:rsid w:val="00C9336A"/>
    <w:rsid w:val="00CD7F24"/>
    <w:rsid w:val="00D0398C"/>
    <w:rsid w:val="00D311F6"/>
    <w:rsid w:val="00DF396C"/>
    <w:rsid w:val="00E020A1"/>
    <w:rsid w:val="00E02C2B"/>
    <w:rsid w:val="00EA2F51"/>
    <w:rsid w:val="00EB537D"/>
    <w:rsid w:val="00EB53EF"/>
    <w:rsid w:val="00ED6C48"/>
    <w:rsid w:val="00F24DF5"/>
    <w:rsid w:val="00F60487"/>
    <w:rsid w:val="00F65F5D"/>
    <w:rsid w:val="00F85726"/>
    <w:rsid w:val="00F86A3A"/>
    <w:rsid w:val="00F963B5"/>
    <w:rsid w:val="00FB1744"/>
    <w:rsid w:val="00FC04AB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D609A05F-C276-4536-85C4-ADC9D3CE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umsinisrael.gov.il/he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95E-598C-429E-B469-2D2FE566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40</Pages>
  <Words>21250</Words>
  <Characters>117448</Characters>
  <Application>Microsoft Office Word</Application>
  <DocSecurity>0</DocSecurity>
  <Lines>1880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E/C.12/ISR/4</vt:lpstr>
    </vt:vector>
  </TitlesOfParts>
  <Company>DCM</Company>
  <LinksUpToDate>false</LinksUpToDate>
  <CharactersWithSpaces>138973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E/C.12/ISR/4</dc:title>
  <dc:subject>1900562</dc:subject>
  <dc:creator>Brigoli</dc:creator>
  <cp:keywords/>
  <dc:description/>
  <cp:lastModifiedBy>Generic Pdf eng</cp:lastModifiedBy>
  <cp:revision>2</cp:revision>
  <cp:lastPrinted>2019-01-14T08:28:00Z</cp:lastPrinted>
  <dcterms:created xsi:type="dcterms:W3CDTF">2019-01-14T16:01:00Z</dcterms:created>
  <dcterms:modified xsi:type="dcterms:W3CDTF">2019-01-14T16:01:00Z</dcterms:modified>
</cp:coreProperties>
</file>