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07569" w14:paraId="4CF4ACAF" w14:textId="77777777">
        <w:trPr>
          <w:cantSplit/>
          <w:trHeight w:hRule="exact" w:val="851"/>
        </w:trPr>
        <w:tc>
          <w:tcPr>
            <w:tcW w:w="1276" w:type="dxa"/>
            <w:tcBorders>
              <w:bottom w:val="single" w:sz="4" w:space="0" w:color="auto"/>
            </w:tcBorders>
            <w:vAlign w:val="bottom"/>
          </w:tcPr>
          <w:p w14:paraId="024DD51C" w14:textId="77777777" w:rsidR="00A07569" w:rsidRDefault="002C0E45">
            <w:pPr>
              <w:spacing w:after="80"/>
            </w:pPr>
            <w:r>
              <w:t xml:space="preserve"> </w:t>
            </w:r>
          </w:p>
        </w:tc>
        <w:tc>
          <w:tcPr>
            <w:tcW w:w="2268" w:type="dxa"/>
            <w:tcBorders>
              <w:bottom w:val="single" w:sz="4" w:space="0" w:color="auto"/>
            </w:tcBorders>
            <w:vAlign w:val="bottom"/>
          </w:tcPr>
          <w:p w14:paraId="7EF531D0" w14:textId="77777777" w:rsidR="00A07569" w:rsidRDefault="00AA319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8503EF" w14:textId="621A01D5" w:rsidR="00A07569" w:rsidRDefault="003673D1" w:rsidP="000B3770">
            <w:pPr>
              <w:suppressAutoHyphens w:val="0"/>
              <w:spacing w:after="20"/>
              <w:jc w:val="right"/>
            </w:pPr>
            <w:r w:rsidRPr="003673D1">
              <w:rPr>
                <w:sz w:val="40"/>
              </w:rPr>
              <w:t>E</w:t>
            </w:r>
            <w:r>
              <w:t>/C.12/ISR/Q/4</w:t>
            </w:r>
          </w:p>
        </w:tc>
      </w:tr>
      <w:tr w:rsidR="00A07569" w14:paraId="1BE188D2" w14:textId="77777777" w:rsidTr="001460DB">
        <w:trPr>
          <w:cantSplit/>
          <w:trHeight w:hRule="exact" w:val="2835"/>
        </w:trPr>
        <w:tc>
          <w:tcPr>
            <w:tcW w:w="1276" w:type="dxa"/>
            <w:tcBorders>
              <w:top w:val="single" w:sz="4" w:space="0" w:color="auto"/>
              <w:bottom w:val="single" w:sz="12" w:space="0" w:color="auto"/>
            </w:tcBorders>
          </w:tcPr>
          <w:p w14:paraId="61918CA4" w14:textId="77777777" w:rsidR="00A07569" w:rsidRDefault="00AA319B">
            <w:pPr>
              <w:spacing w:before="120"/>
              <w:jc w:val="center"/>
            </w:pPr>
            <w:r>
              <w:rPr>
                <w:noProof/>
                <w:lang w:eastAsia="zh-CN"/>
              </w:rPr>
              <w:drawing>
                <wp:inline distT="0" distB="0" distL="0" distR="0" wp14:anchorId="4C8E1511" wp14:editId="01CB16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7CD4BF7" w14:textId="77777777" w:rsidR="00A07569" w:rsidRPr="00FF1233" w:rsidRDefault="00AA319B">
            <w:pPr>
              <w:spacing w:before="120" w:line="380" w:lineRule="exact"/>
            </w:pPr>
            <w:r w:rsidRPr="00FF1233">
              <w:rPr>
                <w:b/>
                <w:sz w:val="40"/>
                <w:szCs w:val="40"/>
              </w:rPr>
              <w:t>Economic and Social Council</w:t>
            </w:r>
          </w:p>
        </w:tc>
        <w:tc>
          <w:tcPr>
            <w:tcW w:w="2835" w:type="dxa"/>
            <w:tcBorders>
              <w:top w:val="single" w:sz="4" w:space="0" w:color="auto"/>
              <w:bottom w:val="single" w:sz="12" w:space="0" w:color="auto"/>
            </w:tcBorders>
            <w:shd w:val="clear" w:color="auto" w:fill="auto"/>
          </w:tcPr>
          <w:p w14:paraId="09E81B26" w14:textId="77777777" w:rsidR="00A07569" w:rsidRPr="00FF1233" w:rsidRDefault="00AA319B">
            <w:pPr>
              <w:suppressAutoHyphens w:val="0"/>
              <w:spacing w:before="240" w:line="240" w:lineRule="exact"/>
            </w:pPr>
            <w:r w:rsidRPr="00FF1233">
              <w:t xml:space="preserve">Distr.: </w:t>
            </w:r>
            <w:r w:rsidR="00C86111" w:rsidRPr="00FF1233">
              <w:t>General</w:t>
            </w:r>
          </w:p>
          <w:p w14:paraId="2866412B" w14:textId="3941942C" w:rsidR="00A07569" w:rsidRPr="00FF1233" w:rsidRDefault="001F4164">
            <w:pPr>
              <w:suppressAutoHyphens w:val="0"/>
            </w:pPr>
            <w:r>
              <w:fldChar w:fldCharType="begin"/>
            </w:r>
            <w:r>
              <w:instrText xml:space="preserve"> DOCPROPERTY  date  \* MERGEFORMAT </w:instrText>
            </w:r>
            <w:r>
              <w:fldChar w:fldCharType="separate"/>
            </w:r>
            <w:r w:rsidR="00FF1233">
              <w:t>3 A</w:t>
            </w:r>
            <w:r w:rsidR="00A00184">
              <w:t>p</w:t>
            </w:r>
            <w:r w:rsidR="00FF1233">
              <w:t xml:space="preserve">ril </w:t>
            </w:r>
            <w:r w:rsidR="00AA319B" w:rsidRPr="00192F88">
              <w:t>2019</w:t>
            </w:r>
            <w:r>
              <w:fldChar w:fldCharType="end"/>
            </w:r>
          </w:p>
          <w:p w14:paraId="75DEE995" w14:textId="77777777" w:rsidR="00A07569" w:rsidRPr="00FF1233" w:rsidRDefault="00220C25">
            <w:pPr>
              <w:suppressAutoHyphens w:val="0"/>
            </w:pPr>
            <w:r w:rsidRPr="00192F88">
              <w:fldChar w:fldCharType="begin"/>
            </w:r>
            <w:r w:rsidRPr="00FF1233">
              <w:instrText xml:space="preserve"> DOCPROPERTY  tlang  \* MERGEFORMAT </w:instrText>
            </w:r>
            <w:r w:rsidRPr="00192F88">
              <w:fldChar w:fldCharType="end"/>
            </w:r>
          </w:p>
          <w:p w14:paraId="03B3E69A" w14:textId="77777777" w:rsidR="00A07569" w:rsidRPr="00FF1233" w:rsidRDefault="00AA319B">
            <w:pPr>
              <w:suppressAutoHyphens w:val="0"/>
            </w:pPr>
            <w:r w:rsidRPr="00FF1233">
              <w:t xml:space="preserve">Original: </w:t>
            </w:r>
            <w:r w:rsidR="00FE4564" w:rsidRPr="00F63D31">
              <w:fldChar w:fldCharType="begin"/>
            </w:r>
            <w:r w:rsidR="00FE4564" w:rsidRPr="00FF1233">
              <w:instrText xml:space="preserve"> DOCPROPERTY  olang  \* MERGEFORMAT </w:instrText>
            </w:r>
            <w:r w:rsidR="00FE4564" w:rsidRPr="00F63D31">
              <w:fldChar w:fldCharType="separate"/>
            </w:r>
            <w:r w:rsidRPr="00FF1233">
              <w:t>English</w:t>
            </w:r>
            <w:r w:rsidR="00FE4564" w:rsidRPr="00F63D31">
              <w:fldChar w:fldCharType="end"/>
            </w:r>
          </w:p>
          <w:p w14:paraId="27A263F5" w14:textId="77777777" w:rsidR="00A07569" w:rsidRPr="00FF1233" w:rsidRDefault="00FE4564">
            <w:pPr>
              <w:suppressAutoHyphens w:val="0"/>
            </w:pPr>
            <w:r w:rsidRPr="00F63D31">
              <w:fldChar w:fldCharType="begin"/>
            </w:r>
            <w:r w:rsidRPr="00FF1233">
              <w:instrText xml:space="preserve"> DOCPROPERTY  virs  \* MERGEFORMAT </w:instrText>
            </w:r>
            <w:r w:rsidRPr="00F63D31">
              <w:fldChar w:fldCharType="separate"/>
            </w:r>
            <w:r w:rsidR="00AA319B" w:rsidRPr="00FF1233">
              <w:t>English</w:t>
            </w:r>
            <w:r w:rsidR="000B3770" w:rsidRPr="00FF1233">
              <w:t>, French and Spanish</w:t>
            </w:r>
            <w:r w:rsidR="00AA319B" w:rsidRPr="00FF1233">
              <w:t xml:space="preserve"> only</w:t>
            </w:r>
            <w:r w:rsidRPr="00F63D31">
              <w:fldChar w:fldCharType="end"/>
            </w:r>
          </w:p>
        </w:tc>
      </w:tr>
    </w:tbl>
    <w:p w14:paraId="364A9976" w14:textId="77777777" w:rsidR="00A07569" w:rsidRPr="00192F88" w:rsidRDefault="00AA319B">
      <w:pPr>
        <w:spacing w:before="120"/>
        <w:rPr>
          <w:b/>
          <w:sz w:val="24"/>
        </w:rPr>
      </w:pPr>
      <w:r w:rsidRPr="00192F88">
        <w:rPr>
          <w:b/>
          <w:sz w:val="24"/>
        </w:rPr>
        <w:t>Committee on Economic, Social and Cultural Rights</w:t>
      </w:r>
    </w:p>
    <w:p w14:paraId="66EE0E0B" w14:textId="77777777" w:rsidR="00A07569" w:rsidRPr="00192F88" w:rsidRDefault="00AA319B">
      <w:pPr>
        <w:pStyle w:val="HChG"/>
      </w:pPr>
      <w:r w:rsidRPr="00192F88">
        <w:tab/>
      </w:r>
      <w:r w:rsidRPr="00192F88">
        <w:tab/>
        <w:t xml:space="preserve">List of issues in relation to the </w:t>
      </w:r>
      <w:r w:rsidR="001F4164">
        <w:fldChar w:fldCharType="begin"/>
      </w:r>
      <w:r w:rsidR="001F4164">
        <w:instrText xml:space="preserve"> DOCPROPERTY  prep  \* MERGEFORMAT </w:instrText>
      </w:r>
      <w:r w:rsidR="001F4164">
        <w:fldChar w:fldCharType="separate"/>
      </w:r>
      <w:r w:rsidRPr="00192F88">
        <w:t>fourth periodic report of Israel</w:t>
      </w:r>
      <w:r w:rsidR="001F4164">
        <w:fldChar w:fldCharType="end"/>
      </w:r>
      <w:r w:rsidR="00C86111" w:rsidRPr="00192F88">
        <w:rPr>
          <w:rFonts w:eastAsia="Times New Roman"/>
          <w:b w:val="0"/>
          <w:sz w:val="20"/>
        </w:rPr>
        <w:footnoteReference w:customMarkFollows="1" w:id="2"/>
        <w:t>*</w:t>
      </w:r>
    </w:p>
    <w:p w14:paraId="559DB574" w14:textId="77777777" w:rsidR="00A07569" w:rsidRPr="00946112" w:rsidRDefault="00AA319B">
      <w:pPr>
        <w:pStyle w:val="HChG"/>
      </w:pPr>
      <w:r w:rsidRPr="00192F88">
        <w:tab/>
        <w:t>I.</w:t>
      </w:r>
      <w:r w:rsidRPr="00192F88">
        <w:tab/>
        <w:t>General information</w:t>
      </w:r>
    </w:p>
    <w:p w14:paraId="1E470DD7" w14:textId="4454673E" w:rsidR="000B3770" w:rsidRDefault="00192F88" w:rsidP="00192F88">
      <w:pPr>
        <w:pStyle w:val="SingleTxtG"/>
        <w:rPr>
          <w:vertAlign w:val="superscript"/>
        </w:rPr>
      </w:pPr>
      <w:bookmarkStart w:id="0" w:name="_GoBack"/>
      <w:r>
        <w:t>1</w:t>
      </w:r>
      <w:bookmarkEnd w:id="0"/>
      <w:r>
        <w:t>.</w:t>
      </w:r>
      <w:r>
        <w:tab/>
      </w:r>
      <w:r w:rsidR="00B47313" w:rsidRPr="00946112">
        <w:t xml:space="preserve">Please </w:t>
      </w:r>
      <w:r w:rsidR="00D67AAA" w:rsidRPr="00946112">
        <w:t>provide information on</w:t>
      </w:r>
      <w:r w:rsidR="00A73C51" w:rsidRPr="00946112">
        <w:t xml:space="preserve"> the</w:t>
      </w:r>
      <w:r w:rsidR="00D67AAA" w:rsidRPr="00946112">
        <w:t xml:space="preserve"> </w:t>
      </w:r>
      <w:r w:rsidR="00445657" w:rsidRPr="00946112">
        <w:t>steps taken</w:t>
      </w:r>
      <w:r w:rsidR="00D67AAA">
        <w:t xml:space="preserve"> by the State party to incorporate the rights enshrined in the Covenant in the domestic legal order </w:t>
      </w:r>
      <w:r w:rsidR="00D67AAA" w:rsidRPr="0055419A">
        <w:t>and to ensure that provisions of the Covenant can be invoked</w:t>
      </w:r>
      <w:r w:rsidR="00E70375">
        <w:t xml:space="preserve"> by citizens</w:t>
      </w:r>
      <w:r w:rsidR="00D67AAA" w:rsidRPr="0055419A">
        <w:t xml:space="preserve"> before, and </w:t>
      </w:r>
      <w:r w:rsidR="00EC1F84">
        <w:t xml:space="preserve">be </w:t>
      </w:r>
      <w:r w:rsidR="00D67AAA" w:rsidRPr="0055419A">
        <w:t xml:space="preserve">directly enforced by, the </w:t>
      </w:r>
      <w:r w:rsidR="00EC1F84">
        <w:t>c</w:t>
      </w:r>
      <w:r w:rsidR="00D67AAA" w:rsidRPr="0055419A">
        <w:t>ourts, other tribunals or administrative authorities.</w:t>
      </w:r>
    </w:p>
    <w:p w14:paraId="26EABDC2" w14:textId="0C340FF2" w:rsidR="00BF2F1A" w:rsidRPr="000A34DB" w:rsidRDefault="00192F88" w:rsidP="00192F88">
      <w:pPr>
        <w:pStyle w:val="SingleTxtG"/>
      </w:pPr>
      <w:r w:rsidRPr="000A34DB">
        <w:t>2.</w:t>
      </w:r>
      <w:r w:rsidRPr="000A34DB">
        <w:tab/>
      </w:r>
      <w:r w:rsidR="008808E4">
        <w:t xml:space="preserve">Please </w:t>
      </w:r>
      <w:r w:rsidR="00BF2F1A">
        <w:t xml:space="preserve">provide information on the </w:t>
      </w:r>
      <w:r w:rsidR="00BF2F1A" w:rsidRPr="00DA46E7">
        <w:t>efforts made to fulfil the obligations of the State party under the Covenant in the Occupied Palestinian Territory</w:t>
      </w:r>
      <w:r w:rsidR="00571FC7" w:rsidRPr="00DA46E7">
        <w:t xml:space="preserve">, including </w:t>
      </w:r>
      <w:r w:rsidR="001943D9" w:rsidRPr="00DA46E7">
        <w:t xml:space="preserve">in and around </w:t>
      </w:r>
      <w:r w:rsidR="00571FC7" w:rsidRPr="00DA46E7">
        <w:t xml:space="preserve">East Jerusalem, </w:t>
      </w:r>
      <w:r w:rsidR="00BF2F1A" w:rsidRPr="00DA46E7">
        <w:t xml:space="preserve">in accordance with the </w:t>
      </w:r>
      <w:r w:rsidR="00EC1F84">
        <w:t>a</w:t>
      </w:r>
      <w:r w:rsidR="00BF2F1A" w:rsidRPr="00DA46E7">
        <w:t xml:space="preserve">dvisory </w:t>
      </w:r>
      <w:r w:rsidR="00EC1F84">
        <w:t>o</w:t>
      </w:r>
      <w:r w:rsidR="00BF2F1A" w:rsidRPr="00DA46E7">
        <w:t>pinion rendered on 9 July 2004 by the International Court of Justice.</w:t>
      </w:r>
      <w:r w:rsidR="00D81DAE">
        <w:rPr>
          <w:vertAlign w:val="superscript"/>
        </w:rPr>
        <w:t xml:space="preserve"> </w:t>
      </w:r>
      <w:r w:rsidR="008808E4" w:rsidRPr="00DA46E7">
        <w:t xml:space="preserve">Please </w:t>
      </w:r>
      <w:r w:rsidR="00E52B09" w:rsidRPr="00DA46E7">
        <w:t xml:space="preserve">also </w:t>
      </w:r>
      <w:r w:rsidR="008808E4" w:rsidRPr="00DA46E7">
        <w:t>provide information related</w:t>
      </w:r>
      <w:r w:rsidR="008808E4" w:rsidRPr="008808E4">
        <w:t xml:space="preserve"> to the enjoyment of economic, social and cultural rights as enshrined in the Covenant in the</w:t>
      </w:r>
      <w:r w:rsidR="00571FC7">
        <w:t xml:space="preserve"> territor</w:t>
      </w:r>
      <w:r w:rsidR="00B637CD">
        <w:t>ies under its effective control and jurisdiction</w:t>
      </w:r>
      <w:r w:rsidR="008B0202">
        <w:t>,</w:t>
      </w:r>
      <w:r w:rsidR="00F650E9" w:rsidRPr="000A34DB">
        <w:t xml:space="preserve"> </w:t>
      </w:r>
      <w:r w:rsidR="00720A53">
        <w:t xml:space="preserve">and </w:t>
      </w:r>
      <w:r w:rsidR="00E52B09">
        <w:t xml:space="preserve">information on the measures </w:t>
      </w:r>
      <w:r w:rsidR="0076724C">
        <w:t xml:space="preserve">taken </w:t>
      </w:r>
      <w:r w:rsidR="00E52B09">
        <w:t xml:space="preserve">to provide people living </w:t>
      </w:r>
      <w:r w:rsidR="00720A53">
        <w:t>there</w:t>
      </w:r>
      <w:r w:rsidR="00E52B09">
        <w:t>in</w:t>
      </w:r>
      <w:r w:rsidR="009F3646">
        <w:t xml:space="preserve"> with </w:t>
      </w:r>
      <w:r w:rsidR="0076724C">
        <w:t xml:space="preserve">effective </w:t>
      </w:r>
      <w:r w:rsidR="009F3646">
        <w:t>remedies</w:t>
      </w:r>
      <w:r w:rsidR="0055419A">
        <w:t xml:space="preserve"> </w:t>
      </w:r>
      <w:r w:rsidR="00E52B09">
        <w:t>in case</w:t>
      </w:r>
      <w:r w:rsidR="009F3646">
        <w:t>s</w:t>
      </w:r>
      <w:r w:rsidR="00E52B09">
        <w:t xml:space="preserve"> of violation of the Covenant rights.</w:t>
      </w:r>
    </w:p>
    <w:p w14:paraId="167E8E5A" w14:textId="530F476D" w:rsidR="000A34DB" w:rsidRDefault="00192F88" w:rsidP="00192F88">
      <w:pPr>
        <w:pStyle w:val="SingleTxtG"/>
      </w:pPr>
      <w:r>
        <w:t>3.</w:t>
      </w:r>
      <w:r>
        <w:tab/>
      </w:r>
      <w:r w:rsidR="000A34DB" w:rsidRPr="000A34DB">
        <w:t>Please</w:t>
      </w:r>
      <w:r w:rsidR="000A34DB">
        <w:t xml:space="preserve"> provide information on the measures taken</w:t>
      </w:r>
      <w:r w:rsidR="006F339F">
        <w:t xml:space="preserve"> by the State party</w:t>
      </w:r>
      <w:r w:rsidR="000A34DB">
        <w:t>, if any, to assess the impact of its legislative, policy and institutional frameworks concerning the territor</w:t>
      </w:r>
      <w:r w:rsidR="00711F32">
        <w:t>ies</w:t>
      </w:r>
      <w:r w:rsidR="000A34DB">
        <w:t xml:space="preserve"> </w:t>
      </w:r>
      <w:r w:rsidR="006F339F">
        <w:t>under</w:t>
      </w:r>
      <w:r w:rsidR="000A34DB">
        <w:t xml:space="preserve"> its effective control</w:t>
      </w:r>
      <w:r w:rsidR="00870F89">
        <w:t xml:space="preserve">, namely the </w:t>
      </w:r>
      <w:r w:rsidR="0080134F">
        <w:t>O</w:t>
      </w:r>
      <w:r w:rsidR="00C77AD2">
        <w:t xml:space="preserve">ccupied </w:t>
      </w:r>
      <w:r w:rsidR="0080134F">
        <w:t>P</w:t>
      </w:r>
      <w:r w:rsidR="00C77AD2">
        <w:t xml:space="preserve">alestinian </w:t>
      </w:r>
      <w:r w:rsidR="0080134F">
        <w:t>T</w:t>
      </w:r>
      <w:r w:rsidR="00C77AD2">
        <w:t>erritory</w:t>
      </w:r>
      <w:r w:rsidR="0080134F">
        <w:t>, i</w:t>
      </w:r>
      <w:r w:rsidR="0080134F" w:rsidRPr="00571FC7">
        <w:t xml:space="preserve">ncluding East Jerusalem, and the </w:t>
      </w:r>
      <w:r w:rsidR="0080134F">
        <w:t>o</w:t>
      </w:r>
      <w:r w:rsidR="0080134F" w:rsidRPr="00571FC7">
        <w:t>ccupied Syrian Golan</w:t>
      </w:r>
      <w:r w:rsidR="0080134F">
        <w:t xml:space="preserve">, </w:t>
      </w:r>
      <w:r w:rsidR="000A34DB">
        <w:t xml:space="preserve">on the enjoyment of the Covenant rights by the people living there. Please also clarify how these frameworks are compatible with the obligations of the State party under the Covenant. </w:t>
      </w:r>
    </w:p>
    <w:p w14:paraId="1027C221" w14:textId="0AA4103A" w:rsidR="008808E4" w:rsidRPr="00DA46E7" w:rsidRDefault="00192F88" w:rsidP="00192F88">
      <w:pPr>
        <w:pStyle w:val="SingleTxtG"/>
      </w:pPr>
      <w:r w:rsidRPr="00DA46E7">
        <w:t>4.</w:t>
      </w:r>
      <w:r w:rsidRPr="00DA46E7">
        <w:tab/>
      </w:r>
      <w:r w:rsidR="00BF2F1A">
        <w:t>Please provide information on the steps taken to establish</w:t>
      </w:r>
      <w:r w:rsidR="008808E4">
        <w:t xml:space="preserve"> </w:t>
      </w:r>
      <w:r w:rsidR="00BF2F1A">
        <w:t>a national human rights institution</w:t>
      </w:r>
      <w:r w:rsidR="006F339F">
        <w:t>,</w:t>
      </w:r>
      <w:r w:rsidR="00BF2F1A">
        <w:t xml:space="preserve"> or to strengthen the existing human rights institutions</w:t>
      </w:r>
      <w:r w:rsidR="00546B68">
        <w:t xml:space="preserve">, </w:t>
      </w:r>
      <w:r w:rsidR="006F339F">
        <w:t>with</w:t>
      </w:r>
      <w:r w:rsidR="00546B68">
        <w:t xml:space="preserve"> a clear mandate to </w:t>
      </w:r>
      <w:r w:rsidR="00546B68" w:rsidRPr="00DA46E7">
        <w:t xml:space="preserve">deal with economic, social and cultural rights, in accordance with the </w:t>
      </w:r>
      <w:r w:rsidR="002618AB">
        <w:t>p</w:t>
      </w:r>
      <w:r w:rsidR="00546B68" w:rsidRPr="00DA46E7">
        <w:t xml:space="preserve">rinciples relating to the status </w:t>
      </w:r>
      <w:r w:rsidR="002618AB">
        <w:t xml:space="preserve">of </w:t>
      </w:r>
      <w:r w:rsidR="00546B68" w:rsidRPr="00DA46E7">
        <w:t xml:space="preserve">national institutions for the promotion and protection of human rights (the Paris Principles). </w:t>
      </w:r>
    </w:p>
    <w:p w14:paraId="604F1EA3" w14:textId="7DF066C8" w:rsidR="00890C14" w:rsidRPr="00DA46E7" w:rsidRDefault="00192F88" w:rsidP="00192F88">
      <w:pPr>
        <w:pStyle w:val="SingleTxtG"/>
      </w:pPr>
      <w:r w:rsidRPr="00DA46E7">
        <w:t>5.</w:t>
      </w:r>
      <w:r w:rsidRPr="00DA46E7">
        <w:tab/>
      </w:r>
      <w:r w:rsidR="00890C14" w:rsidRPr="00DA46E7">
        <w:t>Please provide information on the engagement of civil society, including non-governmental organizations, in the preparation of the fifth periodic report of the State party to the Committee.</w:t>
      </w:r>
    </w:p>
    <w:p w14:paraId="56574B53" w14:textId="0F7B080C" w:rsidR="00571FC7" w:rsidRDefault="00192F88" w:rsidP="00192F88">
      <w:pPr>
        <w:pStyle w:val="SingleTxtG"/>
      </w:pPr>
      <w:r>
        <w:t>6.</w:t>
      </w:r>
      <w:r>
        <w:tab/>
      </w:r>
      <w:r w:rsidR="00115373" w:rsidRPr="00DA46E7">
        <w:t xml:space="preserve">Please provide information on legislative, administrative or other measures taken to ensure that businesses respect the economic, social and cultural rights of all persons and apply the principle of due diligence throughout their operations, including when </w:t>
      </w:r>
      <w:r w:rsidR="00E0346D">
        <w:t>operating</w:t>
      </w:r>
      <w:r w:rsidR="00115373" w:rsidRPr="00DA46E7">
        <w:t xml:space="preserve"> abroad</w:t>
      </w:r>
      <w:r w:rsidR="00772A70" w:rsidRPr="00DA46E7">
        <w:t>.</w:t>
      </w:r>
      <w:r w:rsidR="00571FC7" w:rsidRPr="00DA46E7">
        <w:t xml:space="preserve"> Please also provide</w:t>
      </w:r>
      <w:r w:rsidR="00571FC7">
        <w:t xml:space="preserve"> information on the measures taken to ensure that </w:t>
      </w:r>
      <w:r w:rsidR="006F04AD">
        <w:t xml:space="preserve">all </w:t>
      </w:r>
      <w:r w:rsidR="00722F9D">
        <w:t>parties</w:t>
      </w:r>
      <w:r w:rsidR="006F04AD">
        <w:t>, including business actors,</w:t>
      </w:r>
      <w:r w:rsidR="00722F9D">
        <w:t xml:space="preserve"> to public contracts respect the Covenant </w:t>
      </w:r>
      <w:r w:rsidR="00BE06A7">
        <w:t>rights, and to mitigate</w:t>
      </w:r>
      <w:r w:rsidR="00722F9D">
        <w:t xml:space="preserve"> </w:t>
      </w:r>
      <w:r w:rsidR="00722F9D" w:rsidRPr="00722F9D">
        <w:lastRenderedPageBreak/>
        <w:t xml:space="preserve">risks </w:t>
      </w:r>
      <w:r w:rsidR="00722F9D">
        <w:t>of infringements of these rights by</w:t>
      </w:r>
      <w:r w:rsidR="006A0C50">
        <w:t xml:space="preserve"> th</w:t>
      </w:r>
      <w:r w:rsidR="00760F0F">
        <w:t>e</w:t>
      </w:r>
      <w:r w:rsidR="006A0C50">
        <w:t>se parties.</w:t>
      </w:r>
      <w:r w:rsidR="00760F0F" w:rsidRPr="00760F0F">
        <w:t xml:space="preserve"> </w:t>
      </w:r>
      <w:r w:rsidR="00760F0F" w:rsidRPr="002E34D9">
        <w:t xml:space="preserve">Please indicate the extent to which judicial remedies in the State party are available for the victims of violations committed by </w:t>
      </w:r>
      <w:r w:rsidR="00760F0F">
        <w:t>Israeli</w:t>
      </w:r>
      <w:r w:rsidR="00760F0F" w:rsidRPr="002E34D9">
        <w:t xml:space="preserve"> businesses abroad</w:t>
      </w:r>
      <w:r w:rsidR="006A732A">
        <w:t>,</w:t>
      </w:r>
      <w:r w:rsidR="00760F0F" w:rsidRPr="002E34D9">
        <w:t xml:space="preserve"> and provide specific examples.</w:t>
      </w:r>
    </w:p>
    <w:p w14:paraId="6DF18F82" w14:textId="0F998474" w:rsidR="00115373" w:rsidRPr="00946112" w:rsidRDefault="00192F88" w:rsidP="00192F88">
      <w:pPr>
        <w:pStyle w:val="SingleTxtG"/>
      </w:pPr>
      <w:r w:rsidRPr="00946112">
        <w:t>7.</w:t>
      </w:r>
      <w:r w:rsidRPr="00946112">
        <w:tab/>
      </w:r>
      <w:r w:rsidR="002E34D9" w:rsidRPr="002E34D9">
        <w:t>With regard to the threat represented by climate change to the enjoyment of economic, social and cultural rights across the world, please provide</w:t>
      </w:r>
      <w:r w:rsidR="00270DF6">
        <w:t xml:space="preserve"> detailed</w:t>
      </w:r>
      <w:r w:rsidR="002E34D9" w:rsidRPr="002E34D9">
        <w:t xml:space="preserve"> information on the progress made in meeting the national targets for reducing emissions that the State party has </w:t>
      </w:r>
      <w:r w:rsidR="002E34D9" w:rsidRPr="00946112">
        <w:t xml:space="preserve">set itself under the Paris Agreement on </w:t>
      </w:r>
      <w:r w:rsidR="006A732A" w:rsidRPr="00946112">
        <w:t>c</w:t>
      </w:r>
      <w:r w:rsidR="002E34D9" w:rsidRPr="00946112">
        <w:t xml:space="preserve">limate </w:t>
      </w:r>
      <w:r w:rsidR="006A732A" w:rsidRPr="00946112">
        <w:t>c</w:t>
      </w:r>
      <w:r w:rsidR="002E34D9" w:rsidRPr="00946112">
        <w:t>hange, and on the contributions that it proposes to make to the Green Climate Fund.</w:t>
      </w:r>
    </w:p>
    <w:p w14:paraId="671B5EB1" w14:textId="5FBAEAF8" w:rsidR="00A07569" w:rsidRPr="00946112" w:rsidRDefault="002818EA" w:rsidP="00B47313">
      <w:pPr>
        <w:pStyle w:val="HChG"/>
      </w:pPr>
      <w:r w:rsidRPr="00946112">
        <w:tab/>
        <w:t>II.</w:t>
      </w:r>
      <w:r w:rsidR="00AA319B" w:rsidRPr="00946112">
        <w:tab/>
        <w:t>Issues relating to the general provisions of the Covenant (arts. 1</w:t>
      </w:r>
      <w:r w:rsidR="000C12CA" w:rsidRPr="00946112">
        <w:t>–</w:t>
      </w:r>
      <w:r w:rsidR="00AA319B" w:rsidRPr="00946112">
        <w:t>5)</w:t>
      </w:r>
    </w:p>
    <w:p w14:paraId="200C9EDE" w14:textId="77777777" w:rsidR="00A07569" w:rsidRPr="00946112" w:rsidRDefault="00AA319B">
      <w:pPr>
        <w:pStyle w:val="H23G"/>
      </w:pPr>
      <w:r w:rsidRPr="00946112">
        <w:tab/>
      </w:r>
      <w:r w:rsidRPr="00946112">
        <w:tab/>
      </w:r>
      <w:r w:rsidRPr="00946112">
        <w:tab/>
        <w:t>Maximum available resources (art. 2 (1))</w:t>
      </w:r>
    </w:p>
    <w:p w14:paraId="1F377A13" w14:textId="176EC573" w:rsidR="00F100A7" w:rsidRPr="0025180D" w:rsidRDefault="00192F88" w:rsidP="00192F88">
      <w:pPr>
        <w:pStyle w:val="SingleTxtG"/>
      </w:pPr>
      <w:r w:rsidRPr="0025180D">
        <w:t>8.</w:t>
      </w:r>
      <w:r w:rsidRPr="0025180D">
        <w:tab/>
      </w:r>
      <w:r w:rsidR="00F100A7" w:rsidRPr="00946112">
        <w:t>Please provide information on the evolution, over the</w:t>
      </w:r>
      <w:r w:rsidR="00F100A7" w:rsidRPr="0025180D">
        <w:t xml:space="preserve"> past 10 years, of:</w:t>
      </w:r>
    </w:p>
    <w:p w14:paraId="2E52F30F" w14:textId="20D514EC" w:rsidR="00F100A7" w:rsidRPr="00F100A7" w:rsidRDefault="00F100A7" w:rsidP="00F100A7">
      <w:pPr>
        <w:pStyle w:val="SingleTxtG"/>
        <w:ind w:firstLine="567"/>
        <w:rPr>
          <w:rFonts w:eastAsia="SimSun"/>
          <w:lang w:eastAsia="zh-CN"/>
        </w:rPr>
      </w:pPr>
      <w:r w:rsidRPr="00F100A7">
        <w:rPr>
          <w:rFonts w:eastAsia="SimSun"/>
          <w:lang w:eastAsia="zh-CN"/>
        </w:rPr>
        <w:t>(a)</w:t>
      </w:r>
      <w:r>
        <w:rPr>
          <w:rFonts w:eastAsia="SimSun"/>
          <w:lang w:eastAsia="zh-CN"/>
        </w:rPr>
        <w:tab/>
      </w:r>
      <w:r w:rsidRPr="00F100A7">
        <w:rPr>
          <w:rFonts w:eastAsia="SimSun"/>
          <w:lang w:eastAsia="zh-CN"/>
        </w:rPr>
        <w:t xml:space="preserve">The proportion of </w:t>
      </w:r>
      <w:r w:rsidR="006A732A">
        <w:rPr>
          <w:rFonts w:eastAsia="SimSun"/>
          <w:lang w:eastAsia="zh-CN"/>
        </w:rPr>
        <w:t>persons</w:t>
      </w:r>
      <w:r w:rsidR="006A732A" w:rsidRPr="00F100A7">
        <w:rPr>
          <w:rFonts w:eastAsia="SimSun"/>
          <w:lang w:eastAsia="zh-CN"/>
        </w:rPr>
        <w:t xml:space="preserve"> </w:t>
      </w:r>
      <w:r w:rsidRPr="00F100A7">
        <w:rPr>
          <w:rFonts w:eastAsia="SimSun"/>
          <w:lang w:eastAsia="zh-CN"/>
        </w:rPr>
        <w:t xml:space="preserve">below the poverty line, and the levels of inequality, defined as the ratio between </w:t>
      </w:r>
      <w:r w:rsidR="007339C9">
        <w:rPr>
          <w:rFonts w:eastAsia="SimSun"/>
          <w:lang w:eastAsia="zh-CN"/>
        </w:rPr>
        <w:t xml:space="preserve">the </w:t>
      </w:r>
      <w:r w:rsidRPr="00F100A7">
        <w:rPr>
          <w:rFonts w:eastAsia="SimSun"/>
          <w:lang w:eastAsia="zh-CN"/>
        </w:rPr>
        <w:t>total income accruing to the richest decile of the population and the total income of the poorest 40 per cent of the population;</w:t>
      </w:r>
    </w:p>
    <w:p w14:paraId="3F435D37" w14:textId="299059A2" w:rsidR="00F100A7" w:rsidRPr="00F100A7" w:rsidRDefault="00F100A7" w:rsidP="00F100A7">
      <w:pPr>
        <w:pStyle w:val="SingleTxtG"/>
        <w:ind w:firstLine="567"/>
        <w:rPr>
          <w:rFonts w:eastAsia="SimSun"/>
          <w:lang w:eastAsia="zh-CN"/>
        </w:rPr>
      </w:pPr>
      <w:r w:rsidRPr="00F100A7">
        <w:rPr>
          <w:rFonts w:eastAsia="SimSun"/>
          <w:lang w:eastAsia="zh-CN"/>
        </w:rPr>
        <w:t>(b)</w:t>
      </w:r>
      <w:r>
        <w:rPr>
          <w:rFonts w:eastAsia="SimSun"/>
          <w:lang w:eastAsia="zh-CN"/>
        </w:rPr>
        <w:tab/>
      </w:r>
      <w:r w:rsidRPr="00F100A7">
        <w:rPr>
          <w:rFonts w:eastAsia="SimSun"/>
          <w:lang w:eastAsia="zh-CN"/>
        </w:rPr>
        <w:t xml:space="preserve">The proportion of </w:t>
      </w:r>
      <w:r w:rsidR="007339C9">
        <w:rPr>
          <w:rFonts w:eastAsia="SimSun"/>
          <w:lang w:eastAsia="zh-CN"/>
        </w:rPr>
        <w:t>public revenue</w:t>
      </w:r>
      <w:r w:rsidRPr="00F100A7">
        <w:rPr>
          <w:rFonts w:eastAsia="SimSun"/>
          <w:lang w:eastAsia="zh-CN"/>
        </w:rPr>
        <w:t xml:space="preserve"> that is generated through taxes;</w:t>
      </w:r>
    </w:p>
    <w:p w14:paraId="165BEDDC" w14:textId="1294B9D3" w:rsidR="00F100A7" w:rsidRPr="00F100A7" w:rsidRDefault="00F100A7" w:rsidP="00F100A7">
      <w:pPr>
        <w:pStyle w:val="SingleTxtG"/>
        <w:ind w:firstLine="567"/>
        <w:rPr>
          <w:rFonts w:eastAsia="SimSun"/>
          <w:lang w:eastAsia="zh-CN"/>
        </w:rPr>
      </w:pPr>
      <w:r w:rsidRPr="00F100A7">
        <w:rPr>
          <w:rFonts w:eastAsia="SimSun"/>
          <w:lang w:eastAsia="zh-CN"/>
        </w:rPr>
        <w:t>(c)</w:t>
      </w:r>
      <w:r>
        <w:rPr>
          <w:rFonts w:eastAsia="SimSun"/>
          <w:lang w:eastAsia="zh-CN"/>
        </w:rPr>
        <w:tab/>
      </w:r>
      <w:r w:rsidRPr="00F100A7">
        <w:rPr>
          <w:rFonts w:eastAsia="SimSun"/>
          <w:lang w:eastAsia="zh-CN"/>
        </w:rPr>
        <w:t xml:space="preserve">The </w:t>
      </w:r>
      <w:r w:rsidR="00D143A6">
        <w:rPr>
          <w:rFonts w:eastAsia="SimSun"/>
          <w:lang w:eastAsia="zh-CN"/>
        </w:rPr>
        <w:t>tax rates</w:t>
      </w:r>
      <w:r w:rsidRPr="00F100A7">
        <w:rPr>
          <w:rFonts w:eastAsia="SimSun"/>
          <w:lang w:eastAsia="zh-CN"/>
        </w:rPr>
        <w:t xml:space="preserve"> levied on corporate profits and on personal income, the value added tax rate (exclusive of the value added tax on luxury items, tobacco, alcohol, sugary drinks </w:t>
      </w:r>
      <w:r w:rsidR="00D143A6">
        <w:rPr>
          <w:rFonts w:eastAsia="SimSun"/>
          <w:lang w:eastAsia="zh-CN"/>
        </w:rPr>
        <w:t>and</w:t>
      </w:r>
      <w:r w:rsidRPr="00F100A7">
        <w:rPr>
          <w:rFonts w:eastAsia="SimSun"/>
          <w:lang w:eastAsia="zh-CN"/>
        </w:rPr>
        <w:t xml:space="preserve"> snacks</w:t>
      </w:r>
      <w:r w:rsidR="00DA0726">
        <w:rPr>
          <w:rFonts w:eastAsia="SimSun"/>
          <w:lang w:eastAsia="zh-CN"/>
        </w:rPr>
        <w:t>,</w:t>
      </w:r>
      <w:r w:rsidRPr="00F100A7">
        <w:rPr>
          <w:rFonts w:eastAsia="SimSun"/>
          <w:lang w:eastAsia="zh-CN"/>
        </w:rPr>
        <w:t xml:space="preserve"> and gasoline), and the percentage of total revenue that is generated from personal income taxes collected from the richest decile of the population;</w:t>
      </w:r>
    </w:p>
    <w:p w14:paraId="5FC0D375" w14:textId="7A443C8D" w:rsidR="00F100A7" w:rsidRPr="00F100A7" w:rsidRDefault="00F100A7" w:rsidP="00F100A7">
      <w:pPr>
        <w:pStyle w:val="SingleTxtG"/>
        <w:ind w:firstLine="567"/>
        <w:rPr>
          <w:rFonts w:eastAsia="SimSun"/>
          <w:lang w:eastAsia="zh-CN"/>
        </w:rPr>
      </w:pPr>
      <w:r w:rsidRPr="00F100A7">
        <w:rPr>
          <w:rFonts w:eastAsia="SimSun"/>
          <w:lang w:eastAsia="zh-CN"/>
        </w:rPr>
        <w:t>(d)</w:t>
      </w:r>
      <w:r>
        <w:rPr>
          <w:rFonts w:eastAsia="SimSun"/>
          <w:lang w:eastAsia="zh-CN"/>
        </w:rPr>
        <w:tab/>
      </w:r>
      <w:r w:rsidRPr="00F100A7">
        <w:rPr>
          <w:rFonts w:eastAsia="SimSun"/>
          <w:lang w:eastAsia="zh-CN"/>
        </w:rPr>
        <w:t xml:space="preserve">Public </w:t>
      </w:r>
      <w:r w:rsidR="006F339F">
        <w:t>expenditure</w:t>
      </w:r>
      <w:r w:rsidRPr="00F100A7">
        <w:rPr>
          <w:rFonts w:eastAsia="SimSun"/>
          <w:lang w:eastAsia="zh-CN"/>
        </w:rPr>
        <w:t xml:space="preserve"> as a percentage of gross domestic product and, within total </w:t>
      </w:r>
      <w:r w:rsidRPr="006F339F">
        <w:rPr>
          <w:rFonts w:eastAsia="SimSun"/>
          <w:lang w:eastAsia="zh-CN"/>
        </w:rPr>
        <w:t xml:space="preserve">public </w:t>
      </w:r>
      <w:r w:rsidR="006F339F">
        <w:t>expenditure</w:t>
      </w:r>
      <w:r w:rsidRPr="006F339F">
        <w:rPr>
          <w:rFonts w:eastAsia="SimSun"/>
          <w:lang w:eastAsia="zh-CN"/>
        </w:rPr>
        <w:t>, the</w:t>
      </w:r>
      <w:r w:rsidRPr="00F100A7">
        <w:rPr>
          <w:rFonts w:eastAsia="SimSun"/>
          <w:lang w:eastAsia="zh-CN"/>
        </w:rPr>
        <w:t xml:space="preserve"> proportion of the public budget that is allocated to social spending (education, social security, food, health, water and sanitation</w:t>
      </w:r>
      <w:r w:rsidR="00BD5565">
        <w:rPr>
          <w:rFonts w:eastAsia="SimSun"/>
          <w:lang w:eastAsia="zh-CN"/>
        </w:rPr>
        <w:t>,</w:t>
      </w:r>
      <w:r w:rsidRPr="00F100A7">
        <w:rPr>
          <w:rFonts w:eastAsia="SimSun"/>
          <w:lang w:eastAsia="zh-CN"/>
        </w:rPr>
        <w:t xml:space="preserve"> and housing);</w:t>
      </w:r>
    </w:p>
    <w:p w14:paraId="037D14BC" w14:textId="77777777" w:rsidR="00F100A7" w:rsidRPr="00F100A7" w:rsidRDefault="00F100A7" w:rsidP="00F100A7">
      <w:pPr>
        <w:pStyle w:val="SingleTxtG"/>
        <w:ind w:firstLine="567"/>
        <w:rPr>
          <w:color w:val="000000"/>
          <w:sz w:val="27"/>
          <w:szCs w:val="27"/>
          <w:lang w:eastAsia="ko-KR"/>
        </w:rPr>
      </w:pPr>
      <w:r w:rsidRPr="00F100A7">
        <w:rPr>
          <w:rFonts w:eastAsia="SimSun"/>
          <w:lang w:eastAsia="zh-CN"/>
        </w:rPr>
        <w:t>(e)</w:t>
      </w:r>
      <w:r>
        <w:rPr>
          <w:rFonts w:eastAsia="SimSun"/>
          <w:lang w:eastAsia="zh-CN"/>
        </w:rPr>
        <w:tab/>
      </w:r>
      <w:r w:rsidRPr="00F100A7">
        <w:rPr>
          <w:rFonts w:eastAsia="SimSun"/>
          <w:lang w:eastAsia="zh-CN"/>
        </w:rPr>
        <w:t>Inflation-adjusted absolute levels of social spending.</w:t>
      </w:r>
    </w:p>
    <w:p w14:paraId="709132FB" w14:textId="6D34A36F" w:rsidR="0055419A" w:rsidRDefault="00192F88" w:rsidP="00192F88">
      <w:pPr>
        <w:pStyle w:val="SingleTxtG"/>
      </w:pPr>
      <w:r>
        <w:t>9.</w:t>
      </w:r>
      <w:r>
        <w:tab/>
      </w:r>
      <w:r w:rsidR="008018B3">
        <w:t xml:space="preserve">Please provide information on the measures taken to increase the level of official development assistance of the State party. Please also provide information on the measures taken to </w:t>
      </w:r>
      <w:r w:rsidR="007E4624">
        <w:t>ensure that</w:t>
      </w:r>
      <w:r w:rsidR="00DE465B">
        <w:t xml:space="preserve"> </w:t>
      </w:r>
      <w:r w:rsidR="00942DE8">
        <w:t xml:space="preserve">the </w:t>
      </w:r>
      <w:r w:rsidR="007E4624">
        <w:t xml:space="preserve">policies and programmes of </w:t>
      </w:r>
      <w:r w:rsidR="007E4624" w:rsidRPr="007E4624">
        <w:t xml:space="preserve">Israel’s Agency for International Development Cooperation </w:t>
      </w:r>
      <w:r w:rsidR="007E4624">
        <w:t>(</w:t>
      </w:r>
      <w:r w:rsidR="007E4624" w:rsidRPr="007E4624">
        <w:t>MASHAV</w:t>
      </w:r>
      <w:r w:rsidR="007E4624">
        <w:t>)</w:t>
      </w:r>
      <w:r w:rsidR="00942DE8">
        <w:t xml:space="preserve"> are planned and implemented based on human rights</w:t>
      </w:r>
      <w:r w:rsidR="00115373">
        <w:t xml:space="preserve"> principles enshrined in the Covenant</w:t>
      </w:r>
      <w:r w:rsidR="007E4624">
        <w:t>.</w:t>
      </w:r>
      <w:r w:rsidR="007E4624" w:rsidRPr="00286B15">
        <w:t xml:space="preserve"> </w:t>
      </w:r>
    </w:p>
    <w:p w14:paraId="0D5DBA5A" w14:textId="6C895FFF" w:rsidR="0076724C" w:rsidRPr="00946112" w:rsidRDefault="00192F88" w:rsidP="00192F88">
      <w:pPr>
        <w:pStyle w:val="SingleTxtG"/>
      </w:pPr>
      <w:r w:rsidRPr="00946112">
        <w:t>10.</w:t>
      </w:r>
      <w:r w:rsidRPr="00946112">
        <w:tab/>
      </w:r>
      <w:r w:rsidR="00F700E2" w:rsidRPr="00105527">
        <w:t xml:space="preserve">Please provide information on the legislative and institutional framework </w:t>
      </w:r>
      <w:r w:rsidR="00A677A3">
        <w:t>to</w:t>
      </w:r>
      <w:r w:rsidR="00F700E2" w:rsidRPr="00105527">
        <w:t xml:space="preserve"> combat </w:t>
      </w:r>
      <w:r w:rsidR="00F700E2" w:rsidRPr="00946112">
        <w:t xml:space="preserve">corruption </w:t>
      </w:r>
      <w:r w:rsidR="00590090" w:rsidRPr="00946112">
        <w:t>and to enhance transparency</w:t>
      </w:r>
      <w:r w:rsidR="00D143A6">
        <w:t xml:space="preserve"> and</w:t>
      </w:r>
      <w:r w:rsidR="00590090" w:rsidRPr="00946112">
        <w:t xml:space="preserve"> accountability</w:t>
      </w:r>
      <w:r w:rsidR="00D143A6">
        <w:t xml:space="preserve"> </w:t>
      </w:r>
      <w:r w:rsidR="00590090" w:rsidRPr="00946112">
        <w:t>in the conduct of public affairs</w:t>
      </w:r>
      <w:r w:rsidR="00F700E2" w:rsidRPr="00946112">
        <w:t>. Please also provide information on the cases filed with anti-corruption bodies, particularly those brought against high-level officials, including the number of cases filed, investigated and prosecuted and the sentences passed on those involved in corruption.</w:t>
      </w:r>
    </w:p>
    <w:p w14:paraId="5FC2C936" w14:textId="77777777" w:rsidR="00A07569" w:rsidRPr="00946112" w:rsidRDefault="00AA319B">
      <w:pPr>
        <w:pStyle w:val="H23G"/>
      </w:pPr>
      <w:r w:rsidRPr="00946112">
        <w:tab/>
      </w:r>
      <w:r w:rsidRPr="00946112">
        <w:tab/>
        <w:t>Non-discrimination (art. 2 (2))</w:t>
      </w:r>
    </w:p>
    <w:p w14:paraId="4EAE1780" w14:textId="17E5F8E0" w:rsidR="0055419A" w:rsidRPr="00946112" w:rsidRDefault="00192F88" w:rsidP="00192F88">
      <w:pPr>
        <w:pStyle w:val="SingleTxtG"/>
      </w:pPr>
      <w:r w:rsidRPr="00946112">
        <w:t>11.</w:t>
      </w:r>
      <w:r w:rsidRPr="00946112">
        <w:tab/>
      </w:r>
      <w:r w:rsidR="00E63BE2" w:rsidRPr="00946112">
        <w:t xml:space="preserve">Please provide information on the measures taken or envisaged to </w:t>
      </w:r>
      <w:r w:rsidR="00F77565" w:rsidRPr="00946112">
        <w:t xml:space="preserve">explicitly guarantee </w:t>
      </w:r>
      <w:r w:rsidR="00E63BE2" w:rsidRPr="00946112">
        <w:t xml:space="preserve">the principle of equality and </w:t>
      </w:r>
      <w:r w:rsidR="006D6EC6" w:rsidRPr="00946112">
        <w:t xml:space="preserve">the prohibition of </w:t>
      </w:r>
      <w:r w:rsidR="00E63BE2" w:rsidRPr="00946112">
        <w:t>non-discrimination</w:t>
      </w:r>
      <w:r w:rsidR="006D6EC6" w:rsidRPr="00946112">
        <w:t xml:space="preserve"> in </w:t>
      </w:r>
      <w:r w:rsidR="00E63BE2" w:rsidRPr="00946112">
        <w:t>Basic Law: Human Dignity and Liberty</w:t>
      </w:r>
      <w:r w:rsidR="00772A70" w:rsidRPr="00946112">
        <w:t xml:space="preserve"> and to review legislation </w:t>
      </w:r>
      <w:r w:rsidR="00E63BE2" w:rsidRPr="00946112">
        <w:t>with a view to remov</w:t>
      </w:r>
      <w:r w:rsidR="000C1166" w:rsidRPr="00946112">
        <w:t>ing</w:t>
      </w:r>
      <w:r w:rsidR="00E63BE2" w:rsidRPr="00946112">
        <w:t xml:space="preserve"> </w:t>
      </w:r>
      <w:r w:rsidR="00E62E7C" w:rsidRPr="00946112">
        <w:t xml:space="preserve">the discriminatory provisions, particularly those against the </w:t>
      </w:r>
      <w:r w:rsidR="00E63BE2" w:rsidRPr="00946112">
        <w:t>non-Jewish population.</w:t>
      </w:r>
      <w:r w:rsidR="005D70DB" w:rsidRPr="00946112">
        <w:t xml:space="preserve"> </w:t>
      </w:r>
    </w:p>
    <w:p w14:paraId="07C85F26" w14:textId="0759B79F" w:rsidR="00772A70" w:rsidRDefault="00192F88" w:rsidP="00192F88">
      <w:pPr>
        <w:pStyle w:val="SingleTxtG"/>
      </w:pPr>
      <w:r>
        <w:t>12.</w:t>
      </w:r>
      <w:r>
        <w:tab/>
      </w:r>
      <w:r w:rsidR="00772A70" w:rsidRPr="00946112">
        <w:t>Please provide information on the assessments</w:t>
      </w:r>
      <w:r w:rsidR="00772A70" w:rsidRPr="0055419A">
        <w:t xml:space="preserve">, if any, </w:t>
      </w:r>
      <w:r w:rsidR="00485BF1">
        <w:t>that</w:t>
      </w:r>
      <w:r w:rsidR="00485BF1" w:rsidRPr="0055419A">
        <w:t xml:space="preserve"> </w:t>
      </w:r>
      <w:r w:rsidR="00772A70" w:rsidRPr="0055419A">
        <w:t>the State party</w:t>
      </w:r>
      <w:r w:rsidR="006F339F">
        <w:t xml:space="preserve"> has</w:t>
      </w:r>
      <w:r w:rsidR="00772A70" w:rsidRPr="0055419A">
        <w:t xml:space="preserve"> carried out on the impact of Basic Law: Israel as the Nation-State of the Jewish People, adopted by </w:t>
      </w:r>
      <w:r w:rsidR="00485BF1">
        <w:t xml:space="preserve">the </w:t>
      </w:r>
      <w:r w:rsidR="00772A70" w:rsidRPr="0055419A">
        <w:t>Knesset on 19 July 2018, on the non-Jewish population and on their enjoyment</w:t>
      </w:r>
      <w:r w:rsidR="00772A70">
        <w:t xml:space="preserve"> of the Covenant rights, particularly the right to self-determination, </w:t>
      </w:r>
      <w:r w:rsidR="00485BF1">
        <w:t xml:space="preserve">the </w:t>
      </w:r>
      <w:r w:rsidR="00772A70">
        <w:t>right to non-discrimination</w:t>
      </w:r>
      <w:r w:rsidR="00485BF1">
        <w:t>,</w:t>
      </w:r>
      <w:r w:rsidR="00772A70">
        <w:t xml:space="preserve"> and cultural rights. Please </w:t>
      </w:r>
      <w:r w:rsidR="0055419A">
        <w:t>also</w:t>
      </w:r>
      <w:r w:rsidR="00772A70">
        <w:t xml:space="preserve"> clarify the concerns raised regarding th</w:t>
      </w:r>
      <w:r w:rsidR="0010066D">
        <w:t>is</w:t>
      </w:r>
      <w:r w:rsidR="00772A70">
        <w:t xml:space="preserve"> </w:t>
      </w:r>
      <w:r w:rsidR="00485BF1">
        <w:t>l</w:t>
      </w:r>
      <w:r w:rsidR="00772A70">
        <w:t>aw</w:t>
      </w:r>
      <w:r w:rsidR="00485BF1">
        <w:t>,</w:t>
      </w:r>
      <w:r w:rsidR="00772A70">
        <w:t xml:space="preserve"> that it may exacerbate the existing ethnic segregation and lead to policies and budget allocation that may further disadvantage the non-Jewish population. </w:t>
      </w:r>
      <w:r w:rsidR="0010066D">
        <w:t>Please provide</w:t>
      </w:r>
      <w:r w:rsidR="00772A70" w:rsidRPr="00E63BE2">
        <w:t xml:space="preserve"> </w:t>
      </w:r>
      <w:r w:rsidR="00772A70">
        <w:t xml:space="preserve">updated </w:t>
      </w:r>
      <w:r w:rsidR="00772A70" w:rsidRPr="00E63BE2">
        <w:t>information on the case brought before the Supreme Court</w:t>
      </w:r>
      <w:r w:rsidR="00772A70">
        <w:t xml:space="preserve"> </w:t>
      </w:r>
      <w:r w:rsidR="006F339F">
        <w:t>contesting</w:t>
      </w:r>
      <w:r w:rsidR="00772A70" w:rsidRPr="00E63BE2">
        <w:t xml:space="preserve"> the constitutionality of th</w:t>
      </w:r>
      <w:r w:rsidR="0010066D">
        <w:t>e</w:t>
      </w:r>
      <w:r w:rsidR="00772A70" w:rsidRPr="00E63BE2">
        <w:t xml:space="preserve"> law.</w:t>
      </w:r>
    </w:p>
    <w:p w14:paraId="2CF6D985" w14:textId="3F4CFB83" w:rsidR="00E63BE2" w:rsidRPr="00286B15" w:rsidRDefault="00192F88" w:rsidP="00192F88">
      <w:pPr>
        <w:pStyle w:val="SingleTxtG"/>
      </w:pPr>
      <w:r w:rsidRPr="00286B15">
        <w:lastRenderedPageBreak/>
        <w:t>13.</w:t>
      </w:r>
      <w:r w:rsidRPr="00286B15">
        <w:tab/>
      </w:r>
      <w:r w:rsidR="005D70DB">
        <w:t xml:space="preserve">Please </w:t>
      </w:r>
      <w:r w:rsidR="0093660F">
        <w:t xml:space="preserve">provide information on the equality bodies </w:t>
      </w:r>
      <w:r w:rsidR="005D70DB">
        <w:t>of the State party</w:t>
      </w:r>
      <w:r w:rsidR="0093660F">
        <w:t>, in particular</w:t>
      </w:r>
      <w:r w:rsidR="00ED0F71">
        <w:t xml:space="preserve"> on</w:t>
      </w:r>
      <w:r w:rsidR="0093660F">
        <w:t xml:space="preserve"> their mandate and power, </w:t>
      </w:r>
      <w:r w:rsidR="00ED0F71">
        <w:t xml:space="preserve">and on </w:t>
      </w:r>
      <w:r w:rsidR="005D70DB">
        <w:t>cases brought before the</w:t>
      </w:r>
      <w:r w:rsidR="0093660F">
        <w:t>m</w:t>
      </w:r>
      <w:r w:rsidR="005D70DB">
        <w:t xml:space="preserve">, including the main grounds of discrimination and </w:t>
      </w:r>
      <w:r w:rsidR="00ED0F71">
        <w:t xml:space="preserve">the </w:t>
      </w:r>
      <w:r w:rsidR="00574AB6">
        <w:t xml:space="preserve">main </w:t>
      </w:r>
      <w:r w:rsidR="005D70DB">
        <w:t xml:space="preserve">contexts </w:t>
      </w:r>
      <w:r w:rsidR="00574AB6">
        <w:t xml:space="preserve">in which discrimination </w:t>
      </w:r>
      <w:r w:rsidR="00ED0F71">
        <w:t xml:space="preserve">has </w:t>
      </w:r>
      <w:r w:rsidR="00574AB6">
        <w:t>occurred</w:t>
      </w:r>
      <w:r w:rsidR="001111BA">
        <w:t xml:space="preserve"> in the enjoyment of the Covenant rights</w:t>
      </w:r>
      <w:r w:rsidR="00574AB6">
        <w:t xml:space="preserve">, and examples of recommendations or decisions </w:t>
      </w:r>
      <w:r w:rsidR="00EF6C52">
        <w:t>made by</w:t>
      </w:r>
      <w:r w:rsidR="00574AB6">
        <w:t xml:space="preserve"> these bodies to </w:t>
      </w:r>
      <w:r w:rsidR="00EF6C52">
        <w:t>address</w:t>
      </w:r>
      <w:r w:rsidR="00574AB6">
        <w:t xml:space="preserve"> chronic or structural discrimination.</w:t>
      </w:r>
    </w:p>
    <w:p w14:paraId="15039D4F" w14:textId="77777777" w:rsidR="009133AB" w:rsidRPr="009133AB" w:rsidRDefault="00C86111" w:rsidP="00C86111">
      <w:pPr>
        <w:pStyle w:val="H23G"/>
      </w:pPr>
      <w:r>
        <w:tab/>
      </w:r>
      <w:r>
        <w:tab/>
      </w:r>
      <w:r w:rsidR="009133AB" w:rsidRPr="009133AB">
        <w:t>The Bedouin people</w:t>
      </w:r>
    </w:p>
    <w:p w14:paraId="46B698F2" w14:textId="6D24FEB9" w:rsidR="009133AB" w:rsidRDefault="00192F88" w:rsidP="00192F88">
      <w:pPr>
        <w:pStyle w:val="SingleTxtG"/>
      </w:pPr>
      <w:r>
        <w:t>14.</w:t>
      </w:r>
      <w:r>
        <w:tab/>
      </w:r>
      <w:r w:rsidR="006219BC">
        <w:t>Please provide information on</w:t>
      </w:r>
      <w:r w:rsidR="009133AB">
        <w:t>:</w:t>
      </w:r>
      <w:r w:rsidR="006219BC">
        <w:t xml:space="preserve"> </w:t>
      </w:r>
    </w:p>
    <w:p w14:paraId="66164D0F" w14:textId="77777777" w:rsidR="002E20C8" w:rsidRDefault="009133AB" w:rsidP="009133AB">
      <w:pPr>
        <w:pStyle w:val="SingleTxtG"/>
        <w:ind w:firstLine="567"/>
      </w:pPr>
      <w:r>
        <w:t>(a)</w:t>
      </w:r>
      <w:r>
        <w:tab/>
      </w:r>
      <w:r w:rsidR="00193F31">
        <w:t>The steps taken t</w:t>
      </w:r>
      <w:r w:rsidR="002E20C8">
        <w:t>o fully respect the rights of the Arab-Bedouin people to their traditional and ancestral lands;</w:t>
      </w:r>
    </w:p>
    <w:p w14:paraId="00972DCB" w14:textId="1DB9BE07" w:rsidR="009133AB" w:rsidRDefault="002E20C8" w:rsidP="009133AB">
      <w:pPr>
        <w:pStyle w:val="SingleTxtG"/>
        <w:ind w:firstLine="567"/>
      </w:pPr>
      <w:r>
        <w:t>(b)</w:t>
      </w:r>
      <w:r>
        <w:tab/>
      </w:r>
      <w:r w:rsidR="00193F31">
        <w:t>The impacts of the measures taken t</w:t>
      </w:r>
      <w:r w:rsidR="001A3D64">
        <w:t xml:space="preserve">o ensure that the Bedouin population continue their traditional semi-nomadic way of life and enjoy their traditional </w:t>
      </w:r>
      <w:r w:rsidR="008C0191">
        <w:t>culture, and</w:t>
      </w:r>
      <w:r w:rsidR="001A3D64">
        <w:t xml:space="preserve"> </w:t>
      </w:r>
      <w:r w:rsidR="006219BC">
        <w:t>to recognize</w:t>
      </w:r>
      <w:r w:rsidR="00E80D1D">
        <w:t xml:space="preserve"> the Bedouin population</w:t>
      </w:r>
      <w:r w:rsidR="006219BC">
        <w:t xml:space="preserve"> as an indigenous people</w:t>
      </w:r>
      <w:r w:rsidR="009133AB">
        <w:t>;</w:t>
      </w:r>
    </w:p>
    <w:p w14:paraId="42C46318" w14:textId="0B414815" w:rsidR="009133AB" w:rsidRDefault="009133AB" w:rsidP="001A3D64">
      <w:pPr>
        <w:pStyle w:val="SingleTxtG"/>
        <w:ind w:firstLine="567"/>
      </w:pPr>
      <w:r>
        <w:t>(</w:t>
      </w:r>
      <w:r w:rsidR="00772A70">
        <w:t>c</w:t>
      </w:r>
      <w:r>
        <w:t>)</w:t>
      </w:r>
      <w:r>
        <w:tab/>
      </w:r>
      <w:r w:rsidR="00193F31">
        <w:t>The impacts of the measures taken t</w:t>
      </w:r>
      <w:r w:rsidR="001A3D64">
        <w:t xml:space="preserve">o implement the </w:t>
      </w:r>
      <w:r w:rsidR="001D03CC">
        <w:t xml:space="preserve">second </w:t>
      </w:r>
      <w:r w:rsidR="00633980">
        <w:t>f</w:t>
      </w:r>
      <w:r w:rsidR="003955F7">
        <w:t>ive-</w:t>
      </w:r>
      <w:r w:rsidR="00633980">
        <w:t>y</w:t>
      </w:r>
      <w:r w:rsidR="003955F7">
        <w:t xml:space="preserve">ear </w:t>
      </w:r>
      <w:r w:rsidR="001D03CC" w:rsidRPr="001D03CC">
        <w:t>Socio</w:t>
      </w:r>
      <w:r w:rsidR="001D03CC">
        <w:t>e</w:t>
      </w:r>
      <w:r w:rsidR="001D03CC" w:rsidRPr="001D03CC">
        <w:t>conomic Development P</w:t>
      </w:r>
      <w:r w:rsidR="007301E6">
        <w:t>l</w:t>
      </w:r>
      <w:r w:rsidR="001D03CC" w:rsidRPr="001D03CC">
        <w:t>an for Negev Bedouin</w:t>
      </w:r>
      <w:r w:rsidR="00FB2E00">
        <w:t>:</w:t>
      </w:r>
      <w:r w:rsidR="001D03CC" w:rsidRPr="001D03CC">
        <w:t xml:space="preserve"> 2017</w:t>
      </w:r>
      <w:r w:rsidR="001D03CC">
        <w:t>–</w:t>
      </w:r>
      <w:r w:rsidR="001D03CC" w:rsidRPr="001D03CC">
        <w:t>2021</w:t>
      </w:r>
      <w:r w:rsidR="00E86A90">
        <w:t xml:space="preserve"> </w:t>
      </w:r>
      <w:r w:rsidR="001A3D64">
        <w:t xml:space="preserve">in line with </w:t>
      </w:r>
      <w:r w:rsidR="001A3D64" w:rsidRPr="006A0036">
        <w:rPr>
          <w:rFonts w:cstheme="minorHAnsi"/>
          <w:bCs/>
        </w:rPr>
        <w:t xml:space="preserve">the Committee’s </w:t>
      </w:r>
      <w:r w:rsidR="00BD7FD8">
        <w:rPr>
          <w:rFonts w:cstheme="minorHAnsi"/>
          <w:bCs/>
        </w:rPr>
        <w:t>g</w:t>
      </w:r>
      <w:r w:rsidR="001A3D64" w:rsidRPr="006A0036">
        <w:rPr>
          <w:rFonts w:cstheme="minorHAnsi"/>
          <w:bCs/>
        </w:rPr>
        <w:t xml:space="preserve">eneral </w:t>
      </w:r>
      <w:r w:rsidR="00BD7FD8">
        <w:rPr>
          <w:rFonts w:cstheme="minorHAnsi"/>
          <w:bCs/>
        </w:rPr>
        <w:t>c</w:t>
      </w:r>
      <w:r w:rsidR="001A3D64" w:rsidRPr="006A0036">
        <w:rPr>
          <w:rFonts w:cstheme="minorHAnsi"/>
          <w:bCs/>
        </w:rPr>
        <w:t>omments No.</w:t>
      </w:r>
      <w:r w:rsidR="00302D4B">
        <w:rPr>
          <w:rFonts w:cstheme="minorHAnsi"/>
          <w:bCs/>
        </w:rPr>
        <w:t> </w:t>
      </w:r>
      <w:r w:rsidR="001A3D64" w:rsidRPr="006A0036">
        <w:rPr>
          <w:rFonts w:cstheme="minorHAnsi"/>
          <w:bCs/>
        </w:rPr>
        <w:t xml:space="preserve">4 </w:t>
      </w:r>
      <w:r w:rsidR="00E45DBE">
        <w:rPr>
          <w:rFonts w:cstheme="minorHAnsi"/>
          <w:bCs/>
        </w:rPr>
        <w:t xml:space="preserve">(1991) </w:t>
      </w:r>
      <w:r w:rsidR="001A3D64">
        <w:rPr>
          <w:rFonts w:cstheme="minorHAnsi"/>
          <w:bCs/>
        </w:rPr>
        <w:t xml:space="preserve">on the right to adequate housing </w:t>
      </w:r>
      <w:r w:rsidR="001A3D64" w:rsidRPr="006A0036">
        <w:rPr>
          <w:rFonts w:cstheme="minorHAnsi"/>
          <w:bCs/>
        </w:rPr>
        <w:t>and No.</w:t>
      </w:r>
      <w:r w:rsidR="00302D4B">
        <w:rPr>
          <w:rFonts w:cstheme="minorHAnsi"/>
          <w:bCs/>
        </w:rPr>
        <w:t> </w:t>
      </w:r>
      <w:r w:rsidR="001A3D64" w:rsidRPr="006A0036">
        <w:rPr>
          <w:rFonts w:cstheme="minorHAnsi"/>
          <w:bCs/>
        </w:rPr>
        <w:t xml:space="preserve">7 (1997) on </w:t>
      </w:r>
      <w:r w:rsidR="001A3D64">
        <w:rPr>
          <w:rFonts w:cstheme="minorHAnsi"/>
          <w:bCs/>
        </w:rPr>
        <w:t>forced evictions</w:t>
      </w:r>
      <w:r>
        <w:t>;</w:t>
      </w:r>
      <w:r w:rsidR="003955F7">
        <w:t xml:space="preserve"> </w:t>
      </w:r>
    </w:p>
    <w:p w14:paraId="031A58DB" w14:textId="77777777" w:rsidR="009133AB" w:rsidRDefault="009133AB" w:rsidP="009133AB">
      <w:pPr>
        <w:pStyle w:val="SingleTxtG"/>
        <w:ind w:firstLine="567"/>
      </w:pPr>
      <w:r>
        <w:t>(</w:t>
      </w:r>
      <w:r w:rsidR="00772A70">
        <w:t>d</w:t>
      </w:r>
      <w:r>
        <w:t>)</w:t>
      </w:r>
      <w:r>
        <w:tab/>
      </w:r>
      <w:r w:rsidR="00193F31">
        <w:t>The measures taken t</w:t>
      </w:r>
      <w:r w:rsidR="003955F7">
        <w:t xml:space="preserve">o ensure the meaningful participation of the Bedouin people </w:t>
      </w:r>
      <w:r w:rsidR="002A4D19">
        <w:t xml:space="preserve">and to </w:t>
      </w:r>
      <w:r w:rsidR="00E70375">
        <w:t xml:space="preserve">seek </w:t>
      </w:r>
      <w:r w:rsidR="002A4D19">
        <w:t>their free</w:t>
      </w:r>
      <w:r w:rsidR="00572625">
        <w:t>,</w:t>
      </w:r>
      <w:r w:rsidR="002A4D19">
        <w:t xml:space="preserve"> prior and informed consent </w:t>
      </w:r>
      <w:r w:rsidR="003955F7">
        <w:t>in planning and implementing all development policies and plans affecting them</w:t>
      </w:r>
      <w:r>
        <w:t>;</w:t>
      </w:r>
      <w:r w:rsidR="002A4D19">
        <w:t xml:space="preserve"> </w:t>
      </w:r>
    </w:p>
    <w:p w14:paraId="24CF6CED" w14:textId="6277114A" w:rsidR="00C12C5F" w:rsidRPr="003F0EA6" w:rsidRDefault="00C12C5F" w:rsidP="009133AB">
      <w:pPr>
        <w:pStyle w:val="SingleTxtG"/>
        <w:ind w:firstLine="567"/>
      </w:pPr>
      <w:r>
        <w:t>(</w:t>
      </w:r>
      <w:r w:rsidR="00772A70">
        <w:t>e</w:t>
      </w:r>
      <w:r>
        <w:t>)</w:t>
      </w:r>
      <w:r>
        <w:tab/>
      </w:r>
      <w:r w:rsidR="00193F31">
        <w:t xml:space="preserve">The impacts of the measures </w:t>
      </w:r>
      <w:r w:rsidR="00193F31" w:rsidRPr="009F7EFA">
        <w:t>taken t</w:t>
      </w:r>
      <w:r w:rsidRPr="009F7EFA">
        <w:t xml:space="preserve">o alleviate the </w:t>
      </w:r>
      <w:r w:rsidRPr="003F0EA6">
        <w:t>disproportionately high incidence of poverty among the Bedouin population</w:t>
      </w:r>
      <w:r w:rsidR="00C70156" w:rsidRPr="003F0EA6">
        <w:t xml:space="preserve"> in the Negev</w:t>
      </w:r>
      <w:r w:rsidRPr="003F0EA6">
        <w:t>;</w:t>
      </w:r>
    </w:p>
    <w:p w14:paraId="44928FC0" w14:textId="77777777" w:rsidR="00C12C5F" w:rsidRPr="003F0EA6" w:rsidRDefault="00C12C5F" w:rsidP="009133AB">
      <w:pPr>
        <w:pStyle w:val="SingleTxtG"/>
        <w:ind w:firstLine="567"/>
      </w:pPr>
      <w:r w:rsidRPr="003F0EA6">
        <w:t>(</w:t>
      </w:r>
      <w:r w:rsidR="00772A70" w:rsidRPr="003F0EA6">
        <w:t>f</w:t>
      </w:r>
      <w:r w:rsidRPr="003F0EA6">
        <w:t>)</w:t>
      </w:r>
      <w:r w:rsidRPr="003F0EA6">
        <w:tab/>
      </w:r>
      <w:r w:rsidR="00193F31" w:rsidRPr="003F0EA6">
        <w:t>The steps taken t</w:t>
      </w:r>
      <w:r w:rsidR="00C70156" w:rsidRPr="003F0EA6">
        <w:t xml:space="preserve">o further regularize the unrecognized villages and improve the living conditions therein; </w:t>
      </w:r>
    </w:p>
    <w:p w14:paraId="45A18673" w14:textId="77777777" w:rsidR="003F3E7A" w:rsidRDefault="003F3E7A" w:rsidP="009133AB">
      <w:pPr>
        <w:pStyle w:val="SingleTxtG"/>
        <w:ind w:firstLine="567"/>
      </w:pPr>
      <w:r w:rsidRPr="003F0EA6">
        <w:t>(</w:t>
      </w:r>
      <w:r w:rsidR="00772A70" w:rsidRPr="003F0EA6">
        <w:t>g</w:t>
      </w:r>
      <w:r w:rsidRPr="003F0EA6">
        <w:t>)</w:t>
      </w:r>
      <w:r w:rsidRPr="003F0EA6">
        <w:tab/>
        <w:t>T</w:t>
      </w:r>
      <w:r w:rsidR="00193F31" w:rsidRPr="003F0EA6">
        <w:t>he measures taken t</w:t>
      </w:r>
      <w:r w:rsidRPr="003F0EA6">
        <w:t>o ensure that all Bedouin villages, recognized or unrecognized, have access to public transportation;</w:t>
      </w:r>
    </w:p>
    <w:p w14:paraId="60AFD17A" w14:textId="3583CA72" w:rsidR="00D85D27" w:rsidRPr="00946112" w:rsidRDefault="009133AB" w:rsidP="009133AB">
      <w:pPr>
        <w:pStyle w:val="SingleTxtG"/>
        <w:ind w:firstLine="567"/>
      </w:pPr>
      <w:r>
        <w:t>(</w:t>
      </w:r>
      <w:r w:rsidR="00772A70">
        <w:t>h</w:t>
      </w:r>
      <w:r>
        <w:t>)</w:t>
      </w:r>
      <w:r>
        <w:tab/>
        <w:t>T</w:t>
      </w:r>
      <w:r w:rsidR="00193F31">
        <w:t>he steps taken t</w:t>
      </w:r>
      <w:r w:rsidR="004D5002">
        <w:t xml:space="preserve">o improve data collection relating to the Bedouin population and </w:t>
      </w:r>
      <w:r w:rsidR="00572625">
        <w:t xml:space="preserve">to </w:t>
      </w:r>
      <w:r w:rsidR="004D5002">
        <w:t xml:space="preserve">provide </w:t>
      </w:r>
      <w:r w:rsidR="002A4D19">
        <w:t>statistical data</w:t>
      </w:r>
      <w:r w:rsidR="004D5002">
        <w:t xml:space="preserve"> relating to their enjoyment of the Covenant rights</w:t>
      </w:r>
      <w:r w:rsidR="002A4D19">
        <w:t>, disaggregated by sex, disability and locality</w:t>
      </w:r>
      <w:r w:rsidR="004D5002">
        <w:t>.</w:t>
      </w:r>
      <w:r w:rsidR="002A4D19">
        <w:t xml:space="preserve"> </w:t>
      </w:r>
      <w:r w:rsidR="004D5002">
        <w:t>This includes their numbers</w:t>
      </w:r>
      <w:r w:rsidR="00572625">
        <w:t>;</w:t>
      </w:r>
      <w:r w:rsidR="004D5002">
        <w:t xml:space="preserve"> employment</w:t>
      </w:r>
      <w:r w:rsidR="000E49CE">
        <w:t>,</w:t>
      </w:r>
      <w:r w:rsidR="004D5002">
        <w:t xml:space="preserve"> unemployment </w:t>
      </w:r>
      <w:r w:rsidR="000E49CE">
        <w:t xml:space="preserve">and underemployment </w:t>
      </w:r>
      <w:r w:rsidR="004D5002">
        <w:t>rates</w:t>
      </w:r>
      <w:r w:rsidR="00572625">
        <w:t>;</w:t>
      </w:r>
      <w:r w:rsidR="004D5002">
        <w:t xml:space="preserve"> coverage and take-up rates of social security </w:t>
      </w:r>
      <w:r w:rsidR="004D5002" w:rsidRPr="00946112">
        <w:t>benefits</w:t>
      </w:r>
      <w:r w:rsidR="00572625" w:rsidRPr="00946112">
        <w:t>;</w:t>
      </w:r>
      <w:r w:rsidR="004D5002" w:rsidRPr="00946112">
        <w:t xml:space="preserve"> </w:t>
      </w:r>
      <w:r w:rsidR="000E49CE" w:rsidRPr="00946112">
        <w:t xml:space="preserve">and </w:t>
      </w:r>
      <w:r w:rsidR="004D5002" w:rsidRPr="00946112">
        <w:t>access to education, health</w:t>
      </w:r>
      <w:r w:rsidR="00572625" w:rsidRPr="00946112">
        <w:t>-</w:t>
      </w:r>
      <w:r w:rsidR="004D5002" w:rsidRPr="00946112">
        <w:t>care services, water, sanitation facilities, electricity, public transportation and other public services.</w:t>
      </w:r>
    </w:p>
    <w:p w14:paraId="54041E25" w14:textId="1BFA42CB" w:rsidR="00D85D27" w:rsidRPr="00A366B3" w:rsidRDefault="00C86111" w:rsidP="00C86111">
      <w:pPr>
        <w:pStyle w:val="H23G"/>
      </w:pPr>
      <w:r w:rsidRPr="00946112">
        <w:tab/>
      </w:r>
      <w:r w:rsidRPr="00946112">
        <w:tab/>
      </w:r>
      <w:r w:rsidR="00D85D27" w:rsidRPr="00946112">
        <w:t>Refugees and asylum</w:t>
      </w:r>
      <w:r w:rsidR="00497452" w:rsidRPr="00192F88">
        <w:t xml:space="preserve"> </w:t>
      </w:r>
      <w:r w:rsidR="00D85D27" w:rsidRPr="00946112">
        <w:t>seekers</w:t>
      </w:r>
      <w:r w:rsidR="00A366B3" w:rsidRPr="00946112">
        <w:t xml:space="preserve"> (art. 2 (2))</w:t>
      </w:r>
    </w:p>
    <w:p w14:paraId="3D054FB4" w14:textId="7B790796" w:rsidR="00D85D27" w:rsidRPr="00286B15" w:rsidRDefault="00192F88" w:rsidP="00192F88">
      <w:pPr>
        <w:pStyle w:val="SingleTxtG"/>
      </w:pPr>
      <w:r w:rsidRPr="00286B15">
        <w:t>15.</w:t>
      </w:r>
      <w:r w:rsidRPr="00286B15">
        <w:tab/>
      </w:r>
      <w:r w:rsidR="00E47ADF">
        <w:t>Please provide information on:</w:t>
      </w:r>
      <w:r w:rsidR="00D85D27" w:rsidRPr="00286B15">
        <w:t xml:space="preserve"> </w:t>
      </w:r>
    </w:p>
    <w:p w14:paraId="0FCF7333" w14:textId="5CC48102" w:rsidR="002423D9" w:rsidRPr="002423D9" w:rsidRDefault="002423D9" w:rsidP="002423D9">
      <w:pPr>
        <w:pStyle w:val="SingleTxtG"/>
        <w:ind w:firstLine="567"/>
      </w:pPr>
      <w:r w:rsidRPr="002423D9">
        <w:t>(</w:t>
      </w:r>
      <w:r>
        <w:t>a</w:t>
      </w:r>
      <w:r w:rsidRPr="002423D9">
        <w:t>)</w:t>
      </w:r>
      <w:r w:rsidRPr="002423D9">
        <w:tab/>
        <w:t xml:space="preserve">The measures taken to address the </w:t>
      </w:r>
      <w:r w:rsidR="005D2BDB">
        <w:t>extremely high</w:t>
      </w:r>
      <w:r w:rsidR="005D2BDB" w:rsidRPr="002423D9">
        <w:t xml:space="preserve"> </w:t>
      </w:r>
      <w:r w:rsidRPr="002423D9">
        <w:t>number of outstanding asylum applications and the minimal number of refugee status</w:t>
      </w:r>
      <w:r w:rsidR="00572625">
        <w:t>es</w:t>
      </w:r>
      <w:r w:rsidRPr="002423D9">
        <w:t xml:space="preserve"> granted and further to improve the asylum system, particularly in response to the report of the State Comptroller </w:t>
      </w:r>
      <w:r w:rsidR="00572625">
        <w:t>of</w:t>
      </w:r>
      <w:r w:rsidR="00572625" w:rsidRPr="002423D9">
        <w:t xml:space="preserve"> </w:t>
      </w:r>
      <w:r w:rsidRPr="002423D9">
        <w:t>8 May 2018;</w:t>
      </w:r>
    </w:p>
    <w:p w14:paraId="248337F5" w14:textId="799622BC" w:rsidR="00DF7F7B" w:rsidRDefault="00DF7F7B" w:rsidP="00DF7F7B">
      <w:pPr>
        <w:pStyle w:val="SingleTxtG"/>
        <w:ind w:firstLine="567"/>
        <w:rPr>
          <w:rFonts w:eastAsia="Times New Roman" w:cstheme="minorHAnsi"/>
        </w:rPr>
      </w:pPr>
      <w:r>
        <w:t>(</w:t>
      </w:r>
      <w:r w:rsidR="002423D9">
        <w:t>b</w:t>
      </w:r>
      <w:r>
        <w:t>)</w:t>
      </w:r>
      <w:r>
        <w:tab/>
        <w:t xml:space="preserve">The State party’s view on the compatibility of </w:t>
      </w:r>
      <w:r w:rsidR="00BA7545">
        <w:rPr>
          <w:rFonts w:eastAsia="Times New Roman" w:cstheme="minorHAnsi"/>
        </w:rPr>
        <w:t>the temporary non-return policy</w:t>
      </w:r>
      <w:r w:rsidR="00BA7545">
        <w:rPr>
          <w:rFonts w:cstheme="minorHAnsi"/>
        </w:rPr>
        <w:t xml:space="preserve"> with the obligations of the State party under the Covenant, particularly </w:t>
      </w:r>
      <w:r w:rsidR="00EA719E">
        <w:rPr>
          <w:rFonts w:cstheme="minorHAnsi"/>
        </w:rPr>
        <w:t xml:space="preserve">in relation to </w:t>
      </w:r>
      <w:r w:rsidR="00BA7545">
        <w:rPr>
          <w:rFonts w:cstheme="minorHAnsi"/>
        </w:rPr>
        <w:t xml:space="preserve">the rights to work, to social security and to an adequate standard of living; and </w:t>
      </w:r>
      <w:r w:rsidR="00BA7545">
        <w:rPr>
          <w:rFonts w:eastAsia="Times New Roman" w:cstheme="minorHAnsi"/>
        </w:rPr>
        <w:t xml:space="preserve">the recommendations made by the </w:t>
      </w:r>
      <w:proofErr w:type="spellStart"/>
      <w:r w:rsidR="00BA7545">
        <w:rPr>
          <w:rFonts w:eastAsia="Times New Roman" w:cstheme="minorHAnsi"/>
        </w:rPr>
        <w:t>Mor</w:t>
      </w:r>
      <w:proofErr w:type="spellEnd"/>
      <w:r w:rsidR="00BA7545">
        <w:rPr>
          <w:rFonts w:eastAsia="Times New Roman" w:cstheme="minorHAnsi"/>
        </w:rPr>
        <w:t xml:space="preserve"> Yosef </w:t>
      </w:r>
      <w:proofErr w:type="spellStart"/>
      <w:r w:rsidR="00BA7545">
        <w:rPr>
          <w:rFonts w:eastAsia="Times New Roman" w:cstheme="minorHAnsi"/>
        </w:rPr>
        <w:t>Inter</w:t>
      </w:r>
      <w:r w:rsidR="00122203">
        <w:rPr>
          <w:rFonts w:eastAsia="Times New Roman" w:cstheme="minorHAnsi"/>
        </w:rPr>
        <w:t>m</w:t>
      </w:r>
      <w:r w:rsidR="00BA7545">
        <w:rPr>
          <w:rFonts w:eastAsia="Times New Roman" w:cstheme="minorHAnsi"/>
        </w:rPr>
        <w:t>inisterial</w:t>
      </w:r>
      <w:proofErr w:type="spellEnd"/>
      <w:r w:rsidR="00BA7545">
        <w:rPr>
          <w:rFonts w:eastAsia="Times New Roman" w:cstheme="minorHAnsi"/>
        </w:rPr>
        <w:t xml:space="preserve"> Committee</w:t>
      </w:r>
      <w:r>
        <w:rPr>
          <w:rFonts w:eastAsia="Times New Roman" w:cstheme="minorHAnsi"/>
        </w:rPr>
        <w:t xml:space="preserve"> in this regard</w:t>
      </w:r>
      <w:r w:rsidR="00BA7545">
        <w:rPr>
          <w:rFonts w:eastAsia="Times New Roman" w:cstheme="minorHAnsi"/>
        </w:rPr>
        <w:t xml:space="preserve"> and the implementation thereof</w:t>
      </w:r>
      <w:r w:rsidR="009133AB">
        <w:rPr>
          <w:rFonts w:eastAsia="Times New Roman" w:cstheme="minorHAnsi"/>
        </w:rPr>
        <w:t>;</w:t>
      </w:r>
    </w:p>
    <w:p w14:paraId="59066FF8" w14:textId="0FBF6D8D" w:rsidR="000E6C0C" w:rsidRPr="00946112" w:rsidRDefault="000E6C0C" w:rsidP="000E6C0C">
      <w:pPr>
        <w:pStyle w:val="SingleTxtG"/>
        <w:ind w:firstLine="567"/>
        <w:rPr>
          <w:rFonts w:eastAsia="Times New Roman" w:cstheme="minorHAnsi"/>
        </w:rPr>
      </w:pPr>
      <w:r w:rsidRPr="00DA46E7">
        <w:rPr>
          <w:rFonts w:eastAsia="Times New Roman" w:cstheme="minorHAnsi"/>
        </w:rPr>
        <w:t>(</w:t>
      </w:r>
      <w:r w:rsidR="002423D9">
        <w:rPr>
          <w:rFonts w:eastAsia="Times New Roman" w:cstheme="minorHAnsi"/>
        </w:rPr>
        <w:t>c</w:t>
      </w:r>
      <w:r w:rsidRPr="00DA46E7">
        <w:rPr>
          <w:rFonts w:eastAsia="Times New Roman" w:cstheme="minorHAnsi"/>
        </w:rPr>
        <w:t>)</w:t>
      </w:r>
      <w:r w:rsidRPr="00DA46E7">
        <w:rPr>
          <w:rFonts w:eastAsia="Times New Roman" w:cstheme="minorHAnsi"/>
        </w:rPr>
        <w:tab/>
        <w:t xml:space="preserve">The steps taken to revise the Deposit Law with a view to removing the </w:t>
      </w:r>
      <w:r w:rsidRPr="00946112">
        <w:rPr>
          <w:rFonts w:eastAsia="Times New Roman" w:cstheme="minorHAnsi"/>
        </w:rPr>
        <w:t xml:space="preserve">provisions that oblige the employers of Eritrean and Sudanese employees to deduct </w:t>
      </w:r>
      <w:r w:rsidR="005D2BDB">
        <w:rPr>
          <w:rFonts w:eastAsia="Times New Roman" w:cstheme="minorHAnsi"/>
        </w:rPr>
        <w:t xml:space="preserve">a </w:t>
      </w:r>
      <w:r w:rsidRPr="00946112">
        <w:rPr>
          <w:rFonts w:eastAsia="Times New Roman" w:cstheme="minorHAnsi"/>
        </w:rPr>
        <w:t xml:space="preserve">certain percentage (20 </w:t>
      </w:r>
      <w:r w:rsidR="00122203" w:rsidRPr="00946112">
        <w:rPr>
          <w:rFonts w:eastAsia="Times New Roman" w:cstheme="minorHAnsi"/>
        </w:rPr>
        <w:t xml:space="preserve">per cent </w:t>
      </w:r>
      <w:r w:rsidRPr="00946112">
        <w:rPr>
          <w:rFonts w:eastAsia="Times New Roman" w:cstheme="minorHAnsi"/>
        </w:rPr>
        <w:t>or 6 per</w:t>
      </w:r>
      <w:r w:rsidR="00122203" w:rsidRPr="00946112">
        <w:rPr>
          <w:rFonts w:eastAsia="Times New Roman" w:cstheme="minorHAnsi"/>
        </w:rPr>
        <w:t xml:space="preserve"> </w:t>
      </w:r>
      <w:r w:rsidRPr="00946112">
        <w:rPr>
          <w:rFonts w:eastAsia="Times New Roman" w:cstheme="minorHAnsi"/>
        </w:rPr>
        <w:t>cent) of their net salary and deposit it into a special Departure Fund;</w:t>
      </w:r>
    </w:p>
    <w:p w14:paraId="67025F3F" w14:textId="016FA987" w:rsidR="009133AB" w:rsidRPr="00946112" w:rsidRDefault="009133AB" w:rsidP="009133AB">
      <w:pPr>
        <w:pStyle w:val="SingleTxtG"/>
        <w:ind w:firstLine="567"/>
      </w:pPr>
      <w:r w:rsidRPr="00946112">
        <w:t>(</w:t>
      </w:r>
      <w:r w:rsidR="000E6C0C" w:rsidRPr="00946112">
        <w:t>d</w:t>
      </w:r>
      <w:r w:rsidRPr="00946112">
        <w:t>)</w:t>
      </w:r>
      <w:r w:rsidRPr="00946112">
        <w:tab/>
        <w:t>The policy</w:t>
      </w:r>
      <w:r w:rsidR="00E70375" w:rsidRPr="00946112">
        <w:t xml:space="preserve"> of</w:t>
      </w:r>
      <w:r w:rsidRPr="00946112">
        <w:t xml:space="preserve"> </w:t>
      </w:r>
      <w:r w:rsidR="00E70375" w:rsidRPr="00946112">
        <w:t>relocation</w:t>
      </w:r>
      <w:r w:rsidR="009200F6" w:rsidRPr="00946112">
        <w:t xml:space="preserve"> to Uganda and Rwanda</w:t>
      </w:r>
      <w:r w:rsidR="00E70375" w:rsidRPr="00946112">
        <w:t xml:space="preserve"> </w:t>
      </w:r>
      <w:r w:rsidRPr="00946112">
        <w:t>of Eritrean and Sudanese asylum</w:t>
      </w:r>
      <w:r w:rsidR="00CB7F44" w:rsidRPr="00946112">
        <w:t xml:space="preserve"> </w:t>
      </w:r>
      <w:r w:rsidRPr="00946112">
        <w:t xml:space="preserve">seekers, including the protection of the Covenant rights of these persons provided in the </w:t>
      </w:r>
      <w:r w:rsidR="00E9132C" w:rsidRPr="00946112">
        <w:t>bilateral</w:t>
      </w:r>
      <w:r w:rsidR="000167BB" w:rsidRPr="00946112">
        <w:t xml:space="preserve"> </w:t>
      </w:r>
      <w:r w:rsidRPr="00946112">
        <w:t xml:space="preserve">agreements </w:t>
      </w:r>
      <w:r w:rsidR="000167BB" w:rsidRPr="00946112">
        <w:t xml:space="preserve">reportedly concluded </w:t>
      </w:r>
      <w:r w:rsidRPr="00946112">
        <w:t xml:space="preserve">with the two countries </w:t>
      </w:r>
      <w:r w:rsidR="000167BB" w:rsidRPr="00946112">
        <w:t>or any other</w:t>
      </w:r>
      <w:r w:rsidRPr="00946112">
        <w:t xml:space="preserve"> measures </w:t>
      </w:r>
      <w:r w:rsidRPr="00946112">
        <w:lastRenderedPageBreak/>
        <w:t xml:space="preserve">in place to </w:t>
      </w:r>
      <w:r w:rsidR="000167BB" w:rsidRPr="00946112">
        <w:t>protect</w:t>
      </w:r>
      <w:r w:rsidR="002423D9" w:rsidRPr="00946112">
        <w:t xml:space="preserve"> their Covenant rights during and after the relocation</w:t>
      </w:r>
      <w:r w:rsidRPr="00946112">
        <w:t>, and the number of persons relocated each year</w:t>
      </w:r>
      <w:r w:rsidR="001111BA" w:rsidRPr="00946112">
        <w:t xml:space="preserve"> under th</w:t>
      </w:r>
      <w:r w:rsidR="000167BB" w:rsidRPr="00946112">
        <w:t>is</w:t>
      </w:r>
      <w:r w:rsidR="001111BA" w:rsidRPr="00946112">
        <w:t xml:space="preserve"> </w:t>
      </w:r>
      <w:r w:rsidR="000167BB" w:rsidRPr="00946112">
        <w:t>policy</w:t>
      </w:r>
      <w:r w:rsidRPr="00946112">
        <w:t>.</w:t>
      </w:r>
      <w:r w:rsidR="00D81DAE" w:rsidRPr="00946112">
        <w:rPr>
          <w:vertAlign w:val="superscript"/>
        </w:rPr>
        <w:t xml:space="preserve"> </w:t>
      </w:r>
    </w:p>
    <w:p w14:paraId="610CF224" w14:textId="77777777" w:rsidR="00A07569" w:rsidRPr="00946112" w:rsidRDefault="00AA319B">
      <w:pPr>
        <w:pStyle w:val="H23G"/>
      </w:pPr>
      <w:r w:rsidRPr="00946112">
        <w:tab/>
      </w:r>
      <w:r w:rsidRPr="00946112">
        <w:tab/>
        <w:t>Equal rights of men and women (art. 3)</w:t>
      </w:r>
    </w:p>
    <w:p w14:paraId="48B22B64" w14:textId="536597AF" w:rsidR="00E10AA5" w:rsidRPr="00946112" w:rsidRDefault="00192F88" w:rsidP="00192F88">
      <w:pPr>
        <w:pStyle w:val="SingleTxtG"/>
      </w:pPr>
      <w:r w:rsidRPr="00946112">
        <w:t>16.</w:t>
      </w:r>
      <w:r w:rsidRPr="00946112">
        <w:tab/>
      </w:r>
      <w:r w:rsidR="00E10AA5" w:rsidRPr="00946112">
        <w:t xml:space="preserve">Please provide </w:t>
      </w:r>
      <w:r w:rsidR="001111BA" w:rsidRPr="00946112">
        <w:t xml:space="preserve">detailed </w:t>
      </w:r>
      <w:r w:rsidR="00E10AA5" w:rsidRPr="00946112">
        <w:t xml:space="preserve">information on the measures taken to improve </w:t>
      </w:r>
      <w:r w:rsidR="00E12A4A" w:rsidRPr="00946112">
        <w:t>women’s representation</w:t>
      </w:r>
      <w:r w:rsidR="005C7FF7" w:rsidRPr="00946112">
        <w:t xml:space="preserve"> i</w:t>
      </w:r>
      <w:r w:rsidR="00E10AA5" w:rsidRPr="00946112">
        <w:t xml:space="preserve">n decision-making positions in the public sector, particularly in Parliament and regional councils, </w:t>
      </w:r>
      <w:r w:rsidR="001D4C60" w:rsidRPr="00946112">
        <w:t xml:space="preserve">in </w:t>
      </w:r>
      <w:r w:rsidR="00E10AA5" w:rsidRPr="00946112">
        <w:t xml:space="preserve">the </w:t>
      </w:r>
      <w:r w:rsidR="001D4C60" w:rsidRPr="00946112">
        <w:t>G</w:t>
      </w:r>
      <w:r w:rsidR="00E10AA5" w:rsidRPr="00946112">
        <w:t>overnment, including diplomatic missions, and in higher education, as well as in private corporations. Please also provide rel</w:t>
      </w:r>
      <w:r w:rsidR="00EA719E" w:rsidRPr="00946112">
        <w:t>evant</w:t>
      </w:r>
      <w:r w:rsidR="00E10AA5" w:rsidRPr="00946112">
        <w:t xml:space="preserve"> statistical data. </w:t>
      </w:r>
    </w:p>
    <w:p w14:paraId="76376CC6" w14:textId="5475E994" w:rsidR="00A07569" w:rsidRPr="00946112" w:rsidRDefault="002818EA" w:rsidP="002818EA">
      <w:pPr>
        <w:pStyle w:val="HChG"/>
      </w:pPr>
      <w:r w:rsidRPr="00946112">
        <w:tab/>
        <w:t>III.</w:t>
      </w:r>
      <w:r w:rsidR="00AA319B" w:rsidRPr="00946112">
        <w:tab/>
        <w:t>Issues relating to the specific provisions of the Covenant (arts. 6</w:t>
      </w:r>
      <w:r w:rsidR="00CB7F44" w:rsidRPr="00946112">
        <w:t>–</w:t>
      </w:r>
      <w:r w:rsidR="00AA319B" w:rsidRPr="00946112">
        <w:t>15)</w:t>
      </w:r>
    </w:p>
    <w:p w14:paraId="4754D2C7" w14:textId="77777777" w:rsidR="00A07569" w:rsidRPr="00946112" w:rsidRDefault="00AA319B">
      <w:pPr>
        <w:pStyle w:val="H23G"/>
      </w:pPr>
      <w:r w:rsidRPr="00946112">
        <w:tab/>
      </w:r>
      <w:r w:rsidRPr="00946112">
        <w:tab/>
        <w:t>Right to work (art. 6)</w:t>
      </w:r>
    </w:p>
    <w:p w14:paraId="1C26F709" w14:textId="0B90F722" w:rsidR="00F521F8" w:rsidRPr="00946112" w:rsidRDefault="00192F88" w:rsidP="00192F88">
      <w:pPr>
        <w:pStyle w:val="SingleTxtG"/>
      </w:pPr>
      <w:r w:rsidRPr="00946112">
        <w:t>17.</w:t>
      </w:r>
      <w:r w:rsidRPr="00946112">
        <w:tab/>
      </w:r>
      <w:r w:rsidR="005E7B05" w:rsidRPr="00946112">
        <w:t>Please provide:</w:t>
      </w:r>
    </w:p>
    <w:p w14:paraId="1DDFC679" w14:textId="0E6F13EC" w:rsidR="00F87E01" w:rsidRPr="00946112" w:rsidRDefault="00141421" w:rsidP="00141421">
      <w:pPr>
        <w:pStyle w:val="SingleTxtG"/>
        <w:ind w:firstLine="567"/>
      </w:pPr>
      <w:r w:rsidRPr="00946112">
        <w:t>(</w:t>
      </w:r>
      <w:r w:rsidR="00F87E01" w:rsidRPr="00946112">
        <w:t>a</w:t>
      </w:r>
      <w:r w:rsidRPr="00946112">
        <w:t>)</w:t>
      </w:r>
      <w:r w:rsidRPr="00946112">
        <w:tab/>
      </w:r>
      <w:r w:rsidR="005E7B05" w:rsidRPr="00946112">
        <w:t>Information on t</w:t>
      </w:r>
      <w:r w:rsidR="00B46BDB" w:rsidRPr="00946112">
        <w:t>he impact of the</w:t>
      </w:r>
      <w:r w:rsidRPr="00946112">
        <w:t xml:space="preserve"> measures</w:t>
      </w:r>
      <w:r w:rsidR="00B46BDB" w:rsidRPr="00946112">
        <w:t xml:space="preserve"> taken</w:t>
      </w:r>
      <w:r w:rsidR="000E49CE" w:rsidRPr="00946112">
        <w:t xml:space="preserve">, as illustrated in </w:t>
      </w:r>
      <w:r w:rsidR="001D4C60" w:rsidRPr="00946112">
        <w:t>a</w:t>
      </w:r>
      <w:r w:rsidR="000E49CE" w:rsidRPr="00946112">
        <w:t>nnex II of the State party report,</w:t>
      </w:r>
      <w:r w:rsidR="00B46BDB" w:rsidRPr="00946112">
        <w:t xml:space="preserve"> to </w:t>
      </w:r>
      <w:r w:rsidR="00F87E01" w:rsidRPr="00946112">
        <w:t>address</w:t>
      </w:r>
      <w:r w:rsidR="00B46BDB" w:rsidRPr="00946112">
        <w:t xml:space="preserve"> the disproportionately low level of labour market participation and high </w:t>
      </w:r>
      <w:r w:rsidR="00F87E01" w:rsidRPr="00946112">
        <w:t xml:space="preserve">level of </w:t>
      </w:r>
      <w:r w:rsidR="00B46BDB" w:rsidRPr="00946112">
        <w:t xml:space="preserve">unemployment among non-Jewish Israelis, including Arab Israelis; </w:t>
      </w:r>
    </w:p>
    <w:p w14:paraId="2CCDDE42" w14:textId="565BF55D" w:rsidR="00F87E01" w:rsidRPr="00946112" w:rsidRDefault="00F87E01" w:rsidP="00F87E01">
      <w:pPr>
        <w:pStyle w:val="SingleTxtG"/>
        <w:ind w:firstLine="567"/>
      </w:pPr>
      <w:r w:rsidRPr="00946112">
        <w:t>(b)</w:t>
      </w:r>
      <w:r w:rsidRPr="00946112">
        <w:tab/>
      </w:r>
      <w:r w:rsidR="005E7B05" w:rsidRPr="00946112">
        <w:t>Information on t</w:t>
      </w:r>
      <w:r w:rsidRPr="00946112">
        <w:t xml:space="preserve">he implementation of the employment quota for persons with disabilities in the public and </w:t>
      </w:r>
      <w:r w:rsidR="005E7B05" w:rsidRPr="00946112">
        <w:t xml:space="preserve">the </w:t>
      </w:r>
      <w:r w:rsidRPr="00946112">
        <w:t xml:space="preserve">private sectors and the measures taken in case of non-implementation, and </w:t>
      </w:r>
      <w:r w:rsidR="00A71EEF" w:rsidRPr="00946112">
        <w:t xml:space="preserve">on </w:t>
      </w:r>
      <w:r w:rsidRPr="00946112">
        <w:t>the number of affirmative action orders issued and the enforcement thereof;</w:t>
      </w:r>
      <w:r w:rsidR="00D81DAE" w:rsidRPr="00946112">
        <w:rPr>
          <w:rStyle w:val="FootnoteReference"/>
          <w:sz w:val="20"/>
        </w:rPr>
        <w:t xml:space="preserve"> </w:t>
      </w:r>
    </w:p>
    <w:p w14:paraId="70D45CB2" w14:textId="20E0D1B5" w:rsidR="00141421" w:rsidRPr="00946112" w:rsidRDefault="00F87E01" w:rsidP="00F87E01">
      <w:pPr>
        <w:pStyle w:val="SingleTxtG"/>
        <w:ind w:firstLine="567"/>
      </w:pPr>
      <w:r w:rsidRPr="00946112">
        <w:t>(c)</w:t>
      </w:r>
      <w:r w:rsidRPr="00946112">
        <w:tab/>
      </w:r>
      <w:r w:rsidR="005E7B05" w:rsidRPr="00946112">
        <w:t>Information on t</w:t>
      </w:r>
      <w:r w:rsidR="00B46BDB" w:rsidRPr="00946112">
        <w:t xml:space="preserve">he </w:t>
      </w:r>
      <w:r w:rsidRPr="00946112">
        <w:t xml:space="preserve">impact of </w:t>
      </w:r>
      <w:r w:rsidR="00B46BDB" w:rsidRPr="00946112">
        <w:t xml:space="preserve">measures </w:t>
      </w:r>
      <w:r w:rsidRPr="00946112">
        <w:t xml:space="preserve">taken </w:t>
      </w:r>
      <w:r w:rsidR="00B46BDB" w:rsidRPr="00946112">
        <w:t>to address the minimal level of labour market participation and employment of non-Jewish Israeli women and non-Jewish Israelis with disabilities;</w:t>
      </w:r>
      <w:r w:rsidR="00621E25" w:rsidRPr="00946112">
        <w:t xml:space="preserve"> </w:t>
      </w:r>
    </w:p>
    <w:p w14:paraId="1DF506E3" w14:textId="1E486B3C" w:rsidR="007374CB" w:rsidRPr="00946112" w:rsidRDefault="007374CB" w:rsidP="00141421">
      <w:pPr>
        <w:pStyle w:val="SingleTxtG"/>
        <w:ind w:firstLine="567"/>
        <w:rPr>
          <w:vertAlign w:val="superscript"/>
        </w:rPr>
      </w:pPr>
      <w:r w:rsidRPr="00946112">
        <w:t>(</w:t>
      </w:r>
      <w:r w:rsidR="00F87E01" w:rsidRPr="00946112">
        <w:t>d</w:t>
      </w:r>
      <w:r w:rsidRPr="00946112">
        <w:t>)</w:t>
      </w:r>
      <w:r w:rsidRPr="00946112">
        <w:tab/>
        <w:t xml:space="preserve">Updated data, disaggregated by gender and ethnicity, on </w:t>
      </w:r>
      <w:r w:rsidR="00A71EEF" w:rsidRPr="00946112">
        <w:t xml:space="preserve">the </w:t>
      </w:r>
      <w:r w:rsidRPr="00946112">
        <w:t xml:space="preserve">labour force participation rate, </w:t>
      </w:r>
      <w:r w:rsidR="00A71EEF" w:rsidRPr="00946112">
        <w:t xml:space="preserve">and the </w:t>
      </w:r>
      <w:r w:rsidRPr="00946112">
        <w:t>employment rate</w:t>
      </w:r>
      <w:r w:rsidR="00A71EEF" w:rsidRPr="00946112">
        <w:t>,</w:t>
      </w:r>
      <w:r w:rsidRPr="00946112">
        <w:t xml:space="preserve"> </w:t>
      </w:r>
      <w:r w:rsidR="00A71EEF" w:rsidRPr="00946112">
        <w:t xml:space="preserve">the </w:t>
      </w:r>
      <w:r w:rsidRPr="00946112">
        <w:t>unemployment rate</w:t>
      </w:r>
      <w:r w:rsidR="009B2FEC" w:rsidRPr="00946112">
        <w:t xml:space="preserve"> and </w:t>
      </w:r>
      <w:r w:rsidR="00A71EEF" w:rsidRPr="00946112">
        <w:t xml:space="preserve">the </w:t>
      </w:r>
      <w:r w:rsidR="009B2FEC" w:rsidRPr="00946112">
        <w:t>underemployment rate,</w:t>
      </w:r>
      <w:r w:rsidRPr="00946112">
        <w:t xml:space="preserve"> for the past five years.</w:t>
      </w:r>
      <w:r w:rsidRPr="00946112">
        <w:rPr>
          <w:vertAlign w:val="superscript"/>
        </w:rPr>
        <w:t xml:space="preserve"> </w:t>
      </w:r>
    </w:p>
    <w:p w14:paraId="5C15ED6F" w14:textId="77777777" w:rsidR="00A07569" w:rsidRPr="00946112" w:rsidRDefault="00AA319B" w:rsidP="002818EA">
      <w:pPr>
        <w:pStyle w:val="H23G"/>
      </w:pPr>
      <w:r w:rsidRPr="00946112">
        <w:tab/>
      </w:r>
      <w:r w:rsidRPr="00946112">
        <w:tab/>
        <w:t>Right to just and favourable conditions of work (art. 7)</w:t>
      </w:r>
    </w:p>
    <w:p w14:paraId="5042934A" w14:textId="587B419D" w:rsidR="00140C1A" w:rsidRPr="00946112" w:rsidRDefault="00192F88" w:rsidP="00192F88">
      <w:pPr>
        <w:pStyle w:val="SingleTxtG"/>
      </w:pPr>
      <w:r w:rsidRPr="00946112">
        <w:t>18.</w:t>
      </w:r>
      <w:r w:rsidRPr="00946112">
        <w:tab/>
      </w:r>
      <w:r w:rsidR="00286B15" w:rsidRPr="00946112">
        <w:t>Please provide information on</w:t>
      </w:r>
      <w:r w:rsidR="00140C1A" w:rsidRPr="00946112">
        <w:t xml:space="preserve">: </w:t>
      </w:r>
    </w:p>
    <w:p w14:paraId="2519612A" w14:textId="1947F90F" w:rsidR="00F521F8" w:rsidRPr="00946112" w:rsidRDefault="00140C1A" w:rsidP="00890806">
      <w:pPr>
        <w:pStyle w:val="SingleTxtG"/>
        <w:ind w:firstLine="567"/>
      </w:pPr>
      <w:r w:rsidRPr="00946112">
        <w:t>(a)</w:t>
      </w:r>
      <w:r w:rsidRPr="00946112">
        <w:tab/>
      </w:r>
      <w:r w:rsidR="00BC0F6B" w:rsidRPr="00192F88">
        <w:t>The measures taken by the State party t</w:t>
      </w:r>
      <w:r w:rsidRPr="00946112">
        <w:t>o reduce the large gender pay gap,</w:t>
      </w:r>
      <w:r w:rsidR="00B25AEE" w:rsidRPr="00946112">
        <w:t xml:space="preserve"> including the amendments made in 2014 to the Male and Female Workers (Equal Pay) Law 5756-1996</w:t>
      </w:r>
      <w:r w:rsidR="002F42B1" w:rsidRPr="00946112">
        <w:t xml:space="preserve"> (</w:t>
      </w:r>
      <w:r w:rsidR="00890806" w:rsidRPr="00192F88">
        <w:rPr>
          <w:lang w:val="en-US"/>
        </w:rPr>
        <w:t>E/C.12/ISR/4</w:t>
      </w:r>
      <w:r w:rsidR="002F42B1" w:rsidRPr="00946112">
        <w:t>, para. 72)</w:t>
      </w:r>
      <w:r w:rsidR="002761DF" w:rsidRPr="00192F88">
        <w:t>,</w:t>
      </w:r>
      <w:r w:rsidRPr="00946112">
        <w:t xml:space="preserve"> and </w:t>
      </w:r>
      <w:r w:rsidR="000E49CE" w:rsidRPr="00946112">
        <w:t xml:space="preserve">relevant </w:t>
      </w:r>
      <w:r w:rsidR="00B25AEE" w:rsidRPr="00946112">
        <w:t xml:space="preserve">data, disaggregated by sector, </w:t>
      </w:r>
      <w:r w:rsidRPr="00946112">
        <w:t xml:space="preserve">on the trend </w:t>
      </w:r>
      <w:r w:rsidR="00BC0F6B" w:rsidRPr="00192F88">
        <w:t>in the</w:t>
      </w:r>
      <w:r w:rsidRPr="00946112">
        <w:t xml:space="preserve"> gender pay gap in the last five years</w:t>
      </w:r>
      <w:r w:rsidR="002F42B1" w:rsidRPr="00946112">
        <w:t>;</w:t>
      </w:r>
    </w:p>
    <w:p w14:paraId="59B15595" w14:textId="792A7363" w:rsidR="00140C1A" w:rsidRPr="00946112" w:rsidRDefault="00B25AEE" w:rsidP="00B25AEE">
      <w:pPr>
        <w:pStyle w:val="SingleTxtG"/>
        <w:ind w:firstLine="567"/>
      </w:pPr>
      <w:r w:rsidRPr="00946112">
        <w:t>(b)</w:t>
      </w:r>
      <w:r w:rsidRPr="00946112">
        <w:tab/>
      </w:r>
      <w:r w:rsidR="00BC0F6B" w:rsidRPr="00192F88">
        <w:t>The measures taken by the State party to</w:t>
      </w:r>
      <w:r w:rsidR="00140C1A" w:rsidRPr="00946112">
        <w:t xml:space="preserve"> </w:t>
      </w:r>
      <w:r w:rsidR="0055419A" w:rsidRPr="00946112">
        <w:t xml:space="preserve">ensure that all workers, including </w:t>
      </w:r>
      <w:r w:rsidR="00140C1A" w:rsidRPr="00946112">
        <w:t>Arab Israelis</w:t>
      </w:r>
      <w:r w:rsidR="0055419A" w:rsidRPr="00946112">
        <w:t xml:space="preserve"> and migrant workers, are paid</w:t>
      </w:r>
      <w:r w:rsidR="00140C1A" w:rsidRPr="00946112">
        <w:t xml:space="preserve"> </w:t>
      </w:r>
      <w:r w:rsidR="00E70375" w:rsidRPr="00946112">
        <w:t xml:space="preserve">at least </w:t>
      </w:r>
      <w:r w:rsidR="00140C1A" w:rsidRPr="00946112">
        <w:t>the minimum wage</w:t>
      </w:r>
      <w:r w:rsidR="00C055C7" w:rsidRPr="00192F88">
        <w:t>, and the impact of those measures</w:t>
      </w:r>
      <w:r w:rsidR="00AD4381" w:rsidRPr="00946112">
        <w:t xml:space="preserve">; </w:t>
      </w:r>
    </w:p>
    <w:p w14:paraId="032D205B" w14:textId="34B6EE32" w:rsidR="00D07C8A" w:rsidRPr="00946112" w:rsidRDefault="00D07C8A" w:rsidP="00B25AEE">
      <w:pPr>
        <w:pStyle w:val="SingleTxtG"/>
        <w:ind w:firstLine="567"/>
      </w:pPr>
      <w:r w:rsidRPr="00946112">
        <w:t>(c)</w:t>
      </w:r>
      <w:r w:rsidRPr="00946112">
        <w:tab/>
      </w:r>
      <w:r w:rsidR="00C055C7" w:rsidRPr="00192F88">
        <w:t>The measures taken by the State party to</w:t>
      </w:r>
      <w:r w:rsidRPr="00946112">
        <w:t xml:space="preserve"> ensure that Palestinian workers residing in Israel with their families</w:t>
      </w:r>
      <w:r w:rsidR="001805BD">
        <w:t>,</w:t>
      </w:r>
      <w:r w:rsidRPr="00946112">
        <w:t xml:space="preserve"> with temporary stay permits or B-1 visas</w:t>
      </w:r>
      <w:r w:rsidR="001805BD">
        <w:t>,</w:t>
      </w:r>
      <w:r w:rsidRPr="00946112">
        <w:t xml:space="preserve"> </w:t>
      </w:r>
      <w:r w:rsidR="00F87E01" w:rsidRPr="00946112">
        <w:t>enjoy</w:t>
      </w:r>
      <w:r w:rsidRPr="00946112">
        <w:t xml:space="preserve"> working conditions equal to those of permanent residents, </w:t>
      </w:r>
      <w:r w:rsidR="00F87E01" w:rsidRPr="00946112">
        <w:t>including</w:t>
      </w:r>
      <w:r w:rsidRPr="00946112">
        <w:t xml:space="preserve"> updated information on the case of </w:t>
      </w:r>
      <w:proofErr w:type="spellStart"/>
      <w:r w:rsidRPr="00946112">
        <w:rPr>
          <w:i/>
        </w:rPr>
        <w:t>Tab’ouni</w:t>
      </w:r>
      <w:proofErr w:type="spellEnd"/>
      <w:r w:rsidRPr="00946112">
        <w:rPr>
          <w:i/>
        </w:rPr>
        <w:t xml:space="preserve"> et</w:t>
      </w:r>
      <w:r w:rsidR="000E1206" w:rsidRPr="00192F88">
        <w:rPr>
          <w:i/>
        </w:rPr>
        <w:t xml:space="preserve"> </w:t>
      </w:r>
      <w:r w:rsidRPr="00946112">
        <w:rPr>
          <w:i/>
        </w:rPr>
        <w:t xml:space="preserve">al. v. </w:t>
      </w:r>
      <w:r w:rsidR="00BB6B50" w:rsidRPr="00192F88">
        <w:rPr>
          <w:i/>
        </w:rPr>
        <w:t>t</w:t>
      </w:r>
      <w:r w:rsidRPr="00946112">
        <w:rPr>
          <w:i/>
        </w:rPr>
        <w:t>he Minister of Interior et al</w:t>
      </w:r>
      <w:r w:rsidR="000E1206" w:rsidRPr="00192F88">
        <w:rPr>
          <w:i/>
        </w:rPr>
        <w:t>.</w:t>
      </w:r>
      <w:r w:rsidRPr="00946112">
        <w:t xml:space="preserve"> before the High Court of Justice (H.C.J. 1889/18)</w:t>
      </w:r>
      <w:r w:rsidR="00D34D2A" w:rsidRPr="00946112">
        <w:t>.</w:t>
      </w:r>
    </w:p>
    <w:p w14:paraId="753EF3C2" w14:textId="7A382F4B" w:rsidR="00886FEA" w:rsidRPr="00946112" w:rsidRDefault="00192F88" w:rsidP="00192F88">
      <w:pPr>
        <w:pStyle w:val="SingleTxtG"/>
      </w:pPr>
      <w:r w:rsidRPr="00946112">
        <w:t>19.</w:t>
      </w:r>
      <w:r w:rsidRPr="00946112">
        <w:tab/>
      </w:r>
      <w:r w:rsidR="00B730E8" w:rsidRPr="00946112">
        <w:t>Please provide information on</w:t>
      </w:r>
      <w:r w:rsidR="00886FEA" w:rsidRPr="00946112">
        <w:t>:</w:t>
      </w:r>
      <w:r w:rsidR="00B730E8" w:rsidRPr="00946112">
        <w:t xml:space="preserve"> </w:t>
      </w:r>
    </w:p>
    <w:p w14:paraId="0B1A5C3B" w14:textId="68DCBD97" w:rsidR="00886FEA" w:rsidRPr="00946112" w:rsidRDefault="00886FEA" w:rsidP="00886FEA">
      <w:pPr>
        <w:pStyle w:val="SingleTxtG"/>
        <w:ind w:firstLine="567"/>
      </w:pPr>
      <w:r w:rsidRPr="00946112">
        <w:t>(a)</w:t>
      </w:r>
      <w:r w:rsidRPr="00946112">
        <w:tab/>
        <w:t>T</w:t>
      </w:r>
      <w:r w:rsidR="00B730E8" w:rsidRPr="00946112">
        <w:t>he steps taken to review the Hours of Work and Rest Law</w:t>
      </w:r>
      <w:r w:rsidR="00BB6B50" w:rsidRPr="00192F88">
        <w:t xml:space="preserve"> of</w:t>
      </w:r>
      <w:r w:rsidR="00B730E8" w:rsidRPr="00946112">
        <w:t xml:space="preserve"> 1951 and the Wage Protection Law</w:t>
      </w:r>
      <w:r w:rsidR="00BB6B50" w:rsidRPr="00192F88">
        <w:t xml:space="preserve"> of</w:t>
      </w:r>
      <w:r w:rsidR="00B730E8" w:rsidRPr="00946112">
        <w:t xml:space="preserve"> 1958 with a view to guaranteeing adequate pay and favourable working conditions for foreign women workers providing care on a live-in basis</w:t>
      </w:r>
      <w:r w:rsidR="00BB6B50" w:rsidRPr="00192F88">
        <w:t>,</w:t>
      </w:r>
      <w:r w:rsidR="00B730E8" w:rsidRPr="00946112">
        <w:t xml:space="preserve"> and the results thereof</w:t>
      </w:r>
      <w:r w:rsidR="00C86111" w:rsidRPr="00946112">
        <w:t>;</w:t>
      </w:r>
    </w:p>
    <w:p w14:paraId="0D510C7E" w14:textId="67F86D5D" w:rsidR="00B730E8" w:rsidRPr="00946112" w:rsidRDefault="00886FEA" w:rsidP="00886FEA">
      <w:pPr>
        <w:pStyle w:val="SingleTxtG"/>
        <w:ind w:firstLine="567"/>
      </w:pPr>
      <w:r w:rsidRPr="00946112">
        <w:rPr>
          <w:rFonts w:eastAsia="Times New Roman" w:cstheme="minorHAnsi"/>
        </w:rPr>
        <w:t>(b)</w:t>
      </w:r>
      <w:r w:rsidRPr="00946112">
        <w:rPr>
          <w:rFonts w:eastAsia="Times New Roman" w:cstheme="minorHAnsi"/>
        </w:rPr>
        <w:tab/>
        <w:t>T</w:t>
      </w:r>
      <w:r w:rsidR="00B730E8" w:rsidRPr="00946112">
        <w:rPr>
          <w:rFonts w:eastAsia="Times New Roman" w:cstheme="minorHAnsi"/>
        </w:rPr>
        <w:t xml:space="preserve">he measures taken </w:t>
      </w:r>
      <w:r w:rsidRPr="00946112">
        <w:rPr>
          <w:rFonts w:eastAsia="Times New Roman" w:cstheme="minorHAnsi"/>
        </w:rPr>
        <w:t xml:space="preserve">to </w:t>
      </w:r>
      <w:r w:rsidR="00B730E8" w:rsidRPr="00946112">
        <w:rPr>
          <w:rFonts w:eastAsia="Times New Roman" w:cstheme="minorHAnsi"/>
        </w:rPr>
        <w:t xml:space="preserve">ensure that the regulations and procedures in place regarding geographical employment mobility and change of employment do not negatively </w:t>
      </w:r>
      <w:r w:rsidR="006E23BC" w:rsidRPr="00192F88">
        <w:rPr>
          <w:rFonts w:eastAsia="Times New Roman" w:cstheme="minorHAnsi"/>
        </w:rPr>
        <w:t>affect</w:t>
      </w:r>
      <w:r w:rsidR="00B730E8" w:rsidRPr="00946112">
        <w:rPr>
          <w:rFonts w:eastAsia="Times New Roman" w:cstheme="minorHAnsi"/>
        </w:rPr>
        <w:t xml:space="preserve"> the enjoyment by migrant workers of the rights guaranteed in articles 6</w:t>
      </w:r>
      <w:r w:rsidR="00BB6B50" w:rsidRPr="00192F88">
        <w:rPr>
          <w:rFonts w:eastAsia="Times New Roman" w:cstheme="minorHAnsi"/>
        </w:rPr>
        <w:t xml:space="preserve"> to </w:t>
      </w:r>
      <w:r w:rsidR="00B730E8" w:rsidRPr="00946112">
        <w:rPr>
          <w:rFonts w:eastAsia="Times New Roman" w:cstheme="minorHAnsi"/>
        </w:rPr>
        <w:t>8</w:t>
      </w:r>
      <w:r w:rsidR="0004364A" w:rsidRPr="00946112">
        <w:rPr>
          <w:rFonts w:eastAsia="Times New Roman" w:cstheme="minorHAnsi"/>
        </w:rPr>
        <w:t xml:space="preserve"> of the Covenant</w:t>
      </w:r>
      <w:r w:rsidRPr="00946112">
        <w:rPr>
          <w:rFonts w:eastAsia="Times New Roman" w:cstheme="minorHAnsi"/>
        </w:rPr>
        <w:t xml:space="preserve">, and the impact </w:t>
      </w:r>
      <w:r w:rsidR="006E23BC" w:rsidRPr="00192F88">
        <w:rPr>
          <w:rFonts w:eastAsia="Times New Roman" w:cstheme="minorHAnsi"/>
        </w:rPr>
        <w:t>of those measures</w:t>
      </w:r>
      <w:r w:rsidRPr="00946112">
        <w:rPr>
          <w:rFonts w:eastAsia="Times New Roman" w:cstheme="minorHAnsi"/>
        </w:rPr>
        <w:t>;</w:t>
      </w:r>
      <w:r w:rsidR="00B730E8" w:rsidRPr="00946112">
        <w:rPr>
          <w:rFonts w:eastAsia="Times New Roman" w:cstheme="minorHAnsi"/>
        </w:rPr>
        <w:t xml:space="preserve"> </w:t>
      </w:r>
    </w:p>
    <w:p w14:paraId="7958F511" w14:textId="4BCEFF33" w:rsidR="00886FEA" w:rsidRPr="00946112" w:rsidRDefault="00886FEA" w:rsidP="00CE0FEC">
      <w:pPr>
        <w:pStyle w:val="SingleTxtG"/>
        <w:ind w:firstLine="567"/>
        <w:rPr>
          <w:rFonts w:eastAsia="Times New Roman" w:cstheme="minorHAnsi"/>
        </w:rPr>
      </w:pPr>
      <w:r w:rsidRPr="00946112">
        <w:rPr>
          <w:rFonts w:eastAsia="Times New Roman" w:cstheme="minorHAnsi"/>
        </w:rPr>
        <w:lastRenderedPageBreak/>
        <w:t>(c)</w:t>
      </w:r>
      <w:r w:rsidRPr="00946112">
        <w:rPr>
          <w:rFonts w:eastAsia="Times New Roman" w:cstheme="minorHAnsi"/>
        </w:rPr>
        <w:tab/>
        <w:t>T</w:t>
      </w:r>
      <w:r w:rsidR="00B730E8" w:rsidRPr="00946112">
        <w:rPr>
          <w:rFonts w:eastAsia="Times New Roman" w:cstheme="minorHAnsi"/>
        </w:rPr>
        <w:t xml:space="preserve">he measures taken to protect foreign workers, particularly those </w:t>
      </w:r>
      <w:r w:rsidR="00E00CC8">
        <w:t>working in areas for which</w:t>
      </w:r>
      <w:r w:rsidR="00B730E8" w:rsidRPr="00946112">
        <w:rPr>
          <w:rFonts w:eastAsia="Times New Roman" w:cstheme="minorHAnsi"/>
        </w:rPr>
        <w:t xml:space="preserve"> bilateral agreements have not been concluded, from abuse by employers or recruitment agencies</w:t>
      </w:r>
      <w:r w:rsidRPr="00946112">
        <w:rPr>
          <w:rFonts w:eastAsia="Times New Roman" w:cstheme="minorHAnsi"/>
        </w:rPr>
        <w:t xml:space="preserve">, and the impact </w:t>
      </w:r>
      <w:r w:rsidR="006E23BC" w:rsidRPr="00192F88">
        <w:rPr>
          <w:rFonts w:eastAsia="Times New Roman" w:cstheme="minorHAnsi"/>
        </w:rPr>
        <w:t>of those measures</w:t>
      </w:r>
      <w:r w:rsidRPr="00946112">
        <w:rPr>
          <w:rFonts w:eastAsia="Times New Roman" w:cstheme="minorHAnsi"/>
        </w:rPr>
        <w:t>;</w:t>
      </w:r>
      <w:r w:rsidR="00D81DAE" w:rsidRPr="00946112">
        <w:t xml:space="preserve"> </w:t>
      </w:r>
    </w:p>
    <w:p w14:paraId="64BE8F53" w14:textId="5F2134EC" w:rsidR="00B730E8" w:rsidRPr="00946112" w:rsidRDefault="00886FEA" w:rsidP="00CE0FEC">
      <w:pPr>
        <w:pStyle w:val="SingleTxtG"/>
        <w:ind w:firstLine="567"/>
        <w:rPr>
          <w:rFonts w:eastAsia="Times New Roman" w:cstheme="minorHAnsi"/>
        </w:rPr>
      </w:pPr>
      <w:r w:rsidRPr="00946112">
        <w:rPr>
          <w:rFonts w:eastAsia="Times New Roman" w:cstheme="minorHAnsi"/>
        </w:rPr>
        <w:t>(d)</w:t>
      </w:r>
      <w:r w:rsidRPr="00946112">
        <w:rPr>
          <w:rFonts w:eastAsia="Times New Roman" w:cstheme="minorHAnsi"/>
        </w:rPr>
        <w:tab/>
        <w:t>T</w:t>
      </w:r>
      <w:r w:rsidR="00B730E8" w:rsidRPr="00946112">
        <w:rPr>
          <w:rFonts w:eastAsia="Times New Roman" w:cstheme="minorHAnsi"/>
        </w:rPr>
        <w:t>he mechanisms for migrant workers to complain about their working conditions</w:t>
      </w:r>
      <w:r w:rsidR="006E23BC" w:rsidRPr="00192F88">
        <w:rPr>
          <w:rFonts w:eastAsia="Times New Roman" w:cstheme="minorHAnsi"/>
        </w:rPr>
        <w:t>,</w:t>
      </w:r>
      <w:r w:rsidR="00B730E8" w:rsidRPr="00946112">
        <w:rPr>
          <w:rFonts w:eastAsia="Times New Roman" w:cstheme="minorHAnsi"/>
        </w:rPr>
        <w:t xml:space="preserve"> and the effectiveness of th</w:t>
      </w:r>
      <w:r w:rsidR="006E23BC" w:rsidRPr="00192F88">
        <w:rPr>
          <w:rFonts w:eastAsia="Times New Roman" w:cstheme="minorHAnsi"/>
        </w:rPr>
        <w:t>o</w:t>
      </w:r>
      <w:r w:rsidR="00B730E8" w:rsidRPr="00946112">
        <w:rPr>
          <w:rFonts w:eastAsia="Times New Roman" w:cstheme="minorHAnsi"/>
        </w:rPr>
        <w:t>se mechanisms.</w:t>
      </w:r>
    </w:p>
    <w:p w14:paraId="7D8D509F" w14:textId="77777777" w:rsidR="00A07569" w:rsidRPr="00946112" w:rsidRDefault="00AA319B" w:rsidP="002818EA">
      <w:pPr>
        <w:pStyle w:val="H23G"/>
      </w:pPr>
      <w:r w:rsidRPr="00946112">
        <w:tab/>
      </w:r>
      <w:r w:rsidRPr="00946112">
        <w:tab/>
        <w:t>Trade union rights (art. 8)</w:t>
      </w:r>
    </w:p>
    <w:p w14:paraId="315ACC10" w14:textId="4E7F06E4" w:rsidR="003C4BA1" w:rsidRPr="00946112" w:rsidRDefault="00192F88" w:rsidP="00192F88">
      <w:pPr>
        <w:pStyle w:val="SingleTxtG"/>
      </w:pPr>
      <w:r w:rsidRPr="00946112">
        <w:t>20.</w:t>
      </w:r>
      <w:r w:rsidRPr="00946112">
        <w:tab/>
      </w:r>
      <w:r w:rsidR="003C4BA1" w:rsidRPr="00946112">
        <w:t>Please provide information on the step</w:t>
      </w:r>
      <w:r w:rsidR="00E00CC8">
        <w:t>s</w:t>
      </w:r>
      <w:r w:rsidR="003C4BA1" w:rsidRPr="00946112">
        <w:t xml:space="preserve"> taken to allow Palestinians living in the </w:t>
      </w:r>
      <w:r w:rsidR="00C77AD2" w:rsidRPr="00946112">
        <w:t>Occupied Palestinian Territory</w:t>
      </w:r>
      <w:r w:rsidR="003C4BA1" w:rsidRPr="00946112">
        <w:t xml:space="preserve"> and working in Israel </w:t>
      </w:r>
      <w:r w:rsidR="00E70375" w:rsidRPr="00946112">
        <w:t>to</w:t>
      </w:r>
      <w:r w:rsidR="003C4BA1" w:rsidRPr="00946112">
        <w:t xml:space="preserve"> join the General Federation of Labourers in Israel, in accordance with article 8 of the Covenant (E/C.12/ISR/CO/3, para.</w:t>
      </w:r>
      <w:r w:rsidR="00302D4B">
        <w:t> </w:t>
      </w:r>
      <w:r w:rsidR="003C4BA1" w:rsidRPr="00946112">
        <w:t>16)</w:t>
      </w:r>
      <w:r w:rsidR="005C7FF7" w:rsidRPr="00946112">
        <w:t>.</w:t>
      </w:r>
      <w:r w:rsidR="003C4BA1" w:rsidRPr="00946112">
        <w:t xml:space="preserve"> Please also clarify how the State party ensure</w:t>
      </w:r>
      <w:r w:rsidR="00E00CC8">
        <w:t>s</w:t>
      </w:r>
      <w:r w:rsidR="003C4BA1" w:rsidRPr="00946112">
        <w:t xml:space="preserve"> that workers </w:t>
      </w:r>
      <w:r w:rsidR="00E00CC8">
        <w:t xml:space="preserve">can </w:t>
      </w:r>
      <w:r w:rsidR="003C4BA1" w:rsidRPr="00946112">
        <w:t xml:space="preserve">exercise their right to strike against </w:t>
      </w:r>
      <w:r w:rsidR="00E95166" w:rsidRPr="00946112">
        <w:t>decisions of the Government</w:t>
      </w:r>
      <w:r w:rsidR="003C4BA1" w:rsidRPr="00946112">
        <w:t xml:space="preserve"> that affect, directly or indirectly, their employment and conditions of work, in light of the preliminary decision of the High Court of </w:t>
      </w:r>
      <w:r w:rsidR="00E95166" w:rsidRPr="00946112">
        <w:t>J</w:t>
      </w:r>
      <w:r w:rsidR="003C4BA1" w:rsidRPr="00946112">
        <w:t xml:space="preserve">ustice in July 2017 in the case relating to industrial action by workers of </w:t>
      </w:r>
      <w:r w:rsidR="00E95166" w:rsidRPr="00946112">
        <w:t xml:space="preserve">the </w:t>
      </w:r>
      <w:r w:rsidR="003C4BA1" w:rsidRPr="00946112">
        <w:t xml:space="preserve">Israel Electric Corporation. </w:t>
      </w:r>
    </w:p>
    <w:p w14:paraId="035355A9" w14:textId="77777777" w:rsidR="00A07569" w:rsidRPr="00946112" w:rsidRDefault="00AA319B" w:rsidP="002818EA">
      <w:pPr>
        <w:pStyle w:val="H23G"/>
      </w:pPr>
      <w:r w:rsidRPr="00946112">
        <w:tab/>
      </w:r>
      <w:r w:rsidRPr="00946112">
        <w:tab/>
        <w:t>Right to social security (art. 9)</w:t>
      </w:r>
    </w:p>
    <w:p w14:paraId="2F09F1B0" w14:textId="6712922F" w:rsidR="00C404A4" w:rsidRPr="00946112" w:rsidRDefault="00192F88" w:rsidP="00192F88">
      <w:pPr>
        <w:pStyle w:val="SingleTxtG"/>
      </w:pPr>
      <w:r w:rsidRPr="00946112">
        <w:t>21.</w:t>
      </w:r>
      <w:r w:rsidRPr="00946112">
        <w:tab/>
      </w:r>
      <w:r w:rsidR="00946A41" w:rsidRPr="00946112">
        <w:t xml:space="preserve">Please provide </w:t>
      </w:r>
      <w:r w:rsidR="009B2FEC" w:rsidRPr="00946112">
        <w:t xml:space="preserve">detailed </w:t>
      </w:r>
      <w:r w:rsidR="00946A41" w:rsidRPr="00946112">
        <w:t>information on the measures taken to ensure that the amounts of social security benefits, including old-age benefits, unemployment benefits and disability benefits, are sufficient to provide beneficiaries with an adequate standard of living</w:t>
      </w:r>
      <w:r w:rsidR="00635E3B" w:rsidRPr="00946112">
        <w:t>,</w:t>
      </w:r>
      <w:r w:rsidR="00946A41" w:rsidRPr="00946112">
        <w:t xml:space="preserve"> and on the indexation of these benefits. Please also </w:t>
      </w:r>
      <w:r w:rsidR="00EA2F45">
        <w:t xml:space="preserve">indicate the </w:t>
      </w:r>
      <w:r w:rsidR="00946A41" w:rsidRPr="00946112">
        <w:t>social security benefits that cover (a)</w:t>
      </w:r>
      <w:r w:rsidR="00302D4B">
        <w:t> </w:t>
      </w:r>
      <w:r w:rsidR="00946A41" w:rsidRPr="00946112">
        <w:t>Palestinian workers residing in Israel with their families with temporary stay permits, (b)</w:t>
      </w:r>
      <w:r w:rsidR="00302D4B">
        <w:t> </w:t>
      </w:r>
      <w:r w:rsidR="00946A41" w:rsidRPr="00946112">
        <w:t>non-Israeli workers with temporary stay permits</w:t>
      </w:r>
      <w:r w:rsidR="00635E3B" w:rsidRPr="00946112">
        <w:t>,</w:t>
      </w:r>
      <w:r w:rsidR="00946A41" w:rsidRPr="00946112">
        <w:t xml:space="preserve"> and (c) non-Israeli workers with permanent residency permits</w:t>
      </w:r>
      <w:r w:rsidR="00F16DE5" w:rsidRPr="00946112">
        <w:t>,</w:t>
      </w:r>
      <w:r w:rsidR="00946A41" w:rsidRPr="00946112">
        <w:t xml:space="preserve"> </w:t>
      </w:r>
      <w:r w:rsidR="000F645F" w:rsidRPr="00946112">
        <w:t xml:space="preserve">respectively; </w:t>
      </w:r>
      <w:r w:rsidR="00946A41" w:rsidRPr="00946112">
        <w:t>and</w:t>
      </w:r>
      <w:r w:rsidR="00EA2F45">
        <w:t xml:space="preserve"> provide information on</w:t>
      </w:r>
      <w:r w:rsidR="00946A41" w:rsidRPr="00946112">
        <w:t xml:space="preserve"> the measures taken to expand the coverage of social security benefits</w:t>
      </w:r>
      <w:r w:rsidR="00F16DE5" w:rsidRPr="00946112">
        <w:t xml:space="preserve"> to improve social protection of these groups</w:t>
      </w:r>
      <w:r w:rsidR="00946A41" w:rsidRPr="00946112">
        <w:t xml:space="preserve">. Furthermore, please provide information on the efforts made by the State party to protect </w:t>
      </w:r>
      <w:r w:rsidR="003616BA" w:rsidRPr="00946112">
        <w:t xml:space="preserve">the </w:t>
      </w:r>
      <w:r w:rsidR="00946A41" w:rsidRPr="00946112">
        <w:t>residency and social security rights of Palestinians residing in Jerusalem (E/C.12/ISR/CO/3, para. 17).</w:t>
      </w:r>
    </w:p>
    <w:p w14:paraId="2B89B6BF" w14:textId="77777777" w:rsidR="00A07569" w:rsidRPr="00946112" w:rsidRDefault="000F645F" w:rsidP="002818EA">
      <w:pPr>
        <w:pStyle w:val="H23G"/>
      </w:pPr>
      <w:r w:rsidRPr="00946112">
        <w:t xml:space="preserve"> </w:t>
      </w:r>
      <w:r w:rsidR="00AA319B" w:rsidRPr="00946112">
        <w:tab/>
      </w:r>
      <w:r w:rsidR="00AA319B" w:rsidRPr="00946112">
        <w:tab/>
        <w:t>Protection of the family and children (art. 10)</w:t>
      </w:r>
    </w:p>
    <w:p w14:paraId="5D3484A4" w14:textId="2C3E24B2" w:rsidR="00554811" w:rsidRPr="00946112" w:rsidRDefault="00192F88" w:rsidP="00192F88">
      <w:pPr>
        <w:pStyle w:val="SingleTxtG"/>
      </w:pPr>
      <w:r w:rsidRPr="00946112">
        <w:t>22.</w:t>
      </w:r>
      <w:r w:rsidRPr="00946112">
        <w:tab/>
      </w:r>
      <w:r w:rsidR="003D7C62" w:rsidRPr="00946112">
        <w:t>Please provide information on</w:t>
      </w:r>
      <w:r w:rsidR="0072188F" w:rsidRPr="00946112">
        <w:t>:</w:t>
      </w:r>
    </w:p>
    <w:p w14:paraId="42D17DD1" w14:textId="77777777" w:rsidR="00554811" w:rsidRPr="00946112" w:rsidRDefault="00554811" w:rsidP="00554811">
      <w:pPr>
        <w:pStyle w:val="SingleTxtG"/>
        <w:ind w:firstLine="567"/>
      </w:pPr>
      <w:r w:rsidRPr="00946112">
        <w:t>(a)</w:t>
      </w:r>
      <w:r w:rsidRPr="00946112">
        <w:tab/>
        <w:t>T</w:t>
      </w:r>
      <w:r w:rsidR="003D7C62" w:rsidRPr="00946112">
        <w:t xml:space="preserve">he </w:t>
      </w:r>
      <w:r w:rsidRPr="00946112">
        <w:t xml:space="preserve">progress </w:t>
      </w:r>
      <w:r w:rsidR="003D7C62" w:rsidRPr="00946112">
        <w:t xml:space="preserve">made </w:t>
      </w:r>
      <w:r w:rsidR="0051548F" w:rsidRPr="00946112">
        <w:t>in repealing</w:t>
      </w:r>
      <w:r w:rsidR="003D7C62" w:rsidRPr="00946112">
        <w:t xml:space="preserve"> the </w:t>
      </w:r>
      <w:r w:rsidR="009966AC" w:rsidRPr="00192F88">
        <w:t>“</w:t>
      </w:r>
      <w:r w:rsidR="003D7C62" w:rsidRPr="00946112">
        <w:t>tender year</w:t>
      </w:r>
      <w:r w:rsidR="0051548F" w:rsidRPr="00946112">
        <w:t>s</w:t>
      </w:r>
      <w:r w:rsidR="009966AC" w:rsidRPr="00192F88">
        <w:t>”</w:t>
      </w:r>
      <w:r w:rsidR="003D7C62" w:rsidRPr="00946112">
        <w:t xml:space="preserve"> presumption</w:t>
      </w:r>
      <w:r w:rsidR="0051548F" w:rsidRPr="00946112">
        <w:t xml:space="preserve"> provided in section 25 of the Capacity and Guardianship Law</w:t>
      </w:r>
      <w:r w:rsidRPr="00946112">
        <w:t>;</w:t>
      </w:r>
    </w:p>
    <w:p w14:paraId="79D48686" w14:textId="086C59C7" w:rsidR="0051548F" w:rsidRPr="00946112" w:rsidRDefault="00554811" w:rsidP="00554811">
      <w:pPr>
        <w:pStyle w:val="SingleTxtG"/>
        <w:ind w:firstLine="567"/>
      </w:pPr>
      <w:r w:rsidRPr="00946112">
        <w:t>(b)</w:t>
      </w:r>
      <w:r w:rsidRPr="00946112">
        <w:tab/>
        <w:t>T</w:t>
      </w:r>
      <w:r w:rsidR="003D7C62" w:rsidRPr="00946112">
        <w:t>he implementation of the 2012 amendment to the Rabbinical Courts Law (Implementation of Divorce Judgment</w:t>
      </w:r>
      <w:r w:rsidR="00693349" w:rsidRPr="00192F88">
        <w:t>s</w:t>
      </w:r>
      <w:r w:rsidR="003D7C62" w:rsidRPr="00946112">
        <w:t xml:space="preserve">) 5755-1955 as well as </w:t>
      </w:r>
      <w:r w:rsidR="00E00CC8">
        <w:t xml:space="preserve">of </w:t>
      </w:r>
      <w:r w:rsidR="003D7C62" w:rsidRPr="00946112">
        <w:t>the Guideline issued by the State Attorney</w:t>
      </w:r>
      <w:r w:rsidR="009966AC" w:rsidRPr="00192F88">
        <w:t>’</w:t>
      </w:r>
      <w:r w:rsidR="003D7C62" w:rsidRPr="00946112">
        <w:t>s Office in 2016</w:t>
      </w:r>
      <w:r w:rsidRPr="00946112">
        <w:t>;</w:t>
      </w:r>
      <w:r w:rsidR="00B05424" w:rsidRPr="00946112">
        <w:rPr>
          <w:vertAlign w:val="superscript"/>
        </w:rPr>
        <w:t xml:space="preserve"> </w:t>
      </w:r>
    </w:p>
    <w:p w14:paraId="6939CD72" w14:textId="4D0FF2FE" w:rsidR="00B05424" w:rsidRPr="00946112" w:rsidRDefault="0051548F" w:rsidP="00554811">
      <w:pPr>
        <w:pStyle w:val="SingleTxtG"/>
        <w:ind w:firstLine="567"/>
      </w:pPr>
      <w:r w:rsidRPr="00946112">
        <w:t>(c)</w:t>
      </w:r>
      <w:r w:rsidRPr="00946112">
        <w:tab/>
      </w:r>
      <w:r w:rsidR="004C78FD" w:rsidRPr="00946112">
        <w:t xml:space="preserve">The </w:t>
      </w:r>
      <w:r w:rsidR="0069334A" w:rsidRPr="00946112">
        <w:t xml:space="preserve">situation of children </w:t>
      </w:r>
      <w:r w:rsidR="004C78FD" w:rsidRPr="00946112">
        <w:t>who have been taken away from parental care to institution</w:t>
      </w:r>
      <w:r w:rsidR="00A677A3" w:rsidRPr="00946112">
        <w:t>al or family-type arrangements</w:t>
      </w:r>
      <w:r w:rsidR="00EA0304" w:rsidRPr="00946112">
        <w:t xml:space="preserve">, including their numbers and the reasons for them </w:t>
      </w:r>
      <w:r w:rsidR="00AD5331" w:rsidRPr="00192F88">
        <w:t>being</w:t>
      </w:r>
      <w:r w:rsidR="00EA0304" w:rsidRPr="00946112">
        <w:t xml:space="preserve"> placed in </w:t>
      </w:r>
      <w:r w:rsidR="00A677A3" w:rsidRPr="00946112">
        <w:t xml:space="preserve">such </w:t>
      </w:r>
      <w:r w:rsidR="00EA0304" w:rsidRPr="00946112">
        <w:t>arrangements</w:t>
      </w:r>
      <w:r w:rsidR="00D044F6" w:rsidRPr="00946112">
        <w:t xml:space="preserve">; </w:t>
      </w:r>
      <w:r w:rsidR="00A677A3" w:rsidRPr="00946112">
        <w:t xml:space="preserve">and </w:t>
      </w:r>
      <w:r w:rsidR="00542DD8" w:rsidRPr="00946112">
        <w:t xml:space="preserve">the </w:t>
      </w:r>
      <w:r w:rsidR="004C78FD" w:rsidRPr="00946112">
        <w:t>monitoring mechanisms put in place to overs</w:t>
      </w:r>
      <w:r w:rsidR="00E70375" w:rsidRPr="00946112">
        <w:t>ee</w:t>
      </w:r>
      <w:r w:rsidR="004C78FD" w:rsidRPr="00946112">
        <w:t xml:space="preserve"> these institutions and to deal with complaints </w:t>
      </w:r>
      <w:r w:rsidR="00E00CC8">
        <w:t>about them</w:t>
      </w:r>
      <w:r w:rsidR="00E9132C" w:rsidRPr="00946112">
        <w:t>;</w:t>
      </w:r>
    </w:p>
    <w:p w14:paraId="698B7789" w14:textId="77E9E7BE" w:rsidR="004C78FD" w:rsidRPr="00946112" w:rsidRDefault="00F27EAB" w:rsidP="00192F88">
      <w:pPr>
        <w:pStyle w:val="SingleTxtG"/>
        <w:ind w:firstLine="567"/>
      </w:pPr>
      <w:r w:rsidRPr="00946112">
        <w:t>(</w:t>
      </w:r>
      <w:r w:rsidR="0055419A" w:rsidRPr="00946112">
        <w:t>d</w:t>
      </w:r>
      <w:r w:rsidRPr="00946112">
        <w:t>)</w:t>
      </w:r>
      <w:r w:rsidRPr="00946112">
        <w:tab/>
        <w:t xml:space="preserve">The measures taken to address the concerns </w:t>
      </w:r>
      <w:r w:rsidR="00B57EB2" w:rsidRPr="00192F88">
        <w:t xml:space="preserve">raised </w:t>
      </w:r>
      <w:r w:rsidRPr="00946112">
        <w:t>and recommendations made by the Committee in its previous concluding observations in relation to child support awards (E/C.12/ISR/CO/3, para. 22), and the number of no exit orders issued annually during the reporting period;</w:t>
      </w:r>
    </w:p>
    <w:p w14:paraId="2675BCE8" w14:textId="4CB8DFFF" w:rsidR="00554811" w:rsidRPr="00946112" w:rsidRDefault="00554811" w:rsidP="00554811">
      <w:pPr>
        <w:pStyle w:val="SingleTxtG"/>
        <w:ind w:firstLine="567"/>
      </w:pPr>
      <w:r w:rsidRPr="00946112">
        <w:t>(</w:t>
      </w:r>
      <w:r w:rsidR="0055419A" w:rsidRPr="00946112">
        <w:t>e</w:t>
      </w:r>
      <w:r w:rsidRPr="00946112">
        <w:t>)</w:t>
      </w:r>
      <w:r w:rsidRPr="00946112">
        <w:tab/>
        <w:t>The</w:t>
      </w:r>
      <w:r w:rsidR="0072188F" w:rsidRPr="00946112">
        <w:t xml:space="preserve"> progress made by the State party</w:t>
      </w:r>
      <w:r w:rsidRPr="00946112">
        <w:t xml:space="preserve"> </w:t>
      </w:r>
      <w:r w:rsidR="00D33FC2" w:rsidRPr="00192F88">
        <w:t>in</w:t>
      </w:r>
      <w:r w:rsidRPr="00946112">
        <w:t xml:space="preserve"> facilitat</w:t>
      </w:r>
      <w:r w:rsidR="00D33FC2" w:rsidRPr="00192F88">
        <w:t>ing</w:t>
      </w:r>
      <w:r w:rsidRPr="00946112">
        <w:t xml:space="preserve"> family reunification for those Palestinians from the </w:t>
      </w:r>
      <w:r w:rsidR="00C77AD2" w:rsidRPr="00946112">
        <w:t>Occupied Palestinian Territory</w:t>
      </w:r>
      <w:r w:rsidRPr="00946112">
        <w:t xml:space="preserve"> who are married to Israeli citizens or residents of East Jerusalem</w:t>
      </w:r>
      <w:r w:rsidR="0072188F" w:rsidRPr="00946112">
        <w:t xml:space="preserve">; </w:t>
      </w:r>
      <w:r w:rsidRPr="00946112">
        <w:t xml:space="preserve">and the current status of the Citizenship and Entry into Israel Law (Temporary Order). </w:t>
      </w:r>
    </w:p>
    <w:p w14:paraId="0DDCC69C" w14:textId="77777777" w:rsidR="00A07569" w:rsidRPr="00946112" w:rsidRDefault="00AA319B" w:rsidP="002818EA">
      <w:pPr>
        <w:pStyle w:val="H23G"/>
        <w:keepNext w:val="0"/>
      </w:pPr>
      <w:r w:rsidRPr="00946112">
        <w:tab/>
      </w:r>
      <w:r w:rsidRPr="00946112">
        <w:tab/>
        <w:t>Right to an adequate standard of living (art. 11)</w:t>
      </w:r>
    </w:p>
    <w:p w14:paraId="69BBF63B" w14:textId="06F2D0BA" w:rsidR="00C055C7" w:rsidRPr="00192F88" w:rsidRDefault="00192F88" w:rsidP="00192F88">
      <w:pPr>
        <w:pStyle w:val="SingleTxtG"/>
      </w:pPr>
      <w:r w:rsidRPr="00192F88">
        <w:t>23.</w:t>
      </w:r>
      <w:r w:rsidRPr="00192F88">
        <w:tab/>
      </w:r>
      <w:r w:rsidR="007A5619" w:rsidRPr="00946112">
        <w:t>Please provide information on</w:t>
      </w:r>
      <w:r w:rsidR="00C055C7" w:rsidRPr="00192F88">
        <w:t>:</w:t>
      </w:r>
    </w:p>
    <w:p w14:paraId="6AE23209" w14:textId="568621E5" w:rsidR="00C055C7" w:rsidRPr="00192F88" w:rsidRDefault="00F91EBF" w:rsidP="00597942">
      <w:pPr>
        <w:pStyle w:val="SingleTxtG"/>
        <w:ind w:firstLine="567"/>
      </w:pPr>
      <w:r>
        <w:t>(a)</w:t>
      </w:r>
      <w:r>
        <w:tab/>
      </w:r>
      <w:r w:rsidR="00C055C7" w:rsidRPr="00192F88">
        <w:t>T</w:t>
      </w:r>
      <w:r w:rsidR="00A55C84" w:rsidRPr="00946112">
        <w:t xml:space="preserve">he measures taken by the State party </w:t>
      </w:r>
      <w:r w:rsidR="0055419A" w:rsidRPr="00946112">
        <w:t>t</w:t>
      </w:r>
      <w:r w:rsidR="007A5619" w:rsidRPr="00946112">
        <w:t xml:space="preserve">o </w:t>
      </w:r>
      <w:r w:rsidR="009A3850" w:rsidRPr="00946112">
        <w:t xml:space="preserve">address the high incidence of poverty among the </w:t>
      </w:r>
      <w:r w:rsidR="005D4F2E" w:rsidRPr="00192F88">
        <w:t>Palestinian</w:t>
      </w:r>
      <w:r w:rsidR="005D4F2E" w:rsidRPr="00946112">
        <w:t xml:space="preserve"> </w:t>
      </w:r>
      <w:r w:rsidR="009A3850" w:rsidRPr="00946112">
        <w:t xml:space="preserve">population in the </w:t>
      </w:r>
      <w:r w:rsidR="00C77AD2" w:rsidRPr="00946112">
        <w:t>Occupied Palestinian Territory</w:t>
      </w:r>
      <w:r w:rsidR="00C055C7" w:rsidRPr="00192F88">
        <w:t>, and the impact of those measures;</w:t>
      </w:r>
    </w:p>
    <w:p w14:paraId="02A68619" w14:textId="39D73B06" w:rsidR="00C055C7" w:rsidRPr="00946112" w:rsidRDefault="00F91EBF" w:rsidP="00192F88">
      <w:pPr>
        <w:pStyle w:val="SingleTxtG"/>
        <w:ind w:firstLine="567"/>
      </w:pPr>
      <w:r>
        <w:lastRenderedPageBreak/>
        <w:t>(b)</w:t>
      </w:r>
      <w:r>
        <w:tab/>
      </w:r>
      <w:r w:rsidR="00C055C7" w:rsidRPr="00192F88">
        <w:t xml:space="preserve">The measures taken by the State party </w:t>
      </w:r>
      <w:r w:rsidR="009A3850" w:rsidRPr="00946112">
        <w:t xml:space="preserve">to </w:t>
      </w:r>
      <w:r w:rsidR="007A5619" w:rsidRPr="00946112">
        <w:t xml:space="preserve">ensure timely and unfettered access by humanitarian organizations operating in </w:t>
      </w:r>
      <w:r w:rsidR="009A3850" w:rsidRPr="00946112">
        <w:t>the O</w:t>
      </w:r>
      <w:r w:rsidR="003616BA" w:rsidRPr="00946112">
        <w:t xml:space="preserve">ccupied </w:t>
      </w:r>
      <w:r w:rsidR="009A3850" w:rsidRPr="00946112">
        <w:t>P</w:t>
      </w:r>
      <w:r w:rsidR="003616BA" w:rsidRPr="00946112">
        <w:t xml:space="preserve">alestinian </w:t>
      </w:r>
      <w:r w:rsidR="009A3850" w:rsidRPr="00946112">
        <w:t>T</w:t>
      </w:r>
      <w:r w:rsidR="003616BA" w:rsidRPr="00946112">
        <w:t>erritory</w:t>
      </w:r>
      <w:r w:rsidR="009A3850" w:rsidRPr="00946112">
        <w:t xml:space="preserve"> </w:t>
      </w:r>
      <w:r w:rsidR="007A5619" w:rsidRPr="00946112">
        <w:t>to the Palestinian population, including in all areas affected by the Wall and its associated regime</w:t>
      </w:r>
      <w:r w:rsidR="00CB450B" w:rsidRPr="00946112">
        <w:t xml:space="preserve"> (E/C.12/ISR/CO/3, para. 24)</w:t>
      </w:r>
      <w:r w:rsidR="002761DF" w:rsidRPr="00192F88">
        <w:t>;</w:t>
      </w:r>
    </w:p>
    <w:p w14:paraId="49732641" w14:textId="4651813D" w:rsidR="00CB450B" w:rsidRPr="00946112" w:rsidRDefault="00F91EBF" w:rsidP="00192F88">
      <w:pPr>
        <w:pStyle w:val="SingleTxtG"/>
        <w:ind w:firstLine="567"/>
      </w:pPr>
      <w:r>
        <w:t>(c)</w:t>
      </w:r>
      <w:r>
        <w:tab/>
      </w:r>
      <w:r w:rsidR="00C055C7" w:rsidRPr="00946112">
        <w:t>Th</w:t>
      </w:r>
      <w:r w:rsidR="000E49CE" w:rsidRPr="00946112">
        <w:t>e measures taken</w:t>
      </w:r>
      <w:r w:rsidR="0055419A" w:rsidRPr="00946112">
        <w:t xml:space="preserve"> </w:t>
      </w:r>
      <w:r w:rsidR="00E00CC8">
        <w:t xml:space="preserve">by the State party </w:t>
      </w:r>
      <w:r w:rsidR="0055419A" w:rsidRPr="00946112">
        <w:t>t</w:t>
      </w:r>
      <w:r w:rsidR="00CB450B" w:rsidRPr="00946112">
        <w:t xml:space="preserve">o </w:t>
      </w:r>
      <w:r w:rsidR="0055419A" w:rsidRPr="00946112">
        <w:t xml:space="preserve">mitigate </w:t>
      </w:r>
      <w:r w:rsidR="00CB450B" w:rsidRPr="00946112">
        <w:t xml:space="preserve">the </w:t>
      </w:r>
      <w:r w:rsidR="007E0927" w:rsidRPr="00946112">
        <w:t xml:space="preserve">negative impact of </w:t>
      </w:r>
      <w:r w:rsidR="00CB450B" w:rsidRPr="00946112">
        <w:t xml:space="preserve">privatization of social services </w:t>
      </w:r>
      <w:r w:rsidR="007E0927" w:rsidRPr="00946112">
        <w:t>on the enjoyment of the Covenant rights, particularly by disadvantaged and marginalized individuals and groups.</w:t>
      </w:r>
      <w:r w:rsidR="00CB450B" w:rsidRPr="00946112">
        <w:t xml:space="preserve"> </w:t>
      </w:r>
    </w:p>
    <w:p w14:paraId="618F55CB" w14:textId="0A4EAA95" w:rsidR="007E0927" w:rsidRPr="00946112" w:rsidRDefault="00192F88" w:rsidP="00192F88">
      <w:pPr>
        <w:pStyle w:val="SingleTxtG"/>
      </w:pPr>
      <w:r w:rsidRPr="00946112">
        <w:t>24.</w:t>
      </w:r>
      <w:r w:rsidRPr="00946112">
        <w:tab/>
      </w:r>
      <w:r w:rsidR="007E0927" w:rsidRPr="00946112">
        <w:t>Please provide information on:</w:t>
      </w:r>
    </w:p>
    <w:p w14:paraId="52DB36D8" w14:textId="5502574E" w:rsidR="00F16DE5" w:rsidRPr="00946112" w:rsidRDefault="007045D9" w:rsidP="007E0927">
      <w:pPr>
        <w:pStyle w:val="SingleTxtG"/>
        <w:ind w:firstLine="567"/>
      </w:pPr>
      <w:r w:rsidRPr="00946112">
        <w:t>(</w:t>
      </w:r>
      <w:r w:rsidR="007E0927" w:rsidRPr="00946112">
        <w:t>a</w:t>
      </w:r>
      <w:r w:rsidRPr="00946112">
        <w:t>)</w:t>
      </w:r>
      <w:r w:rsidRPr="00946112">
        <w:tab/>
      </w:r>
      <w:r w:rsidR="00290642" w:rsidRPr="00946112">
        <w:t>The measures taken by the State party t</w:t>
      </w:r>
      <w:r w:rsidRPr="00946112">
        <w:t xml:space="preserve">o ensure access to </w:t>
      </w:r>
      <w:r w:rsidR="00CF4BD1" w:rsidRPr="00946112">
        <w:t xml:space="preserve">sufficient, </w:t>
      </w:r>
      <w:r w:rsidRPr="00946112">
        <w:t>affordable</w:t>
      </w:r>
      <w:r w:rsidR="00CF4BD1" w:rsidRPr="00946112">
        <w:t xml:space="preserve"> and safe</w:t>
      </w:r>
      <w:r w:rsidRPr="00946112">
        <w:t xml:space="preserve"> drinking water without discrimination </w:t>
      </w:r>
      <w:r w:rsidR="00392064" w:rsidRPr="00946112">
        <w:t xml:space="preserve">across the State party and </w:t>
      </w:r>
      <w:r w:rsidR="00711F32" w:rsidRPr="00946112">
        <w:t>the</w:t>
      </w:r>
      <w:r w:rsidR="00C77AD2" w:rsidRPr="00946112">
        <w:t xml:space="preserve"> Occupied Palestinian Territory</w:t>
      </w:r>
      <w:r w:rsidR="00290642" w:rsidRPr="00946112">
        <w:t>, and the impact of those measures</w:t>
      </w:r>
      <w:r w:rsidR="00F16DE5" w:rsidRPr="00946112">
        <w:t>;</w:t>
      </w:r>
      <w:r w:rsidR="00F16DE5" w:rsidRPr="00946112">
        <w:rPr>
          <w:rStyle w:val="FootnoteReference"/>
        </w:rPr>
        <w:t xml:space="preserve"> </w:t>
      </w:r>
    </w:p>
    <w:p w14:paraId="3ED3DE1A" w14:textId="70B7E01F" w:rsidR="007045D9" w:rsidRPr="00946112" w:rsidRDefault="00F16DE5" w:rsidP="007A5619">
      <w:pPr>
        <w:pStyle w:val="SingleTxtG"/>
        <w:ind w:firstLine="567"/>
      </w:pPr>
      <w:r w:rsidRPr="00946112">
        <w:t>(</w:t>
      </w:r>
      <w:r w:rsidR="007E0927" w:rsidRPr="00946112">
        <w:t>b</w:t>
      </w:r>
      <w:r w:rsidRPr="00946112">
        <w:t>)</w:t>
      </w:r>
      <w:r w:rsidRPr="00946112">
        <w:tab/>
      </w:r>
      <w:r w:rsidR="00290642" w:rsidRPr="00946112">
        <w:t>The measures taken by the State party t</w:t>
      </w:r>
      <w:r w:rsidR="006E1A8E" w:rsidRPr="00946112">
        <w:t xml:space="preserve">o regulate the exorbitant price for water provided by private </w:t>
      </w:r>
      <w:r w:rsidR="00E00CC8">
        <w:t>suppliers</w:t>
      </w:r>
      <w:r w:rsidR="00E00CC8" w:rsidRPr="00946112">
        <w:t xml:space="preserve"> </w:t>
      </w:r>
      <w:r w:rsidR="00392064" w:rsidRPr="00946112">
        <w:t xml:space="preserve">in the unrecognized Bedouin villages and </w:t>
      </w:r>
      <w:r w:rsidR="006E1A8E" w:rsidRPr="00946112">
        <w:t xml:space="preserve">to address the huge disparities in </w:t>
      </w:r>
      <w:r w:rsidR="00EE587D" w:rsidRPr="00946112">
        <w:t xml:space="preserve">access to </w:t>
      </w:r>
      <w:r w:rsidR="006E1A8E" w:rsidRPr="00946112">
        <w:t>water between Arab residents and Israeli settlers in Area C of the West Bank</w:t>
      </w:r>
      <w:r w:rsidR="00290642" w:rsidRPr="00946112">
        <w:t>, and the outcome of those measures</w:t>
      </w:r>
      <w:r w:rsidR="00392064" w:rsidRPr="00946112">
        <w:t>;</w:t>
      </w:r>
    </w:p>
    <w:p w14:paraId="60FC58EB" w14:textId="6DA8104A" w:rsidR="008C4121" w:rsidRDefault="008C4121" w:rsidP="007A5619">
      <w:pPr>
        <w:pStyle w:val="SingleTxtG"/>
        <w:ind w:firstLine="567"/>
      </w:pPr>
      <w:r w:rsidRPr="00E00CC8">
        <w:t>(</w:t>
      </w:r>
      <w:r w:rsidR="007E0927" w:rsidRPr="00E00CC8">
        <w:t>c</w:t>
      </w:r>
      <w:r w:rsidRPr="00E00CC8">
        <w:t>)</w:t>
      </w:r>
      <w:r w:rsidRPr="00E00CC8">
        <w:tab/>
      </w:r>
      <w:r w:rsidR="00290642" w:rsidRPr="00E00CC8">
        <w:t>The measures taken by the State party t</w:t>
      </w:r>
      <w:r w:rsidRPr="00E00CC8">
        <w:t xml:space="preserve">o improve </w:t>
      </w:r>
      <w:r w:rsidR="007E0927" w:rsidRPr="00E00CC8">
        <w:t xml:space="preserve">sanitation facilities and </w:t>
      </w:r>
      <w:r w:rsidRPr="00E00CC8">
        <w:t>the waste management system in the Bedouin communities, including the implementation of Government Resolution No. 546</w:t>
      </w:r>
      <w:r w:rsidR="00290642" w:rsidRPr="00E00CC8">
        <w:t>, and the outcome of those measures</w:t>
      </w:r>
      <w:r w:rsidR="00EE587D" w:rsidRPr="00E00CC8">
        <w:t>.</w:t>
      </w:r>
      <w:r w:rsidR="00CB450B" w:rsidRPr="00E00CC8">
        <w:t xml:space="preserve"> </w:t>
      </w:r>
    </w:p>
    <w:p w14:paraId="4BEC2888" w14:textId="0DB8EC51" w:rsidR="0093660F" w:rsidRPr="0093660F" w:rsidRDefault="00192F88" w:rsidP="00192F88">
      <w:pPr>
        <w:pStyle w:val="SingleTxtG"/>
      </w:pPr>
      <w:r w:rsidRPr="0093660F">
        <w:t>25.</w:t>
      </w:r>
      <w:r w:rsidRPr="0093660F">
        <w:tab/>
      </w:r>
      <w:r w:rsidR="00487CE0">
        <w:t>P</w:t>
      </w:r>
      <w:r w:rsidR="0093660F" w:rsidRPr="00845E08">
        <w:t>lease provide:</w:t>
      </w:r>
    </w:p>
    <w:p w14:paraId="3DDBB83B" w14:textId="5AC70724" w:rsidR="0093660F" w:rsidRPr="0093660F" w:rsidRDefault="0093660F" w:rsidP="0093660F">
      <w:pPr>
        <w:pStyle w:val="SingleTxtG"/>
        <w:ind w:firstLine="567"/>
      </w:pPr>
      <w:r w:rsidRPr="0093660F">
        <w:t>(a)</w:t>
      </w:r>
      <w:r w:rsidRPr="0093660F">
        <w:tab/>
      </w:r>
      <w:r w:rsidR="009958D3">
        <w:t>Information on t</w:t>
      </w:r>
      <w:r w:rsidRPr="0093660F">
        <w:t>he measures taken to stop demolitions</w:t>
      </w:r>
      <w:r w:rsidR="000D37AA">
        <w:t xml:space="preserve"> of housing and structures</w:t>
      </w:r>
      <w:r w:rsidRPr="0093660F">
        <w:t xml:space="preserve"> as reprisals; and </w:t>
      </w:r>
      <w:r w:rsidR="007E4A87">
        <w:t xml:space="preserve">on </w:t>
      </w:r>
      <w:r w:rsidRPr="0093660F">
        <w:t xml:space="preserve">the number of such demolitions carried out during the reporting period and the remedies provided to </w:t>
      </w:r>
      <w:r w:rsidR="009958D3">
        <w:t>persons affected</w:t>
      </w:r>
      <w:r w:rsidRPr="0093660F">
        <w:t xml:space="preserve">; </w:t>
      </w:r>
    </w:p>
    <w:p w14:paraId="31378C92" w14:textId="60E0D839" w:rsidR="0093660F" w:rsidRPr="00845E08" w:rsidRDefault="0093660F" w:rsidP="0093660F">
      <w:pPr>
        <w:pStyle w:val="SingleTxtG"/>
        <w:ind w:firstLine="567"/>
      </w:pPr>
      <w:r w:rsidRPr="007E0927">
        <w:t>(b)</w:t>
      </w:r>
      <w:r w:rsidRPr="0093660F">
        <w:tab/>
      </w:r>
      <w:r w:rsidR="009958D3">
        <w:t>Clarification on</w:t>
      </w:r>
      <w:r w:rsidR="0004364A">
        <w:t xml:space="preserve"> how the State party reconciles its</w:t>
      </w:r>
      <w:r w:rsidR="002E5002">
        <w:t xml:space="preserve"> legislation, including</w:t>
      </w:r>
      <w:r w:rsidRPr="00845E08">
        <w:t xml:space="preserve"> </w:t>
      </w:r>
      <w:r w:rsidR="009F6DC2" w:rsidRPr="00E63BE2">
        <w:t>Basic Law: Israel as the Nation-State of the Jewish People</w:t>
      </w:r>
      <w:r w:rsidR="009F6DC2">
        <w:t xml:space="preserve"> (2018)</w:t>
      </w:r>
      <w:r w:rsidR="00EB1F4C">
        <w:t>,</w:t>
      </w:r>
      <w:r w:rsidR="002E5002">
        <w:t xml:space="preserve"> the Land Regulation Law (2017)</w:t>
      </w:r>
      <w:r w:rsidR="00EB1F4C">
        <w:t>,</w:t>
      </w:r>
      <w:r w:rsidR="002E5002">
        <w:t xml:space="preserve"> Israel</w:t>
      </w:r>
      <w:r w:rsidR="00E00CC8">
        <w:t>i</w:t>
      </w:r>
      <w:r w:rsidR="002E5002">
        <w:t xml:space="preserve"> (Military) Destruction Order 1797 of 18 June 2018</w:t>
      </w:r>
      <w:r w:rsidR="0085752C">
        <w:t>,</w:t>
      </w:r>
      <w:r w:rsidR="009F6DC2">
        <w:t xml:space="preserve"> and </w:t>
      </w:r>
      <w:r w:rsidR="0085752C">
        <w:t>s</w:t>
      </w:r>
      <w:r w:rsidR="009F6DC2" w:rsidRPr="00845E08">
        <w:t xml:space="preserve">ection 119 of the </w:t>
      </w:r>
      <w:r w:rsidR="00E00CC8">
        <w:t>Defence (</w:t>
      </w:r>
      <w:r w:rsidR="009F6DC2" w:rsidRPr="00845E08">
        <w:t>Emergency</w:t>
      </w:r>
      <w:r w:rsidR="00E00CC8">
        <w:t>)</w:t>
      </w:r>
      <w:r w:rsidR="009F6DC2" w:rsidRPr="00845E08">
        <w:t xml:space="preserve"> Regulations</w:t>
      </w:r>
      <w:r w:rsidR="00E00CC8" w:rsidRPr="00192F88">
        <w:rPr>
          <w:rStyle w:val="CommentReference"/>
          <w:rFonts w:asciiTheme="majorBidi" w:eastAsia="Times New Roman" w:hAnsiTheme="majorBidi" w:cstheme="majorBidi"/>
          <w:sz w:val="20"/>
          <w:szCs w:val="20"/>
          <w:lang w:val="en-US"/>
        </w:rPr>
        <w:t>,</w:t>
      </w:r>
      <w:r w:rsidR="009F6DC2" w:rsidRPr="00845E08">
        <w:t xml:space="preserve"> 1945</w:t>
      </w:r>
      <w:r w:rsidR="002E5002">
        <w:t>,</w:t>
      </w:r>
      <w:r w:rsidRPr="00845E08">
        <w:t xml:space="preserve"> with </w:t>
      </w:r>
      <w:r w:rsidR="0004364A">
        <w:t xml:space="preserve">its obligations under </w:t>
      </w:r>
      <w:r w:rsidRPr="00845E08">
        <w:t xml:space="preserve">article 11 of the </w:t>
      </w:r>
      <w:r w:rsidRPr="00B472C1">
        <w:t>Covenant</w:t>
      </w:r>
      <w:r w:rsidR="0004364A" w:rsidRPr="00B472C1">
        <w:t xml:space="preserve">, with reference to </w:t>
      </w:r>
      <w:r w:rsidRPr="00B472C1">
        <w:t>the Committee’s general comments No. 4 (1991) on the right to</w:t>
      </w:r>
      <w:r w:rsidRPr="00845E08">
        <w:t xml:space="preserve"> adequate housing and No. 7 (1997) on forced evictions;</w:t>
      </w:r>
    </w:p>
    <w:p w14:paraId="3B188E69" w14:textId="5A7B0D98" w:rsidR="0093660F" w:rsidRPr="0093660F" w:rsidRDefault="0093660F" w:rsidP="0093660F">
      <w:pPr>
        <w:pStyle w:val="SingleTxtG"/>
        <w:ind w:firstLine="567"/>
      </w:pPr>
      <w:r w:rsidRPr="0093660F">
        <w:t>(c)</w:t>
      </w:r>
      <w:r w:rsidRPr="0093660F">
        <w:tab/>
      </w:r>
      <w:r w:rsidR="009958D3">
        <w:t>Information on t</w:t>
      </w:r>
      <w:r w:rsidRPr="0093660F">
        <w:t xml:space="preserve">he legal protection provided for those who are evicted from </w:t>
      </w:r>
      <w:r w:rsidR="007E4A87">
        <w:t>their home,</w:t>
      </w:r>
      <w:r w:rsidRPr="0093660F">
        <w:t xml:space="preserve"> before, during and after the eviction; and </w:t>
      </w:r>
      <w:r w:rsidR="007E4A87">
        <w:t xml:space="preserve">information on </w:t>
      </w:r>
      <w:r w:rsidRPr="0093660F">
        <w:t xml:space="preserve">the evictions carried out in </w:t>
      </w:r>
      <w:r w:rsidR="000D37AA">
        <w:t xml:space="preserve">Area C of </w:t>
      </w:r>
      <w:r w:rsidRPr="0093660F">
        <w:t>the West Bank and East Jerusalem, including t</w:t>
      </w:r>
      <w:r w:rsidRPr="00845E08">
        <w:t>he number of eviction</w:t>
      </w:r>
      <w:r w:rsidR="000D37AA">
        <w:t xml:space="preserve"> order</w:t>
      </w:r>
      <w:r w:rsidRPr="00845E08">
        <w:t xml:space="preserve">s </w:t>
      </w:r>
      <w:r w:rsidR="000D37AA">
        <w:t xml:space="preserve">issued and </w:t>
      </w:r>
      <w:r w:rsidR="00EA2F45">
        <w:t xml:space="preserve">the number of eviction orders </w:t>
      </w:r>
      <w:r w:rsidRPr="00845E08">
        <w:t>carried</w:t>
      </w:r>
      <w:r w:rsidR="00EA2F45">
        <w:t xml:space="preserve"> out,</w:t>
      </w:r>
      <w:r w:rsidR="000D37AA">
        <w:t xml:space="preserve"> as well as</w:t>
      </w:r>
      <w:r w:rsidRPr="00845E08">
        <w:t xml:space="preserve"> the number of affected persons or households during the reporting period</w:t>
      </w:r>
      <w:r w:rsidR="000D37AA">
        <w:t>, and</w:t>
      </w:r>
      <w:r w:rsidRPr="00845E08">
        <w:t xml:space="preserve"> </w:t>
      </w:r>
      <w:r w:rsidR="007E4A87">
        <w:t xml:space="preserve">on </w:t>
      </w:r>
      <w:r w:rsidRPr="00845E08">
        <w:t>the remedies provided to those affected by forced evictions</w:t>
      </w:r>
      <w:r>
        <w:t>;</w:t>
      </w:r>
      <w:r w:rsidRPr="00845E08">
        <w:t xml:space="preserve"> </w:t>
      </w:r>
    </w:p>
    <w:p w14:paraId="381C3606" w14:textId="58F9EDA7" w:rsidR="0093660F" w:rsidRPr="0093660F" w:rsidRDefault="0093660F" w:rsidP="0093660F">
      <w:pPr>
        <w:pStyle w:val="SingleTxtG"/>
        <w:ind w:firstLine="567"/>
      </w:pPr>
      <w:r w:rsidRPr="0093660F">
        <w:t>(</w:t>
      </w:r>
      <w:r>
        <w:t>d</w:t>
      </w:r>
      <w:r w:rsidRPr="0093660F">
        <w:t>)</w:t>
      </w:r>
      <w:r w:rsidRPr="0093660F">
        <w:tab/>
      </w:r>
      <w:r w:rsidR="009958D3">
        <w:t>Information on t</w:t>
      </w:r>
      <w:r w:rsidRPr="0093660F">
        <w:t xml:space="preserve">he steps taken to reform the housing policy and to ensure the legality of </w:t>
      </w:r>
      <w:r w:rsidR="00703B72">
        <w:t xml:space="preserve">Palestinian </w:t>
      </w:r>
      <w:r w:rsidR="00E00CC8">
        <w:t>buildings</w:t>
      </w:r>
      <w:r w:rsidR="00E00CC8" w:rsidRPr="0093660F">
        <w:t xml:space="preserve"> </w:t>
      </w:r>
      <w:r w:rsidRPr="0093660F">
        <w:t xml:space="preserve">in </w:t>
      </w:r>
      <w:r w:rsidR="000D37AA">
        <w:t xml:space="preserve">Area C of </w:t>
      </w:r>
      <w:r w:rsidRPr="0093660F">
        <w:t>the West Bank</w:t>
      </w:r>
      <w:r w:rsidR="000D37AA">
        <w:t xml:space="preserve"> and</w:t>
      </w:r>
      <w:r w:rsidRPr="0093660F">
        <w:t xml:space="preserve"> East Jerusalem</w:t>
      </w:r>
      <w:r w:rsidR="00193497">
        <w:t>;</w:t>
      </w:r>
      <w:r w:rsidRPr="0093660F">
        <w:t xml:space="preserve"> and </w:t>
      </w:r>
      <w:r w:rsidR="00487CE0">
        <w:t xml:space="preserve">relevant </w:t>
      </w:r>
      <w:r w:rsidRPr="0093660F">
        <w:t>data, disaggregated by ethnicity, the number of applications for building permits and the number of permits granted in Area C of the West Bank and East Jerusalem, during the reporting period;</w:t>
      </w:r>
    </w:p>
    <w:p w14:paraId="2D5162E4" w14:textId="4B3CB78D" w:rsidR="0093660F" w:rsidRDefault="0093660F" w:rsidP="0093660F">
      <w:pPr>
        <w:pStyle w:val="SingleTxtG"/>
        <w:ind w:firstLine="567"/>
      </w:pPr>
      <w:r w:rsidRPr="00845E08">
        <w:t>(</w:t>
      </w:r>
      <w:r>
        <w:t>e</w:t>
      </w:r>
      <w:r w:rsidRPr="00845E08">
        <w:t>)</w:t>
      </w:r>
      <w:r w:rsidRPr="00845E08">
        <w:tab/>
      </w:r>
      <w:r w:rsidR="009958D3">
        <w:t>Information on t</w:t>
      </w:r>
      <w:r w:rsidRPr="00845E08">
        <w:t xml:space="preserve">he measures taken to prevent </w:t>
      </w:r>
      <w:r w:rsidR="00E00CC8">
        <w:t xml:space="preserve">the </w:t>
      </w:r>
      <w:r w:rsidR="00A75ABE">
        <w:t xml:space="preserve">destruction </w:t>
      </w:r>
      <w:r w:rsidR="00514410">
        <w:t>of Palestinian housing</w:t>
      </w:r>
      <w:r w:rsidR="00703B72">
        <w:t xml:space="preserve"> and</w:t>
      </w:r>
      <w:r w:rsidR="00514410">
        <w:t xml:space="preserve"> </w:t>
      </w:r>
      <w:r w:rsidRPr="00845E08">
        <w:t xml:space="preserve">property in </w:t>
      </w:r>
      <w:r w:rsidR="000D37AA">
        <w:t xml:space="preserve">Area C of </w:t>
      </w:r>
      <w:r w:rsidRPr="00845E08">
        <w:t>the West Bank</w:t>
      </w:r>
      <w:r w:rsidR="000D37AA">
        <w:t xml:space="preserve"> and</w:t>
      </w:r>
      <w:r w:rsidRPr="00845E08">
        <w:t xml:space="preserve"> East Jerusalem, and </w:t>
      </w:r>
      <w:r w:rsidR="00193497">
        <w:t xml:space="preserve">on </w:t>
      </w:r>
      <w:r w:rsidRPr="00845E08">
        <w:t xml:space="preserve">the investigations carried out into </w:t>
      </w:r>
      <w:r w:rsidR="00E9132C">
        <w:t xml:space="preserve">such </w:t>
      </w:r>
      <w:r w:rsidRPr="00845E08">
        <w:t>criminal acts, including the numbers of cases investigated and prosecuted, the penalties imposed on perpetrators and the remedies provided to victims</w:t>
      </w:r>
      <w:r w:rsidR="00330D2E">
        <w:t>,</w:t>
      </w:r>
      <w:r>
        <w:t xml:space="preserve"> during the reporting period</w:t>
      </w:r>
      <w:r w:rsidR="00A75ABE">
        <w:t>;</w:t>
      </w:r>
    </w:p>
    <w:p w14:paraId="264B8F15" w14:textId="735A8532" w:rsidR="00487CE0" w:rsidRPr="00DA46E7" w:rsidRDefault="00487CE0" w:rsidP="00487CE0">
      <w:pPr>
        <w:pStyle w:val="SingleTxtG"/>
        <w:ind w:firstLine="567"/>
      </w:pPr>
      <w:r>
        <w:t>(f)</w:t>
      </w:r>
      <w:r>
        <w:tab/>
      </w:r>
      <w:r w:rsidR="009958D3">
        <w:t>Information on t</w:t>
      </w:r>
      <w:r w:rsidRPr="00DA46E7">
        <w:t xml:space="preserve">he impact of the measures taken </w:t>
      </w:r>
      <w:r w:rsidR="00A75ABE">
        <w:t xml:space="preserve">to increase the provision of social housing and </w:t>
      </w:r>
      <w:r w:rsidRPr="00DA46E7">
        <w:t>to regulate the private rental market</w:t>
      </w:r>
      <w:r w:rsidR="00514410">
        <w:t>.</w:t>
      </w:r>
    </w:p>
    <w:p w14:paraId="3BBCF2B1" w14:textId="7F702E9B" w:rsidR="00890C14" w:rsidRPr="00954AB5" w:rsidRDefault="00192F88" w:rsidP="00192F88">
      <w:pPr>
        <w:pStyle w:val="SingleTxtG"/>
      </w:pPr>
      <w:r w:rsidRPr="00954AB5">
        <w:t>26.</w:t>
      </w:r>
      <w:r w:rsidRPr="00954AB5">
        <w:tab/>
      </w:r>
      <w:r w:rsidR="00890C14" w:rsidRPr="00954AB5">
        <w:t xml:space="preserve">Please provide information on the </w:t>
      </w:r>
      <w:r w:rsidR="001C0CC3" w:rsidRPr="00954AB5">
        <w:t>steps taken to</w:t>
      </w:r>
      <w:r w:rsidR="007E0927" w:rsidRPr="00954AB5">
        <w:t xml:space="preserve"> ensure that the activities </w:t>
      </w:r>
      <w:r w:rsidR="00CB360F">
        <w:t>of</w:t>
      </w:r>
      <w:r w:rsidR="00890C14" w:rsidRPr="00954AB5">
        <w:t xml:space="preserve"> the World Zionist Organization, the Jewish National Fund and the Jewish Agency</w:t>
      </w:r>
      <w:r w:rsidR="007E0927" w:rsidRPr="00954AB5">
        <w:t xml:space="preserve"> </w:t>
      </w:r>
      <w:r w:rsidR="00330D2E">
        <w:t xml:space="preserve">for Israel </w:t>
      </w:r>
      <w:r w:rsidR="007E0927" w:rsidRPr="00954AB5">
        <w:t>are regulated and monitored by the State party</w:t>
      </w:r>
      <w:r w:rsidR="00890C14" w:rsidRPr="00954AB5">
        <w:t xml:space="preserve"> </w:t>
      </w:r>
      <w:r w:rsidR="00105527" w:rsidRPr="00954AB5">
        <w:t xml:space="preserve">to ensure that </w:t>
      </w:r>
      <w:r w:rsidR="00954AB5">
        <w:t xml:space="preserve">the </w:t>
      </w:r>
      <w:r w:rsidR="00EE587D">
        <w:t>C</w:t>
      </w:r>
      <w:r w:rsidR="00105527" w:rsidRPr="00954AB5">
        <w:t>ovenant rights are properly protected.</w:t>
      </w:r>
    </w:p>
    <w:p w14:paraId="5AB756E0" w14:textId="7B121302" w:rsidR="00D76200" w:rsidRPr="00DA46E7" w:rsidRDefault="00192F88" w:rsidP="00192F88">
      <w:pPr>
        <w:pStyle w:val="SingleTxtG"/>
      </w:pPr>
      <w:r w:rsidRPr="00DA46E7">
        <w:t>27.</w:t>
      </w:r>
      <w:r w:rsidRPr="00DA46E7">
        <w:tab/>
      </w:r>
      <w:r w:rsidR="00D76200" w:rsidRPr="00DA46E7">
        <w:t>Please provide information on</w:t>
      </w:r>
      <w:r w:rsidR="00487CE0" w:rsidRPr="00DA46E7">
        <w:t>:</w:t>
      </w:r>
    </w:p>
    <w:p w14:paraId="468CC2C4" w14:textId="6C9552F2" w:rsidR="00244F7A" w:rsidRDefault="003F42C9" w:rsidP="003F42C9">
      <w:pPr>
        <w:pStyle w:val="SingleTxtG"/>
        <w:ind w:firstLine="567"/>
      </w:pPr>
      <w:r>
        <w:lastRenderedPageBreak/>
        <w:t>(a)</w:t>
      </w:r>
      <w:r>
        <w:tab/>
      </w:r>
      <w:r w:rsidR="00487CE0">
        <w:t xml:space="preserve">The </w:t>
      </w:r>
      <w:r w:rsidR="00703B72">
        <w:t xml:space="preserve">impact of the </w:t>
      </w:r>
      <w:r w:rsidR="00487CE0">
        <w:t>measures taken by the State party t</w:t>
      </w:r>
      <w:r w:rsidR="00244F7A">
        <w:t>o improve food security for marginalized and disadvantaged persons and groups</w:t>
      </w:r>
      <w:r w:rsidR="000A34DB">
        <w:t xml:space="preserve"> in the State party, including </w:t>
      </w:r>
      <w:r w:rsidR="00870F89">
        <w:t>Palestinians living</w:t>
      </w:r>
      <w:r w:rsidR="000A34DB">
        <w:t xml:space="preserve"> in the </w:t>
      </w:r>
      <w:r w:rsidR="00C77AD2">
        <w:t>Occupied Palestinian Territory</w:t>
      </w:r>
      <w:r w:rsidR="00244F7A">
        <w:t>;</w:t>
      </w:r>
    </w:p>
    <w:p w14:paraId="2118A88E" w14:textId="379BF22B" w:rsidR="00CF4BD1" w:rsidRDefault="00CF4BD1" w:rsidP="00CF4BD1">
      <w:pPr>
        <w:pStyle w:val="SingleTxtG"/>
        <w:ind w:firstLine="567"/>
      </w:pPr>
      <w:r>
        <w:t>(b)</w:t>
      </w:r>
      <w:r>
        <w:tab/>
      </w:r>
      <w:r w:rsidR="00487CE0">
        <w:t>The measures taken t</w:t>
      </w:r>
      <w:r>
        <w:t xml:space="preserve">o stop chemical spraying over farmlands by the military forces in the </w:t>
      </w:r>
      <w:r w:rsidR="003616BA">
        <w:t>Occupied Palestinian Territory</w:t>
      </w:r>
      <w:r w:rsidR="00C86111">
        <w:t>;</w:t>
      </w:r>
      <w:r>
        <w:t xml:space="preserve"> </w:t>
      </w:r>
    </w:p>
    <w:p w14:paraId="4A0710C6" w14:textId="77777777" w:rsidR="003F42C9" w:rsidRDefault="003F42C9" w:rsidP="003F42C9">
      <w:pPr>
        <w:pStyle w:val="SingleTxtG"/>
        <w:ind w:firstLine="567"/>
      </w:pPr>
      <w:r>
        <w:t>(</w:t>
      </w:r>
      <w:r w:rsidR="00CF4BD1">
        <w:t>c</w:t>
      </w:r>
      <w:r>
        <w:t>)</w:t>
      </w:r>
      <w:r>
        <w:tab/>
      </w:r>
      <w:r w:rsidR="00487CE0">
        <w:t>The steps taken t</w:t>
      </w:r>
      <w:r>
        <w:t xml:space="preserve">o ensure </w:t>
      </w:r>
      <w:r w:rsidR="008E09D3">
        <w:t xml:space="preserve">the </w:t>
      </w:r>
      <w:r>
        <w:t xml:space="preserve">unimpeded access of Palestinians to their agricultural land, water sources and irrigation facilities in all their territories; </w:t>
      </w:r>
    </w:p>
    <w:p w14:paraId="0C1B56D2" w14:textId="74A636F5" w:rsidR="003F42C9" w:rsidRDefault="003F42C9" w:rsidP="003F42C9">
      <w:pPr>
        <w:pStyle w:val="SingleTxtG"/>
        <w:ind w:firstLine="567"/>
      </w:pPr>
      <w:r>
        <w:t>(</w:t>
      </w:r>
      <w:r w:rsidR="00CF4BD1">
        <w:t>d</w:t>
      </w:r>
      <w:r>
        <w:t xml:space="preserve">) </w:t>
      </w:r>
      <w:r>
        <w:tab/>
      </w:r>
      <w:r w:rsidR="00487CE0">
        <w:t>The measures taken t</w:t>
      </w:r>
      <w:r>
        <w:t>o recognize and respect the right of the Palestinian people to marine resources</w:t>
      </w:r>
      <w:r w:rsidRPr="00E805CD">
        <w:t>, including the right to fish in the territorial sea of the Gaza Strip</w:t>
      </w:r>
      <w:r>
        <w:t>;</w:t>
      </w:r>
    </w:p>
    <w:p w14:paraId="0FDE766E" w14:textId="27973EF4" w:rsidR="003F42C9" w:rsidRDefault="003F42C9" w:rsidP="003F42C9">
      <w:pPr>
        <w:pStyle w:val="SingleTxtG"/>
        <w:ind w:firstLine="567"/>
      </w:pPr>
      <w:r>
        <w:t>(</w:t>
      </w:r>
      <w:r w:rsidR="00CF4BD1">
        <w:t>e</w:t>
      </w:r>
      <w:r>
        <w:t>)</w:t>
      </w:r>
      <w:r>
        <w:tab/>
        <w:t xml:space="preserve">The investigations into the cases of </w:t>
      </w:r>
      <w:r w:rsidR="00BF0E37">
        <w:t>killing and injury</w:t>
      </w:r>
      <w:r>
        <w:t xml:space="preserve"> of</w:t>
      </w:r>
      <w:r w:rsidR="0004364A">
        <w:t xml:space="preserve"> fishers</w:t>
      </w:r>
      <w:r>
        <w:t xml:space="preserve"> in the buffer zone, </w:t>
      </w:r>
      <w:r w:rsidR="00330D2E">
        <w:t xml:space="preserve">the </w:t>
      </w:r>
      <w:r>
        <w:t xml:space="preserve">prosecutions, and </w:t>
      </w:r>
      <w:r w:rsidR="00330D2E">
        <w:t xml:space="preserve">the </w:t>
      </w:r>
      <w:r>
        <w:t xml:space="preserve">penalties imposed on perpetrators, and the remedies provided to the victims. </w:t>
      </w:r>
    </w:p>
    <w:p w14:paraId="64722004" w14:textId="77777777" w:rsidR="00A07569" w:rsidRDefault="00AA319B" w:rsidP="002818EA">
      <w:pPr>
        <w:pStyle w:val="H23G"/>
        <w:keepNext w:val="0"/>
      </w:pPr>
      <w:r>
        <w:tab/>
      </w:r>
      <w:r>
        <w:tab/>
      </w:r>
      <w:r w:rsidRPr="00946112">
        <w:t>Right to physical and mental health (art. 12)</w:t>
      </w:r>
    </w:p>
    <w:p w14:paraId="0943334A" w14:textId="23407696" w:rsidR="00B97EAD" w:rsidRPr="0035799B" w:rsidRDefault="00192F88" w:rsidP="00192F88">
      <w:pPr>
        <w:pStyle w:val="SingleTxtG"/>
      </w:pPr>
      <w:r w:rsidRPr="0035799B">
        <w:t>28.</w:t>
      </w:r>
      <w:r w:rsidRPr="0035799B">
        <w:tab/>
      </w:r>
      <w:r w:rsidR="00B97EAD" w:rsidRPr="00D8263D">
        <w:rPr>
          <w:rFonts w:eastAsia="Times New Roman"/>
        </w:rPr>
        <w:t xml:space="preserve">Please provide information on: </w:t>
      </w:r>
    </w:p>
    <w:p w14:paraId="72135EB1" w14:textId="7056EA7C" w:rsidR="00CA294D" w:rsidRDefault="00B97EAD" w:rsidP="00DC7FD5">
      <w:pPr>
        <w:pStyle w:val="SingleTxtG"/>
        <w:ind w:firstLine="567"/>
      </w:pPr>
      <w:r w:rsidRPr="00D8263D">
        <w:t>(</w:t>
      </w:r>
      <w:r w:rsidR="003D2ECC">
        <w:t>a</w:t>
      </w:r>
      <w:r w:rsidRPr="00D8263D">
        <w:t>)</w:t>
      </w:r>
      <w:r w:rsidRPr="00D8263D">
        <w:tab/>
        <w:t xml:space="preserve">The measures taken to increase the </w:t>
      </w:r>
      <w:r w:rsidR="00C8538D">
        <w:t>level</w:t>
      </w:r>
      <w:r w:rsidR="00C8538D" w:rsidRPr="00D8263D">
        <w:t xml:space="preserve"> </w:t>
      </w:r>
      <w:r w:rsidRPr="00D8263D">
        <w:t xml:space="preserve">of public funding </w:t>
      </w:r>
      <w:r w:rsidR="00C8538D">
        <w:t xml:space="preserve">allocated </w:t>
      </w:r>
      <w:r w:rsidR="00E805CD">
        <w:t>to</w:t>
      </w:r>
      <w:r w:rsidR="00E805CD" w:rsidRPr="00D8263D">
        <w:t xml:space="preserve"> </w:t>
      </w:r>
      <w:r w:rsidRPr="00D8263D">
        <w:t>the health sector, particularly in the public health</w:t>
      </w:r>
      <w:r w:rsidR="002D5012">
        <w:t>-</w:t>
      </w:r>
      <w:r w:rsidR="00703B72">
        <w:t>care services</w:t>
      </w:r>
      <w:r w:rsidRPr="00D8263D">
        <w:t>;</w:t>
      </w:r>
      <w:r w:rsidR="00C8538D">
        <w:t xml:space="preserve"> </w:t>
      </w:r>
    </w:p>
    <w:p w14:paraId="6C24B112" w14:textId="516E7AB3" w:rsidR="00B97EAD" w:rsidRPr="00D8263D" w:rsidRDefault="00CA294D" w:rsidP="00DC7FD5">
      <w:pPr>
        <w:pStyle w:val="SingleTxtG"/>
        <w:ind w:firstLine="567"/>
      </w:pPr>
      <w:r>
        <w:t>(</w:t>
      </w:r>
      <w:r w:rsidR="00E805CD">
        <w:t>b</w:t>
      </w:r>
      <w:r>
        <w:t>)</w:t>
      </w:r>
      <w:r w:rsidR="00E805CD">
        <w:tab/>
        <w:t>The measures taken to ensure accessible, affordable and quality health</w:t>
      </w:r>
      <w:r w:rsidR="002D5012">
        <w:t>-</w:t>
      </w:r>
      <w:r w:rsidR="00E805CD">
        <w:t xml:space="preserve">care services </w:t>
      </w:r>
      <w:r w:rsidR="002D5012">
        <w:t>for</w:t>
      </w:r>
      <w:r w:rsidR="00E805CD">
        <w:t xml:space="preserve"> all, particularly </w:t>
      </w:r>
      <w:r w:rsidR="002D5012">
        <w:t xml:space="preserve">for </w:t>
      </w:r>
      <w:r w:rsidR="00E805CD">
        <w:t>disadvantaged and marginalized individuals,</w:t>
      </w:r>
      <w:r w:rsidR="00C8538D">
        <w:t xml:space="preserve"> in the context of privatization of health</w:t>
      </w:r>
      <w:r w:rsidR="002D5012">
        <w:t>-</w:t>
      </w:r>
      <w:r w:rsidR="00C8538D">
        <w:t>care</w:t>
      </w:r>
      <w:r w:rsidR="00E805CD">
        <w:t xml:space="preserve"> services;</w:t>
      </w:r>
    </w:p>
    <w:p w14:paraId="56A9FAA5" w14:textId="77777777" w:rsidR="00B97EAD" w:rsidRDefault="00B97EAD" w:rsidP="00DC7FD5">
      <w:pPr>
        <w:pStyle w:val="SingleTxtG"/>
        <w:ind w:firstLine="567"/>
      </w:pPr>
      <w:r w:rsidRPr="00E805CD">
        <w:t>(</w:t>
      </w:r>
      <w:r w:rsidR="00E805CD">
        <w:t>c</w:t>
      </w:r>
      <w:r w:rsidRPr="00E805CD">
        <w:t>)</w:t>
      </w:r>
      <w:r w:rsidRPr="00D8263D">
        <w:tab/>
        <w:t xml:space="preserve">The measures taken to address </w:t>
      </w:r>
      <w:r w:rsidR="00EE587D">
        <w:t>the</w:t>
      </w:r>
      <w:r w:rsidRPr="00D8263D">
        <w:t xml:space="preserve"> huge geographical disparities in the enjoyment of the right to health, in terms of availability, accessibility and quality of health</w:t>
      </w:r>
      <w:r w:rsidR="007345FD">
        <w:t>-</w:t>
      </w:r>
      <w:r w:rsidRPr="00D8263D">
        <w:t>care services; and relevant data</w:t>
      </w:r>
      <w:r w:rsidR="00C8538D">
        <w:t>,</w:t>
      </w:r>
      <w:r w:rsidRPr="00D8263D">
        <w:t xml:space="preserve"> at the primary and tertiary levels, disaggregated by region, on the number of medical professionals, of beds and of critical medical equipment</w:t>
      </w:r>
      <w:r w:rsidR="007345FD">
        <w:t>,</w:t>
      </w:r>
      <w:r w:rsidRPr="00D8263D">
        <w:t xml:space="preserve"> as well as </w:t>
      </w:r>
      <w:r w:rsidR="007345FD">
        <w:t xml:space="preserve">on the </w:t>
      </w:r>
      <w:r w:rsidRPr="00D8263D">
        <w:t>public funding spent, per 1,000 persons;</w:t>
      </w:r>
    </w:p>
    <w:p w14:paraId="52017690" w14:textId="526116A3" w:rsidR="003D2ECC" w:rsidRDefault="003D2ECC" w:rsidP="00DC7FD5">
      <w:pPr>
        <w:pStyle w:val="SingleTxtG"/>
        <w:ind w:firstLine="567"/>
      </w:pPr>
      <w:r>
        <w:t>(</w:t>
      </w:r>
      <w:r w:rsidR="00E805CD">
        <w:t>d</w:t>
      </w:r>
      <w:r>
        <w:t>)</w:t>
      </w:r>
      <w:r>
        <w:tab/>
      </w:r>
      <w:r w:rsidR="004556F1">
        <w:t>The effectiveness of the measures taken to implement the ruling of</w:t>
      </w:r>
      <w:r w:rsidR="004556F1" w:rsidRPr="004556F1">
        <w:t xml:space="preserve"> </w:t>
      </w:r>
      <w:r w:rsidR="004556F1">
        <w:t>the High Court of Justice in 2014 (</w:t>
      </w:r>
      <w:r w:rsidR="007345FD">
        <w:rPr>
          <w:i/>
        </w:rPr>
        <w:t>W</w:t>
      </w:r>
      <w:r w:rsidR="004556F1" w:rsidRPr="003D2ECC">
        <w:rPr>
          <w:i/>
        </w:rPr>
        <w:t>orkers</w:t>
      </w:r>
      <w:r w:rsidR="00187D98">
        <w:rPr>
          <w:i/>
        </w:rPr>
        <w:t>’</w:t>
      </w:r>
      <w:r w:rsidR="004556F1" w:rsidRPr="003D2ECC">
        <w:rPr>
          <w:i/>
        </w:rPr>
        <w:t xml:space="preserve"> Hotline v. </w:t>
      </w:r>
      <w:r w:rsidR="007345FD">
        <w:rPr>
          <w:i/>
        </w:rPr>
        <w:t>t</w:t>
      </w:r>
      <w:r w:rsidR="004556F1" w:rsidRPr="003D2ECC">
        <w:rPr>
          <w:i/>
        </w:rPr>
        <w:t>he Minister of Social Service</w:t>
      </w:r>
      <w:r w:rsidR="00187D98">
        <w:rPr>
          <w:i/>
        </w:rPr>
        <w:t>s</w:t>
      </w:r>
      <w:r w:rsidR="008F7CFA" w:rsidRPr="00192F88">
        <w:rPr>
          <w:iCs/>
        </w:rPr>
        <w:t>,</w:t>
      </w:r>
      <w:r w:rsidR="008F7CFA">
        <w:rPr>
          <w:i/>
        </w:rPr>
        <w:t xml:space="preserve"> </w:t>
      </w:r>
      <w:r w:rsidR="008F7CFA">
        <w:t>H.C.J. 1105/06</w:t>
      </w:r>
      <w:r w:rsidR="004556F1">
        <w:t>) and t</w:t>
      </w:r>
      <w:r>
        <w:t>he measures taken to address the non-compliance by employers with the obligation to arrange medical insurance for migrant workers employed in the care</w:t>
      </w:r>
      <w:r w:rsidR="008F7CFA">
        <w:t>-</w:t>
      </w:r>
      <w:r>
        <w:t>giving field</w:t>
      </w:r>
      <w:r w:rsidR="004556F1">
        <w:t>;</w:t>
      </w:r>
    </w:p>
    <w:p w14:paraId="1D2E5E5D" w14:textId="77777777" w:rsidR="00E805CD" w:rsidRPr="00D8263D" w:rsidRDefault="00E805CD" w:rsidP="00E805CD">
      <w:pPr>
        <w:pStyle w:val="SingleTxtG"/>
        <w:ind w:firstLine="567"/>
      </w:pPr>
      <w:r w:rsidRPr="00D8263D">
        <w:t>(</w:t>
      </w:r>
      <w:r>
        <w:t>e</w:t>
      </w:r>
      <w:r w:rsidRPr="00D8263D">
        <w:t>)</w:t>
      </w:r>
      <w:r w:rsidRPr="00D8263D">
        <w:tab/>
        <w:t xml:space="preserve">The measures taken to implement the recommendations made by the </w:t>
      </w:r>
      <w:r>
        <w:t xml:space="preserve">Committee on the </w:t>
      </w:r>
      <w:r w:rsidRPr="00D8263D">
        <w:t>Elimination of Racism, Discrimination and Exclusion</w:t>
      </w:r>
      <w:r w:rsidR="008F7CFA">
        <w:t>,</w:t>
      </w:r>
      <w:r w:rsidRPr="00D8263D">
        <w:t xml:space="preserve"> of the Ministry of Health</w:t>
      </w:r>
      <w:r w:rsidR="008F7CFA">
        <w:t>,</w:t>
      </w:r>
      <w:r w:rsidRPr="00D8263D">
        <w:t xml:space="preserve"> and any time</w:t>
      </w:r>
      <w:r w:rsidR="008F7CFA">
        <w:t xml:space="preserve"> </w:t>
      </w:r>
      <w:r w:rsidRPr="00D8263D">
        <w:t>frame for the implementation;</w:t>
      </w:r>
    </w:p>
    <w:p w14:paraId="16E6C66B" w14:textId="71AE5875" w:rsidR="003D2ECC" w:rsidRPr="00D8263D" w:rsidRDefault="003D2ECC" w:rsidP="003D2ECC">
      <w:pPr>
        <w:pStyle w:val="SingleTxtG"/>
        <w:ind w:firstLine="567"/>
      </w:pPr>
      <w:r w:rsidRPr="00D8263D">
        <w:t>(</w:t>
      </w:r>
      <w:r w:rsidR="00364200">
        <w:t>f</w:t>
      </w:r>
      <w:r w:rsidRPr="00D8263D">
        <w:t>)</w:t>
      </w:r>
      <w:r w:rsidRPr="00D8263D">
        <w:tab/>
      </w:r>
      <w:r w:rsidR="00487CE0">
        <w:t>The s</w:t>
      </w:r>
      <w:r w:rsidRPr="00D8263D">
        <w:t>teps taken to expand the scope of health</w:t>
      </w:r>
      <w:r w:rsidR="008F7CFA">
        <w:t>-</w:t>
      </w:r>
      <w:r w:rsidRPr="00D8263D">
        <w:t>care services provided to asylum</w:t>
      </w:r>
      <w:r w:rsidR="008F7CFA">
        <w:t xml:space="preserve"> </w:t>
      </w:r>
      <w:r w:rsidRPr="00D8263D">
        <w:t>seekers and to ensure that all children have access to medical treatment regardless of their parents’ legal status;</w:t>
      </w:r>
    </w:p>
    <w:p w14:paraId="2E56A5ED" w14:textId="77777777" w:rsidR="00F02C38" w:rsidRDefault="00CB360F" w:rsidP="00DC7FD5">
      <w:pPr>
        <w:pStyle w:val="SingleTxtG"/>
        <w:ind w:firstLine="567"/>
      </w:pPr>
      <w:r>
        <w:t>(g)</w:t>
      </w:r>
      <w:r>
        <w:tab/>
        <w:t>T</w:t>
      </w:r>
      <w:r w:rsidR="00F02C38">
        <w:t>he measures to address the reportedly increased rate of suicide in recent years in the State party</w:t>
      </w:r>
      <w:r w:rsidR="001D67A6">
        <w:t>;</w:t>
      </w:r>
    </w:p>
    <w:p w14:paraId="4D2851A2" w14:textId="77777777" w:rsidR="00703B72" w:rsidRDefault="00B97EAD" w:rsidP="00703B72">
      <w:pPr>
        <w:pStyle w:val="SingleTxtG"/>
        <w:ind w:firstLine="567"/>
      </w:pPr>
      <w:r w:rsidRPr="00D8263D">
        <w:t>(</w:t>
      </w:r>
      <w:r w:rsidR="00CB360F">
        <w:t>h</w:t>
      </w:r>
      <w:r w:rsidRPr="00D8263D">
        <w:t>)</w:t>
      </w:r>
      <w:r w:rsidRPr="00D8263D">
        <w:tab/>
        <w:t>Framework legislation that regulates clinical trials on human beings</w:t>
      </w:r>
      <w:r w:rsidR="00C8538D">
        <w:t>.</w:t>
      </w:r>
      <w:r w:rsidRPr="00D8263D">
        <w:t xml:space="preserve"> </w:t>
      </w:r>
    </w:p>
    <w:p w14:paraId="1ED09A35" w14:textId="26F51557" w:rsidR="0035799B" w:rsidRPr="00946112" w:rsidRDefault="00192F88" w:rsidP="00192F88">
      <w:pPr>
        <w:pStyle w:val="SingleTxtG"/>
        <w:rPr>
          <w:rFonts w:eastAsia="Times New Roman"/>
        </w:rPr>
      </w:pPr>
      <w:r w:rsidRPr="00946112">
        <w:rPr>
          <w:rFonts w:eastAsia="Times New Roman"/>
        </w:rPr>
        <w:t>29.</w:t>
      </w:r>
      <w:r w:rsidRPr="00946112">
        <w:rPr>
          <w:rFonts w:eastAsia="Times New Roman"/>
        </w:rPr>
        <w:tab/>
      </w:r>
      <w:r w:rsidR="0035799B" w:rsidRPr="00703B72">
        <w:rPr>
          <w:rFonts w:eastAsia="Times New Roman"/>
        </w:rPr>
        <w:t>Please provide information on the measures taken to enable the Palestinian Authority to exercise its functions and powers emanating from the 1995 Interim Agreement. Please particularly provide information on the steps taken to ensure that patients seeking health</w:t>
      </w:r>
      <w:r w:rsidR="008F7CFA">
        <w:rPr>
          <w:rFonts w:eastAsia="Times New Roman"/>
        </w:rPr>
        <w:t>-</w:t>
      </w:r>
      <w:r w:rsidR="0035799B" w:rsidRPr="00703B72">
        <w:rPr>
          <w:rFonts w:eastAsia="Times New Roman"/>
        </w:rPr>
        <w:t xml:space="preserve">care services outside the Gaza Strip </w:t>
      </w:r>
      <w:r w:rsidR="008F7CFA">
        <w:rPr>
          <w:rFonts w:eastAsia="Times New Roman"/>
        </w:rPr>
        <w:t>receive</w:t>
      </w:r>
      <w:r w:rsidR="008F7CFA" w:rsidRPr="00703B72">
        <w:rPr>
          <w:rFonts w:eastAsia="Times New Roman"/>
        </w:rPr>
        <w:t xml:space="preserve"> </w:t>
      </w:r>
      <w:r w:rsidR="0035799B" w:rsidRPr="00703B72">
        <w:rPr>
          <w:rFonts w:eastAsia="Times New Roman"/>
        </w:rPr>
        <w:t>timely medical treatments</w:t>
      </w:r>
      <w:r w:rsidR="00CB360F" w:rsidRPr="00703B72">
        <w:rPr>
          <w:rFonts w:eastAsia="Times New Roman"/>
        </w:rPr>
        <w:t xml:space="preserve">, including </w:t>
      </w:r>
      <w:r w:rsidR="0035799B" w:rsidRPr="00703B72">
        <w:rPr>
          <w:rFonts w:eastAsia="Times New Roman"/>
        </w:rPr>
        <w:t xml:space="preserve">data on the number of applications for an exit permit and of permits rejected </w:t>
      </w:r>
      <w:r w:rsidR="00EE587D">
        <w:rPr>
          <w:rFonts w:eastAsia="Times New Roman"/>
        </w:rPr>
        <w:t xml:space="preserve">during the reporting period </w:t>
      </w:r>
      <w:r w:rsidR="0035799B" w:rsidRPr="00946112">
        <w:rPr>
          <w:rFonts w:eastAsia="Times New Roman"/>
        </w:rPr>
        <w:t>a</w:t>
      </w:r>
      <w:r w:rsidR="00CB360F" w:rsidRPr="00946112">
        <w:rPr>
          <w:rFonts w:eastAsia="Times New Roman"/>
        </w:rPr>
        <w:t xml:space="preserve">s well as </w:t>
      </w:r>
      <w:r w:rsidR="00954AB5" w:rsidRPr="00946112">
        <w:rPr>
          <w:rFonts w:eastAsia="Times New Roman"/>
        </w:rPr>
        <w:t xml:space="preserve">the </w:t>
      </w:r>
      <w:r w:rsidR="0035799B" w:rsidRPr="00946112">
        <w:rPr>
          <w:rFonts w:eastAsia="Times New Roman"/>
        </w:rPr>
        <w:t>main reasons for the rejections</w:t>
      </w:r>
      <w:r w:rsidR="00EE587D" w:rsidRPr="00946112">
        <w:rPr>
          <w:rFonts w:eastAsia="Times New Roman"/>
        </w:rPr>
        <w:t>.</w:t>
      </w:r>
      <w:r w:rsidR="0035799B" w:rsidRPr="00946112">
        <w:rPr>
          <w:rFonts w:eastAsia="Times New Roman"/>
        </w:rPr>
        <w:t xml:space="preserve"> </w:t>
      </w:r>
    </w:p>
    <w:p w14:paraId="43B89B60" w14:textId="1D533CA0" w:rsidR="00A07569" w:rsidRDefault="00AA319B">
      <w:pPr>
        <w:pStyle w:val="H23G"/>
      </w:pPr>
      <w:r w:rsidRPr="00946112">
        <w:tab/>
      </w:r>
      <w:r w:rsidRPr="00946112">
        <w:tab/>
        <w:t>Right to education (arts. 13</w:t>
      </w:r>
      <w:r w:rsidR="004E0623" w:rsidRPr="00946112">
        <w:t>–</w:t>
      </w:r>
      <w:r w:rsidRPr="00946112">
        <w:t>14)</w:t>
      </w:r>
    </w:p>
    <w:p w14:paraId="1C2D8D97" w14:textId="4D3FE305" w:rsidR="00F521F8" w:rsidRDefault="00192F88" w:rsidP="00192F88">
      <w:pPr>
        <w:pStyle w:val="SingleTxtG"/>
      </w:pPr>
      <w:r>
        <w:t>30.</w:t>
      </w:r>
      <w:r>
        <w:tab/>
      </w:r>
      <w:r w:rsidR="00286B15" w:rsidRPr="00647578">
        <w:t>Please provide information on</w:t>
      </w:r>
      <w:r w:rsidR="007D7B57">
        <w:t>:</w:t>
      </w:r>
    </w:p>
    <w:p w14:paraId="1A9D99EC" w14:textId="1D498943" w:rsidR="001F2035" w:rsidRDefault="001F2035" w:rsidP="00D86CF5">
      <w:pPr>
        <w:pStyle w:val="SingleTxtG"/>
        <w:ind w:firstLine="567"/>
      </w:pPr>
      <w:r>
        <w:t>(a)</w:t>
      </w:r>
      <w:r>
        <w:tab/>
        <w:t xml:space="preserve">The measures taken to </w:t>
      </w:r>
      <w:r w:rsidRPr="001F2035">
        <w:t>strengthen human rights</w:t>
      </w:r>
      <w:r>
        <w:t xml:space="preserve"> education and to promote, among all </w:t>
      </w:r>
      <w:r w:rsidR="00571DCA">
        <w:t xml:space="preserve">persons </w:t>
      </w:r>
      <w:r>
        <w:t xml:space="preserve">living in the State party, especially children, understanding, tolerance </w:t>
      </w:r>
      <w:r>
        <w:lastRenderedPageBreak/>
        <w:t>and friendship among all nations and all racial, ethnic or religious groups, and</w:t>
      </w:r>
      <w:r w:rsidR="00571DCA">
        <w:t xml:space="preserve"> to</w:t>
      </w:r>
      <w:r>
        <w:t xml:space="preserve"> further the activities of the United Nations for the maintenance of peace</w:t>
      </w:r>
      <w:r w:rsidR="00BD71EA">
        <w:t>;</w:t>
      </w:r>
      <w:r w:rsidRPr="001F2035">
        <w:t xml:space="preserve"> </w:t>
      </w:r>
    </w:p>
    <w:p w14:paraId="2B26B1D3" w14:textId="77777777" w:rsidR="003736C5" w:rsidRDefault="00D86CF5" w:rsidP="00D86CF5">
      <w:pPr>
        <w:pStyle w:val="SingleTxtG"/>
        <w:ind w:firstLine="567"/>
      </w:pPr>
      <w:r>
        <w:t>(</w:t>
      </w:r>
      <w:r w:rsidR="001F2035">
        <w:t>b</w:t>
      </w:r>
      <w:r>
        <w:t>)</w:t>
      </w:r>
      <w:r>
        <w:tab/>
      </w:r>
      <w:r w:rsidR="003736C5">
        <w:t>The provision of inclusive education to students with disabilities in the State party, including relevant statistical data;</w:t>
      </w:r>
    </w:p>
    <w:p w14:paraId="0680C33F" w14:textId="77777777" w:rsidR="004E55E0" w:rsidRDefault="004E55E0" w:rsidP="004E55E0">
      <w:pPr>
        <w:pStyle w:val="SingleTxtG"/>
        <w:ind w:firstLine="567"/>
      </w:pPr>
      <w:r>
        <w:t>(</w:t>
      </w:r>
      <w:r w:rsidR="001F2035">
        <w:t>c</w:t>
      </w:r>
      <w:r>
        <w:t>)</w:t>
      </w:r>
      <w:r>
        <w:tab/>
        <w:t>The impact of measures taken to address the high incidence of school dropout and low level of academic achievement among Arab and Bedouin students;</w:t>
      </w:r>
    </w:p>
    <w:p w14:paraId="14CF0854" w14:textId="77777777" w:rsidR="003736C5" w:rsidRPr="00DA46E7" w:rsidRDefault="00D86CF5" w:rsidP="00DA46E7">
      <w:pPr>
        <w:pStyle w:val="SingleTxtG"/>
        <w:ind w:firstLine="567"/>
      </w:pPr>
      <w:r w:rsidRPr="00DA46E7">
        <w:t>(</w:t>
      </w:r>
      <w:r w:rsidR="001F2035">
        <w:t>d</w:t>
      </w:r>
      <w:r w:rsidRPr="00DA46E7">
        <w:t>)</w:t>
      </w:r>
      <w:r w:rsidRPr="00DA46E7">
        <w:tab/>
      </w:r>
      <w:r w:rsidR="003736C5" w:rsidRPr="00DA46E7">
        <w:t>The measures taken</w:t>
      </w:r>
      <w:r w:rsidR="00EE587D">
        <w:t>,</w:t>
      </w:r>
      <w:r w:rsidR="003736C5" w:rsidRPr="00DA46E7">
        <w:t xml:space="preserve"> </w:t>
      </w:r>
      <w:r w:rsidR="00EE587D" w:rsidRPr="00DA46E7">
        <w:t>and their impact</w:t>
      </w:r>
      <w:r w:rsidR="00EE587D">
        <w:t>,</w:t>
      </w:r>
      <w:r w:rsidR="00EE587D" w:rsidRPr="00DA46E7">
        <w:t xml:space="preserve"> </w:t>
      </w:r>
      <w:r w:rsidR="003736C5" w:rsidRPr="00DA46E7">
        <w:t>to ensure that all children, including Arab and Bedouin children, benefit from free early childhood education</w:t>
      </w:r>
      <w:r w:rsidR="00EE587D">
        <w:t>,</w:t>
      </w:r>
      <w:r w:rsidR="003736C5" w:rsidRPr="00DA46E7">
        <w:t xml:space="preserve"> and the enrolment rates of these groups of children</w:t>
      </w:r>
      <w:r w:rsidR="000E6C0C" w:rsidRPr="00DA46E7">
        <w:t>;</w:t>
      </w:r>
      <w:r w:rsidR="003736C5" w:rsidRPr="00DA46E7">
        <w:rPr>
          <w:vertAlign w:val="superscript"/>
        </w:rPr>
        <w:t xml:space="preserve"> </w:t>
      </w:r>
    </w:p>
    <w:p w14:paraId="657F3A15" w14:textId="22CAF676" w:rsidR="000E6C0C" w:rsidRDefault="000E6C0C" w:rsidP="00D86CF5">
      <w:pPr>
        <w:pStyle w:val="SingleTxtG"/>
        <w:ind w:firstLine="567"/>
      </w:pPr>
      <w:r w:rsidRPr="00DA46E7">
        <w:t>(</w:t>
      </w:r>
      <w:r w:rsidR="001F2035">
        <w:t>e</w:t>
      </w:r>
      <w:r w:rsidRPr="00DA46E7">
        <w:t>)</w:t>
      </w:r>
      <w:r w:rsidRPr="00DA46E7">
        <w:tab/>
        <w:t xml:space="preserve">The measures taken to address the proliferation of unsupervised private kindergartens (“babysitters”), </w:t>
      </w:r>
      <w:r w:rsidR="00EE587D" w:rsidRPr="00DA46E7">
        <w:t>wh</w:t>
      </w:r>
      <w:r w:rsidR="00EE587D">
        <w:t>ere</w:t>
      </w:r>
      <w:r w:rsidR="00EE587D" w:rsidRPr="00DA46E7">
        <w:t xml:space="preserve"> </w:t>
      </w:r>
      <w:r w:rsidRPr="00DA46E7">
        <w:t>conditions and services are reportedly substandard</w:t>
      </w:r>
      <w:r w:rsidR="00EE587D">
        <w:t>,</w:t>
      </w:r>
      <w:r w:rsidR="00571DCA">
        <w:t xml:space="preserve"> and on</w:t>
      </w:r>
      <w:r w:rsidR="00CD11DB" w:rsidRPr="00DA46E7">
        <w:t xml:space="preserve"> the legislative or policy framework put in place to regulate them</w:t>
      </w:r>
      <w:r w:rsidR="007D7B57" w:rsidRPr="00DA46E7">
        <w:t xml:space="preserve">; and </w:t>
      </w:r>
      <w:r w:rsidR="00571DCA">
        <w:t xml:space="preserve">on </w:t>
      </w:r>
      <w:r w:rsidR="007D7B57" w:rsidRPr="00DA46E7">
        <w:t>the social support provided to all parents who cannot afford private after</w:t>
      </w:r>
      <w:r w:rsidR="00EF4FB1">
        <w:t>-</w:t>
      </w:r>
      <w:r w:rsidR="007D7B57" w:rsidRPr="00DA46E7">
        <w:t>school programmes for their children</w:t>
      </w:r>
      <w:r w:rsidR="00C86111">
        <w:t>;</w:t>
      </w:r>
    </w:p>
    <w:p w14:paraId="5CE420FA" w14:textId="47A464FA" w:rsidR="00CA294D" w:rsidRDefault="00CA294D" w:rsidP="00CA294D">
      <w:pPr>
        <w:pStyle w:val="SingleTxtG"/>
        <w:ind w:firstLine="567"/>
      </w:pPr>
      <w:r>
        <w:t>(</w:t>
      </w:r>
      <w:r w:rsidR="001F2035">
        <w:t>f</w:t>
      </w:r>
      <w:r>
        <w:t>)</w:t>
      </w:r>
      <w:r>
        <w:tab/>
        <w:t xml:space="preserve">The efforts made to address the acute shortage of school facilities, including primary schools, and </w:t>
      </w:r>
      <w:r w:rsidR="00571DCA">
        <w:t xml:space="preserve">the </w:t>
      </w:r>
      <w:r>
        <w:t>substandard educational facilities</w:t>
      </w:r>
      <w:r w:rsidR="00571DCA">
        <w:t>,</w:t>
      </w:r>
      <w:r>
        <w:t xml:space="preserve"> in Area C of the West Bank and East Jerusalem</w:t>
      </w:r>
      <w:r w:rsidR="00571DCA">
        <w:t>,</w:t>
      </w:r>
      <w:r>
        <w:t xml:space="preserve"> and to stop demolition of school buildings and structures; </w:t>
      </w:r>
    </w:p>
    <w:p w14:paraId="36D1FF7F" w14:textId="77777777" w:rsidR="00CA294D" w:rsidRPr="00DA46E7" w:rsidRDefault="00CA294D" w:rsidP="00CA294D">
      <w:pPr>
        <w:pStyle w:val="SingleTxtG"/>
        <w:ind w:firstLine="567"/>
      </w:pPr>
      <w:r>
        <w:t>(</w:t>
      </w:r>
      <w:r w:rsidR="001F2035">
        <w:t>g</w:t>
      </w:r>
      <w:r>
        <w:t>)</w:t>
      </w:r>
      <w:r>
        <w:tab/>
        <w:t xml:space="preserve">The measures taken to prevent and prohibit harassment of teachers and students by Israeli settlers and military personnel in Area C of the West Bank and East </w:t>
      </w:r>
      <w:r w:rsidRPr="00DA46E7">
        <w:t>Jerusalem;</w:t>
      </w:r>
    </w:p>
    <w:p w14:paraId="31437B76" w14:textId="29239F97" w:rsidR="00CA294D" w:rsidRPr="00946112" w:rsidRDefault="00CA294D" w:rsidP="00CA294D">
      <w:pPr>
        <w:pStyle w:val="SingleTxtG"/>
        <w:ind w:firstLine="567"/>
      </w:pPr>
      <w:r w:rsidRPr="00DA46E7">
        <w:t>(</w:t>
      </w:r>
      <w:r w:rsidR="001F2035">
        <w:t>h</w:t>
      </w:r>
      <w:r w:rsidRPr="00DA46E7">
        <w:t>)</w:t>
      </w:r>
      <w:r w:rsidRPr="00DA46E7">
        <w:tab/>
        <w:t xml:space="preserve">The steps taken to stop attacks on Palestinian schools in </w:t>
      </w:r>
      <w:r w:rsidR="00B31258">
        <w:t xml:space="preserve">the </w:t>
      </w:r>
      <w:r w:rsidRPr="00DA46E7">
        <w:t xml:space="preserve">Gaza Strip, including those run by the United Nations Relief and Works Agency for Palestine Refugees </w:t>
      </w:r>
      <w:r w:rsidRPr="00946112">
        <w:t>in the Near East, by Israeli forces</w:t>
      </w:r>
      <w:r w:rsidR="00703B72" w:rsidRPr="00946112">
        <w:t>.</w:t>
      </w:r>
    </w:p>
    <w:p w14:paraId="04E42CEC" w14:textId="77777777" w:rsidR="00A07569" w:rsidRDefault="00AA319B">
      <w:pPr>
        <w:pStyle w:val="H23G"/>
      </w:pPr>
      <w:r w:rsidRPr="00946112">
        <w:tab/>
      </w:r>
      <w:r w:rsidRPr="00946112">
        <w:tab/>
        <w:t>Cultural rights (art. 15)</w:t>
      </w:r>
    </w:p>
    <w:p w14:paraId="409BFF0D" w14:textId="0E256FD4" w:rsidR="00EE78B7" w:rsidRDefault="00192F88" w:rsidP="00192F88">
      <w:pPr>
        <w:pStyle w:val="SingleTxtG"/>
      </w:pPr>
      <w:r>
        <w:t>31.</w:t>
      </w:r>
      <w:r>
        <w:tab/>
      </w:r>
      <w:r w:rsidR="00286B15" w:rsidRPr="00647578">
        <w:t>Please provide information on</w:t>
      </w:r>
      <w:r w:rsidR="00E449AA">
        <w:t xml:space="preserve"> the measures </w:t>
      </w:r>
      <w:r w:rsidR="00BD71EA">
        <w:t xml:space="preserve">or steps </w:t>
      </w:r>
      <w:r w:rsidR="00E449AA">
        <w:t>taken by the State party</w:t>
      </w:r>
      <w:r w:rsidR="00BD71EA">
        <w:t>:</w:t>
      </w:r>
      <w:r w:rsidR="00E449AA">
        <w:t xml:space="preserve"> </w:t>
      </w:r>
    </w:p>
    <w:p w14:paraId="3B945ABB" w14:textId="1BBFE8A5" w:rsidR="00F521F8" w:rsidRDefault="00EE78B7" w:rsidP="00EE78B7">
      <w:pPr>
        <w:pStyle w:val="SingleTxtG"/>
        <w:ind w:firstLine="567"/>
      </w:pPr>
      <w:r>
        <w:t>(a)</w:t>
      </w:r>
      <w:r>
        <w:tab/>
        <w:t>T</w:t>
      </w:r>
      <w:r w:rsidR="00E449AA">
        <w:t xml:space="preserve">o ensure that Palestinians living in the </w:t>
      </w:r>
      <w:r w:rsidR="00C77AD2">
        <w:t>Occupied Palestinian Territory</w:t>
      </w:r>
      <w:r w:rsidR="00E449AA">
        <w:t xml:space="preserve"> </w:t>
      </w:r>
      <w:r w:rsidR="00571DCA">
        <w:t xml:space="preserve">can </w:t>
      </w:r>
      <w:r w:rsidR="00E449AA">
        <w:t>exercise their right to take part in cultural and religious life, without restrictions other than those that are strictly proportionate to security considerations and are non-discriminatory in their application, in accordance with international humanitarian law</w:t>
      </w:r>
      <w:r>
        <w:t>; and t</w:t>
      </w:r>
      <w:r w:rsidR="00E449AA">
        <w:t xml:space="preserve">o protect holy sites in the </w:t>
      </w:r>
      <w:r w:rsidR="003616BA">
        <w:t>Occupied Palestinian Territory</w:t>
      </w:r>
      <w:r w:rsidR="00E449AA">
        <w:t xml:space="preserve"> </w:t>
      </w:r>
      <w:r w:rsidR="00B31258">
        <w:t>against</w:t>
      </w:r>
      <w:r w:rsidR="00E449AA">
        <w:t xml:space="preserve"> demolition and desecration, in accordance with the Protection of Holy Places Law 5727-1967</w:t>
      </w:r>
      <w:r w:rsidR="00520D21" w:rsidRPr="00520D21">
        <w:t xml:space="preserve"> </w:t>
      </w:r>
      <w:r w:rsidR="00520D21" w:rsidRPr="007F3D94">
        <w:t>(E/C.12/ISR/CO/3, para.</w:t>
      </w:r>
      <w:r w:rsidR="004E0623">
        <w:t xml:space="preserve"> </w:t>
      </w:r>
      <w:r w:rsidR="00520D21" w:rsidRPr="007F3D94">
        <w:t>36)</w:t>
      </w:r>
      <w:r>
        <w:t>;</w:t>
      </w:r>
      <w:r w:rsidR="00520D21" w:rsidRPr="00520D21">
        <w:rPr>
          <w:rStyle w:val="FootnoteReference"/>
        </w:rPr>
        <w:t xml:space="preserve"> </w:t>
      </w:r>
    </w:p>
    <w:p w14:paraId="45699CF0" w14:textId="77777777" w:rsidR="00EE78B7" w:rsidRDefault="00EE78B7" w:rsidP="00EE78B7">
      <w:pPr>
        <w:pStyle w:val="SingleTxtG"/>
        <w:ind w:firstLine="567"/>
      </w:pPr>
      <w:r>
        <w:t>(b)</w:t>
      </w:r>
      <w:r>
        <w:tab/>
        <w:t>T</w:t>
      </w:r>
      <w:r w:rsidR="00520D21">
        <w:t>o</w:t>
      </w:r>
      <w:r w:rsidR="00105527" w:rsidRPr="007F3D94">
        <w:t xml:space="preserve"> promote </w:t>
      </w:r>
      <w:r>
        <w:t xml:space="preserve">cultural diversity and </w:t>
      </w:r>
      <w:r w:rsidRPr="007F3D94">
        <w:t xml:space="preserve">protect and preserve the cultural heritage sites </w:t>
      </w:r>
      <w:r w:rsidR="00EE587D">
        <w:t>of</w:t>
      </w:r>
      <w:r w:rsidR="00EE587D" w:rsidRPr="007F3D94">
        <w:t xml:space="preserve"> </w:t>
      </w:r>
      <w:r w:rsidRPr="007F3D94">
        <w:t>various peoples, cultures, civilizations and religions in the State party</w:t>
      </w:r>
      <w:r>
        <w:t xml:space="preserve">; </w:t>
      </w:r>
    </w:p>
    <w:p w14:paraId="7FB67754" w14:textId="2C4CB9D7" w:rsidR="00EE78B7" w:rsidRDefault="00EE78B7" w:rsidP="00EE78B7">
      <w:pPr>
        <w:pStyle w:val="SingleTxtG"/>
        <w:ind w:firstLine="567"/>
      </w:pPr>
      <w:r>
        <w:t>(c)</w:t>
      </w:r>
      <w:r>
        <w:tab/>
        <w:t xml:space="preserve">To promote </w:t>
      </w:r>
      <w:r w:rsidR="004D28A1">
        <w:t>linguistic diversity in the State party</w:t>
      </w:r>
      <w:r w:rsidR="00F02C38">
        <w:t>,</w:t>
      </w:r>
      <w:r w:rsidR="004D28A1">
        <w:t xml:space="preserve"> </w:t>
      </w:r>
      <w:r w:rsidR="00B74F89">
        <w:t xml:space="preserve">and </w:t>
      </w:r>
      <w:r w:rsidR="004D28A1">
        <w:t xml:space="preserve">the situation of the Arabic </w:t>
      </w:r>
      <w:r w:rsidR="00EA2F45">
        <w:t xml:space="preserve">language </w:t>
      </w:r>
      <w:r w:rsidR="004D28A1">
        <w:t>in education</w:t>
      </w:r>
      <w:r w:rsidR="00F02C38">
        <w:t>,</w:t>
      </w:r>
      <w:r w:rsidR="004D28A1">
        <w:t xml:space="preserve"> and </w:t>
      </w:r>
      <w:r w:rsidR="00EE587D">
        <w:t>to promote</w:t>
      </w:r>
      <w:r w:rsidR="004D28A1">
        <w:t xml:space="preserve"> other languages</w:t>
      </w:r>
      <w:r w:rsidR="00B74F89">
        <w:t>,</w:t>
      </w:r>
      <w:r w:rsidR="004D28A1">
        <w:t xml:space="preserve"> including </w:t>
      </w:r>
      <w:r w:rsidR="00105527" w:rsidRPr="007F3D94">
        <w:t>Yiddish, Amharic and Ladino;</w:t>
      </w:r>
      <w:r w:rsidR="00520D21">
        <w:t xml:space="preserve"> </w:t>
      </w:r>
    </w:p>
    <w:p w14:paraId="160CD10C" w14:textId="77777777" w:rsidR="004E55E0" w:rsidRDefault="00EE78B7" w:rsidP="00EE78B7">
      <w:pPr>
        <w:pStyle w:val="SingleTxtG"/>
        <w:ind w:firstLine="567"/>
      </w:pPr>
      <w:r>
        <w:t>(d)</w:t>
      </w:r>
      <w:r>
        <w:tab/>
        <w:t>T</w:t>
      </w:r>
      <w:r w:rsidR="00520D21">
        <w:t xml:space="preserve">o </w:t>
      </w:r>
      <w:r w:rsidR="00105527" w:rsidRPr="007F3D94">
        <w:t>encourage and develop international contacts and cooperation in the scientific and cultural fields with other countries, including in</w:t>
      </w:r>
      <w:r w:rsidR="00520D21">
        <w:t xml:space="preserve"> the</w:t>
      </w:r>
      <w:r w:rsidR="00105527" w:rsidRPr="007F3D94">
        <w:t xml:space="preserve"> region</w:t>
      </w:r>
      <w:r w:rsidR="00954AB5">
        <w:t>,</w:t>
      </w:r>
      <w:r w:rsidR="00105527" w:rsidRPr="007F3D94">
        <w:t xml:space="preserve"> and with international organizations.</w:t>
      </w:r>
    </w:p>
    <w:p w14:paraId="04BC72D5" w14:textId="2A52429D" w:rsidR="00A07569" w:rsidRDefault="00AA319B">
      <w:pPr>
        <w:spacing w:before="240"/>
        <w:ind w:left="1134" w:right="1134"/>
        <w:jc w:val="center"/>
        <w:rPr>
          <w:u w:val="single"/>
        </w:rPr>
      </w:pPr>
      <w:r>
        <w:rPr>
          <w:u w:val="single"/>
        </w:rPr>
        <w:tab/>
      </w:r>
      <w:r>
        <w:rPr>
          <w:u w:val="single"/>
        </w:rPr>
        <w:tab/>
      </w:r>
      <w:r>
        <w:rPr>
          <w:u w:val="single"/>
        </w:rPr>
        <w:tab/>
      </w:r>
      <w:r w:rsidR="0007787F">
        <w:rPr>
          <w:u w:val="single"/>
        </w:rPr>
        <w:tab/>
      </w:r>
    </w:p>
    <w:sectPr w:rsidR="00A07569" w:rsidSect="0097460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F389" w14:textId="77777777" w:rsidR="00EE46B7" w:rsidRDefault="00EE46B7"/>
  </w:endnote>
  <w:endnote w:type="continuationSeparator" w:id="0">
    <w:p w14:paraId="474532FD" w14:textId="77777777" w:rsidR="00EE46B7" w:rsidRDefault="00EE46B7">
      <w:pPr>
        <w:pStyle w:val="Footer"/>
      </w:pPr>
    </w:p>
  </w:endnote>
  <w:endnote w:type="continuationNotice" w:id="1">
    <w:p w14:paraId="5F042DD5" w14:textId="77777777" w:rsidR="00EE46B7" w:rsidRDefault="00EE4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70B1" w14:textId="244FDDDB" w:rsidR="00EE46B7" w:rsidRDefault="00EE46B7">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F4164">
      <w:rPr>
        <w:b/>
        <w:noProof/>
        <w:sz w:val="18"/>
      </w:rPr>
      <w:t>8</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CED3" w14:textId="37BA4BCE" w:rsidR="00EE46B7" w:rsidRDefault="00EE46B7">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1F4164">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B006" w14:textId="340BCA6F" w:rsidR="00EE46B7" w:rsidRDefault="001F4164" w:rsidP="001F4164">
    <w:pPr>
      <w:pStyle w:val="Footer"/>
      <w:rPr>
        <w:rFonts w:ascii="C39T30Lfz" w:hAnsi="C39T30Lfz"/>
        <w:noProof/>
        <w:sz w:val="56"/>
        <w:szCs w:val="56"/>
        <w:lang w:eastAsia="fr-FR"/>
      </w:rPr>
    </w:pPr>
    <w:r w:rsidRPr="001F4164">
      <w:rPr>
        <w:rFonts w:ascii="C39T30Lfz" w:hAnsi="C39T30Lfz"/>
        <w:noProof/>
        <w:sz w:val="56"/>
        <w:szCs w:val="56"/>
        <w:lang w:eastAsia="zh-CN"/>
      </w:rPr>
      <w:drawing>
        <wp:anchor distT="0" distB="0" distL="114300" distR="114300" simplePos="0" relativeHeight="251659264" behindDoc="1" locked="1" layoutInCell="1" allowOverlap="1" wp14:anchorId="370F1524" wp14:editId="58AAD9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EE46B7">
      <w:rPr>
        <w:rFonts w:ascii="C39T30Lfz" w:hAnsi="C39T30Lfz"/>
        <w:noProof/>
        <w:sz w:val="56"/>
        <w:szCs w:val="56"/>
        <w:lang w:eastAsia="fr-FR"/>
      </w:rPr>
      <w:fldChar w:fldCharType="begin"/>
    </w:r>
    <w:r w:rsidR="00EE46B7">
      <w:rPr>
        <w:rFonts w:ascii="C39T30Lfz" w:hAnsi="C39T30Lfz"/>
        <w:noProof/>
        <w:sz w:val="56"/>
        <w:szCs w:val="56"/>
        <w:lang w:eastAsia="fr-FR"/>
      </w:rPr>
      <w:instrText xml:space="preserve"> DOCPROPERTY  bar  \* MERGEFORMAT </w:instrText>
    </w:r>
    <w:r w:rsidR="00EE46B7">
      <w:rPr>
        <w:rFonts w:ascii="C39T30Lfz" w:hAnsi="C39T30Lfz"/>
        <w:noProof/>
        <w:sz w:val="56"/>
        <w:szCs w:val="56"/>
        <w:lang w:eastAsia="fr-FR"/>
      </w:rPr>
      <w:fldChar w:fldCharType="end"/>
    </w:r>
  </w:p>
  <w:p w14:paraId="4361E0B6" w14:textId="7CEDEF9D" w:rsidR="001F4164" w:rsidRDefault="001F4164" w:rsidP="001F4164">
    <w:pPr>
      <w:pStyle w:val="Footer"/>
      <w:ind w:right="1134"/>
      <w:rPr>
        <w:sz w:val="20"/>
      </w:rPr>
    </w:pPr>
    <w:r>
      <w:rPr>
        <w:sz w:val="20"/>
      </w:rPr>
      <w:t>GE.19-05564(E)</w:t>
    </w:r>
  </w:p>
  <w:p w14:paraId="4F0E676D" w14:textId="4C73E190" w:rsidR="001F4164" w:rsidRPr="001F4164" w:rsidRDefault="001F4164" w:rsidP="001F41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138239B" wp14:editId="23A7119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ISR/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06EC" w14:textId="77777777" w:rsidR="00EE46B7" w:rsidRDefault="00EE46B7">
      <w:pPr>
        <w:pStyle w:val="Footer"/>
        <w:tabs>
          <w:tab w:val="right" w:pos="2155"/>
        </w:tabs>
        <w:spacing w:after="80" w:line="240" w:lineRule="atLeast"/>
        <w:ind w:left="680"/>
        <w:rPr>
          <w:u w:val="single"/>
        </w:rPr>
      </w:pPr>
      <w:r>
        <w:rPr>
          <w:u w:val="single"/>
        </w:rPr>
        <w:tab/>
      </w:r>
    </w:p>
  </w:footnote>
  <w:footnote w:type="continuationSeparator" w:id="0">
    <w:p w14:paraId="69151F57" w14:textId="77777777" w:rsidR="00EE46B7" w:rsidRDefault="00EE46B7">
      <w:pPr>
        <w:pStyle w:val="Footer"/>
        <w:tabs>
          <w:tab w:val="right" w:pos="2155"/>
        </w:tabs>
        <w:spacing w:after="80" w:line="240" w:lineRule="atLeast"/>
        <w:ind w:left="680"/>
        <w:rPr>
          <w:u w:val="single"/>
        </w:rPr>
      </w:pPr>
      <w:r>
        <w:rPr>
          <w:u w:val="single"/>
        </w:rPr>
        <w:tab/>
      </w:r>
    </w:p>
  </w:footnote>
  <w:footnote w:type="continuationNotice" w:id="1">
    <w:p w14:paraId="061CF02D" w14:textId="77777777" w:rsidR="00EE46B7" w:rsidRDefault="00EE46B7">
      <w:pPr>
        <w:rPr>
          <w:sz w:val="2"/>
          <w:szCs w:val="2"/>
        </w:rPr>
      </w:pPr>
    </w:p>
  </w:footnote>
  <w:footnote w:id="2">
    <w:p w14:paraId="6EF95BBC" w14:textId="168233EA" w:rsidR="00EE46B7" w:rsidRPr="00974367" w:rsidRDefault="00EE46B7" w:rsidP="00C86111">
      <w:pPr>
        <w:pStyle w:val="FootnoteText"/>
      </w:pPr>
      <w:r w:rsidRPr="00C6742A">
        <w:rPr>
          <w:sz w:val="20"/>
        </w:rPr>
        <w:tab/>
      </w:r>
      <w:r w:rsidRPr="00192F88">
        <w:rPr>
          <w:rStyle w:val="FootnoteReference"/>
          <w:sz w:val="20"/>
          <w:vertAlign w:val="baseline"/>
        </w:rPr>
        <w:t>*</w:t>
      </w:r>
      <w:r w:rsidRPr="00946112">
        <w:rPr>
          <w:sz w:val="20"/>
        </w:rPr>
        <w:tab/>
      </w:r>
      <w:proofErr w:type="spellStart"/>
      <w:r w:rsidRPr="00946112">
        <w:rPr>
          <w:szCs w:val="18"/>
        </w:rPr>
        <w:t>Adopted</w:t>
      </w:r>
      <w:proofErr w:type="spellEnd"/>
      <w:r w:rsidRPr="00946112">
        <w:rPr>
          <w:szCs w:val="18"/>
        </w:rPr>
        <w:t xml:space="preserve"> by the </w:t>
      </w:r>
      <w:proofErr w:type="spellStart"/>
      <w:r w:rsidRPr="00946112">
        <w:t>pre-sessional</w:t>
      </w:r>
      <w:proofErr w:type="spellEnd"/>
      <w:r w:rsidRPr="00946112">
        <w:t xml:space="preserve"> </w:t>
      </w:r>
      <w:proofErr w:type="spellStart"/>
      <w:r w:rsidRPr="00946112">
        <w:t>working</w:t>
      </w:r>
      <w:proofErr w:type="spellEnd"/>
      <w:r w:rsidRPr="00946112">
        <w:t xml:space="preserve"> group at </w:t>
      </w:r>
      <w:proofErr w:type="spellStart"/>
      <w:r w:rsidRPr="00946112">
        <w:t>its</w:t>
      </w:r>
      <w:proofErr w:type="spellEnd"/>
      <w:r w:rsidRPr="00946112">
        <w:t xml:space="preserve"> </w:t>
      </w:r>
      <w:hyperlink r:id="rId1" w:history="1">
        <w:proofErr w:type="spellStart"/>
        <w:r w:rsidRPr="00946112">
          <w:t>sixty-</w:t>
        </w:r>
      </w:hyperlink>
      <w:r w:rsidRPr="00946112">
        <w:t>fourth</w:t>
      </w:r>
      <w:proofErr w:type="spellEnd"/>
      <w:r w:rsidRPr="00946112">
        <w:t xml:space="preserve"> session (11–15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2467" w14:textId="513BA504" w:rsidR="00EE46B7" w:rsidRDefault="003673D1">
    <w:pPr>
      <w:pStyle w:val="Header"/>
    </w:pPr>
    <w:r>
      <w:t>E/C.12/ISR/Q/4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49E1" w14:textId="77777777" w:rsidR="00EE46B7" w:rsidRDefault="00EE46B7" w:rsidP="009E758B">
    <w:pPr>
      <w:pStyle w:val="Header"/>
      <w:ind w:right="90"/>
      <w:jc w:val="right"/>
    </w:pPr>
    <w:r>
      <w:t>E/C.12/ISR/Q/4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A1D1" w14:textId="77777777" w:rsidR="00EE46B7" w:rsidRDefault="00EE46B7">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34127"/>
    <w:multiLevelType w:val="hybridMultilevel"/>
    <w:tmpl w:val="FFFC2566"/>
    <w:lvl w:ilvl="0" w:tplc="BB6497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367E21"/>
    <w:multiLevelType w:val="hybridMultilevel"/>
    <w:tmpl w:val="105AD36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9726FD"/>
    <w:multiLevelType w:val="hybridMultilevel"/>
    <w:tmpl w:val="EA7C4E50"/>
    <w:lvl w:ilvl="0" w:tplc="5BCE7A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B79FB"/>
    <w:multiLevelType w:val="hybridMultilevel"/>
    <w:tmpl w:val="E4D45A76"/>
    <w:lvl w:ilvl="0" w:tplc="2E249B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8FA276E"/>
    <w:multiLevelType w:val="hybridMultilevel"/>
    <w:tmpl w:val="AB8803C2"/>
    <w:lvl w:ilvl="0" w:tplc="4392BFC6">
      <w:start w:val="7"/>
      <w:numFmt w:val="bullet"/>
      <w:lvlText w:val=""/>
      <w:lvlJc w:val="left"/>
      <w:pPr>
        <w:ind w:left="360" w:hanging="360"/>
      </w:pPr>
      <w:rPr>
        <w:rFonts w:ascii="Symbol" w:eastAsia="Times New Roman" w:hAnsi="Symbol" w:cstheme="minorHAnsi"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006A28"/>
    <w:multiLevelType w:val="hybridMultilevel"/>
    <w:tmpl w:val="0D7831E4"/>
    <w:lvl w:ilvl="0" w:tplc="0BC60C8E">
      <w:start w:val="5"/>
      <w:numFmt w:val="decimal"/>
      <w:lvlText w:val="%1."/>
      <w:lvlJc w:val="left"/>
      <w:pPr>
        <w:ind w:left="1494"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EFC52BA"/>
    <w:multiLevelType w:val="hybridMultilevel"/>
    <w:tmpl w:val="54FA5F66"/>
    <w:lvl w:ilvl="0" w:tplc="08090001">
      <w:start w:val="2"/>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06226C4"/>
    <w:multiLevelType w:val="hybridMultilevel"/>
    <w:tmpl w:val="D592FF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28771D9"/>
    <w:multiLevelType w:val="hybridMultilevel"/>
    <w:tmpl w:val="BC160CCA"/>
    <w:lvl w:ilvl="0" w:tplc="568488A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D73E1B"/>
    <w:multiLevelType w:val="hybridMultilevel"/>
    <w:tmpl w:val="53AEBD82"/>
    <w:lvl w:ilvl="0" w:tplc="0809000F">
      <w:start w:val="1"/>
      <w:numFmt w:val="decimal"/>
      <w:lvlText w:val="%1."/>
      <w:lvlJc w:val="left"/>
      <w:pPr>
        <w:ind w:left="1689" w:hanging="555"/>
      </w:pPr>
      <w:rPr>
        <w:rFonts w:hint="default"/>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5"/>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0"/>
  </w:num>
  <w:num w:numId="17">
    <w:abstractNumId w:val="23"/>
  </w:num>
  <w:num w:numId="18">
    <w:abstractNumId w:val="24"/>
  </w:num>
  <w:num w:numId="19">
    <w:abstractNumId w:val="22"/>
  </w:num>
  <w:num w:numId="20">
    <w:abstractNumId w:val="28"/>
  </w:num>
  <w:num w:numId="21">
    <w:abstractNumId w:val="25"/>
  </w:num>
  <w:num w:numId="22">
    <w:abstractNumId w:val="20"/>
  </w:num>
  <w:num w:numId="23">
    <w:abstractNumId w:val="13"/>
  </w:num>
  <w:num w:numId="24">
    <w:abstractNumId w:val="26"/>
  </w:num>
  <w:num w:numId="25">
    <w:abstractNumId w:val="27"/>
  </w:num>
  <w:num w:numId="26">
    <w:abstractNumId w:val="14"/>
  </w:num>
  <w:num w:numId="27">
    <w:abstractNumId w:val="18"/>
  </w:num>
  <w:num w:numId="28">
    <w:abstractNumId w:val="12"/>
  </w:num>
  <w:num w:numId="29">
    <w:abstractNumId w:val="29"/>
  </w:num>
  <w:num w:numId="30">
    <w:abstractNumId w:val="17"/>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567"/>
  <w:hyphenationZone w:val="425"/>
  <w:evenAndOddHeaders/>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9"/>
    <w:rsid w:val="00003DDD"/>
    <w:rsid w:val="000114D8"/>
    <w:rsid w:val="000167BB"/>
    <w:rsid w:val="00020140"/>
    <w:rsid w:val="000342DC"/>
    <w:rsid w:val="000345B1"/>
    <w:rsid w:val="000371C0"/>
    <w:rsid w:val="00042F9F"/>
    <w:rsid w:val="0004364A"/>
    <w:rsid w:val="000466A3"/>
    <w:rsid w:val="00052BE0"/>
    <w:rsid w:val="00053C57"/>
    <w:rsid w:val="00063B6A"/>
    <w:rsid w:val="0007787F"/>
    <w:rsid w:val="0009531F"/>
    <w:rsid w:val="000A34DB"/>
    <w:rsid w:val="000A71AD"/>
    <w:rsid w:val="000B3770"/>
    <w:rsid w:val="000B6AE6"/>
    <w:rsid w:val="000C1166"/>
    <w:rsid w:val="000C12CA"/>
    <w:rsid w:val="000C4CE3"/>
    <w:rsid w:val="000C7F33"/>
    <w:rsid w:val="000D164F"/>
    <w:rsid w:val="000D37AA"/>
    <w:rsid w:val="000D7ECB"/>
    <w:rsid w:val="000E1206"/>
    <w:rsid w:val="000E49CE"/>
    <w:rsid w:val="000E598A"/>
    <w:rsid w:val="000E6C0C"/>
    <w:rsid w:val="000F645F"/>
    <w:rsid w:val="0010066D"/>
    <w:rsid w:val="00104042"/>
    <w:rsid w:val="00105527"/>
    <w:rsid w:val="001111BA"/>
    <w:rsid w:val="00113547"/>
    <w:rsid w:val="00115373"/>
    <w:rsid w:val="00122203"/>
    <w:rsid w:val="00122AD1"/>
    <w:rsid w:val="0013223B"/>
    <w:rsid w:val="001355E3"/>
    <w:rsid w:val="00137B9D"/>
    <w:rsid w:val="00140C1A"/>
    <w:rsid w:val="00141421"/>
    <w:rsid w:val="001460DB"/>
    <w:rsid w:val="00163FE3"/>
    <w:rsid w:val="00167475"/>
    <w:rsid w:val="001805BD"/>
    <w:rsid w:val="00187D98"/>
    <w:rsid w:val="00192F88"/>
    <w:rsid w:val="00193497"/>
    <w:rsid w:val="00193F31"/>
    <w:rsid w:val="001943D9"/>
    <w:rsid w:val="00196F1A"/>
    <w:rsid w:val="001A3D64"/>
    <w:rsid w:val="001B33C1"/>
    <w:rsid w:val="001C0CC3"/>
    <w:rsid w:val="001C37E3"/>
    <w:rsid w:val="001D03CC"/>
    <w:rsid w:val="001D4C60"/>
    <w:rsid w:val="001D67A6"/>
    <w:rsid w:val="001E090F"/>
    <w:rsid w:val="001F2035"/>
    <w:rsid w:val="001F4164"/>
    <w:rsid w:val="001F7175"/>
    <w:rsid w:val="00200B97"/>
    <w:rsid w:val="00211728"/>
    <w:rsid w:val="0022012F"/>
    <w:rsid w:val="00220C25"/>
    <w:rsid w:val="002423D9"/>
    <w:rsid w:val="00244F7A"/>
    <w:rsid w:val="0024522D"/>
    <w:rsid w:val="0024726F"/>
    <w:rsid w:val="0025180D"/>
    <w:rsid w:val="00251E54"/>
    <w:rsid w:val="00257AB1"/>
    <w:rsid w:val="002618AB"/>
    <w:rsid w:val="00270DF6"/>
    <w:rsid w:val="00275D23"/>
    <w:rsid w:val="002761DF"/>
    <w:rsid w:val="002818EA"/>
    <w:rsid w:val="00282663"/>
    <w:rsid w:val="00286B15"/>
    <w:rsid w:val="00290642"/>
    <w:rsid w:val="002963AE"/>
    <w:rsid w:val="002A38C0"/>
    <w:rsid w:val="002A3EFC"/>
    <w:rsid w:val="002A4D19"/>
    <w:rsid w:val="002B0CA7"/>
    <w:rsid w:val="002B7136"/>
    <w:rsid w:val="002C0E45"/>
    <w:rsid w:val="002D2960"/>
    <w:rsid w:val="002D5012"/>
    <w:rsid w:val="002E20C8"/>
    <w:rsid w:val="002E34D9"/>
    <w:rsid w:val="002E5002"/>
    <w:rsid w:val="002F100F"/>
    <w:rsid w:val="002F42B1"/>
    <w:rsid w:val="002F5BA4"/>
    <w:rsid w:val="003029D2"/>
    <w:rsid w:val="00302D4B"/>
    <w:rsid w:val="00312C45"/>
    <w:rsid w:val="0031663E"/>
    <w:rsid w:val="00330D2E"/>
    <w:rsid w:val="0035140F"/>
    <w:rsid w:val="00354546"/>
    <w:rsid w:val="0035799B"/>
    <w:rsid w:val="003616BA"/>
    <w:rsid w:val="00364200"/>
    <w:rsid w:val="00366E3E"/>
    <w:rsid w:val="003673D1"/>
    <w:rsid w:val="003736C5"/>
    <w:rsid w:val="00377227"/>
    <w:rsid w:val="00380BD0"/>
    <w:rsid w:val="003840A3"/>
    <w:rsid w:val="003867CA"/>
    <w:rsid w:val="00392064"/>
    <w:rsid w:val="003944D1"/>
    <w:rsid w:val="003955F7"/>
    <w:rsid w:val="003C4BA1"/>
    <w:rsid w:val="003D2ECC"/>
    <w:rsid w:val="003D7C62"/>
    <w:rsid w:val="003F0EA6"/>
    <w:rsid w:val="003F3E7A"/>
    <w:rsid w:val="003F42C9"/>
    <w:rsid w:val="00413C0F"/>
    <w:rsid w:val="00426897"/>
    <w:rsid w:val="00426FCA"/>
    <w:rsid w:val="00434595"/>
    <w:rsid w:val="00445657"/>
    <w:rsid w:val="004556F1"/>
    <w:rsid w:val="00457439"/>
    <w:rsid w:val="00462C74"/>
    <w:rsid w:val="00485BF1"/>
    <w:rsid w:val="00487CE0"/>
    <w:rsid w:val="00491D84"/>
    <w:rsid w:val="00493E4D"/>
    <w:rsid w:val="00497452"/>
    <w:rsid w:val="004B464B"/>
    <w:rsid w:val="004C2DF9"/>
    <w:rsid w:val="004C78FD"/>
    <w:rsid w:val="004D0091"/>
    <w:rsid w:val="004D28A1"/>
    <w:rsid w:val="004D307A"/>
    <w:rsid w:val="004D5002"/>
    <w:rsid w:val="004E0623"/>
    <w:rsid w:val="004E38C8"/>
    <w:rsid w:val="004E55E0"/>
    <w:rsid w:val="004F30E8"/>
    <w:rsid w:val="004F39EF"/>
    <w:rsid w:val="004F5F36"/>
    <w:rsid w:val="00503175"/>
    <w:rsid w:val="00504079"/>
    <w:rsid w:val="00513786"/>
    <w:rsid w:val="00514410"/>
    <w:rsid w:val="0051548F"/>
    <w:rsid w:val="00520D21"/>
    <w:rsid w:val="00542DD8"/>
    <w:rsid w:val="00546B68"/>
    <w:rsid w:val="00553243"/>
    <w:rsid w:val="0055419A"/>
    <w:rsid w:val="00554811"/>
    <w:rsid w:val="005710E1"/>
    <w:rsid w:val="00571DCA"/>
    <w:rsid w:val="00571FC7"/>
    <w:rsid w:val="005721A4"/>
    <w:rsid w:val="00572625"/>
    <w:rsid w:val="00574AB6"/>
    <w:rsid w:val="00577848"/>
    <w:rsid w:val="00590090"/>
    <w:rsid w:val="005936D2"/>
    <w:rsid w:val="00597942"/>
    <w:rsid w:val="005A29DA"/>
    <w:rsid w:val="005C42AD"/>
    <w:rsid w:val="005C7FF7"/>
    <w:rsid w:val="005D2BDB"/>
    <w:rsid w:val="005D4F2E"/>
    <w:rsid w:val="005D70DB"/>
    <w:rsid w:val="005E7B05"/>
    <w:rsid w:val="005F1829"/>
    <w:rsid w:val="006219BC"/>
    <w:rsid w:val="00621E25"/>
    <w:rsid w:val="00633980"/>
    <w:rsid w:val="00635E3B"/>
    <w:rsid w:val="00640697"/>
    <w:rsid w:val="0064131A"/>
    <w:rsid w:val="00641571"/>
    <w:rsid w:val="006467BF"/>
    <w:rsid w:val="006622E5"/>
    <w:rsid w:val="00674385"/>
    <w:rsid w:val="00683641"/>
    <w:rsid w:val="00693349"/>
    <w:rsid w:val="0069334A"/>
    <w:rsid w:val="0069482C"/>
    <w:rsid w:val="006A0724"/>
    <w:rsid w:val="006A0C50"/>
    <w:rsid w:val="006A732A"/>
    <w:rsid w:val="006D6EC6"/>
    <w:rsid w:val="006E1A8E"/>
    <w:rsid w:val="006E23BC"/>
    <w:rsid w:val="006F04AD"/>
    <w:rsid w:val="006F1B6F"/>
    <w:rsid w:val="006F339F"/>
    <w:rsid w:val="006F6924"/>
    <w:rsid w:val="00703B72"/>
    <w:rsid w:val="007045D9"/>
    <w:rsid w:val="00704D35"/>
    <w:rsid w:val="0070605A"/>
    <w:rsid w:val="00711F32"/>
    <w:rsid w:val="00720A53"/>
    <w:rsid w:val="0072188F"/>
    <w:rsid w:val="00722F9D"/>
    <w:rsid w:val="007301E6"/>
    <w:rsid w:val="007339C9"/>
    <w:rsid w:val="007345FD"/>
    <w:rsid w:val="00734924"/>
    <w:rsid w:val="007374CB"/>
    <w:rsid w:val="00741287"/>
    <w:rsid w:val="00754338"/>
    <w:rsid w:val="007552A2"/>
    <w:rsid w:val="00760F0F"/>
    <w:rsid w:val="00761A60"/>
    <w:rsid w:val="0076724C"/>
    <w:rsid w:val="0077067C"/>
    <w:rsid w:val="00772A70"/>
    <w:rsid w:val="007A5619"/>
    <w:rsid w:val="007A7BE7"/>
    <w:rsid w:val="007C46F0"/>
    <w:rsid w:val="007C7D4D"/>
    <w:rsid w:val="007D7232"/>
    <w:rsid w:val="007D7B57"/>
    <w:rsid w:val="007E0927"/>
    <w:rsid w:val="007E10C1"/>
    <w:rsid w:val="007E4624"/>
    <w:rsid w:val="007E4A87"/>
    <w:rsid w:val="007F62A7"/>
    <w:rsid w:val="008005E9"/>
    <w:rsid w:val="0080134F"/>
    <w:rsid w:val="008015DD"/>
    <w:rsid w:val="008018B3"/>
    <w:rsid w:val="00837464"/>
    <w:rsid w:val="00844224"/>
    <w:rsid w:val="0084588E"/>
    <w:rsid w:val="00851640"/>
    <w:rsid w:val="0085752C"/>
    <w:rsid w:val="00870F89"/>
    <w:rsid w:val="008808E4"/>
    <w:rsid w:val="008811EF"/>
    <w:rsid w:val="008817E1"/>
    <w:rsid w:val="00886FEA"/>
    <w:rsid w:val="00890806"/>
    <w:rsid w:val="00890C14"/>
    <w:rsid w:val="00893103"/>
    <w:rsid w:val="0089347C"/>
    <w:rsid w:val="00894660"/>
    <w:rsid w:val="008B0202"/>
    <w:rsid w:val="008C0191"/>
    <w:rsid w:val="008C4121"/>
    <w:rsid w:val="008C6D4D"/>
    <w:rsid w:val="008C78C2"/>
    <w:rsid w:val="008E09D3"/>
    <w:rsid w:val="008F4129"/>
    <w:rsid w:val="008F7805"/>
    <w:rsid w:val="008F7CFA"/>
    <w:rsid w:val="00912F0D"/>
    <w:rsid w:val="009133AB"/>
    <w:rsid w:val="00915C67"/>
    <w:rsid w:val="009200F6"/>
    <w:rsid w:val="00925DFC"/>
    <w:rsid w:val="00933C15"/>
    <w:rsid w:val="0093660F"/>
    <w:rsid w:val="00942DE8"/>
    <w:rsid w:val="00946112"/>
    <w:rsid w:val="00946A41"/>
    <w:rsid w:val="00954AB5"/>
    <w:rsid w:val="00956528"/>
    <w:rsid w:val="0096742B"/>
    <w:rsid w:val="00974607"/>
    <w:rsid w:val="009778BB"/>
    <w:rsid w:val="00980557"/>
    <w:rsid w:val="009921B6"/>
    <w:rsid w:val="009958D3"/>
    <w:rsid w:val="00995EAA"/>
    <w:rsid w:val="009966AC"/>
    <w:rsid w:val="009A3850"/>
    <w:rsid w:val="009B2FEC"/>
    <w:rsid w:val="009C39FD"/>
    <w:rsid w:val="009C52EB"/>
    <w:rsid w:val="009D579F"/>
    <w:rsid w:val="009E1A50"/>
    <w:rsid w:val="009E758B"/>
    <w:rsid w:val="009F3646"/>
    <w:rsid w:val="009F6DC2"/>
    <w:rsid w:val="009F7EFA"/>
    <w:rsid w:val="00A00184"/>
    <w:rsid w:val="00A07569"/>
    <w:rsid w:val="00A07948"/>
    <w:rsid w:val="00A20782"/>
    <w:rsid w:val="00A366B3"/>
    <w:rsid w:val="00A47236"/>
    <w:rsid w:val="00A55C84"/>
    <w:rsid w:val="00A5610C"/>
    <w:rsid w:val="00A677A3"/>
    <w:rsid w:val="00A71EEF"/>
    <w:rsid w:val="00A73C51"/>
    <w:rsid w:val="00A75ABE"/>
    <w:rsid w:val="00AA319B"/>
    <w:rsid w:val="00AA40BA"/>
    <w:rsid w:val="00AD4381"/>
    <w:rsid w:val="00AD5331"/>
    <w:rsid w:val="00AF1A90"/>
    <w:rsid w:val="00B0510A"/>
    <w:rsid w:val="00B05424"/>
    <w:rsid w:val="00B102A4"/>
    <w:rsid w:val="00B10AFD"/>
    <w:rsid w:val="00B11B89"/>
    <w:rsid w:val="00B14BA9"/>
    <w:rsid w:val="00B22736"/>
    <w:rsid w:val="00B23F79"/>
    <w:rsid w:val="00B2406C"/>
    <w:rsid w:val="00B25AEE"/>
    <w:rsid w:val="00B31258"/>
    <w:rsid w:val="00B3760B"/>
    <w:rsid w:val="00B46BDB"/>
    <w:rsid w:val="00B472C1"/>
    <w:rsid w:val="00B47313"/>
    <w:rsid w:val="00B47665"/>
    <w:rsid w:val="00B55568"/>
    <w:rsid w:val="00B57EB2"/>
    <w:rsid w:val="00B637CD"/>
    <w:rsid w:val="00B719EA"/>
    <w:rsid w:val="00B730E8"/>
    <w:rsid w:val="00B74F89"/>
    <w:rsid w:val="00B8294D"/>
    <w:rsid w:val="00B92782"/>
    <w:rsid w:val="00B97EAD"/>
    <w:rsid w:val="00BA06F1"/>
    <w:rsid w:val="00BA4E6C"/>
    <w:rsid w:val="00BA7545"/>
    <w:rsid w:val="00BB6B50"/>
    <w:rsid w:val="00BB74F4"/>
    <w:rsid w:val="00BC0F6B"/>
    <w:rsid w:val="00BD5565"/>
    <w:rsid w:val="00BD6090"/>
    <w:rsid w:val="00BD71EA"/>
    <w:rsid w:val="00BD7FD8"/>
    <w:rsid w:val="00BE06A7"/>
    <w:rsid w:val="00BE0F2D"/>
    <w:rsid w:val="00BF0E37"/>
    <w:rsid w:val="00BF2F1A"/>
    <w:rsid w:val="00C055C7"/>
    <w:rsid w:val="00C105CE"/>
    <w:rsid w:val="00C12C5F"/>
    <w:rsid w:val="00C31123"/>
    <w:rsid w:val="00C40062"/>
    <w:rsid w:val="00C404A4"/>
    <w:rsid w:val="00C408A9"/>
    <w:rsid w:val="00C40CA9"/>
    <w:rsid w:val="00C40DED"/>
    <w:rsid w:val="00C40E33"/>
    <w:rsid w:val="00C544D3"/>
    <w:rsid w:val="00C55E6E"/>
    <w:rsid w:val="00C649F3"/>
    <w:rsid w:val="00C70156"/>
    <w:rsid w:val="00C77AD2"/>
    <w:rsid w:val="00C84620"/>
    <w:rsid w:val="00C8538D"/>
    <w:rsid w:val="00C86111"/>
    <w:rsid w:val="00C869B7"/>
    <w:rsid w:val="00CA294D"/>
    <w:rsid w:val="00CB2AE1"/>
    <w:rsid w:val="00CB360F"/>
    <w:rsid w:val="00CB450B"/>
    <w:rsid w:val="00CB7F44"/>
    <w:rsid w:val="00CC3B30"/>
    <w:rsid w:val="00CC54EC"/>
    <w:rsid w:val="00CD11DB"/>
    <w:rsid w:val="00CE0FEC"/>
    <w:rsid w:val="00CF4BD1"/>
    <w:rsid w:val="00D00AE9"/>
    <w:rsid w:val="00D027AE"/>
    <w:rsid w:val="00D044F6"/>
    <w:rsid w:val="00D07C8A"/>
    <w:rsid w:val="00D143A6"/>
    <w:rsid w:val="00D22CC8"/>
    <w:rsid w:val="00D33FC2"/>
    <w:rsid w:val="00D34D2A"/>
    <w:rsid w:val="00D41F89"/>
    <w:rsid w:val="00D67AAA"/>
    <w:rsid w:val="00D76200"/>
    <w:rsid w:val="00D81DAE"/>
    <w:rsid w:val="00D85D27"/>
    <w:rsid w:val="00D86CF5"/>
    <w:rsid w:val="00D91F0E"/>
    <w:rsid w:val="00DA0726"/>
    <w:rsid w:val="00DA46E7"/>
    <w:rsid w:val="00DC74D7"/>
    <w:rsid w:val="00DC7FD5"/>
    <w:rsid w:val="00DD40FC"/>
    <w:rsid w:val="00DD7D86"/>
    <w:rsid w:val="00DE3A77"/>
    <w:rsid w:val="00DE465B"/>
    <w:rsid w:val="00DF3767"/>
    <w:rsid w:val="00DF7F7B"/>
    <w:rsid w:val="00E00CC8"/>
    <w:rsid w:val="00E0346D"/>
    <w:rsid w:val="00E10AA5"/>
    <w:rsid w:val="00E12A4A"/>
    <w:rsid w:val="00E449AA"/>
    <w:rsid w:val="00E44A17"/>
    <w:rsid w:val="00E45DBE"/>
    <w:rsid w:val="00E47ADF"/>
    <w:rsid w:val="00E52B09"/>
    <w:rsid w:val="00E62E7C"/>
    <w:rsid w:val="00E63BE2"/>
    <w:rsid w:val="00E66368"/>
    <w:rsid w:val="00E70375"/>
    <w:rsid w:val="00E805CD"/>
    <w:rsid w:val="00E80D1D"/>
    <w:rsid w:val="00E86A90"/>
    <w:rsid w:val="00E9132C"/>
    <w:rsid w:val="00E95166"/>
    <w:rsid w:val="00EA0304"/>
    <w:rsid w:val="00EA2F45"/>
    <w:rsid w:val="00EA4376"/>
    <w:rsid w:val="00EA5579"/>
    <w:rsid w:val="00EA719E"/>
    <w:rsid w:val="00EB1F4C"/>
    <w:rsid w:val="00EB3FF7"/>
    <w:rsid w:val="00EC10B4"/>
    <w:rsid w:val="00EC1F84"/>
    <w:rsid w:val="00ED0F71"/>
    <w:rsid w:val="00ED5104"/>
    <w:rsid w:val="00EE46B7"/>
    <w:rsid w:val="00EE587D"/>
    <w:rsid w:val="00EE78B7"/>
    <w:rsid w:val="00EF4FB1"/>
    <w:rsid w:val="00EF6C52"/>
    <w:rsid w:val="00F02C38"/>
    <w:rsid w:val="00F07207"/>
    <w:rsid w:val="00F100A7"/>
    <w:rsid w:val="00F16DE5"/>
    <w:rsid w:val="00F22257"/>
    <w:rsid w:val="00F22814"/>
    <w:rsid w:val="00F27EAB"/>
    <w:rsid w:val="00F42F2F"/>
    <w:rsid w:val="00F50413"/>
    <w:rsid w:val="00F521F8"/>
    <w:rsid w:val="00F63D31"/>
    <w:rsid w:val="00F650E9"/>
    <w:rsid w:val="00F700E2"/>
    <w:rsid w:val="00F77565"/>
    <w:rsid w:val="00F81590"/>
    <w:rsid w:val="00F82742"/>
    <w:rsid w:val="00F85531"/>
    <w:rsid w:val="00F87E01"/>
    <w:rsid w:val="00F91EBF"/>
    <w:rsid w:val="00FA0A1B"/>
    <w:rsid w:val="00FA7143"/>
    <w:rsid w:val="00FB2E00"/>
    <w:rsid w:val="00FB3940"/>
    <w:rsid w:val="00FB7309"/>
    <w:rsid w:val="00FC754D"/>
    <w:rsid w:val="00FD348B"/>
    <w:rsid w:val="00FD59CD"/>
    <w:rsid w:val="00FD6795"/>
    <w:rsid w:val="00FE4564"/>
    <w:rsid w:val="00FF1233"/>
    <w:rsid w:val="00FF74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AD88125"/>
  <w15:docId w15:val="{C20D44E0-1907-4A9F-A3BC-C87869B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4GCharChar"/>
    <w:qFormat/>
    <w:rsid w:val="0007787F"/>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rsid w:val="0007787F"/>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07787F"/>
    <w:rPr>
      <w:rFonts w:ascii="Times New Roman" w:eastAsiaTheme="minorEastAsia" w:hAnsi="Times New Roman" w:cs="Times New Roman"/>
      <w:sz w:val="18"/>
      <w:szCs w:val="20"/>
      <w:lang w:eastAsia="zh-CN"/>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E63BE2"/>
    <w:pPr>
      <w:suppressAutoHyphens w:val="0"/>
      <w:spacing w:before="100" w:beforeAutospacing="1" w:after="100" w:afterAutospacing="1" w:line="240" w:lineRule="auto"/>
    </w:pPr>
    <w:rPr>
      <w:sz w:val="24"/>
      <w:szCs w:val="24"/>
      <w:lang w:eastAsia="ko-KR"/>
    </w:rPr>
  </w:style>
  <w:style w:type="character" w:styleId="HTMLCite">
    <w:name w:val="HTML Cite"/>
    <w:basedOn w:val="DefaultParagraphFont"/>
    <w:uiPriority w:val="99"/>
    <w:semiHidden/>
    <w:unhideWhenUsed/>
    <w:rsid w:val="00E63BE2"/>
    <w:rPr>
      <w:i/>
      <w:iCs/>
    </w:rPr>
  </w:style>
  <w:style w:type="paragraph" w:styleId="ListParagraph">
    <w:name w:val="List Paragraph"/>
    <w:basedOn w:val="Normal"/>
    <w:uiPriority w:val="34"/>
    <w:qFormat/>
    <w:rsid w:val="00C649F3"/>
    <w:pPr>
      <w:suppressAutoHyphens w:val="0"/>
      <w:spacing w:after="160" w:line="259" w:lineRule="auto"/>
      <w:ind w:left="720"/>
      <w:contextualSpacing/>
    </w:pPr>
    <w:rPr>
      <w:rFonts w:asciiTheme="minorHAnsi" w:eastAsiaTheme="minorEastAsia" w:hAnsiTheme="minorHAnsi" w:cstheme="minorBidi"/>
      <w:sz w:val="22"/>
      <w:szCs w:val="22"/>
      <w:lang w:eastAsia="ko-KR"/>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rsid w:val="00D85D27"/>
    <w:pPr>
      <w:suppressAutoHyphens w:val="0"/>
      <w:spacing w:after="160" w:line="240" w:lineRule="exact"/>
      <w:jc w:val="both"/>
    </w:pPr>
    <w:rPr>
      <w:rFonts w:eastAsiaTheme="minorHAnsi" w:cstheme="minorBidi"/>
      <w:sz w:val="18"/>
      <w:szCs w:val="22"/>
      <w:vertAlign w:val="superscript"/>
      <w:lang w:val="fr-CH"/>
    </w:rPr>
  </w:style>
  <w:style w:type="paragraph" w:styleId="CommentText">
    <w:name w:val="annotation text"/>
    <w:basedOn w:val="Normal"/>
    <w:link w:val="CommentTextChar"/>
    <w:uiPriority w:val="99"/>
    <w:unhideWhenUsed/>
    <w:rsid w:val="0093660F"/>
    <w:pPr>
      <w:suppressAutoHyphens w:val="0"/>
      <w:spacing w:line="240" w:lineRule="auto"/>
    </w:pPr>
    <w:rPr>
      <w:rFonts w:ascii="Calibri" w:hAnsi="Calibri"/>
      <w:lang w:val="en-US"/>
    </w:rPr>
  </w:style>
  <w:style w:type="character" w:customStyle="1" w:styleId="CommentTextChar">
    <w:name w:val="Comment Text Char"/>
    <w:basedOn w:val="DefaultParagraphFont"/>
    <w:link w:val="CommentText"/>
    <w:uiPriority w:val="99"/>
    <w:rsid w:val="0093660F"/>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93660F"/>
    <w:pPr>
      <w:suppressAutoHyphens w:val="0"/>
      <w:spacing w:after="160" w:line="240" w:lineRule="exact"/>
    </w:pPr>
    <w:rPr>
      <w:rFonts w:asciiTheme="minorHAnsi" w:eastAsiaTheme="minorHAnsi" w:hAnsiTheme="minorHAnsi"/>
      <w:sz w:val="22"/>
      <w:szCs w:val="22"/>
      <w:vertAlign w:val="superscript"/>
      <w:lang w:val="en-US"/>
    </w:rPr>
  </w:style>
  <w:style w:type="character" w:styleId="CommentReference">
    <w:name w:val="annotation reference"/>
    <w:basedOn w:val="DefaultParagraphFont"/>
    <w:uiPriority w:val="99"/>
    <w:semiHidden/>
    <w:unhideWhenUsed/>
    <w:rsid w:val="00B47665"/>
    <w:rPr>
      <w:sz w:val="16"/>
      <w:szCs w:val="16"/>
    </w:rPr>
  </w:style>
  <w:style w:type="paragraph" w:styleId="CommentSubject">
    <w:name w:val="annotation subject"/>
    <w:basedOn w:val="CommentText"/>
    <w:next w:val="CommentText"/>
    <w:link w:val="CommentSubjectChar"/>
    <w:uiPriority w:val="99"/>
    <w:semiHidden/>
    <w:unhideWhenUsed/>
    <w:rsid w:val="00B47665"/>
    <w:pPr>
      <w:suppressAutoHyphens/>
    </w:pPr>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B47665"/>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10066D"/>
    <w:rPr>
      <w:color w:val="605E5C"/>
      <w:shd w:val="clear" w:color="auto" w:fill="E1DFDD"/>
    </w:rPr>
  </w:style>
  <w:style w:type="character" w:customStyle="1" w:styleId="ind">
    <w:name w:val="ind"/>
    <w:basedOn w:val="DefaultParagraphFont"/>
    <w:rsid w:val="0010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6921-9B6D-423D-A543-DBDF47CD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4081</Words>
  <Characters>22425</Characters>
  <Application>Microsoft Office Word</Application>
  <DocSecurity>0</DocSecurity>
  <Lines>379</Lines>
  <Paragraphs>127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E/C.12/ISR/Q/4</vt:lpstr>
      <vt:lpstr/>
      <vt:lpstr/>
    </vt:vector>
  </TitlesOfParts>
  <Company>DCM</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E/C.12/ISR/Q/4</dc:title>
  <dc:subject>1905564</dc:subject>
  <dc:creator>Gloria</dc:creator>
  <cp:keywords/>
  <dc:description/>
  <cp:lastModifiedBy>Generic Desk Anglais</cp:lastModifiedBy>
  <cp:revision>2</cp:revision>
  <cp:lastPrinted>2019-03-15T15:35:00Z</cp:lastPrinted>
  <dcterms:created xsi:type="dcterms:W3CDTF">2019-04-03T14:05:00Z</dcterms:created>
  <dcterms:modified xsi:type="dcterms:W3CDTF">2019-04-03T14:05:00Z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C.12/ISR/Q/R.4</vt:lpwstr>
  </property>
  <property fmtid="{D5CDD505-2E9C-101B-9397-08002B2CF9AE}" pid="3" name="symh">
    <vt:lpwstr>E/C.12/ISR/Q/R.4</vt:lpwstr>
  </property>
  <property fmtid="{D5CDD505-2E9C-101B-9397-08002B2CF9AE}" pid="4" name="dist">
    <vt:lpwstr>Restricted</vt:lpwstr>
  </property>
  <property fmtid="{D5CDD505-2E9C-101B-9397-08002B2CF9AE}" pid="5" name="date">
    <vt:lpwstr>14 January 2019</vt:lpwstr>
  </property>
  <property fmtid="{D5CDD505-2E9C-101B-9397-08002B2CF9AE}" pid="6" name="sdate">
    <vt:lpwstr>11-15 March 2019</vt:lpwstr>
  </property>
  <property fmtid="{D5CDD505-2E9C-101B-9397-08002B2CF9AE}" pid="7" name="virs">
    <vt:lpwstr>English only</vt:lpwstr>
  </property>
  <property fmtid="{D5CDD505-2E9C-101B-9397-08002B2CF9AE}" pid="8" name="snum">
    <vt:lpwstr>Sixty-fourth</vt:lpwstr>
  </property>
  <property fmtid="{D5CDD505-2E9C-101B-9397-08002B2CF9AE}" pid="9" name="anum">
    <vt:lpwstr>[NUMBER]</vt:lpwstr>
  </property>
  <property fmtid="{D5CDD505-2E9C-101B-9397-08002B2CF9AE}" pid="10" name="count">
    <vt:lpwstr>Israel</vt:lpwstr>
  </property>
  <property fmtid="{D5CDD505-2E9C-101B-9397-08002B2CF9AE}" pid="11" name="countw">
    <vt:lpwstr>Israel</vt:lpwstr>
  </property>
  <property fmtid="{D5CDD505-2E9C-101B-9397-08002B2CF9AE}" pid="12" name="countwd">
    <vt:lpwstr>Israel</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7a</vt:lpwstr>
  </property>
  <property fmtid="{D5CDD505-2E9C-101B-9397-08002B2CF9AE}" pid="17" name="stitle">
    <vt:lpwstr>[Title]</vt:lpwstr>
  </property>
  <property fmtid="{D5CDD505-2E9C-101B-9397-08002B2CF9AE}" pid="18" name="prep">
    <vt:lpwstr>fourth periodic report of Israel</vt:lpwstr>
  </property>
  <property fmtid="{D5CDD505-2E9C-101B-9397-08002B2CF9AE}" pid="19" name="preps">
    <vt:lpwstr>fourth periodic report of Israel</vt:lpwstr>
  </property>
  <property fmtid="{D5CDD505-2E9C-101B-9397-08002B2CF9AE}" pid="20" name="prepw">
    <vt:lpwstr>fourth periodic report</vt:lpwstr>
  </property>
  <property fmtid="{D5CDD505-2E9C-101B-9397-08002B2CF9AE}" pid="21" name="prepws">
    <vt:lpwstr>fourth periodic report</vt:lpwstr>
  </property>
  <property fmtid="{D5CDD505-2E9C-101B-9397-08002B2CF9AE}" pid="22" name="prepwc">
    <vt:lpwstr>Fourth periodic report </vt:lpwstr>
  </property>
  <property fmtid="{D5CDD505-2E9C-101B-9397-08002B2CF9AE}" pid="23" name="olang">
    <vt:lpwstr>English</vt:lpwstr>
  </property>
  <property fmtid="{D5CDD505-2E9C-101B-9397-08002B2CF9AE}" pid="24" name="Date-Generated">
    <vt:filetime>2019-01-14T10:38:04Z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vt:lpwstr>
  </property>
  <property fmtid="{D5CDD505-2E9C-101B-9397-08002B2CF9AE}" pid="29" name="doctype">
    <vt:lpwstr>Draft</vt:lpwstr>
  </property>
  <property fmtid="{D5CDD505-2E9C-101B-9397-08002B2CF9AE}" pid="30" name="category">
    <vt:lpwstr>CESCR</vt:lpwstr>
  </property>
</Properties>
</file>