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tblInd w:w="8" w:type="dxa"/>
        <w:tblLayout w:type="fixed"/>
        <w:tblCellMar>
          <w:left w:w="0" w:type="dxa"/>
          <w:right w:w="0" w:type="dxa"/>
        </w:tblCellMar>
        <w:tblLook w:val="0000" w:firstRow="0" w:lastRow="0" w:firstColumn="0" w:lastColumn="0" w:noHBand="0" w:noVBand="0"/>
      </w:tblPr>
      <w:tblGrid>
        <w:gridCol w:w="1531"/>
        <w:gridCol w:w="4536"/>
        <w:gridCol w:w="8"/>
        <w:gridCol w:w="3402"/>
      </w:tblGrid>
      <w:tr w:rsidR="004C5929" w:rsidRPr="006F73D8">
        <w:tblPrEx>
          <w:tblCellMar>
            <w:top w:w="0" w:type="dxa"/>
            <w:left w:w="0" w:type="dxa"/>
            <w:bottom w:w="0" w:type="dxa"/>
            <w:right w:w="0" w:type="dxa"/>
          </w:tblCellMar>
        </w:tblPrEx>
        <w:tc>
          <w:tcPr>
            <w:tcW w:w="6075" w:type="dxa"/>
            <w:gridSpan w:val="3"/>
            <w:tcBorders>
              <w:bottom w:val="single" w:sz="4" w:space="0" w:color="auto"/>
            </w:tcBorders>
          </w:tcPr>
          <w:p w:rsidR="004C5929" w:rsidRPr="006F73D8" w:rsidRDefault="004C5929">
            <w:pPr>
              <w:tabs>
                <w:tab w:val="left" w:pos="0"/>
                <w:tab w:val="left" w:pos="7086"/>
              </w:tabs>
              <w:suppressAutoHyphens/>
              <w:spacing w:line="216" w:lineRule="auto"/>
              <w:rPr>
                <w:b/>
                <w:sz w:val="30"/>
              </w:rPr>
            </w:pPr>
            <w:r w:rsidRPr="006F73D8">
              <w:rPr>
                <w:b/>
                <w:sz w:val="30"/>
              </w:rPr>
              <w:t xml:space="preserve">ОРГАНИЗАЦИЯ </w:t>
            </w:r>
            <w:r w:rsidRPr="006F73D8">
              <w:rPr>
                <w:b/>
                <w:sz w:val="30"/>
              </w:rPr>
              <w:br/>
              <w:t>ОБЪЕДИНЕННЫХ НАЦИЙ</w:t>
            </w:r>
          </w:p>
          <w:p w:rsidR="004C5929" w:rsidRPr="006F73D8" w:rsidRDefault="004C5929">
            <w:pPr>
              <w:tabs>
                <w:tab w:val="clear" w:pos="567"/>
                <w:tab w:val="clear" w:pos="1134"/>
                <w:tab w:val="clear" w:pos="1701"/>
                <w:tab w:val="clear" w:pos="2268"/>
                <w:tab w:val="clear" w:pos="6237"/>
              </w:tabs>
              <w:spacing w:line="240" w:lineRule="auto"/>
              <w:rPr>
                <w:rFonts w:ascii="Univers" w:hAnsi="Univers"/>
                <w:b/>
                <w:sz w:val="28"/>
              </w:rPr>
            </w:pPr>
          </w:p>
        </w:tc>
        <w:tc>
          <w:tcPr>
            <w:tcW w:w="3402" w:type="dxa"/>
            <w:tcBorders>
              <w:bottom w:val="single" w:sz="4" w:space="0" w:color="auto"/>
            </w:tcBorders>
          </w:tcPr>
          <w:p w:rsidR="004C5929" w:rsidRPr="006F73D8" w:rsidRDefault="004C5929">
            <w:pPr>
              <w:tabs>
                <w:tab w:val="clear" w:pos="567"/>
                <w:tab w:val="clear" w:pos="1134"/>
                <w:tab w:val="clear" w:pos="1701"/>
                <w:tab w:val="clear" w:pos="2268"/>
                <w:tab w:val="clear" w:pos="6237"/>
              </w:tabs>
              <w:spacing w:after="240" w:line="240" w:lineRule="auto"/>
              <w:jc w:val="right"/>
              <w:rPr>
                <w:rFonts w:ascii="Univers" w:hAnsi="Univers"/>
                <w:b/>
                <w:sz w:val="28"/>
              </w:rPr>
            </w:pPr>
            <w:r w:rsidRPr="006F73D8">
              <w:rPr>
                <w:rFonts w:ascii="Univers" w:hAnsi="Univers"/>
                <w:b/>
                <w:sz w:val="72"/>
              </w:rPr>
              <w:t>E</w:t>
            </w:r>
          </w:p>
        </w:tc>
      </w:tr>
      <w:tr w:rsidR="004C5929" w:rsidRPr="006F73D8">
        <w:tblPrEx>
          <w:tblCellMar>
            <w:top w:w="0" w:type="dxa"/>
            <w:left w:w="28" w:type="dxa"/>
            <w:bottom w:w="0" w:type="dxa"/>
            <w:right w:w="28" w:type="dxa"/>
          </w:tblCellMar>
        </w:tblPrEx>
        <w:tc>
          <w:tcPr>
            <w:tcW w:w="1531" w:type="dxa"/>
            <w:tcBorders>
              <w:top w:val="single" w:sz="4" w:space="0" w:color="auto"/>
              <w:bottom w:val="single" w:sz="36" w:space="0" w:color="auto"/>
            </w:tcBorders>
          </w:tcPr>
          <w:p w:rsidR="004C5929" w:rsidRPr="006F73D8" w:rsidRDefault="004C5929">
            <w:pPr>
              <w:tabs>
                <w:tab w:val="left" w:pos="0"/>
                <w:tab w:val="left" w:pos="7086"/>
              </w:tabs>
              <w:suppressAutoHyphens/>
              <w:ind w:left="30" w:right="270"/>
              <w:rPr>
                <w:sz w:val="2"/>
              </w:rPr>
            </w:pPr>
          </w:p>
          <w:p w:rsidR="004C5929" w:rsidRPr="006F73D8" w:rsidRDefault="004C592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sidRPr="006F73D8">
              <w:rPr>
                <w:rFonts w:ascii="Times New Roman" w:hAnsi="Times New Roman"/>
                <w:vanish/>
                <w:sz w:val="20"/>
              </w:rPr>
              <w:fldChar w:fldCharType="begin"/>
            </w:r>
            <w:r w:rsidRPr="006F73D8">
              <w:rPr>
                <w:rFonts w:ascii="Times New Roman" w:hAnsi="Times New Roman"/>
                <w:vanish/>
                <w:sz w:val="20"/>
              </w:rPr>
              <w:instrText>SEQ _endnote  \* ARABIC</w:instrText>
            </w:r>
            <w:r w:rsidRPr="006F73D8">
              <w:rPr>
                <w:rFonts w:ascii="Times New Roman" w:hAnsi="Times New Roman"/>
                <w:vanish/>
                <w:sz w:val="20"/>
              </w:rPr>
              <w:fldChar w:fldCharType="separate"/>
            </w:r>
            <w:r w:rsidR="00DC76AF">
              <w:rPr>
                <w:rFonts w:ascii="Times New Roman" w:hAnsi="Times New Roman"/>
                <w:noProof/>
                <w:vanish/>
                <w:sz w:val="20"/>
              </w:rPr>
              <w:t>1</w:t>
            </w:r>
            <w:r w:rsidRPr="006F73D8">
              <w:rPr>
                <w:rFonts w:ascii="Times New Roman" w:hAnsi="Times New Roman"/>
                <w:vanish/>
                <w:sz w:val="20"/>
              </w:rPr>
              <w:fldChar w:fldCharType="end"/>
            </w:r>
          </w:p>
          <w:bookmarkStart w:id="0" w:name="_MON_992683020"/>
          <w:bookmarkStart w:id="1" w:name="_MON_1114339969"/>
          <w:bookmarkEnd w:id="0"/>
          <w:bookmarkEnd w:id="1"/>
          <w:p w:rsidR="004C5929" w:rsidRPr="006F73D8" w:rsidRDefault="004C5929">
            <w:pPr>
              <w:tabs>
                <w:tab w:val="left" w:pos="0"/>
                <w:tab w:val="left" w:pos="7086"/>
              </w:tabs>
              <w:suppressAutoHyphens/>
              <w:rPr>
                <w:sz w:val="20"/>
              </w:rPr>
            </w:pPr>
            <w:r w:rsidRPr="006F73D8">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23241" r:id="rId8"/>
              </w:object>
            </w:r>
          </w:p>
        </w:tc>
        <w:tc>
          <w:tcPr>
            <w:tcW w:w="4536" w:type="dxa"/>
            <w:tcBorders>
              <w:top w:val="single" w:sz="4" w:space="0" w:color="auto"/>
              <w:bottom w:val="single" w:sz="36" w:space="0" w:color="auto"/>
            </w:tcBorders>
          </w:tcPr>
          <w:p w:rsidR="004C5929" w:rsidRPr="006F73D8" w:rsidRDefault="004C5929">
            <w:pPr>
              <w:tabs>
                <w:tab w:val="clear" w:pos="567"/>
                <w:tab w:val="clear" w:pos="1134"/>
                <w:tab w:val="clear" w:pos="1701"/>
                <w:tab w:val="clear" w:pos="2268"/>
                <w:tab w:val="clear" w:pos="6237"/>
              </w:tabs>
              <w:spacing w:before="360" w:line="240" w:lineRule="auto"/>
              <w:rPr>
                <w:sz w:val="20"/>
              </w:rPr>
            </w:pPr>
            <w:r w:rsidRPr="006F73D8">
              <w:rPr>
                <w:b/>
                <w:sz w:val="40"/>
              </w:rPr>
              <w:t>Э</w:t>
            </w:r>
            <w:r w:rsidRPr="006F73D8">
              <w:rPr>
                <w:b/>
                <w:smallCaps/>
                <w:sz w:val="30"/>
              </w:rPr>
              <w:t xml:space="preserve">КОНОМИЧЕСКИЙ </w:t>
            </w:r>
            <w:r w:rsidRPr="006F73D8">
              <w:rPr>
                <w:b/>
                <w:sz w:val="20"/>
              </w:rPr>
              <w:br/>
            </w:r>
            <w:r w:rsidRPr="006F73D8">
              <w:rPr>
                <w:b/>
                <w:smallCaps/>
                <w:sz w:val="30"/>
              </w:rPr>
              <w:t xml:space="preserve">И </w:t>
            </w:r>
            <w:r w:rsidRPr="006F73D8">
              <w:rPr>
                <w:b/>
                <w:sz w:val="40"/>
              </w:rPr>
              <w:t>С</w:t>
            </w:r>
            <w:r w:rsidRPr="006F73D8">
              <w:rPr>
                <w:b/>
                <w:smallCaps/>
                <w:sz w:val="30"/>
              </w:rPr>
              <w:t xml:space="preserve">ОЦИАЛЬНЫЙ </w:t>
            </w:r>
            <w:r w:rsidRPr="006F73D8">
              <w:rPr>
                <w:b/>
                <w:sz w:val="40"/>
              </w:rPr>
              <w:t>С</w:t>
            </w:r>
            <w:r w:rsidRPr="006F73D8">
              <w:rPr>
                <w:b/>
                <w:smallCaps/>
                <w:sz w:val="30"/>
              </w:rPr>
              <w:t>ОВЕТ</w:t>
            </w:r>
          </w:p>
        </w:tc>
        <w:tc>
          <w:tcPr>
            <w:tcW w:w="3410" w:type="dxa"/>
            <w:gridSpan w:val="2"/>
            <w:tcBorders>
              <w:top w:val="single" w:sz="4" w:space="0" w:color="auto"/>
              <w:bottom w:val="single" w:sz="36" w:space="0" w:color="auto"/>
            </w:tcBorders>
          </w:tcPr>
          <w:p w:rsidR="004C5929" w:rsidRPr="006F73D8" w:rsidRDefault="004C5929">
            <w:pPr>
              <w:spacing w:before="360" w:line="216" w:lineRule="auto"/>
            </w:pPr>
            <w:r w:rsidRPr="006F73D8">
              <w:t>Distr.</w:t>
            </w:r>
          </w:p>
          <w:p w:rsidR="004C5929" w:rsidRPr="006F73D8" w:rsidRDefault="004C5929">
            <w:pPr>
              <w:spacing w:line="216" w:lineRule="auto"/>
            </w:pPr>
            <w:r w:rsidRPr="006F73D8">
              <w:fldChar w:fldCharType="begin">
                <w:ffData>
                  <w:name w:val="ПолеСоСписком1"/>
                  <w:enabled/>
                  <w:calcOnExit w:val="0"/>
                  <w:ddList>
                    <w:listEntry w:val="GENERAL"/>
                    <w:listEntry w:val="LIMITED"/>
                    <w:listEntry w:val="RESTRICTED"/>
                  </w:ddList>
                </w:ffData>
              </w:fldChar>
            </w:r>
            <w:bookmarkStart w:id="2" w:name="ПолеСоСписком1"/>
            <w:r w:rsidRPr="006F73D8">
              <w:instrText xml:space="preserve"> FORMDROPDOWN </w:instrText>
            </w:r>
            <w:r w:rsidRPr="006F73D8">
              <w:fldChar w:fldCharType="end"/>
            </w:r>
            <w:bookmarkEnd w:id="2"/>
          </w:p>
          <w:p w:rsidR="004C5929" w:rsidRPr="006F73D8" w:rsidRDefault="004C5929">
            <w:pPr>
              <w:spacing w:line="216" w:lineRule="auto"/>
            </w:pPr>
          </w:p>
          <w:p w:rsidR="004C5929" w:rsidRPr="006F73D8" w:rsidRDefault="004C5929">
            <w:pPr>
              <w:spacing w:line="216" w:lineRule="auto"/>
            </w:pPr>
            <w:fldSimple w:instr=" FILLIN  &quot;Введите символ документа&quot; \* MERGEFORMAT ">
              <w:r w:rsidR="007B17FC" w:rsidRPr="006F73D8">
                <w:t>E/C.12/PHL/4</w:t>
              </w:r>
            </w:fldSimple>
          </w:p>
          <w:p w:rsidR="004C5929" w:rsidRPr="006F73D8" w:rsidRDefault="004C5929">
            <w:pPr>
              <w:spacing w:line="216" w:lineRule="auto"/>
            </w:pPr>
            <w:fldSimple w:instr=" FILLIN  &quot;Введите дату документа&quot; \* MERGEFORMAT ">
              <w:r w:rsidR="007B17FC" w:rsidRPr="006F73D8">
                <w:t>7 September 2007</w:t>
              </w:r>
            </w:fldSimple>
          </w:p>
          <w:p w:rsidR="004C5929" w:rsidRPr="006F73D8" w:rsidRDefault="004C5929">
            <w:pPr>
              <w:spacing w:line="216" w:lineRule="auto"/>
            </w:pPr>
          </w:p>
          <w:p w:rsidR="004C5929" w:rsidRPr="006F73D8" w:rsidRDefault="004C5929">
            <w:pPr>
              <w:spacing w:line="216" w:lineRule="auto"/>
            </w:pPr>
            <w:r w:rsidRPr="006F73D8">
              <w:t>RUSSIAN</w:t>
            </w:r>
          </w:p>
          <w:p w:rsidR="004C5929" w:rsidRPr="006F73D8" w:rsidRDefault="004C5929">
            <w:pPr>
              <w:spacing w:line="216" w:lineRule="auto"/>
            </w:pPr>
            <w:r w:rsidRPr="006F73D8">
              <w:t>Original</w:t>
            </w:r>
            <w:r w:rsidR="006F73D8">
              <w:t xml:space="preserve">:  </w:t>
            </w:r>
            <w:r w:rsidRPr="006F73D8">
              <w:t xml:space="preserve"> </w:t>
            </w:r>
            <w:r w:rsidRPr="006F73D8">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3" w:name="ПолеСоСписком2"/>
            <w:r w:rsidRPr="006F73D8">
              <w:instrText xml:space="preserve"> FORMDROPDOWN </w:instrText>
            </w:r>
            <w:r w:rsidRPr="006F73D8">
              <w:fldChar w:fldCharType="end"/>
            </w:r>
            <w:bookmarkEnd w:id="3"/>
          </w:p>
          <w:p w:rsidR="004C5929" w:rsidRPr="006F73D8" w:rsidRDefault="004C5929">
            <w:pPr>
              <w:tabs>
                <w:tab w:val="left" w:pos="0"/>
                <w:tab w:val="left" w:pos="7086"/>
              </w:tabs>
              <w:suppressAutoHyphens/>
              <w:spacing w:line="216" w:lineRule="auto"/>
              <w:ind w:left="255"/>
              <w:rPr>
                <w:sz w:val="22"/>
              </w:rPr>
            </w:pPr>
          </w:p>
        </w:tc>
      </w:tr>
    </w:tbl>
    <w:p w:rsidR="0031649A" w:rsidRPr="006F73D8" w:rsidRDefault="0031649A" w:rsidP="00AD11FB"/>
    <w:p w:rsidR="008E49F2" w:rsidRPr="006F73D8" w:rsidRDefault="008E49F2" w:rsidP="00AD11FB">
      <w:r w:rsidRPr="006F73D8">
        <w:t>Основная сессия 2007 года</w:t>
      </w:r>
    </w:p>
    <w:p w:rsidR="008E49F2" w:rsidRPr="006F73D8" w:rsidRDefault="008E49F2" w:rsidP="00AD11FB"/>
    <w:p w:rsidR="008E49F2" w:rsidRPr="006F73D8" w:rsidRDefault="008E49F2" w:rsidP="00AD11FB">
      <w:pPr>
        <w:jc w:val="center"/>
        <w:rPr>
          <w:b/>
          <w:bCs/>
          <w:szCs w:val="24"/>
        </w:rPr>
      </w:pPr>
      <w:r w:rsidRPr="006F73D8">
        <w:rPr>
          <w:b/>
          <w:bCs/>
          <w:szCs w:val="24"/>
        </w:rPr>
        <w:t>ОСУЩЕСТВЛЕНИЕ МЕЖДУНАРОДНОГО ПАКТА ОБ ЭКОНОМИЧЕСКИХ, СОЦИАЛЬНЫХ И КУЛЬТУРНЫХ ПРАВАХ</w:t>
      </w:r>
    </w:p>
    <w:p w:rsidR="008E49F2" w:rsidRPr="006F73D8" w:rsidRDefault="008E49F2" w:rsidP="00AD11FB">
      <w:pPr>
        <w:jc w:val="center"/>
        <w:rPr>
          <w:b/>
          <w:bCs/>
          <w:szCs w:val="24"/>
        </w:rPr>
      </w:pPr>
    </w:p>
    <w:p w:rsidR="008E49F2" w:rsidRDefault="008E49F2" w:rsidP="00AD11FB">
      <w:pPr>
        <w:jc w:val="center"/>
        <w:rPr>
          <w:b/>
          <w:bCs/>
          <w:szCs w:val="24"/>
        </w:rPr>
      </w:pPr>
      <w:r w:rsidRPr="006F73D8">
        <w:rPr>
          <w:b/>
          <w:bCs/>
          <w:szCs w:val="24"/>
        </w:rPr>
        <w:t>Периодические доклады, представляемые государствами-участниками</w:t>
      </w:r>
      <w:r w:rsidRPr="006F73D8">
        <w:rPr>
          <w:b/>
          <w:bCs/>
          <w:szCs w:val="24"/>
        </w:rPr>
        <w:br/>
        <w:t>в соответствии со статьями 16 и 17 Пакта</w:t>
      </w:r>
    </w:p>
    <w:p w:rsidR="00EE4198" w:rsidRPr="006F73D8" w:rsidRDefault="00EE4198" w:rsidP="00AD11FB">
      <w:pPr>
        <w:jc w:val="center"/>
        <w:rPr>
          <w:b/>
          <w:bCs/>
          <w:szCs w:val="24"/>
        </w:rPr>
      </w:pPr>
    </w:p>
    <w:p w:rsidR="008E49F2" w:rsidRPr="006F73D8" w:rsidRDefault="008E49F2" w:rsidP="00AD11FB">
      <w:pPr>
        <w:jc w:val="center"/>
        <w:rPr>
          <w:b/>
          <w:bCs/>
          <w:szCs w:val="24"/>
        </w:rPr>
      </w:pPr>
      <w:r w:rsidRPr="006F73D8">
        <w:rPr>
          <w:b/>
          <w:bCs/>
          <w:szCs w:val="24"/>
        </w:rPr>
        <w:t>Объединенные второй, третий и четвертый периодические доклады</w:t>
      </w:r>
    </w:p>
    <w:p w:rsidR="008E49F2" w:rsidRPr="006F73D8" w:rsidRDefault="008E49F2" w:rsidP="00AD11FB">
      <w:pPr>
        <w:jc w:val="center"/>
        <w:rPr>
          <w:b/>
          <w:bCs/>
          <w:szCs w:val="24"/>
        </w:rPr>
      </w:pPr>
    </w:p>
    <w:p w:rsidR="008E49F2" w:rsidRPr="006F73D8" w:rsidRDefault="008E49F2" w:rsidP="00AD11FB">
      <w:pPr>
        <w:jc w:val="center"/>
        <w:rPr>
          <w:b/>
          <w:bCs/>
          <w:szCs w:val="24"/>
        </w:rPr>
      </w:pPr>
      <w:r w:rsidRPr="006F73D8">
        <w:rPr>
          <w:b/>
          <w:bCs/>
          <w:szCs w:val="24"/>
        </w:rPr>
        <w:t xml:space="preserve">ФИЛИППИНЫ* </w:t>
      </w:r>
      <w:r w:rsidR="0031649A" w:rsidRPr="006F73D8">
        <w:rPr>
          <w:b/>
          <w:bCs/>
          <w:szCs w:val="24"/>
        </w:rPr>
        <w:t xml:space="preserve"> </w:t>
      </w:r>
      <w:r w:rsidRPr="006F73D8">
        <w:rPr>
          <w:b/>
          <w:bCs/>
          <w:szCs w:val="24"/>
        </w:rPr>
        <w:t xml:space="preserve">** </w:t>
      </w:r>
      <w:r w:rsidR="0031649A" w:rsidRPr="006F73D8">
        <w:rPr>
          <w:b/>
          <w:bCs/>
          <w:szCs w:val="24"/>
        </w:rPr>
        <w:t xml:space="preserve"> </w:t>
      </w:r>
      <w:r w:rsidRPr="006F73D8">
        <w:rPr>
          <w:b/>
          <w:bCs/>
          <w:szCs w:val="24"/>
        </w:rPr>
        <w:t>***</w:t>
      </w:r>
    </w:p>
    <w:p w:rsidR="008E49F2" w:rsidRPr="006F73D8" w:rsidRDefault="008E49F2" w:rsidP="00AD11FB">
      <w:pPr>
        <w:jc w:val="center"/>
        <w:rPr>
          <w:b/>
          <w:bCs/>
          <w:szCs w:val="24"/>
        </w:rPr>
      </w:pPr>
    </w:p>
    <w:p w:rsidR="008E49F2" w:rsidRPr="006F73D8" w:rsidRDefault="008E49F2" w:rsidP="008E49F2">
      <w:pPr>
        <w:jc w:val="right"/>
      </w:pPr>
      <w:r w:rsidRPr="006F73D8">
        <w:t>[14 декабря 2006 года]</w:t>
      </w:r>
    </w:p>
    <w:p w:rsidR="00AF0B15" w:rsidRDefault="00AF0B15" w:rsidP="00AD11FB">
      <w:pPr>
        <w:spacing w:line="240" w:lineRule="auto"/>
      </w:pPr>
    </w:p>
    <w:p w:rsidR="00EE4198" w:rsidRDefault="00EE4198" w:rsidP="00AD11FB">
      <w:pPr>
        <w:spacing w:line="240" w:lineRule="auto"/>
      </w:pPr>
      <w:r>
        <w:t>__________________</w:t>
      </w:r>
    </w:p>
    <w:p w:rsidR="00EE4198" w:rsidRDefault="00EE4198" w:rsidP="00AD11FB">
      <w:pPr>
        <w:spacing w:line="240" w:lineRule="auto"/>
      </w:pPr>
    </w:p>
    <w:p w:rsidR="008E49F2" w:rsidRPr="00AF0B15" w:rsidRDefault="00AF0B15" w:rsidP="00AD11FB">
      <w:pPr>
        <w:spacing w:line="240" w:lineRule="auto"/>
        <w:rPr>
          <w:sz w:val="22"/>
          <w:szCs w:val="22"/>
        </w:rPr>
      </w:pPr>
      <w:r>
        <w:rPr>
          <w:sz w:val="22"/>
          <w:szCs w:val="22"/>
        </w:rPr>
        <w:t xml:space="preserve">  </w:t>
      </w:r>
      <w:r w:rsidR="008E49F2" w:rsidRPr="00AF0B15">
        <w:rPr>
          <w:sz w:val="22"/>
          <w:szCs w:val="22"/>
        </w:rPr>
        <w:t>*</w:t>
      </w:r>
      <w:r w:rsidR="008E49F2" w:rsidRPr="00AF0B15">
        <w:rPr>
          <w:sz w:val="22"/>
          <w:szCs w:val="22"/>
        </w:rPr>
        <w:tab/>
        <w:t>Первоначальный доклад Филиппин, касающийся прав, охватываемых статьями 6</w:t>
      </w:r>
      <w:r w:rsidR="006F73D8" w:rsidRPr="00AF0B15">
        <w:rPr>
          <w:sz w:val="22"/>
          <w:szCs w:val="22"/>
        </w:rPr>
        <w:noBreakHyphen/>
      </w:r>
      <w:r w:rsidR="008E49F2" w:rsidRPr="00AF0B15">
        <w:rPr>
          <w:sz w:val="22"/>
          <w:szCs w:val="22"/>
        </w:rPr>
        <w:t>9</w:t>
      </w:r>
      <w:r w:rsidR="006F73D8" w:rsidRPr="00AF0B15">
        <w:rPr>
          <w:sz w:val="22"/>
          <w:szCs w:val="22"/>
        </w:rPr>
        <w:t> </w:t>
      </w:r>
      <w:r w:rsidR="008E49F2" w:rsidRPr="00AF0B15">
        <w:rPr>
          <w:sz w:val="22"/>
          <w:szCs w:val="22"/>
        </w:rPr>
        <w:t>Пакта, (Е/1978/8/Add.4), прав, охватываемы</w:t>
      </w:r>
      <w:r w:rsidR="0031649A" w:rsidRPr="00AF0B15">
        <w:rPr>
          <w:sz w:val="22"/>
          <w:szCs w:val="22"/>
        </w:rPr>
        <w:t>х</w:t>
      </w:r>
      <w:r w:rsidR="008E49F2" w:rsidRPr="00AF0B15">
        <w:rPr>
          <w:sz w:val="22"/>
          <w:szCs w:val="22"/>
        </w:rPr>
        <w:t xml:space="preserve"> статьями 10-12 Пакта, (Е/1986/3/Add.17), прав, охватываемы</w:t>
      </w:r>
      <w:r w:rsidR="0031649A" w:rsidRPr="00AF0B15">
        <w:rPr>
          <w:sz w:val="22"/>
          <w:szCs w:val="22"/>
        </w:rPr>
        <w:t>х</w:t>
      </w:r>
      <w:r w:rsidR="008E49F2" w:rsidRPr="00AF0B15">
        <w:rPr>
          <w:sz w:val="22"/>
          <w:szCs w:val="22"/>
        </w:rPr>
        <w:t xml:space="preserve"> статьями 13-15 Пакта (Е/1988/5/Add.2), был рассмотрен Комитетом по экономическим, социальным и культурным правам соответственно 18 апреля 1980</w:t>
      </w:r>
      <w:r w:rsidR="006F73D8" w:rsidRPr="00AF0B15">
        <w:rPr>
          <w:sz w:val="22"/>
          <w:szCs w:val="22"/>
        </w:rPr>
        <w:t> </w:t>
      </w:r>
      <w:r w:rsidR="008E49F2" w:rsidRPr="00AF0B15">
        <w:rPr>
          <w:sz w:val="22"/>
          <w:szCs w:val="22"/>
        </w:rPr>
        <w:t>года,</w:t>
      </w:r>
      <w:r>
        <w:rPr>
          <w:sz w:val="22"/>
          <w:szCs w:val="22"/>
        </w:rPr>
        <w:br/>
      </w:r>
      <w:r w:rsidR="008E49F2" w:rsidRPr="00AF0B15">
        <w:rPr>
          <w:sz w:val="22"/>
          <w:szCs w:val="22"/>
        </w:rPr>
        <w:t>8 мая 1995 года и 15 января 1990 года</w:t>
      </w:r>
      <w:r w:rsidR="006F73D8" w:rsidRPr="00AF0B15">
        <w:rPr>
          <w:sz w:val="22"/>
          <w:szCs w:val="22"/>
        </w:rPr>
        <w:t xml:space="preserve">.  </w:t>
      </w:r>
      <w:r w:rsidR="008E49F2" w:rsidRPr="00AF0B15">
        <w:rPr>
          <w:sz w:val="22"/>
          <w:szCs w:val="22"/>
        </w:rPr>
        <w:t>Второй периодический доклад подлежал представлению</w:t>
      </w:r>
      <w:r>
        <w:rPr>
          <w:sz w:val="22"/>
          <w:szCs w:val="22"/>
        </w:rPr>
        <w:br/>
      </w:r>
      <w:r w:rsidR="008E49F2" w:rsidRPr="00AF0B15">
        <w:rPr>
          <w:sz w:val="22"/>
          <w:szCs w:val="22"/>
        </w:rPr>
        <w:t>30 июня 1995 года, третий и четвертый периодические доклады, соответственно, 30 июня 2000 года и 30 июня 2005 года, и 14</w:t>
      </w:r>
      <w:r w:rsidR="00EC67E4" w:rsidRPr="00AF0B15">
        <w:rPr>
          <w:sz w:val="22"/>
          <w:szCs w:val="22"/>
        </w:rPr>
        <w:t> </w:t>
      </w:r>
      <w:r w:rsidR="008E49F2" w:rsidRPr="00AF0B15">
        <w:rPr>
          <w:sz w:val="22"/>
          <w:szCs w:val="22"/>
        </w:rPr>
        <w:t>декабря 2006 года первоначальный, второй, третий и четвертый периодические доклады были представлены в качестве объединенного доклада.</w:t>
      </w:r>
    </w:p>
    <w:p w:rsidR="008E49F2" w:rsidRPr="00AF0B15" w:rsidRDefault="008E49F2" w:rsidP="00AD11FB">
      <w:pPr>
        <w:spacing w:line="240" w:lineRule="auto"/>
        <w:rPr>
          <w:sz w:val="22"/>
          <w:szCs w:val="22"/>
        </w:rPr>
      </w:pPr>
    </w:p>
    <w:p w:rsidR="008E49F2" w:rsidRPr="00AF0B15" w:rsidRDefault="00AF0B15" w:rsidP="00AD11FB">
      <w:pPr>
        <w:spacing w:line="240" w:lineRule="auto"/>
        <w:rPr>
          <w:sz w:val="22"/>
          <w:szCs w:val="22"/>
        </w:rPr>
      </w:pPr>
      <w:r>
        <w:rPr>
          <w:sz w:val="22"/>
          <w:szCs w:val="22"/>
        </w:rPr>
        <w:t xml:space="preserve"> </w:t>
      </w:r>
      <w:r w:rsidR="008E49F2" w:rsidRPr="00AF0B15">
        <w:rPr>
          <w:sz w:val="22"/>
          <w:szCs w:val="22"/>
        </w:rPr>
        <w:t>**</w:t>
      </w:r>
      <w:r w:rsidR="008E49F2" w:rsidRPr="00AF0B15">
        <w:rPr>
          <w:sz w:val="22"/>
          <w:szCs w:val="22"/>
        </w:rPr>
        <w:tab/>
        <w:t>Информация, представленная Филиппинами в соответствии с руководящими принципами, касающимися первоначальной части докладов государств-участников, содержится в базовом документе (HRI/CORE/1/Add.37).</w:t>
      </w:r>
    </w:p>
    <w:p w:rsidR="008E49F2" w:rsidRPr="00AF0B15" w:rsidRDefault="008E49F2" w:rsidP="00AD11FB">
      <w:pPr>
        <w:spacing w:line="240" w:lineRule="auto"/>
        <w:rPr>
          <w:sz w:val="22"/>
          <w:szCs w:val="22"/>
        </w:rPr>
      </w:pPr>
    </w:p>
    <w:p w:rsidR="008E49F2" w:rsidRDefault="008E49F2" w:rsidP="00AD11FB">
      <w:pPr>
        <w:spacing w:line="240" w:lineRule="auto"/>
        <w:rPr>
          <w:sz w:val="22"/>
          <w:szCs w:val="22"/>
        </w:rPr>
      </w:pPr>
      <w:r w:rsidRPr="00AF0B15">
        <w:rPr>
          <w:sz w:val="22"/>
          <w:szCs w:val="22"/>
        </w:rPr>
        <w:t>***</w:t>
      </w:r>
      <w:r w:rsidRPr="00AF0B15">
        <w:rPr>
          <w:sz w:val="22"/>
          <w:szCs w:val="22"/>
        </w:rPr>
        <w:tab/>
        <w:t>В соответствии с информацией, препровожденной государствам-участникам</w:t>
      </w:r>
      <w:r w:rsidR="00095547" w:rsidRPr="00AF0B15">
        <w:rPr>
          <w:sz w:val="22"/>
          <w:szCs w:val="22"/>
        </w:rPr>
        <w:t xml:space="preserve"> и касающе</w:t>
      </w:r>
      <w:r w:rsidR="0031649A" w:rsidRPr="00AF0B15">
        <w:rPr>
          <w:sz w:val="22"/>
          <w:szCs w:val="22"/>
        </w:rPr>
        <w:t>йся обработки их докладов,</w:t>
      </w:r>
      <w:r w:rsidRPr="00AF0B15">
        <w:rPr>
          <w:sz w:val="22"/>
          <w:szCs w:val="22"/>
        </w:rPr>
        <w:t xml:space="preserve"> настоящий документ до направления в службы перевода Организации Объединенных Наций</w:t>
      </w:r>
      <w:r w:rsidR="00AD11FB" w:rsidRPr="00AF0B15">
        <w:rPr>
          <w:sz w:val="22"/>
          <w:szCs w:val="22"/>
        </w:rPr>
        <w:t xml:space="preserve"> официально не редактировался</w:t>
      </w:r>
      <w:r w:rsidRPr="00AF0B15">
        <w:rPr>
          <w:sz w:val="22"/>
          <w:szCs w:val="22"/>
        </w:rPr>
        <w:t>.</w:t>
      </w:r>
    </w:p>
    <w:p w:rsidR="004B2B8D" w:rsidRPr="004B2B8D" w:rsidRDefault="00AF0B15" w:rsidP="004B2B8D">
      <w:pPr>
        <w:tabs>
          <w:tab w:val="clear" w:pos="1134"/>
          <w:tab w:val="clear" w:pos="1701"/>
          <w:tab w:val="clear" w:pos="2268"/>
          <w:tab w:val="clear" w:pos="6237"/>
          <w:tab w:val="left" w:leader="dot" w:pos="6946"/>
          <w:tab w:val="left" w:pos="7797"/>
          <w:tab w:val="left" w:pos="8647"/>
        </w:tabs>
        <w:jc w:val="center"/>
        <w:rPr>
          <w:b/>
        </w:rPr>
      </w:pPr>
      <w:r>
        <w:rPr>
          <w:b/>
        </w:rPr>
        <w:br w:type="page"/>
      </w:r>
      <w:r w:rsidR="004B2B8D" w:rsidRPr="004B2B8D">
        <w:rPr>
          <w:b/>
        </w:rPr>
        <w:t>СОДЕРЖАНИЕ</w:t>
      </w:r>
    </w:p>
    <w:p w:rsidR="004B2B8D" w:rsidRDefault="004B2B8D" w:rsidP="004B2B8D">
      <w:pPr>
        <w:tabs>
          <w:tab w:val="clear" w:pos="1134"/>
          <w:tab w:val="clear" w:pos="1701"/>
          <w:tab w:val="clear" w:pos="2268"/>
          <w:tab w:val="clear" w:pos="6237"/>
          <w:tab w:val="left" w:leader="dot" w:pos="6946"/>
          <w:tab w:val="left" w:pos="7797"/>
          <w:tab w:val="left" w:pos="8647"/>
        </w:tabs>
        <w:jc w:val="center"/>
      </w:pPr>
    </w:p>
    <w:p w:rsidR="004B2B8D" w:rsidRPr="004B2B8D" w:rsidRDefault="004B2B8D" w:rsidP="004B2B8D">
      <w:pPr>
        <w:tabs>
          <w:tab w:val="clear" w:pos="6237"/>
          <w:tab w:val="left" w:pos="567"/>
          <w:tab w:val="left" w:pos="1134"/>
          <w:tab w:val="left" w:pos="1701"/>
          <w:tab w:val="left" w:pos="2268"/>
          <w:tab w:val="center" w:pos="8039"/>
          <w:tab w:val="center" w:pos="9122"/>
        </w:tabs>
        <w:rPr>
          <w:i/>
        </w:rPr>
      </w:pPr>
      <w:r>
        <w:tab/>
      </w:r>
      <w:r>
        <w:tab/>
      </w:r>
      <w:r>
        <w:tab/>
      </w:r>
      <w:r>
        <w:tab/>
      </w:r>
      <w:r>
        <w:tab/>
      </w:r>
      <w:r w:rsidRPr="004B2B8D">
        <w:rPr>
          <w:i/>
        </w:rPr>
        <w:t>Пункты</w:t>
      </w:r>
      <w:r w:rsidRPr="004B2B8D">
        <w:rPr>
          <w:i/>
        </w:rPr>
        <w:tab/>
        <w:t>Стр.</w:t>
      </w:r>
    </w:p>
    <w:p w:rsidR="004B2B8D" w:rsidRPr="004B2B8D" w:rsidRDefault="004B2B8D" w:rsidP="004B2B8D">
      <w:pPr>
        <w:tabs>
          <w:tab w:val="clear" w:pos="6237"/>
          <w:tab w:val="decimal" w:pos="567"/>
          <w:tab w:val="left" w:pos="1134"/>
          <w:tab w:val="left" w:pos="1701"/>
          <w:tab w:val="left" w:pos="2268"/>
          <w:tab w:val="right" w:leader="dot" w:pos="7172"/>
          <w:tab w:val="center" w:pos="8039"/>
          <w:tab w:val="center" w:pos="9122"/>
        </w:tabs>
      </w:pPr>
    </w:p>
    <w:p w:rsidR="008E49F2" w:rsidRPr="00422297" w:rsidRDefault="009F5024" w:rsidP="004B2B8D">
      <w:pPr>
        <w:tabs>
          <w:tab w:val="clear" w:pos="1134"/>
          <w:tab w:val="clear" w:pos="1701"/>
          <w:tab w:val="clear" w:pos="2268"/>
          <w:tab w:val="clear" w:pos="6237"/>
          <w:tab w:val="decimal" w:pos="567"/>
          <w:tab w:val="right" w:leader="dot" w:pos="7172"/>
          <w:tab w:val="center" w:pos="8039"/>
          <w:tab w:val="center" w:pos="9122"/>
        </w:tabs>
      </w:pPr>
      <w:r>
        <w:t>Введение</w:t>
      </w:r>
      <w:r w:rsidR="00BB3D45">
        <w:t xml:space="preserve"> </w:t>
      </w:r>
      <w:r w:rsidR="00BB3D45">
        <w:tab/>
      </w:r>
      <w:r w:rsidR="004B2B8D">
        <w:tab/>
      </w:r>
      <w:r w:rsidR="008E49F2" w:rsidRPr="006F73D8">
        <w:t xml:space="preserve">1 </w:t>
      </w:r>
      <w:r w:rsidR="00BB3D45">
        <w:t>–</w:t>
      </w:r>
      <w:r w:rsidR="008E49F2" w:rsidRPr="006F73D8">
        <w:t xml:space="preserve"> 4</w:t>
      </w:r>
      <w:r w:rsidR="009E588E">
        <w:tab/>
      </w:r>
      <w:r w:rsidR="00422297" w:rsidRPr="00422297">
        <w:t>3</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pPr>
      <w:r>
        <w:tab/>
      </w:r>
      <w:r w:rsidR="008E49F2" w:rsidRPr="007F2FD5">
        <w:rPr>
          <w:b/>
        </w:rPr>
        <w:t>I.</w:t>
      </w:r>
      <w:r w:rsidR="008E49F2" w:rsidRPr="007F2FD5">
        <w:rPr>
          <w:b/>
        </w:rPr>
        <w:tab/>
        <w:t>ОБЩАЯ ИНФОРМАЦИЯ</w:t>
      </w:r>
      <w:r w:rsidR="008E49F2" w:rsidRPr="006F73D8">
        <w:t xml:space="preserve"> </w:t>
      </w:r>
      <w:r w:rsidR="00BB3D45">
        <w:tab/>
      </w:r>
      <w:r w:rsidR="00BB3D45">
        <w:tab/>
      </w:r>
      <w:r w:rsidR="004B2B8D">
        <w:t xml:space="preserve"> </w:t>
      </w:r>
      <w:r w:rsidR="008E49F2" w:rsidRPr="006F73D8">
        <w:t xml:space="preserve">5 </w:t>
      </w:r>
      <w:r w:rsidR="00BB3D45">
        <w:t>–</w:t>
      </w:r>
      <w:r w:rsidR="008E49F2" w:rsidRPr="006F73D8">
        <w:t xml:space="preserve"> 53</w:t>
      </w:r>
      <w:r w:rsidR="00BB3D45">
        <w:tab/>
      </w:r>
      <w:r w:rsidR="00422297" w:rsidRPr="00422297">
        <w:t>4</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pPr>
      <w:r>
        <w:tab/>
      </w:r>
      <w:r w:rsidR="008E49F2" w:rsidRPr="006F73D8">
        <w:tab/>
        <w:t>A.</w:t>
      </w:r>
      <w:r w:rsidR="008E49F2" w:rsidRPr="006F73D8">
        <w:tab/>
        <w:t xml:space="preserve">Земля и люди </w:t>
      </w:r>
      <w:r w:rsidR="00BB3D45">
        <w:tab/>
      </w:r>
      <w:r w:rsidR="00BB3D45">
        <w:tab/>
      </w:r>
      <w:r w:rsidR="004B2B8D">
        <w:t xml:space="preserve"> </w:t>
      </w:r>
      <w:r w:rsidR="008E49F2" w:rsidRPr="006F73D8">
        <w:t xml:space="preserve">5 </w:t>
      </w:r>
      <w:r w:rsidR="00BB3D45">
        <w:t>–</w:t>
      </w:r>
      <w:r w:rsidR="008E49F2" w:rsidRPr="006F73D8">
        <w:t xml:space="preserve"> 10</w:t>
      </w:r>
      <w:r w:rsidR="00BB3D45">
        <w:tab/>
      </w:r>
      <w:r w:rsidR="00422297" w:rsidRPr="00422297">
        <w:t>4</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p>
    <w:p w:rsidR="008E49F2" w:rsidRPr="00422297" w:rsidRDefault="008E49F2" w:rsidP="004B2B8D">
      <w:pPr>
        <w:tabs>
          <w:tab w:val="clear" w:pos="6237"/>
          <w:tab w:val="decimal" w:pos="567"/>
          <w:tab w:val="left" w:pos="1134"/>
          <w:tab w:val="left" w:pos="1701"/>
          <w:tab w:val="left" w:pos="2268"/>
          <w:tab w:val="right" w:leader="dot" w:pos="7172"/>
          <w:tab w:val="center" w:pos="8039"/>
          <w:tab w:val="center" w:pos="9122"/>
        </w:tabs>
        <w:rPr>
          <w:lang w:val="en-US"/>
        </w:rPr>
      </w:pPr>
      <w:r w:rsidRPr="006F73D8">
        <w:tab/>
      </w:r>
      <w:r w:rsidR="00BD49CB">
        <w:tab/>
      </w:r>
      <w:r w:rsidRPr="006F73D8">
        <w:t>B.</w:t>
      </w:r>
      <w:r w:rsidRPr="006F73D8">
        <w:tab/>
        <w:t xml:space="preserve">Общая политическая структура </w:t>
      </w:r>
      <w:r w:rsidR="0059103B">
        <w:tab/>
      </w:r>
      <w:r w:rsidRPr="006F73D8">
        <w:tab/>
        <w:t xml:space="preserve">11 </w:t>
      </w:r>
      <w:r w:rsidR="00BB3D45">
        <w:t>–</w:t>
      </w:r>
      <w:r w:rsidRPr="006F73D8">
        <w:t xml:space="preserve"> 17</w:t>
      </w:r>
      <w:r w:rsidR="00BB3D45">
        <w:tab/>
      </w:r>
      <w:r w:rsidR="00422297">
        <w:rPr>
          <w:lang w:val="en-US"/>
        </w:rPr>
        <w:t>4</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p>
    <w:p w:rsidR="008E49F2" w:rsidRPr="00422297" w:rsidRDefault="008E49F2" w:rsidP="004B2B8D">
      <w:pPr>
        <w:tabs>
          <w:tab w:val="clear" w:pos="6237"/>
          <w:tab w:val="decimal" w:pos="567"/>
          <w:tab w:val="left" w:pos="1134"/>
          <w:tab w:val="left" w:pos="1701"/>
          <w:tab w:val="left" w:pos="2268"/>
          <w:tab w:val="right" w:leader="dot" w:pos="7172"/>
          <w:tab w:val="center" w:pos="8039"/>
          <w:tab w:val="center" w:pos="9122"/>
        </w:tabs>
        <w:rPr>
          <w:lang w:val="en-US"/>
        </w:rPr>
      </w:pPr>
      <w:r w:rsidRPr="006F73D8">
        <w:tab/>
      </w:r>
      <w:r w:rsidR="00BD49CB">
        <w:tab/>
      </w:r>
      <w:r w:rsidRPr="006F73D8">
        <w:t>C.</w:t>
      </w:r>
      <w:r w:rsidRPr="006F73D8">
        <w:tab/>
        <w:t xml:space="preserve">Социальные и экономические условия </w:t>
      </w:r>
      <w:r w:rsidR="00BD49CB">
        <w:tab/>
      </w:r>
      <w:r w:rsidRPr="006F73D8">
        <w:tab/>
        <w:t xml:space="preserve">18 </w:t>
      </w:r>
      <w:r w:rsidR="00BB3D45">
        <w:t>–</w:t>
      </w:r>
      <w:r w:rsidRPr="006F73D8">
        <w:t xml:space="preserve"> 28</w:t>
      </w:r>
      <w:r w:rsidR="00BB3D45">
        <w:tab/>
      </w:r>
      <w:r w:rsidR="00422297">
        <w:rPr>
          <w:lang w:val="en-US"/>
        </w:rPr>
        <w:t>6</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p>
    <w:p w:rsidR="008E49F2" w:rsidRPr="00422297" w:rsidRDefault="008E49F2" w:rsidP="00BD49CB">
      <w:pPr>
        <w:tabs>
          <w:tab w:val="clear" w:pos="6237"/>
          <w:tab w:val="decimal" w:pos="567"/>
          <w:tab w:val="left" w:pos="1134"/>
          <w:tab w:val="left" w:pos="1701"/>
          <w:tab w:val="left" w:pos="2268"/>
          <w:tab w:val="right" w:leader="dot" w:pos="7172"/>
          <w:tab w:val="center" w:pos="8039"/>
          <w:tab w:val="center" w:pos="9122"/>
        </w:tabs>
        <w:ind w:left="1701" w:hanging="1701"/>
      </w:pPr>
      <w:r w:rsidRPr="006F73D8">
        <w:tab/>
      </w:r>
      <w:r w:rsidR="00BD49CB">
        <w:tab/>
      </w:r>
      <w:r w:rsidRPr="006F73D8">
        <w:t>D.</w:t>
      </w:r>
      <w:r w:rsidRPr="006F73D8">
        <w:tab/>
        <w:t xml:space="preserve">Общая правовая основа, обеспечивающая </w:t>
      </w:r>
      <w:r w:rsidR="00BD49CB">
        <w:br/>
      </w:r>
      <w:r w:rsidRPr="006F73D8">
        <w:t xml:space="preserve">защиту прав человека </w:t>
      </w:r>
      <w:r w:rsidR="00BD49CB">
        <w:tab/>
      </w:r>
      <w:r w:rsidRPr="006F73D8">
        <w:tab/>
        <w:t xml:space="preserve">29 </w:t>
      </w:r>
      <w:r w:rsidR="006F5D7D">
        <w:t>–</w:t>
      </w:r>
      <w:r w:rsidRPr="006F73D8">
        <w:t xml:space="preserve"> 48</w:t>
      </w:r>
      <w:r w:rsidRPr="006F73D8">
        <w:tab/>
      </w:r>
      <w:r w:rsidR="00422297" w:rsidRPr="00422297">
        <w:t>8</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E.</w:t>
      </w:r>
      <w:r w:rsidR="008E49F2" w:rsidRPr="006F73D8">
        <w:tab/>
        <w:t>Информация и пропаганда</w:t>
      </w:r>
      <w:r>
        <w:t xml:space="preserve"> </w:t>
      </w:r>
      <w:r w:rsidR="008E49F2" w:rsidRPr="006F73D8">
        <w:tab/>
      </w:r>
      <w:r w:rsidR="008E49F2" w:rsidRPr="006F73D8">
        <w:tab/>
        <w:t xml:space="preserve">45 </w:t>
      </w:r>
      <w:r w:rsidR="00BB3D45">
        <w:t>–</w:t>
      </w:r>
      <w:r w:rsidR="008E49F2" w:rsidRPr="006F73D8">
        <w:t xml:space="preserve"> 53</w:t>
      </w:r>
      <w:r w:rsidR="00BB3D45">
        <w:tab/>
      </w:r>
      <w:r w:rsidR="00422297">
        <w:rPr>
          <w:lang w:val="en-US"/>
        </w:rPr>
        <w:t>13</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7F2FD5">
        <w:rPr>
          <w:b/>
        </w:rPr>
        <w:t>II.</w:t>
      </w:r>
      <w:r w:rsidR="008E49F2" w:rsidRPr="007F2FD5">
        <w:rPr>
          <w:b/>
        </w:rPr>
        <w:tab/>
        <w:t>ИНФОРМАЦИЯ ОБ ОСУЩЕСТВЛЕНИИ ПАКТА</w:t>
      </w:r>
      <w:r w:rsidR="008E49F2" w:rsidRPr="006F73D8">
        <w:t xml:space="preserve"> </w:t>
      </w:r>
      <w:r>
        <w:tab/>
      </w:r>
      <w:r w:rsidR="008E49F2" w:rsidRPr="006F73D8">
        <w:tab/>
      </w:r>
      <w:r w:rsidR="006F5D7D">
        <w:t xml:space="preserve">  </w:t>
      </w:r>
      <w:r w:rsidR="007F2FD5">
        <w:t xml:space="preserve"> </w:t>
      </w:r>
      <w:r w:rsidR="008E49F2" w:rsidRPr="006F73D8">
        <w:t xml:space="preserve">54 </w:t>
      </w:r>
      <w:r w:rsidR="00BB3D45">
        <w:t>–</w:t>
      </w:r>
      <w:r w:rsidR="008E49F2" w:rsidRPr="006F73D8">
        <w:t xml:space="preserve"> 1041</w:t>
      </w:r>
      <w:r>
        <w:tab/>
      </w:r>
      <w:r w:rsidR="00422297">
        <w:rPr>
          <w:lang w:val="en-US"/>
        </w:rPr>
        <w:t>14</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A.</w:t>
      </w:r>
      <w:r w:rsidR="008E49F2" w:rsidRPr="006F73D8">
        <w:tab/>
        <w:t>Статья 1</w:t>
      </w:r>
      <w:r>
        <w:t xml:space="preserve"> </w:t>
      </w:r>
      <w:r>
        <w:tab/>
      </w:r>
      <w:r w:rsidR="008E49F2" w:rsidRPr="006F73D8">
        <w:tab/>
        <w:t xml:space="preserve">54 </w:t>
      </w:r>
      <w:r w:rsidR="00BB3D45">
        <w:t>–</w:t>
      </w:r>
      <w:r w:rsidR="008E49F2" w:rsidRPr="006F73D8">
        <w:t xml:space="preserve"> 57</w:t>
      </w:r>
      <w:r w:rsidR="00BB3D45">
        <w:tab/>
      </w:r>
      <w:r w:rsidR="00422297">
        <w:rPr>
          <w:lang w:val="en-US"/>
        </w:rPr>
        <w:t>14</w:t>
      </w: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B.</w:t>
      </w:r>
      <w:r w:rsidR="008E49F2" w:rsidRPr="006F73D8">
        <w:tab/>
        <w:t xml:space="preserve">Статья 2 </w:t>
      </w:r>
      <w:r>
        <w:tab/>
      </w:r>
      <w:r>
        <w:tab/>
      </w:r>
      <w:r w:rsidR="008E49F2" w:rsidRPr="006F73D8">
        <w:t xml:space="preserve">58 </w:t>
      </w:r>
      <w:r w:rsidR="00BB3D45">
        <w:t>–</w:t>
      </w:r>
      <w:r w:rsidR="008E49F2" w:rsidRPr="006F73D8">
        <w:t xml:space="preserve"> 59</w:t>
      </w:r>
      <w:r w:rsidR="00BB3D45">
        <w:tab/>
      </w:r>
      <w:r w:rsidR="00422297">
        <w:rPr>
          <w:lang w:val="en-US"/>
        </w:rPr>
        <w:t>14</w:t>
      </w: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C.</w:t>
      </w:r>
      <w:r w:rsidR="008E49F2" w:rsidRPr="006F73D8">
        <w:tab/>
        <w:t xml:space="preserve">Статья 3 </w:t>
      </w:r>
      <w:r w:rsidR="008E49F2" w:rsidRPr="006F73D8">
        <w:tab/>
      </w:r>
      <w:r>
        <w:tab/>
      </w:r>
      <w:r w:rsidR="008E49F2" w:rsidRPr="006F73D8">
        <w:t xml:space="preserve">60 </w:t>
      </w:r>
      <w:r w:rsidR="006F5D7D">
        <w:t xml:space="preserve">– </w:t>
      </w:r>
      <w:r w:rsidR="008E49F2" w:rsidRPr="006F73D8">
        <w:t>75</w:t>
      </w:r>
      <w:r w:rsidR="00BB3D45">
        <w:tab/>
      </w:r>
      <w:r w:rsidR="00422297">
        <w:rPr>
          <w:lang w:val="en-US"/>
        </w:rPr>
        <w:t>15</w:t>
      </w: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D.</w:t>
      </w:r>
      <w:r w:rsidR="008E49F2" w:rsidRPr="006F73D8">
        <w:tab/>
        <w:t xml:space="preserve">Статья 4 </w:t>
      </w:r>
      <w:r>
        <w:tab/>
      </w:r>
      <w:r w:rsidR="008E49F2" w:rsidRPr="006F73D8">
        <w:tab/>
        <w:t>76</w:t>
      </w:r>
      <w:r w:rsidR="00BB3D45">
        <w:tab/>
      </w:r>
      <w:r w:rsidR="00422297">
        <w:rPr>
          <w:lang w:val="en-US"/>
        </w:rPr>
        <w:t>18</w:t>
      </w:r>
    </w:p>
    <w:p w:rsidR="008E49F2" w:rsidRPr="00132F45"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E.</w:t>
      </w:r>
      <w:r w:rsidR="008E49F2" w:rsidRPr="006F73D8">
        <w:tab/>
        <w:t xml:space="preserve">Статьи 5 и 6 </w:t>
      </w:r>
      <w:r>
        <w:tab/>
      </w:r>
      <w:r w:rsidR="008E49F2" w:rsidRPr="006F73D8">
        <w:tab/>
      </w:r>
      <w:r w:rsidR="006F5D7D">
        <w:t xml:space="preserve"> </w:t>
      </w:r>
      <w:r w:rsidR="008E49F2" w:rsidRPr="006F73D8">
        <w:t xml:space="preserve">77 </w:t>
      </w:r>
      <w:r w:rsidR="00BB3D45">
        <w:t>–</w:t>
      </w:r>
      <w:r w:rsidR="008E49F2" w:rsidRPr="006F73D8">
        <w:t xml:space="preserve"> 187</w:t>
      </w:r>
      <w:r w:rsidR="00BB3D45">
        <w:tab/>
      </w:r>
      <w:r w:rsidR="00132F45">
        <w:rPr>
          <w:lang w:val="en-US"/>
        </w:rPr>
        <w:t>18</w:t>
      </w: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F.</w:t>
      </w:r>
      <w:r w:rsidR="008E49F2" w:rsidRPr="006F73D8">
        <w:tab/>
        <w:t xml:space="preserve">Статья 7 </w:t>
      </w:r>
      <w:r>
        <w:tab/>
      </w:r>
      <w:r w:rsidR="008E49F2" w:rsidRPr="006F73D8">
        <w:tab/>
        <w:t xml:space="preserve">188 </w:t>
      </w:r>
      <w:r>
        <w:t>–</w:t>
      </w:r>
      <w:r w:rsidR="008E49F2" w:rsidRPr="006F73D8">
        <w:t xml:space="preserve"> 249</w:t>
      </w:r>
      <w:r>
        <w:tab/>
      </w:r>
      <w:r w:rsidR="00132F45">
        <w:rPr>
          <w:lang w:val="en-US"/>
        </w:rPr>
        <w:t>50</w:t>
      </w: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G.</w:t>
      </w:r>
      <w:r w:rsidR="008E49F2" w:rsidRPr="006F73D8">
        <w:tab/>
        <w:t xml:space="preserve">Статья 8 </w:t>
      </w:r>
      <w:r>
        <w:tab/>
      </w:r>
      <w:r>
        <w:tab/>
      </w:r>
      <w:r w:rsidR="008E49F2" w:rsidRPr="006F73D8">
        <w:t xml:space="preserve">250 </w:t>
      </w:r>
      <w:r>
        <w:t>–</w:t>
      </w:r>
      <w:r w:rsidR="008E49F2" w:rsidRPr="006F73D8">
        <w:t xml:space="preserve"> 311</w:t>
      </w:r>
      <w:r>
        <w:tab/>
      </w:r>
      <w:r w:rsidR="00132F45">
        <w:rPr>
          <w:lang w:val="en-US"/>
        </w:rPr>
        <w:t>65</w:t>
      </w: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H.</w:t>
      </w:r>
      <w:r w:rsidR="008E49F2" w:rsidRPr="006F73D8">
        <w:tab/>
        <w:t xml:space="preserve">Статья 9 </w:t>
      </w:r>
      <w:r w:rsidR="008E49F2" w:rsidRPr="006F73D8">
        <w:tab/>
      </w:r>
      <w:r>
        <w:tab/>
      </w:r>
      <w:r w:rsidR="008E49F2" w:rsidRPr="006F73D8">
        <w:t xml:space="preserve">312 </w:t>
      </w:r>
      <w:r>
        <w:t>–</w:t>
      </w:r>
      <w:r w:rsidR="008E49F2" w:rsidRPr="006F73D8">
        <w:t xml:space="preserve"> 402</w:t>
      </w:r>
      <w:r>
        <w:tab/>
      </w:r>
      <w:r w:rsidR="00132F45">
        <w:rPr>
          <w:lang w:val="en-US"/>
        </w:rPr>
        <w:t>81</w:t>
      </w: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I.</w:t>
      </w:r>
      <w:r w:rsidR="008E49F2" w:rsidRPr="006F73D8">
        <w:tab/>
        <w:t xml:space="preserve">Статья 10 </w:t>
      </w:r>
      <w:r w:rsidR="008E49F2" w:rsidRPr="006F73D8">
        <w:tab/>
      </w:r>
      <w:r>
        <w:tab/>
      </w:r>
      <w:r w:rsidR="008E49F2" w:rsidRPr="006F73D8">
        <w:t xml:space="preserve">403 </w:t>
      </w:r>
      <w:r>
        <w:t>–</w:t>
      </w:r>
      <w:r w:rsidR="008E49F2" w:rsidRPr="006F73D8">
        <w:t xml:space="preserve"> 491</w:t>
      </w:r>
      <w:r>
        <w:tab/>
      </w:r>
      <w:r w:rsidR="00132F45">
        <w:rPr>
          <w:lang w:val="en-US"/>
        </w:rPr>
        <w:t>102</w:t>
      </w: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J.</w:t>
      </w:r>
      <w:r w:rsidR="008E49F2" w:rsidRPr="006F73D8">
        <w:tab/>
        <w:t xml:space="preserve">Статья 11 </w:t>
      </w:r>
      <w:r w:rsidR="008E49F2" w:rsidRPr="006F73D8">
        <w:tab/>
      </w:r>
      <w:r>
        <w:tab/>
      </w:r>
      <w:r w:rsidR="008E49F2" w:rsidRPr="006F73D8">
        <w:t xml:space="preserve">492 </w:t>
      </w:r>
      <w:r>
        <w:t>–</w:t>
      </w:r>
      <w:r w:rsidR="008E49F2" w:rsidRPr="006F73D8">
        <w:t xml:space="preserve"> 696</w:t>
      </w:r>
      <w:r>
        <w:tab/>
      </w:r>
      <w:r w:rsidR="00422297">
        <w:rPr>
          <w:lang w:val="en-US"/>
        </w:rPr>
        <w:t>128</w:t>
      </w:r>
    </w:p>
    <w:p w:rsidR="008E49F2" w:rsidRPr="00422297" w:rsidRDefault="00BD49CB" w:rsidP="004B2B8D">
      <w:pPr>
        <w:tabs>
          <w:tab w:val="clear" w:pos="6237"/>
          <w:tab w:val="decimal" w:pos="567"/>
          <w:tab w:val="left" w:pos="1134"/>
          <w:tab w:val="left" w:pos="1701"/>
          <w:tab w:val="left" w:pos="2268"/>
          <w:tab w:val="right" w:leader="dot" w:pos="7172"/>
          <w:tab w:val="center" w:pos="8039"/>
          <w:tab w:val="center" w:pos="9122"/>
        </w:tabs>
        <w:rPr>
          <w:lang w:val="en-US"/>
        </w:rPr>
      </w:pPr>
      <w:r>
        <w:tab/>
      </w:r>
      <w:r w:rsidR="008E49F2" w:rsidRPr="006F73D8">
        <w:tab/>
        <w:t>K.</w:t>
      </w:r>
      <w:r w:rsidR="008E49F2" w:rsidRPr="006F73D8">
        <w:tab/>
        <w:t xml:space="preserve">Статья 12 </w:t>
      </w:r>
      <w:r w:rsidR="008E49F2" w:rsidRPr="006F73D8">
        <w:tab/>
      </w:r>
      <w:r>
        <w:tab/>
      </w:r>
      <w:r w:rsidR="008E49F2" w:rsidRPr="006F73D8">
        <w:t xml:space="preserve">697 </w:t>
      </w:r>
      <w:r>
        <w:t>–</w:t>
      </w:r>
      <w:r w:rsidR="008E49F2" w:rsidRPr="006F73D8">
        <w:t xml:space="preserve"> 852</w:t>
      </w:r>
      <w:r>
        <w:tab/>
      </w:r>
      <w:r w:rsidR="00422297">
        <w:rPr>
          <w:lang w:val="en-US"/>
        </w:rPr>
        <w:t>180</w:t>
      </w:r>
    </w:p>
    <w:p w:rsidR="008E49F2" w:rsidRPr="00422297" w:rsidRDefault="008E49F2" w:rsidP="004B2B8D">
      <w:pPr>
        <w:tabs>
          <w:tab w:val="clear" w:pos="6237"/>
          <w:tab w:val="decimal" w:pos="567"/>
          <w:tab w:val="left" w:pos="1134"/>
          <w:tab w:val="left" w:pos="1701"/>
          <w:tab w:val="left" w:pos="2268"/>
          <w:tab w:val="right" w:leader="dot" w:pos="7172"/>
          <w:tab w:val="center" w:pos="8039"/>
          <w:tab w:val="center" w:pos="9122"/>
        </w:tabs>
        <w:rPr>
          <w:lang w:val="en-US"/>
        </w:rPr>
      </w:pPr>
      <w:r w:rsidRPr="006F73D8">
        <w:tab/>
      </w:r>
      <w:r w:rsidR="00BD49CB">
        <w:tab/>
      </w:r>
      <w:r w:rsidRPr="006F73D8">
        <w:t>L.</w:t>
      </w:r>
      <w:r w:rsidRPr="006F73D8">
        <w:tab/>
        <w:t xml:space="preserve">Статья 13 </w:t>
      </w:r>
      <w:r w:rsidRPr="006F73D8">
        <w:tab/>
      </w:r>
      <w:r w:rsidR="00BD49CB">
        <w:tab/>
      </w:r>
      <w:r w:rsidRPr="006F73D8">
        <w:t xml:space="preserve">853 </w:t>
      </w:r>
      <w:r w:rsidR="00BD49CB">
        <w:t>–</w:t>
      </w:r>
      <w:r w:rsidRPr="006F73D8">
        <w:t xml:space="preserve"> 957</w:t>
      </w:r>
      <w:r w:rsidR="00BD49CB">
        <w:tab/>
      </w:r>
      <w:r w:rsidR="00422297">
        <w:rPr>
          <w:lang w:val="en-US"/>
        </w:rPr>
        <w:t>216</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r w:rsidRPr="006F73D8">
        <w:tab/>
      </w:r>
      <w:r w:rsidR="00BD49CB">
        <w:tab/>
      </w:r>
      <w:r w:rsidRPr="006F73D8">
        <w:t>M.</w:t>
      </w:r>
      <w:r w:rsidRPr="006F73D8">
        <w:tab/>
        <w:t xml:space="preserve">Статья 15 </w:t>
      </w:r>
      <w:r w:rsidRPr="006F73D8">
        <w:tab/>
      </w:r>
      <w:r w:rsidR="00BD49CB">
        <w:tab/>
      </w:r>
      <w:r w:rsidR="006F5D7D">
        <w:t xml:space="preserve"> </w:t>
      </w:r>
      <w:r w:rsidR="007F2FD5">
        <w:t xml:space="preserve"> </w:t>
      </w:r>
      <w:r w:rsidRPr="006F73D8">
        <w:t xml:space="preserve">958 </w:t>
      </w:r>
      <w:r w:rsidR="00BD49CB">
        <w:t>–</w:t>
      </w:r>
      <w:r w:rsidRPr="006F73D8">
        <w:t xml:space="preserve"> 1041</w:t>
      </w:r>
      <w:r w:rsidR="00BD49CB">
        <w:tab/>
      </w:r>
      <w:r w:rsidR="00422297">
        <w:rPr>
          <w:lang w:val="en-US"/>
        </w:rPr>
        <w:t>249</w:t>
      </w: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p>
    <w:p w:rsidR="008E49F2" w:rsidRPr="006F73D8" w:rsidRDefault="008E49F2" w:rsidP="004B2B8D">
      <w:pPr>
        <w:tabs>
          <w:tab w:val="clear" w:pos="6237"/>
          <w:tab w:val="decimal" w:pos="567"/>
          <w:tab w:val="left" w:pos="1134"/>
          <w:tab w:val="left" w:pos="1701"/>
          <w:tab w:val="left" w:pos="2268"/>
          <w:tab w:val="right" w:leader="dot" w:pos="7172"/>
          <w:tab w:val="center" w:pos="8039"/>
          <w:tab w:val="center" w:pos="9122"/>
        </w:tabs>
      </w:pPr>
      <w:r w:rsidRPr="006F73D8">
        <w:tab/>
        <w:t>Приложени</w:t>
      </w:r>
      <w:r w:rsidR="00383507">
        <w:t>е</w:t>
      </w:r>
    </w:p>
    <w:p w:rsidR="0093281F" w:rsidRPr="006F73D8" w:rsidRDefault="0093281F" w:rsidP="004B2B8D">
      <w:pPr>
        <w:tabs>
          <w:tab w:val="clear" w:pos="6237"/>
          <w:tab w:val="decimal" w:pos="567"/>
          <w:tab w:val="left" w:pos="1134"/>
          <w:tab w:val="left" w:pos="1701"/>
          <w:tab w:val="left" w:pos="2268"/>
          <w:tab w:val="right" w:leader="dot" w:pos="7172"/>
          <w:tab w:val="center" w:pos="8039"/>
          <w:tab w:val="center" w:pos="9122"/>
        </w:tabs>
      </w:pPr>
    </w:p>
    <w:p w:rsidR="008E49F2" w:rsidRPr="006F5D7D" w:rsidRDefault="008E49F2" w:rsidP="006F5D7D">
      <w:pPr>
        <w:tabs>
          <w:tab w:val="clear" w:pos="6237"/>
          <w:tab w:val="decimal" w:pos="567"/>
          <w:tab w:val="left" w:pos="1134"/>
          <w:tab w:val="left" w:pos="1701"/>
          <w:tab w:val="left" w:pos="2268"/>
          <w:tab w:val="right" w:leader="dot" w:pos="8505"/>
          <w:tab w:val="center" w:pos="8931"/>
          <w:tab w:val="center" w:pos="9122"/>
        </w:tabs>
        <w:rPr>
          <w:b/>
        </w:rPr>
      </w:pPr>
      <w:r w:rsidRPr="006F5D7D">
        <w:rPr>
          <w:b/>
        </w:rPr>
        <w:t xml:space="preserve">Список </w:t>
      </w:r>
      <w:r w:rsidR="00132F45">
        <w:rPr>
          <w:b/>
        </w:rPr>
        <w:t>сокращений</w:t>
      </w:r>
      <w:r w:rsidRPr="006F5D7D">
        <w:rPr>
          <w:b/>
        </w:rPr>
        <w:t xml:space="preserve"> </w:t>
      </w:r>
      <w:r w:rsidR="00BD49CB" w:rsidRPr="006F5D7D">
        <w:tab/>
      </w:r>
      <w:r w:rsidR="00BD49CB" w:rsidRPr="006F5D7D">
        <w:tab/>
      </w:r>
      <w:r w:rsidR="00BD49CB" w:rsidRPr="00132F45">
        <w:tab/>
      </w:r>
      <w:r w:rsidR="00132F45" w:rsidRPr="00132F45">
        <w:t>276</w:t>
      </w:r>
    </w:p>
    <w:p w:rsidR="008E49F2" w:rsidRPr="006F73D8" w:rsidRDefault="00383507" w:rsidP="008E49F2">
      <w:pPr>
        <w:jc w:val="center"/>
        <w:rPr>
          <w:b/>
        </w:rPr>
      </w:pPr>
      <w:r>
        <w:rPr>
          <w:b/>
        </w:rPr>
        <w:br w:type="page"/>
      </w:r>
      <w:r w:rsidR="008E49F2" w:rsidRPr="006F73D8">
        <w:rPr>
          <w:b/>
        </w:rPr>
        <w:t>Введение</w:t>
      </w:r>
    </w:p>
    <w:p w:rsidR="008E49F2" w:rsidRPr="006F73D8" w:rsidRDefault="008E49F2" w:rsidP="008E49F2">
      <w:pPr>
        <w:jc w:val="center"/>
        <w:rPr>
          <w:b/>
        </w:rPr>
      </w:pPr>
    </w:p>
    <w:p w:rsidR="008E49F2" w:rsidRPr="006F73D8" w:rsidRDefault="008E49F2" w:rsidP="00383507">
      <w:pPr>
        <w:spacing w:line="276" w:lineRule="auto"/>
      </w:pPr>
      <w:r w:rsidRPr="006F73D8">
        <w:t>1.</w:t>
      </w:r>
      <w:r w:rsidRPr="006F73D8">
        <w:tab/>
        <w:t>Настоящий первоначальный доклад о</w:t>
      </w:r>
      <w:r w:rsidR="0093281F" w:rsidRPr="006F73D8">
        <w:t>б</w:t>
      </w:r>
      <w:r w:rsidRPr="006F73D8">
        <w:t xml:space="preserve"> осуществлени</w:t>
      </w:r>
      <w:r w:rsidR="0093281F" w:rsidRPr="006F73D8">
        <w:t>и</w:t>
      </w:r>
      <w:r w:rsidRPr="006F73D8">
        <w:t xml:space="preserve"> Международного пакта об экономических, социальных и культурных правах (МПЭСКП) был подготовлен в соответствии </w:t>
      </w:r>
      <w:r w:rsidR="00357DAC">
        <w:t xml:space="preserve">с </w:t>
      </w:r>
      <w:r w:rsidRPr="006F73D8">
        <w:t>утвержденными бывшей Комиссией по правам человека, ныне Комитетом по правам человека, общими руководящими принципами по представлению первоначальных докладов об осуществлении</w:t>
      </w:r>
      <w:r w:rsidR="006F73D8">
        <w:t xml:space="preserve">.  </w:t>
      </w:r>
      <w:r w:rsidRPr="006F73D8">
        <w:t>В</w:t>
      </w:r>
      <w:r w:rsidR="0093281F" w:rsidRPr="006F73D8">
        <w:t xml:space="preserve"> соответствии с </w:t>
      </w:r>
      <w:r w:rsidRPr="006F73D8">
        <w:t>ранее установленн</w:t>
      </w:r>
      <w:r w:rsidR="0093281F" w:rsidRPr="006F73D8">
        <w:t>ым</w:t>
      </w:r>
      <w:r w:rsidRPr="006F73D8">
        <w:t xml:space="preserve"> Экономическим и Социальным Советом трехэтапн</w:t>
      </w:r>
      <w:r w:rsidR="0093281F" w:rsidRPr="006F73D8">
        <w:t>ым</w:t>
      </w:r>
      <w:r w:rsidRPr="006F73D8">
        <w:t xml:space="preserve"> цикл</w:t>
      </w:r>
      <w:r w:rsidR="0093281F" w:rsidRPr="006F73D8">
        <w:t>ом</w:t>
      </w:r>
      <w:r w:rsidRPr="006F73D8">
        <w:t xml:space="preserve"> отчетности, </w:t>
      </w:r>
      <w:r w:rsidR="0093281F" w:rsidRPr="006F73D8">
        <w:t xml:space="preserve">согласно </w:t>
      </w:r>
      <w:r w:rsidRPr="006F73D8">
        <w:t>котор</w:t>
      </w:r>
      <w:r w:rsidR="0093281F" w:rsidRPr="006F73D8">
        <w:t>ому</w:t>
      </w:r>
      <w:r w:rsidRPr="006F73D8">
        <w:t xml:space="preserve"> государствам-участникам надлежало представлять доклады по различным категориям прав через трехлетние интервалы, Филиппины представили следующие доклады о</w:t>
      </w:r>
      <w:r w:rsidR="0093281F" w:rsidRPr="006F73D8">
        <w:t>б</w:t>
      </w:r>
      <w:r w:rsidRPr="006F73D8">
        <w:t xml:space="preserve"> осуществлени</w:t>
      </w:r>
      <w:r w:rsidR="0093281F" w:rsidRPr="006F73D8">
        <w:t>и</w:t>
      </w:r>
      <w:r w:rsidRPr="006F73D8">
        <w:t xml:space="preserve"> МПЭСКП:</w:t>
      </w:r>
    </w:p>
    <w:p w:rsidR="008E49F2" w:rsidRPr="00D21DAE" w:rsidRDefault="008E49F2" w:rsidP="008E49F2">
      <w:pPr>
        <w:rPr>
          <w:sz w:val="20"/>
        </w:rPr>
      </w:pPr>
    </w:p>
    <w:p w:rsidR="008E49F2" w:rsidRPr="006F73D8" w:rsidRDefault="008E49F2" w:rsidP="008E49F2">
      <w:r w:rsidRPr="006F73D8">
        <w:tab/>
        <w:t>a)</w:t>
      </w:r>
      <w:r w:rsidRPr="006F73D8">
        <w:tab/>
        <w:t>HRI/CORE/1/Add.37 (2 февраля 1994 года);</w:t>
      </w:r>
    </w:p>
    <w:p w:rsidR="0093281F" w:rsidRPr="00D21DAE" w:rsidRDefault="0093281F" w:rsidP="008E49F2">
      <w:pPr>
        <w:rPr>
          <w:sz w:val="20"/>
        </w:rPr>
      </w:pPr>
    </w:p>
    <w:p w:rsidR="008E49F2" w:rsidRPr="006F73D8" w:rsidRDefault="008E49F2" w:rsidP="008E49F2">
      <w:r w:rsidRPr="006F73D8">
        <w:tab/>
        <w:t>b)</w:t>
      </w:r>
      <w:r w:rsidRPr="006F73D8">
        <w:tab/>
        <w:t>Первоначальный</w:t>
      </w:r>
      <w:r w:rsidR="0093281F" w:rsidRPr="006F73D8">
        <w:t xml:space="preserve"> доклад</w:t>
      </w:r>
      <w:r w:rsidRPr="006F73D8">
        <w:t xml:space="preserve"> (статьи 6-9)</w:t>
      </w:r>
      <w:r w:rsidR="006F73D8">
        <w:t xml:space="preserve">:  </w:t>
      </w:r>
      <w:r w:rsidRPr="006F73D8">
        <w:t>E/1978/8/Add.4 (28 декабря 1977 года);</w:t>
      </w:r>
    </w:p>
    <w:p w:rsidR="0093281F" w:rsidRPr="00D21DAE" w:rsidRDefault="0093281F" w:rsidP="008E49F2">
      <w:pPr>
        <w:rPr>
          <w:sz w:val="20"/>
        </w:rPr>
      </w:pPr>
    </w:p>
    <w:p w:rsidR="008E49F2" w:rsidRPr="006F73D8" w:rsidRDefault="008E49F2" w:rsidP="0093281F">
      <w:pPr>
        <w:ind w:left="1134" w:hanging="1134"/>
      </w:pPr>
      <w:r w:rsidRPr="006F73D8">
        <w:tab/>
        <w:t>c)</w:t>
      </w:r>
      <w:r w:rsidRPr="006F73D8">
        <w:tab/>
        <w:t xml:space="preserve">Второй </w:t>
      </w:r>
      <w:r w:rsidR="0093281F" w:rsidRPr="006F73D8">
        <w:t xml:space="preserve">периодический доклад </w:t>
      </w:r>
      <w:r w:rsidRPr="006F73D8">
        <w:t>(статьи 6</w:t>
      </w:r>
      <w:r w:rsidR="00357DAC">
        <w:t>-</w:t>
      </w:r>
      <w:r w:rsidRPr="006F73D8">
        <w:t>9)</w:t>
      </w:r>
      <w:r w:rsidR="006F73D8">
        <w:t xml:space="preserve">:  </w:t>
      </w:r>
      <w:r w:rsidRPr="006F73D8">
        <w:t>E/1984/7/Add.4 (1 февраля 1984</w:t>
      </w:r>
      <w:r w:rsidR="00EC67E4">
        <w:t> </w:t>
      </w:r>
      <w:r w:rsidRPr="006F73D8">
        <w:t>года);</w:t>
      </w:r>
      <w:r w:rsidRPr="006F73D8">
        <w:tab/>
      </w:r>
    </w:p>
    <w:p w:rsidR="0093281F" w:rsidRPr="00D21DAE" w:rsidRDefault="0093281F" w:rsidP="008E49F2">
      <w:pPr>
        <w:rPr>
          <w:sz w:val="20"/>
        </w:rPr>
      </w:pPr>
    </w:p>
    <w:p w:rsidR="008E49F2" w:rsidRPr="006F73D8" w:rsidRDefault="008E49F2" w:rsidP="008E49F2">
      <w:r w:rsidRPr="006F73D8">
        <w:tab/>
        <w:t>d)</w:t>
      </w:r>
      <w:r w:rsidRPr="006F73D8">
        <w:tab/>
        <w:t xml:space="preserve">Первоначальный </w:t>
      </w:r>
      <w:r w:rsidR="0093281F" w:rsidRPr="006F73D8">
        <w:t xml:space="preserve">доклад </w:t>
      </w:r>
      <w:r w:rsidRPr="006F73D8">
        <w:t>(статьи 13-15)</w:t>
      </w:r>
      <w:r w:rsidR="006F73D8">
        <w:t xml:space="preserve">:  </w:t>
      </w:r>
      <w:r w:rsidRPr="006F73D8">
        <w:t>E/1988/5/Add.2 (21 июня 1988 года);</w:t>
      </w:r>
    </w:p>
    <w:p w:rsidR="0093281F" w:rsidRPr="00D21DAE" w:rsidRDefault="0093281F" w:rsidP="008E49F2">
      <w:pPr>
        <w:rPr>
          <w:sz w:val="20"/>
        </w:rPr>
      </w:pPr>
    </w:p>
    <w:p w:rsidR="008E49F2" w:rsidRPr="006F73D8" w:rsidRDefault="008E49F2" w:rsidP="0093281F">
      <w:pPr>
        <w:ind w:left="1134" w:hanging="1134"/>
      </w:pPr>
      <w:r w:rsidRPr="006F73D8">
        <w:tab/>
        <w:t>e)</w:t>
      </w:r>
      <w:r w:rsidRPr="006F73D8">
        <w:tab/>
        <w:t xml:space="preserve">Дополнительный </w:t>
      </w:r>
      <w:r w:rsidR="0093281F" w:rsidRPr="006F73D8">
        <w:t xml:space="preserve">доклад </w:t>
      </w:r>
      <w:r w:rsidRPr="006F73D8">
        <w:t>(статьи 13-15)</w:t>
      </w:r>
      <w:r w:rsidR="006F73D8">
        <w:t xml:space="preserve">:  </w:t>
      </w:r>
      <w:r w:rsidRPr="006F73D8">
        <w:t>E/1989/5/Add.7 (28</w:t>
      </w:r>
      <w:r w:rsidR="00C45760" w:rsidRPr="006F73D8">
        <w:t> </w:t>
      </w:r>
      <w:r w:rsidRPr="006F73D8">
        <w:t>февраля</w:t>
      </w:r>
      <w:r w:rsidR="00C45760" w:rsidRPr="006F73D8">
        <w:t xml:space="preserve"> </w:t>
      </w:r>
      <w:r w:rsidRPr="006F73D8">
        <w:t>1992</w:t>
      </w:r>
      <w:r w:rsidR="0093281F" w:rsidRPr="006F73D8">
        <w:t> </w:t>
      </w:r>
      <w:r w:rsidRPr="006F73D8">
        <w:t>года);</w:t>
      </w:r>
    </w:p>
    <w:p w:rsidR="0093281F" w:rsidRPr="00D21DAE" w:rsidRDefault="0093281F" w:rsidP="00D21DAE">
      <w:pPr>
        <w:rPr>
          <w:sz w:val="20"/>
        </w:rPr>
      </w:pPr>
    </w:p>
    <w:p w:rsidR="008E49F2" w:rsidRPr="006F73D8" w:rsidRDefault="008E49F2" w:rsidP="0093281F">
      <w:pPr>
        <w:ind w:left="1134" w:hanging="1134"/>
      </w:pPr>
      <w:r w:rsidRPr="006F73D8">
        <w:tab/>
        <w:t>f)</w:t>
      </w:r>
      <w:r w:rsidRPr="006F73D8">
        <w:tab/>
        <w:t xml:space="preserve">Первоначальный </w:t>
      </w:r>
      <w:r w:rsidR="0093281F" w:rsidRPr="006F73D8">
        <w:t xml:space="preserve">доклад </w:t>
      </w:r>
      <w:r w:rsidRPr="006F73D8">
        <w:t>(статьи 10-12)</w:t>
      </w:r>
      <w:r w:rsidR="006F73D8">
        <w:t xml:space="preserve">:  </w:t>
      </w:r>
      <w:r w:rsidRPr="006F73D8">
        <w:t>E/1986/3/Add.17 (15 сентября 1994</w:t>
      </w:r>
      <w:r w:rsidR="0093281F" w:rsidRPr="006F73D8">
        <w:t> </w:t>
      </w:r>
      <w:r w:rsidR="007F2FD5">
        <w:t>года).</w:t>
      </w:r>
    </w:p>
    <w:p w:rsidR="008E49F2" w:rsidRPr="00D21DAE" w:rsidRDefault="008E49F2" w:rsidP="008E49F2">
      <w:pPr>
        <w:rPr>
          <w:sz w:val="20"/>
        </w:rPr>
      </w:pPr>
    </w:p>
    <w:p w:rsidR="008E49F2" w:rsidRPr="006F73D8" w:rsidRDefault="008E49F2" w:rsidP="00D21DAE">
      <w:pPr>
        <w:spacing w:line="276" w:lineRule="auto"/>
        <w:rPr>
          <w:szCs w:val="24"/>
        </w:rPr>
      </w:pPr>
      <w:r w:rsidRPr="006F73D8">
        <w:rPr>
          <w:szCs w:val="24"/>
        </w:rPr>
        <w:t>2.</w:t>
      </w:r>
      <w:r w:rsidRPr="006F73D8">
        <w:rPr>
          <w:szCs w:val="24"/>
        </w:rPr>
        <w:tab/>
        <w:t>Настоящий доклад состоит из двух частей</w:t>
      </w:r>
      <w:r w:rsidR="006F73D8">
        <w:rPr>
          <w:szCs w:val="24"/>
        </w:rPr>
        <w:t xml:space="preserve">. </w:t>
      </w:r>
      <w:r w:rsidRPr="006F73D8">
        <w:rPr>
          <w:szCs w:val="24"/>
        </w:rPr>
        <w:t xml:space="preserve"> В первой части содержатся сведения о нынешнем положении на </w:t>
      </w:r>
      <w:r w:rsidRPr="00D21DAE">
        <w:t>Филиппинах</w:t>
      </w:r>
      <w:r w:rsidR="006F73D8">
        <w:rPr>
          <w:szCs w:val="24"/>
        </w:rPr>
        <w:t xml:space="preserve">. </w:t>
      </w:r>
      <w:r w:rsidRPr="006F73D8">
        <w:rPr>
          <w:szCs w:val="24"/>
        </w:rPr>
        <w:t xml:space="preserve"> Во второй части представляется конкретная информация об осуществлении положений Пакта.</w:t>
      </w:r>
    </w:p>
    <w:p w:rsidR="00C45760" w:rsidRPr="00D21DAE" w:rsidRDefault="00C45760" w:rsidP="008E49F2">
      <w:pPr>
        <w:rPr>
          <w:sz w:val="20"/>
        </w:rPr>
      </w:pPr>
    </w:p>
    <w:p w:rsidR="008E49F2" w:rsidRPr="006F73D8" w:rsidRDefault="008E49F2" w:rsidP="00D21DAE">
      <w:pPr>
        <w:spacing w:line="276" w:lineRule="auto"/>
        <w:rPr>
          <w:szCs w:val="24"/>
        </w:rPr>
      </w:pPr>
      <w:r w:rsidRPr="006F73D8">
        <w:rPr>
          <w:szCs w:val="24"/>
        </w:rPr>
        <w:t>3.</w:t>
      </w:r>
      <w:r w:rsidRPr="006F73D8">
        <w:rPr>
          <w:szCs w:val="24"/>
        </w:rPr>
        <w:tab/>
        <w:t xml:space="preserve">В настоящем докладе содержится справочная информация о законах, стратегиях, программах и последних </w:t>
      </w:r>
      <w:r w:rsidRPr="00D21DAE">
        <w:t>изменениях</w:t>
      </w:r>
      <w:r w:rsidRPr="006F73D8">
        <w:rPr>
          <w:szCs w:val="24"/>
        </w:rPr>
        <w:t xml:space="preserve">, которые имеют отношение к перечисленным в Пакте правам, о трудностях и проблемах, связанных с их осуществлением, и о перспективах </w:t>
      </w:r>
      <w:r w:rsidR="00C45760" w:rsidRPr="006F73D8">
        <w:rPr>
          <w:szCs w:val="24"/>
        </w:rPr>
        <w:t xml:space="preserve">на </w:t>
      </w:r>
      <w:r w:rsidRPr="006F73D8">
        <w:rPr>
          <w:szCs w:val="24"/>
        </w:rPr>
        <w:t>будуще</w:t>
      </w:r>
      <w:r w:rsidR="00C45760" w:rsidRPr="006F73D8">
        <w:rPr>
          <w:szCs w:val="24"/>
        </w:rPr>
        <w:t>е</w:t>
      </w:r>
      <w:r w:rsidRPr="006F73D8">
        <w:rPr>
          <w:szCs w:val="24"/>
        </w:rPr>
        <w:t>.</w:t>
      </w:r>
    </w:p>
    <w:p w:rsidR="00C45760" w:rsidRPr="00D21DAE" w:rsidRDefault="00C45760" w:rsidP="008E49F2">
      <w:pPr>
        <w:rPr>
          <w:sz w:val="20"/>
        </w:rPr>
      </w:pPr>
    </w:p>
    <w:p w:rsidR="008E49F2" w:rsidRPr="006F73D8" w:rsidRDefault="008E49F2" w:rsidP="00D21DAE">
      <w:pPr>
        <w:spacing w:line="276" w:lineRule="auto"/>
        <w:rPr>
          <w:szCs w:val="24"/>
        </w:rPr>
      </w:pPr>
      <w:r w:rsidRPr="006F73D8">
        <w:rPr>
          <w:szCs w:val="24"/>
        </w:rPr>
        <w:t>4.</w:t>
      </w:r>
      <w:r w:rsidRPr="006F73D8">
        <w:rPr>
          <w:szCs w:val="24"/>
        </w:rPr>
        <w:tab/>
        <w:t xml:space="preserve">Этот доклад был подготовлен Координационным комитетом по правам человека (ККПЧ), созданным в </w:t>
      </w:r>
      <w:r w:rsidRPr="00D21DAE">
        <w:t>соответствии</w:t>
      </w:r>
      <w:r w:rsidRPr="006F73D8">
        <w:rPr>
          <w:szCs w:val="24"/>
        </w:rPr>
        <w:t xml:space="preserve"> с </w:t>
      </w:r>
      <w:r w:rsidR="00C45760" w:rsidRPr="006F73D8">
        <w:rPr>
          <w:szCs w:val="24"/>
        </w:rPr>
        <w:t xml:space="preserve">Административным </w:t>
      </w:r>
      <w:r w:rsidRPr="006F73D8">
        <w:rPr>
          <w:szCs w:val="24"/>
        </w:rPr>
        <w:t>распоряжением № 370 от 10 декабря 1997 года</w:t>
      </w:r>
      <w:r w:rsidR="006F73D8">
        <w:rPr>
          <w:szCs w:val="24"/>
        </w:rPr>
        <w:t xml:space="preserve">. </w:t>
      </w:r>
      <w:r w:rsidRPr="006F73D8">
        <w:rPr>
          <w:szCs w:val="24"/>
        </w:rPr>
        <w:t xml:space="preserve"> Работой ККПЧ руководит министерство иностранных дел (МИД)</w:t>
      </w:r>
      <w:r w:rsidR="008662C2">
        <w:rPr>
          <w:szCs w:val="24"/>
        </w:rPr>
        <w:t xml:space="preserve">; </w:t>
      </w:r>
      <w:r w:rsidRPr="006F73D8">
        <w:rPr>
          <w:szCs w:val="24"/>
        </w:rPr>
        <w:t xml:space="preserve"> в</w:t>
      </w:r>
      <w:r w:rsidR="008662C2">
        <w:rPr>
          <w:szCs w:val="24"/>
        </w:rPr>
        <w:t> </w:t>
      </w:r>
      <w:r w:rsidRPr="006F73D8">
        <w:rPr>
          <w:szCs w:val="24"/>
        </w:rPr>
        <w:t>состав Комитета в качестве членов входят 15 государственных министерств и ведомств.</w:t>
      </w:r>
    </w:p>
    <w:p w:rsidR="008E49F2" w:rsidRPr="006F73D8" w:rsidRDefault="008E49F2" w:rsidP="008E49F2">
      <w:pPr>
        <w:keepNext/>
        <w:jc w:val="center"/>
        <w:rPr>
          <w:b/>
          <w:szCs w:val="24"/>
        </w:rPr>
      </w:pPr>
      <w:r w:rsidRPr="006F73D8">
        <w:rPr>
          <w:b/>
          <w:szCs w:val="24"/>
        </w:rPr>
        <w:t>I.</w:t>
      </w:r>
      <w:r w:rsidRPr="006F73D8">
        <w:rPr>
          <w:b/>
          <w:szCs w:val="24"/>
        </w:rPr>
        <w:tab/>
        <w:t>ОБЩАЯ ИНФОРМАЦИЯ</w:t>
      </w:r>
    </w:p>
    <w:p w:rsidR="00C45760" w:rsidRPr="006F73D8" w:rsidRDefault="00C45760" w:rsidP="008E49F2">
      <w:pPr>
        <w:keepNext/>
        <w:jc w:val="center"/>
        <w:rPr>
          <w:b/>
          <w:szCs w:val="24"/>
        </w:rPr>
      </w:pPr>
    </w:p>
    <w:p w:rsidR="008E49F2" w:rsidRPr="006F73D8" w:rsidRDefault="008E49F2" w:rsidP="008E49F2">
      <w:pPr>
        <w:keepNext/>
        <w:jc w:val="center"/>
        <w:rPr>
          <w:b/>
          <w:szCs w:val="24"/>
        </w:rPr>
      </w:pPr>
      <w:r w:rsidRPr="006F73D8">
        <w:rPr>
          <w:b/>
          <w:szCs w:val="24"/>
        </w:rPr>
        <w:t>A.</w:t>
      </w:r>
      <w:r w:rsidRPr="006F73D8">
        <w:rPr>
          <w:b/>
          <w:szCs w:val="24"/>
        </w:rPr>
        <w:tab/>
      </w:r>
      <w:r w:rsidR="00C45760" w:rsidRPr="006F73D8">
        <w:rPr>
          <w:b/>
          <w:szCs w:val="24"/>
        </w:rPr>
        <w:t>Территория и народонаселение</w:t>
      </w:r>
    </w:p>
    <w:p w:rsidR="00C45760" w:rsidRPr="006F73D8" w:rsidRDefault="00C45760" w:rsidP="008E49F2">
      <w:pPr>
        <w:keepNext/>
        <w:jc w:val="center"/>
        <w:rPr>
          <w:b/>
          <w:szCs w:val="24"/>
        </w:rPr>
      </w:pPr>
    </w:p>
    <w:p w:rsidR="008E49F2" w:rsidRPr="006F73D8" w:rsidRDefault="008E49F2" w:rsidP="008E49F2">
      <w:pPr>
        <w:rPr>
          <w:szCs w:val="24"/>
        </w:rPr>
      </w:pPr>
      <w:r w:rsidRPr="006F73D8">
        <w:rPr>
          <w:szCs w:val="24"/>
        </w:rPr>
        <w:t>5.</w:t>
      </w:r>
      <w:r w:rsidRPr="006F73D8">
        <w:rPr>
          <w:szCs w:val="24"/>
        </w:rPr>
        <w:tab/>
        <w:t>Филиппины </w:t>
      </w:r>
      <w:r w:rsidRPr="006F73D8">
        <w:rPr>
          <w:szCs w:val="24"/>
        </w:rPr>
        <w:noBreakHyphen/>
        <w:t xml:space="preserve"> это архипелаг, расположенный в 966 километрах от юго-восточного побережья материковой Азии</w:t>
      </w:r>
      <w:r w:rsidR="006F73D8">
        <w:rPr>
          <w:szCs w:val="24"/>
        </w:rPr>
        <w:t xml:space="preserve">. </w:t>
      </w:r>
      <w:r w:rsidRPr="006F73D8">
        <w:rPr>
          <w:szCs w:val="24"/>
        </w:rPr>
        <w:t xml:space="preserve"> Страна состоит из 7 107 островов, входящих в три крупные островные группы</w:t>
      </w:r>
      <w:r w:rsidR="006F73D8">
        <w:rPr>
          <w:szCs w:val="24"/>
        </w:rPr>
        <w:t xml:space="preserve">: </w:t>
      </w:r>
      <w:r w:rsidR="00EC67E4">
        <w:rPr>
          <w:szCs w:val="24"/>
        </w:rPr>
        <w:t xml:space="preserve"> </w:t>
      </w:r>
      <w:r w:rsidRPr="006F73D8">
        <w:rPr>
          <w:szCs w:val="24"/>
        </w:rPr>
        <w:t>Лусон площадью 141 395 к</w:t>
      </w:r>
      <w:r w:rsidR="00D6559F">
        <w:rPr>
          <w:szCs w:val="24"/>
        </w:rPr>
        <w:t>м</w:t>
      </w:r>
      <w:r w:rsidR="00D6559F" w:rsidRPr="00D6559F">
        <w:rPr>
          <w:szCs w:val="24"/>
          <w:vertAlign w:val="superscript"/>
        </w:rPr>
        <w:t>2</w:t>
      </w:r>
      <w:r w:rsidRPr="006F73D8">
        <w:rPr>
          <w:szCs w:val="24"/>
        </w:rPr>
        <w:t>, Висаяс площадью 56 606 </w:t>
      </w:r>
      <w:r w:rsidR="00D6559F" w:rsidRPr="006F73D8">
        <w:rPr>
          <w:szCs w:val="24"/>
        </w:rPr>
        <w:t>к</w:t>
      </w:r>
      <w:r w:rsidR="00D6559F">
        <w:rPr>
          <w:szCs w:val="24"/>
        </w:rPr>
        <w:t>м</w:t>
      </w:r>
      <w:r w:rsidR="00D6559F" w:rsidRPr="00D6559F">
        <w:rPr>
          <w:szCs w:val="24"/>
          <w:vertAlign w:val="superscript"/>
        </w:rPr>
        <w:t>2</w:t>
      </w:r>
      <w:r w:rsidRPr="006F73D8">
        <w:rPr>
          <w:szCs w:val="24"/>
        </w:rPr>
        <w:t xml:space="preserve"> и Минданао площадью 101 999 </w:t>
      </w:r>
      <w:r w:rsidR="00D6559F" w:rsidRPr="006F73D8">
        <w:rPr>
          <w:szCs w:val="24"/>
        </w:rPr>
        <w:t>к</w:t>
      </w:r>
      <w:r w:rsidR="00D6559F">
        <w:rPr>
          <w:szCs w:val="24"/>
        </w:rPr>
        <w:t>м</w:t>
      </w:r>
      <w:r w:rsidR="00D6559F" w:rsidRPr="00D6559F">
        <w:rPr>
          <w:szCs w:val="24"/>
          <w:vertAlign w:val="superscript"/>
        </w:rPr>
        <w:t>2</w:t>
      </w:r>
      <w:r w:rsidR="00D6559F">
        <w:rPr>
          <w:szCs w:val="24"/>
        </w:rPr>
        <w:t>;</w:t>
      </w:r>
      <w:r w:rsidRPr="006F73D8">
        <w:rPr>
          <w:szCs w:val="24"/>
        </w:rPr>
        <w:t xml:space="preserve"> </w:t>
      </w:r>
      <w:r w:rsidR="00D6559F">
        <w:rPr>
          <w:szCs w:val="24"/>
        </w:rPr>
        <w:t xml:space="preserve"> </w:t>
      </w:r>
      <w:r w:rsidRPr="006F73D8">
        <w:rPr>
          <w:szCs w:val="24"/>
        </w:rPr>
        <w:t>при</w:t>
      </w:r>
      <w:r w:rsidR="00C45760" w:rsidRPr="006F73D8">
        <w:rPr>
          <w:szCs w:val="24"/>
        </w:rPr>
        <w:t xml:space="preserve"> этом</w:t>
      </w:r>
      <w:r w:rsidRPr="006F73D8">
        <w:rPr>
          <w:szCs w:val="24"/>
        </w:rPr>
        <w:t xml:space="preserve"> 92,3% общей площади суши приходится на 11 наиболее крупных островов</w:t>
      </w:r>
      <w:r w:rsidR="006F73D8">
        <w:rPr>
          <w:szCs w:val="24"/>
        </w:rPr>
        <w:t xml:space="preserve">. </w:t>
      </w:r>
      <w:r w:rsidRPr="006F73D8">
        <w:rPr>
          <w:szCs w:val="24"/>
        </w:rPr>
        <w:t xml:space="preserve"> Общая площадь суши составляет приблизительно 300 000</w:t>
      </w:r>
      <w:r w:rsidR="00D6559F">
        <w:rPr>
          <w:szCs w:val="24"/>
        </w:rPr>
        <w:t> </w:t>
      </w:r>
      <w:r w:rsidR="00D6559F" w:rsidRPr="006F73D8">
        <w:rPr>
          <w:szCs w:val="24"/>
        </w:rPr>
        <w:t>к</w:t>
      </w:r>
      <w:r w:rsidR="00D6559F">
        <w:rPr>
          <w:szCs w:val="24"/>
        </w:rPr>
        <w:t>м</w:t>
      </w:r>
      <w:r w:rsidR="00D6559F" w:rsidRPr="00D6559F">
        <w:rPr>
          <w:szCs w:val="24"/>
          <w:vertAlign w:val="superscript"/>
        </w:rPr>
        <w:t>2</w:t>
      </w:r>
      <w:r w:rsidR="006F73D8">
        <w:rPr>
          <w:szCs w:val="24"/>
        </w:rPr>
        <w:t xml:space="preserve">. </w:t>
      </w:r>
      <w:r w:rsidRPr="006F73D8">
        <w:rPr>
          <w:szCs w:val="24"/>
        </w:rPr>
        <w:t xml:space="preserve"> Страна делится на 15 административных районов, 76 провинций, в ней насчитывается 60 городов, 1 543 муниципалитета и 41 911 </w:t>
      </w:r>
      <w:r w:rsidRPr="006F73D8">
        <w:rPr>
          <w:i/>
          <w:szCs w:val="24"/>
        </w:rPr>
        <w:t>барангаев</w:t>
      </w:r>
      <w:r w:rsidRPr="006F73D8">
        <w:rPr>
          <w:szCs w:val="24"/>
        </w:rPr>
        <w:t xml:space="preserve"> (деревень).</w:t>
      </w:r>
    </w:p>
    <w:p w:rsidR="00C45760" w:rsidRPr="006F73D8" w:rsidRDefault="00C45760" w:rsidP="008E49F2">
      <w:pPr>
        <w:rPr>
          <w:szCs w:val="24"/>
        </w:rPr>
      </w:pPr>
    </w:p>
    <w:p w:rsidR="008E49F2" w:rsidRPr="006F73D8" w:rsidRDefault="008E49F2" w:rsidP="008E49F2">
      <w:pPr>
        <w:rPr>
          <w:szCs w:val="24"/>
        </w:rPr>
      </w:pPr>
      <w:r w:rsidRPr="006F73D8">
        <w:rPr>
          <w:szCs w:val="24"/>
        </w:rPr>
        <w:t>6.</w:t>
      </w:r>
      <w:r w:rsidRPr="006F73D8">
        <w:rPr>
          <w:szCs w:val="24"/>
        </w:rPr>
        <w:tab/>
        <w:t>По своим расовым признакам филиппинцы относятся к малайскому типу</w:t>
      </w:r>
      <w:r w:rsidR="006F73D8">
        <w:rPr>
          <w:szCs w:val="24"/>
        </w:rPr>
        <w:t xml:space="preserve">.  </w:t>
      </w:r>
      <w:r w:rsidRPr="006F73D8">
        <w:rPr>
          <w:szCs w:val="24"/>
        </w:rPr>
        <w:t xml:space="preserve"> Национальная культура сформировалась под воздействием малайских, китайских, японских, арабских, испанских и американских культурных традиций.</w:t>
      </w:r>
    </w:p>
    <w:p w:rsidR="00C45760" w:rsidRPr="006F73D8" w:rsidRDefault="00C45760" w:rsidP="008E49F2">
      <w:pPr>
        <w:rPr>
          <w:szCs w:val="24"/>
        </w:rPr>
      </w:pPr>
    </w:p>
    <w:p w:rsidR="008E49F2" w:rsidRPr="006F73D8" w:rsidRDefault="008E49F2" w:rsidP="008E49F2">
      <w:pPr>
        <w:rPr>
          <w:szCs w:val="24"/>
        </w:rPr>
      </w:pPr>
      <w:r w:rsidRPr="006F73D8">
        <w:rPr>
          <w:szCs w:val="24"/>
        </w:rPr>
        <w:t>7.</w:t>
      </w:r>
      <w:r w:rsidRPr="006F73D8">
        <w:rPr>
          <w:szCs w:val="24"/>
        </w:rPr>
        <w:tab/>
        <w:t>В стране существует 110 этнолингвистических групп, представители которых говорят по меньшей мере на 70 зарегистрированных языках</w:t>
      </w:r>
      <w:r w:rsidR="006F73D8">
        <w:rPr>
          <w:szCs w:val="24"/>
        </w:rPr>
        <w:t xml:space="preserve">. </w:t>
      </w:r>
      <w:r w:rsidRPr="006F73D8">
        <w:rPr>
          <w:szCs w:val="24"/>
        </w:rPr>
        <w:t xml:space="preserve"> Основных языков </w:t>
      </w:r>
      <w:r w:rsidRPr="006F73D8">
        <w:rPr>
          <w:szCs w:val="24"/>
        </w:rPr>
        <w:noBreakHyphen/>
        <w:t xml:space="preserve"> </w:t>
      </w:r>
      <w:r w:rsidR="00C45760" w:rsidRPr="006F73D8">
        <w:rPr>
          <w:szCs w:val="24"/>
        </w:rPr>
        <w:t>восемь</w:t>
      </w:r>
      <w:r w:rsidRPr="006F73D8">
        <w:rPr>
          <w:szCs w:val="24"/>
        </w:rPr>
        <w:t>, при этом государственным языком является филиппинский, а официальными рабочими языками </w:t>
      </w:r>
      <w:r w:rsidRPr="006F73D8">
        <w:rPr>
          <w:szCs w:val="24"/>
        </w:rPr>
        <w:noBreakHyphen/>
        <w:t xml:space="preserve"> филиппинский и английский.</w:t>
      </w:r>
    </w:p>
    <w:p w:rsidR="00C45760" w:rsidRPr="006F73D8" w:rsidRDefault="00C45760" w:rsidP="008E49F2">
      <w:pPr>
        <w:rPr>
          <w:szCs w:val="24"/>
        </w:rPr>
      </w:pPr>
    </w:p>
    <w:p w:rsidR="008E49F2" w:rsidRPr="006F73D8" w:rsidRDefault="008E49F2" w:rsidP="008E49F2">
      <w:pPr>
        <w:rPr>
          <w:szCs w:val="24"/>
        </w:rPr>
      </w:pPr>
      <w:r w:rsidRPr="006F73D8">
        <w:rPr>
          <w:szCs w:val="24"/>
        </w:rPr>
        <w:t>8.</w:t>
      </w:r>
      <w:r w:rsidRPr="006F73D8">
        <w:rPr>
          <w:szCs w:val="24"/>
        </w:rPr>
        <w:tab/>
        <w:t>Христианство (в основном католицизм) исповедуют 85% филиппинцев</w:t>
      </w:r>
      <w:r w:rsidR="006F73D8">
        <w:rPr>
          <w:szCs w:val="24"/>
        </w:rPr>
        <w:t xml:space="preserve">.  </w:t>
      </w:r>
      <w:r w:rsidRPr="006F73D8">
        <w:rPr>
          <w:szCs w:val="24"/>
        </w:rPr>
        <w:t>Немногим более 10% населения исповедуют ислам, а остальные принадлежат к другим религиям или сектам.</w:t>
      </w:r>
    </w:p>
    <w:p w:rsidR="00C45760" w:rsidRPr="006F73D8" w:rsidRDefault="00C45760" w:rsidP="008E49F2">
      <w:pPr>
        <w:rPr>
          <w:szCs w:val="24"/>
        </w:rPr>
      </w:pPr>
    </w:p>
    <w:p w:rsidR="008E49F2" w:rsidRPr="006F73D8" w:rsidRDefault="008E49F2" w:rsidP="008E49F2">
      <w:pPr>
        <w:rPr>
          <w:szCs w:val="24"/>
        </w:rPr>
      </w:pPr>
      <w:r w:rsidRPr="006F73D8">
        <w:rPr>
          <w:szCs w:val="24"/>
        </w:rPr>
        <w:t>9.</w:t>
      </w:r>
      <w:r w:rsidRPr="006F73D8">
        <w:rPr>
          <w:szCs w:val="24"/>
        </w:rPr>
        <w:tab/>
        <w:t>По состоянию на 2005 год население Филиппин</w:t>
      </w:r>
      <w:r w:rsidR="00D6559F">
        <w:rPr>
          <w:szCs w:val="24"/>
        </w:rPr>
        <w:t>,</w:t>
      </w:r>
      <w:r w:rsidRPr="006F73D8">
        <w:rPr>
          <w:szCs w:val="24"/>
        </w:rPr>
        <w:t xml:space="preserve"> согласно оценкам</w:t>
      </w:r>
      <w:r w:rsidR="00D6559F">
        <w:rPr>
          <w:szCs w:val="24"/>
        </w:rPr>
        <w:t>,</w:t>
      </w:r>
      <w:r w:rsidRPr="006F73D8">
        <w:rPr>
          <w:szCs w:val="24"/>
        </w:rPr>
        <w:t xml:space="preserve"> насчитывало 88,5 млн</w:t>
      </w:r>
      <w:r w:rsidR="006F73D8">
        <w:rPr>
          <w:szCs w:val="24"/>
        </w:rPr>
        <w:t xml:space="preserve">. </w:t>
      </w:r>
      <w:r w:rsidRPr="006F73D8">
        <w:rPr>
          <w:szCs w:val="24"/>
        </w:rPr>
        <w:t>человек</w:t>
      </w:r>
      <w:r w:rsidR="006F73D8">
        <w:rPr>
          <w:szCs w:val="24"/>
        </w:rPr>
        <w:t xml:space="preserve">. </w:t>
      </w:r>
      <w:r w:rsidRPr="006F73D8">
        <w:rPr>
          <w:szCs w:val="24"/>
        </w:rPr>
        <w:t xml:space="preserve"> При ежегодных темпах прироста в 2,11% ожидается, что в 2015 году численность населения страны достигнет 102,8 млн</w:t>
      </w:r>
      <w:r w:rsidR="006F73D8">
        <w:rPr>
          <w:szCs w:val="24"/>
        </w:rPr>
        <w:t xml:space="preserve">.  </w:t>
      </w:r>
      <w:r w:rsidRPr="006F73D8">
        <w:rPr>
          <w:szCs w:val="24"/>
        </w:rPr>
        <w:t>человек.</w:t>
      </w:r>
    </w:p>
    <w:p w:rsidR="00C45760" w:rsidRPr="006F73D8" w:rsidRDefault="00C45760" w:rsidP="008E49F2">
      <w:pPr>
        <w:rPr>
          <w:szCs w:val="24"/>
        </w:rPr>
      </w:pPr>
    </w:p>
    <w:p w:rsidR="008E49F2" w:rsidRDefault="008E49F2" w:rsidP="008E49F2">
      <w:pPr>
        <w:rPr>
          <w:szCs w:val="24"/>
        </w:rPr>
      </w:pPr>
      <w:r w:rsidRPr="006F73D8">
        <w:rPr>
          <w:szCs w:val="24"/>
        </w:rPr>
        <w:t>10.</w:t>
      </w:r>
      <w:r w:rsidRPr="006F73D8">
        <w:rPr>
          <w:szCs w:val="24"/>
        </w:rPr>
        <w:tab/>
        <w:t>Плотность населения составляет 246 человек на 1 </w:t>
      </w:r>
      <w:r w:rsidR="00D6559F" w:rsidRPr="006F73D8">
        <w:rPr>
          <w:szCs w:val="24"/>
        </w:rPr>
        <w:t>к</w:t>
      </w:r>
      <w:r w:rsidR="00D6559F">
        <w:rPr>
          <w:szCs w:val="24"/>
        </w:rPr>
        <w:t>м</w:t>
      </w:r>
      <w:r w:rsidR="00D6559F" w:rsidRPr="00D6559F">
        <w:rPr>
          <w:szCs w:val="24"/>
          <w:vertAlign w:val="superscript"/>
        </w:rPr>
        <w:t>2</w:t>
      </w:r>
      <w:r w:rsidRPr="006F73D8">
        <w:rPr>
          <w:szCs w:val="24"/>
        </w:rPr>
        <w:t>, и примерно половина населения сосредоточена в городах, расположенных по всей стране</w:t>
      </w:r>
      <w:r w:rsidR="006F73D8">
        <w:rPr>
          <w:szCs w:val="24"/>
        </w:rPr>
        <w:t xml:space="preserve">. </w:t>
      </w:r>
      <w:r w:rsidRPr="006F73D8">
        <w:rPr>
          <w:szCs w:val="24"/>
        </w:rPr>
        <w:t xml:space="preserve"> Это -</w:t>
      </w:r>
      <w:r w:rsidR="004A4062">
        <w:rPr>
          <w:szCs w:val="24"/>
        </w:rPr>
        <w:t xml:space="preserve"> </w:t>
      </w:r>
      <w:r w:rsidRPr="006F73D8">
        <w:rPr>
          <w:szCs w:val="24"/>
        </w:rPr>
        <w:t>результат быстрой урбанизации, вызванной в основном миграцией сельского населения в города.</w:t>
      </w:r>
    </w:p>
    <w:p w:rsidR="008662C2" w:rsidRPr="006F73D8" w:rsidRDefault="008662C2" w:rsidP="008E49F2">
      <w:pPr>
        <w:rPr>
          <w:szCs w:val="24"/>
        </w:rPr>
      </w:pPr>
    </w:p>
    <w:p w:rsidR="008E49F2" w:rsidRPr="006F73D8" w:rsidRDefault="008E49F2" w:rsidP="008E49F2">
      <w:pPr>
        <w:keepNext/>
        <w:jc w:val="center"/>
        <w:rPr>
          <w:b/>
          <w:szCs w:val="24"/>
        </w:rPr>
      </w:pPr>
      <w:r w:rsidRPr="006F73D8">
        <w:rPr>
          <w:b/>
          <w:szCs w:val="24"/>
        </w:rPr>
        <w:t>B.</w:t>
      </w:r>
      <w:r w:rsidRPr="006F73D8">
        <w:rPr>
          <w:b/>
          <w:szCs w:val="24"/>
        </w:rPr>
        <w:tab/>
        <w:t>Общая политическая структура</w:t>
      </w:r>
    </w:p>
    <w:p w:rsidR="005F167B" w:rsidRPr="006F73D8" w:rsidRDefault="005F167B" w:rsidP="008E49F2">
      <w:pPr>
        <w:keepNext/>
        <w:jc w:val="center"/>
        <w:rPr>
          <w:b/>
          <w:szCs w:val="24"/>
        </w:rPr>
      </w:pPr>
    </w:p>
    <w:p w:rsidR="008E49F2" w:rsidRPr="006F73D8" w:rsidRDefault="008E49F2" w:rsidP="008E49F2">
      <w:pPr>
        <w:rPr>
          <w:szCs w:val="24"/>
        </w:rPr>
      </w:pPr>
      <w:r w:rsidRPr="006F73D8">
        <w:rPr>
          <w:szCs w:val="24"/>
        </w:rPr>
        <w:t>11.</w:t>
      </w:r>
      <w:r w:rsidRPr="006F73D8">
        <w:rPr>
          <w:szCs w:val="24"/>
        </w:rPr>
        <w:tab/>
        <w:t>Республика Филиппины представляет собой демократическую республику с президентской формой правления.</w:t>
      </w:r>
    </w:p>
    <w:p w:rsidR="005F167B" w:rsidRPr="006F73D8" w:rsidRDefault="005F167B" w:rsidP="008E49F2">
      <w:pPr>
        <w:rPr>
          <w:szCs w:val="24"/>
        </w:rPr>
      </w:pPr>
    </w:p>
    <w:p w:rsidR="008E49F2" w:rsidRPr="006F73D8" w:rsidRDefault="008E49F2" w:rsidP="008E49F2">
      <w:r w:rsidRPr="006F73D8">
        <w:rPr>
          <w:szCs w:val="24"/>
        </w:rPr>
        <w:t>12.</w:t>
      </w:r>
      <w:r w:rsidRPr="006F73D8">
        <w:rPr>
          <w:szCs w:val="24"/>
        </w:rPr>
        <w:tab/>
        <w:t>Исполнительная власть осуществляется президентом Филиппин при содействии министров его кабинета</w:t>
      </w:r>
      <w:r w:rsidR="006F73D8">
        <w:rPr>
          <w:szCs w:val="24"/>
        </w:rPr>
        <w:t xml:space="preserve">.  </w:t>
      </w:r>
      <w:r w:rsidRPr="006F73D8">
        <w:rPr>
          <w:szCs w:val="24"/>
        </w:rPr>
        <w:t xml:space="preserve"> Президент является одновременно главой государства и правительства</w:t>
      </w:r>
      <w:r w:rsidR="006F73D8">
        <w:rPr>
          <w:szCs w:val="24"/>
        </w:rPr>
        <w:t xml:space="preserve">.  </w:t>
      </w:r>
      <w:r w:rsidRPr="006F73D8">
        <w:rPr>
          <w:szCs w:val="24"/>
        </w:rPr>
        <w:t xml:space="preserve"> Вице-президент оказывает содействие президенту в исполнении его обязанностей и функций и может быть назначен руководителем одного из министерств.</w:t>
      </w:r>
    </w:p>
    <w:p w:rsidR="008662C2" w:rsidRDefault="008662C2" w:rsidP="008662C2"/>
    <w:p w:rsidR="008662C2" w:rsidRDefault="008662C2" w:rsidP="008662C2">
      <w:pPr>
        <w:rPr>
          <w:szCs w:val="24"/>
        </w:rPr>
      </w:pPr>
      <w:r w:rsidRPr="00D142CC">
        <w:rPr>
          <w:szCs w:val="24"/>
        </w:rPr>
        <w:t>13.</w:t>
      </w:r>
      <w:r w:rsidRPr="00D142CC">
        <w:rPr>
          <w:szCs w:val="24"/>
        </w:rPr>
        <w:tab/>
      </w:r>
      <w:r>
        <w:rPr>
          <w:szCs w:val="24"/>
        </w:rPr>
        <w:t>Законодательная власть принадлежит конгрессу Филиппин, состоящему из сената и палаты представителей.  Сенат</w:t>
      </w:r>
      <w:r w:rsidRPr="00B629C6">
        <w:rPr>
          <w:szCs w:val="24"/>
        </w:rPr>
        <w:t xml:space="preserve"> </w:t>
      </w:r>
      <w:r>
        <w:rPr>
          <w:szCs w:val="24"/>
        </w:rPr>
        <w:t>состоит</w:t>
      </w:r>
      <w:r w:rsidRPr="00B629C6">
        <w:rPr>
          <w:szCs w:val="24"/>
        </w:rPr>
        <w:t xml:space="preserve"> </w:t>
      </w:r>
      <w:r>
        <w:rPr>
          <w:szCs w:val="24"/>
        </w:rPr>
        <w:t>из</w:t>
      </w:r>
      <w:r w:rsidRPr="00B629C6">
        <w:rPr>
          <w:szCs w:val="24"/>
        </w:rPr>
        <w:t xml:space="preserve"> 24</w:t>
      </w:r>
      <w:r w:rsidRPr="00D142CC">
        <w:rPr>
          <w:szCs w:val="24"/>
          <w:lang w:val="en-US"/>
        </w:rPr>
        <w:t> </w:t>
      </w:r>
      <w:r>
        <w:rPr>
          <w:szCs w:val="24"/>
        </w:rPr>
        <w:t>сенаторов</w:t>
      </w:r>
      <w:r w:rsidRPr="00B629C6">
        <w:rPr>
          <w:szCs w:val="24"/>
        </w:rPr>
        <w:t xml:space="preserve">, </w:t>
      </w:r>
      <w:r>
        <w:rPr>
          <w:szCs w:val="24"/>
        </w:rPr>
        <w:t>избираемых</w:t>
      </w:r>
      <w:r w:rsidRPr="00B629C6">
        <w:rPr>
          <w:szCs w:val="24"/>
        </w:rPr>
        <w:t xml:space="preserve"> </w:t>
      </w:r>
      <w:r>
        <w:rPr>
          <w:szCs w:val="24"/>
        </w:rPr>
        <w:t>раз</w:t>
      </w:r>
      <w:r w:rsidRPr="00B629C6">
        <w:rPr>
          <w:szCs w:val="24"/>
        </w:rPr>
        <w:t xml:space="preserve"> </w:t>
      </w:r>
      <w:r>
        <w:rPr>
          <w:szCs w:val="24"/>
        </w:rPr>
        <w:t>в</w:t>
      </w:r>
      <w:r w:rsidRPr="00B629C6">
        <w:rPr>
          <w:szCs w:val="24"/>
        </w:rPr>
        <w:t xml:space="preserve"> </w:t>
      </w:r>
      <w:r>
        <w:rPr>
          <w:szCs w:val="24"/>
        </w:rPr>
        <w:t>шесть</w:t>
      </w:r>
      <w:r w:rsidRPr="00B629C6">
        <w:rPr>
          <w:szCs w:val="24"/>
        </w:rPr>
        <w:t xml:space="preserve"> </w:t>
      </w:r>
      <w:r>
        <w:rPr>
          <w:szCs w:val="24"/>
        </w:rPr>
        <w:t>лет</w:t>
      </w:r>
      <w:r w:rsidRPr="00B629C6">
        <w:rPr>
          <w:szCs w:val="24"/>
        </w:rPr>
        <w:t xml:space="preserve">.  </w:t>
      </w:r>
      <w:r>
        <w:rPr>
          <w:szCs w:val="24"/>
        </w:rPr>
        <w:t>Палата представителей состоит из членов, избираемых от законодательных округов на основе системы выборов по партийным спискам.</w:t>
      </w:r>
    </w:p>
    <w:p w:rsidR="008662C2" w:rsidRDefault="008662C2" w:rsidP="008662C2">
      <w:pPr>
        <w:rPr>
          <w:szCs w:val="24"/>
        </w:rPr>
      </w:pPr>
    </w:p>
    <w:p w:rsidR="008662C2" w:rsidRDefault="008662C2" w:rsidP="008662C2">
      <w:pPr>
        <w:rPr>
          <w:szCs w:val="24"/>
        </w:rPr>
      </w:pPr>
      <w:r w:rsidRPr="0097332D">
        <w:rPr>
          <w:szCs w:val="24"/>
        </w:rPr>
        <w:t>14.</w:t>
      </w:r>
      <w:r w:rsidRPr="0097332D">
        <w:rPr>
          <w:szCs w:val="24"/>
        </w:rPr>
        <w:tab/>
      </w:r>
      <w:r>
        <w:rPr>
          <w:szCs w:val="24"/>
        </w:rPr>
        <w:t>Судебная</w:t>
      </w:r>
      <w:r w:rsidRPr="0097332D">
        <w:rPr>
          <w:szCs w:val="24"/>
        </w:rPr>
        <w:t xml:space="preserve"> </w:t>
      </w:r>
      <w:r>
        <w:rPr>
          <w:szCs w:val="24"/>
        </w:rPr>
        <w:t>власть</w:t>
      </w:r>
      <w:r w:rsidRPr="0097332D">
        <w:rPr>
          <w:szCs w:val="24"/>
        </w:rPr>
        <w:t xml:space="preserve"> </w:t>
      </w:r>
      <w:r>
        <w:rPr>
          <w:szCs w:val="24"/>
        </w:rPr>
        <w:t>принадлежит</w:t>
      </w:r>
      <w:r w:rsidRPr="0097332D">
        <w:rPr>
          <w:szCs w:val="24"/>
        </w:rPr>
        <w:t xml:space="preserve"> </w:t>
      </w:r>
      <w:r>
        <w:rPr>
          <w:szCs w:val="24"/>
        </w:rPr>
        <w:t>Верховному</w:t>
      </w:r>
      <w:r w:rsidRPr="0097332D">
        <w:rPr>
          <w:szCs w:val="24"/>
        </w:rPr>
        <w:t xml:space="preserve"> </w:t>
      </w:r>
      <w:r>
        <w:rPr>
          <w:szCs w:val="24"/>
        </w:rPr>
        <w:t>суду и судам более низкой инстанции.  Решения</w:t>
      </w:r>
      <w:r w:rsidRPr="0097332D">
        <w:rPr>
          <w:szCs w:val="24"/>
        </w:rPr>
        <w:t xml:space="preserve"> </w:t>
      </w:r>
      <w:r>
        <w:rPr>
          <w:szCs w:val="24"/>
        </w:rPr>
        <w:t>Верховного суда обязательны для всех судов более низкой инстанции.  Верховному суду подчиняются следующие другие суды:  Апелляционный суд, состоящий из 51 судьи, один из которых является председателем, региональные суды первой инстанции;  муниципальные окружные суды первой инстанции;  и муниципальные суды первой инстанции, которые создаются в каждом городе, не входящем в состав столичного района.</w:t>
      </w:r>
    </w:p>
    <w:p w:rsidR="008662C2" w:rsidRDefault="008662C2" w:rsidP="008662C2">
      <w:pPr>
        <w:rPr>
          <w:szCs w:val="24"/>
        </w:rPr>
      </w:pPr>
    </w:p>
    <w:p w:rsidR="008662C2" w:rsidRDefault="008662C2" w:rsidP="008662C2">
      <w:pPr>
        <w:rPr>
          <w:szCs w:val="24"/>
        </w:rPr>
      </w:pPr>
      <w:r w:rsidRPr="0097332D">
        <w:rPr>
          <w:szCs w:val="24"/>
        </w:rPr>
        <w:t>15.</w:t>
      </w:r>
      <w:r w:rsidRPr="0097332D">
        <w:rPr>
          <w:szCs w:val="24"/>
        </w:rPr>
        <w:tab/>
      </w:r>
      <w:r>
        <w:rPr>
          <w:szCs w:val="24"/>
        </w:rPr>
        <w:t>Упрочению</w:t>
      </w:r>
      <w:r w:rsidRPr="0097332D">
        <w:rPr>
          <w:szCs w:val="24"/>
        </w:rPr>
        <w:t xml:space="preserve"> </w:t>
      </w:r>
      <w:r>
        <w:rPr>
          <w:szCs w:val="24"/>
        </w:rPr>
        <w:t>демократических</w:t>
      </w:r>
      <w:r w:rsidRPr="0097332D">
        <w:rPr>
          <w:szCs w:val="24"/>
        </w:rPr>
        <w:t xml:space="preserve"> </w:t>
      </w:r>
      <w:r>
        <w:rPr>
          <w:szCs w:val="24"/>
        </w:rPr>
        <w:t>начал</w:t>
      </w:r>
      <w:r w:rsidRPr="0097332D">
        <w:rPr>
          <w:szCs w:val="24"/>
        </w:rPr>
        <w:t xml:space="preserve"> </w:t>
      </w:r>
      <w:r>
        <w:rPr>
          <w:szCs w:val="24"/>
        </w:rPr>
        <w:t>и</w:t>
      </w:r>
      <w:r w:rsidRPr="0097332D">
        <w:rPr>
          <w:szCs w:val="24"/>
        </w:rPr>
        <w:t xml:space="preserve"> </w:t>
      </w:r>
      <w:r>
        <w:rPr>
          <w:szCs w:val="24"/>
        </w:rPr>
        <w:t>структур</w:t>
      </w:r>
      <w:r w:rsidRPr="0097332D">
        <w:rPr>
          <w:szCs w:val="24"/>
        </w:rPr>
        <w:t xml:space="preserve"> </w:t>
      </w:r>
      <w:r>
        <w:rPr>
          <w:szCs w:val="24"/>
        </w:rPr>
        <w:t>способствуют также положения Конституции о социальной справедливости и правах человека, охране труда, материнства и детства и укреплении самостоятельности органов местного самоуправления (ОМС).  В</w:t>
      </w:r>
      <w:r w:rsidRPr="0097332D">
        <w:rPr>
          <w:szCs w:val="24"/>
          <w:lang w:val="en-US"/>
        </w:rPr>
        <w:t> </w:t>
      </w:r>
      <w:r>
        <w:rPr>
          <w:szCs w:val="24"/>
        </w:rPr>
        <w:t>соответствии</w:t>
      </w:r>
      <w:r w:rsidRPr="006D5E0D">
        <w:rPr>
          <w:szCs w:val="24"/>
        </w:rPr>
        <w:t xml:space="preserve"> </w:t>
      </w:r>
      <w:r>
        <w:rPr>
          <w:szCs w:val="24"/>
        </w:rPr>
        <w:t>с</w:t>
      </w:r>
      <w:r w:rsidRPr="006D5E0D">
        <w:rPr>
          <w:szCs w:val="24"/>
        </w:rPr>
        <w:t xml:space="preserve"> </w:t>
      </w:r>
      <w:r>
        <w:rPr>
          <w:szCs w:val="24"/>
        </w:rPr>
        <w:t>Кодексом законов</w:t>
      </w:r>
      <w:r w:rsidRPr="006D5E0D">
        <w:rPr>
          <w:szCs w:val="24"/>
        </w:rPr>
        <w:t xml:space="preserve"> </w:t>
      </w:r>
      <w:r>
        <w:rPr>
          <w:szCs w:val="24"/>
        </w:rPr>
        <w:t>об</w:t>
      </w:r>
      <w:r w:rsidRPr="006D5E0D">
        <w:rPr>
          <w:szCs w:val="24"/>
        </w:rPr>
        <w:t xml:space="preserve"> </w:t>
      </w:r>
      <w:r>
        <w:rPr>
          <w:szCs w:val="24"/>
        </w:rPr>
        <w:t>органах</w:t>
      </w:r>
      <w:r w:rsidRPr="006D5E0D">
        <w:rPr>
          <w:szCs w:val="24"/>
        </w:rPr>
        <w:t xml:space="preserve"> </w:t>
      </w:r>
      <w:r>
        <w:rPr>
          <w:szCs w:val="24"/>
        </w:rPr>
        <w:t>местного</w:t>
      </w:r>
      <w:r w:rsidRPr="006D5E0D">
        <w:rPr>
          <w:szCs w:val="24"/>
        </w:rPr>
        <w:t xml:space="preserve"> </w:t>
      </w:r>
      <w:r>
        <w:rPr>
          <w:szCs w:val="24"/>
        </w:rPr>
        <w:t>самоуправления</w:t>
      </w:r>
      <w:r w:rsidRPr="006D5E0D">
        <w:rPr>
          <w:szCs w:val="24"/>
        </w:rPr>
        <w:t xml:space="preserve"> </w:t>
      </w:r>
      <w:r>
        <w:rPr>
          <w:szCs w:val="24"/>
        </w:rPr>
        <w:t>1991 года ОМС передается ответственность за предоставление основных услуг в области сельского хозяйства, здравоохранения, социального обеспечения и развития, общественных работ, окружающей среды и природных ресурсов и за их финансирование.</w:t>
      </w:r>
    </w:p>
    <w:p w:rsidR="008662C2" w:rsidRDefault="008662C2" w:rsidP="008662C2">
      <w:pPr>
        <w:rPr>
          <w:szCs w:val="24"/>
        </w:rPr>
      </w:pPr>
    </w:p>
    <w:p w:rsidR="008662C2" w:rsidRDefault="008662C2" w:rsidP="008662C2">
      <w:pPr>
        <w:rPr>
          <w:szCs w:val="24"/>
        </w:rPr>
      </w:pPr>
      <w:r w:rsidRPr="006D5E0D">
        <w:rPr>
          <w:szCs w:val="24"/>
        </w:rPr>
        <w:t>16.</w:t>
      </w:r>
      <w:r w:rsidRPr="006D5E0D">
        <w:rPr>
          <w:szCs w:val="24"/>
        </w:rPr>
        <w:tab/>
      </w:r>
      <w:r>
        <w:rPr>
          <w:szCs w:val="24"/>
        </w:rPr>
        <w:t>На</w:t>
      </w:r>
      <w:r w:rsidRPr="006D5E0D">
        <w:rPr>
          <w:szCs w:val="24"/>
        </w:rPr>
        <w:t xml:space="preserve"> </w:t>
      </w:r>
      <w:r>
        <w:rPr>
          <w:szCs w:val="24"/>
        </w:rPr>
        <w:t>местном</w:t>
      </w:r>
      <w:r w:rsidRPr="006D5E0D">
        <w:rPr>
          <w:szCs w:val="24"/>
        </w:rPr>
        <w:t xml:space="preserve"> </w:t>
      </w:r>
      <w:r>
        <w:rPr>
          <w:szCs w:val="24"/>
        </w:rPr>
        <w:t>уровне</w:t>
      </w:r>
      <w:r w:rsidRPr="006D5E0D">
        <w:rPr>
          <w:szCs w:val="24"/>
        </w:rPr>
        <w:t xml:space="preserve"> </w:t>
      </w:r>
      <w:r>
        <w:rPr>
          <w:szCs w:val="24"/>
        </w:rPr>
        <w:t xml:space="preserve">управление осуществляется ОМС в каждой административной единице:  провинции, городе, муниципалитете и </w:t>
      </w:r>
      <w:r>
        <w:rPr>
          <w:i/>
          <w:szCs w:val="24"/>
        </w:rPr>
        <w:t>барангае</w:t>
      </w:r>
      <w:r>
        <w:rPr>
          <w:szCs w:val="24"/>
        </w:rPr>
        <w:t>.  Каждый орган местного самоуправления состоит из выборных и назначаемых должностных лиц.  К</w:t>
      </w:r>
      <w:r w:rsidRPr="006D5E0D">
        <w:rPr>
          <w:szCs w:val="24"/>
          <w:lang w:val="en-US"/>
        </w:rPr>
        <w:t> </w:t>
      </w:r>
      <w:r>
        <w:rPr>
          <w:szCs w:val="24"/>
        </w:rPr>
        <w:t>выборным</w:t>
      </w:r>
      <w:r w:rsidRPr="006D5E0D">
        <w:rPr>
          <w:szCs w:val="24"/>
        </w:rPr>
        <w:t xml:space="preserve"> </w:t>
      </w:r>
      <w:r>
        <w:rPr>
          <w:szCs w:val="24"/>
        </w:rPr>
        <w:t>должностным</w:t>
      </w:r>
      <w:r w:rsidRPr="006D5E0D">
        <w:rPr>
          <w:szCs w:val="24"/>
        </w:rPr>
        <w:t xml:space="preserve"> </w:t>
      </w:r>
      <w:r>
        <w:rPr>
          <w:szCs w:val="24"/>
        </w:rPr>
        <w:t xml:space="preserve">лицам относятся глава и заместитель главы каждой административной единицы, т.е. губернатор или вице-губернатор провинции, мэр и вице-мэр города и муниципалитета и председатель </w:t>
      </w:r>
      <w:r>
        <w:rPr>
          <w:i/>
          <w:szCs w:val="24"/>
        </w:rPr>
        <w:t>барангая</w:t>
      </w:r>
      <w:r>
        <w:rPr>
          <w:szCs w:val="24"/>
        </w:rPr>
        <w:t>;  а также члены советов:  санггунианг панлалавиган (провинциального совета), санггунианг панлунсод (городского совета) и санггунианг барангай (сельского совета).</w:t>
      </w:r>
    </w:p>
    <w:p w:rsidR="008662C2" w:rsidRDefault="008662C2" w:rsidP="008662C2">
      <w:pPr>
        <w:rPr>
          <w:szCs w:val="24"/>
        </w:rPr>
      </w:pPr>
    </w:p>
    <w:p w:rsidR="008662C2" w:rsidRDefault="008662C2" w:rsidP="008662C2">
      <w:pPr>
        <w:rPr>
          <w:szCs w:val="24"/>
        </w:rPr>
      </w:pPr>
      <w:r w:rsidRPr="00B67EB2">
        <w:rPr>
          <w:szCs w:val="24"/>
        </w:rPr>
        <w:t>17.</w:t>
      </w:r>
      <w:r w:rsidRPr="00B67EB2">
        <w:rPr>
          <w:szCs w:val="24"/>
        </w:rPr>
        <w:tab/>
      </w:r>
      <w:r>
        <w:rPr>
          <w:szCs w:val="24"/>
        </w:rPr>
        <w:t>Законодательная</w:t>
      </w:r>
      <w:r w:rsidRPr="00B67EB2">
        <w:rPr>
          <w:szCs w:val="24"/>
        </w:rPr>
        <w:t xml:space="preserve"> </w:t>
      </w:r>
      <w:r>
        <w:rPr>
          <w:szCs w:val="24"/>
        </w:rPr>
        <w:t>власть</w:t>
      </w:r>
      <w:r w:rsidRPr="00B67EB2">
        <w:rPr>
          <w:szCs w:val="24"/>
        </w:rPr>
        <w:t xml:space="preserve"> </w:t>
      </w:r>
      <w:r>
        <w:rPr>
          <w:szCs w:val="24"/>
        </w:rPr>
        <w:t>на</w:t>
      </w:r>
      <w:r w:rsidRPr="00B67EB2">
        <w:rPr>
          <w:szCs w:val="24"/>
        </w:rPr>
        <w:t xml:space="preserve"> </w:t>
      </w:r>
      <w:r>
        <w:rPr>
          <w:szCs w:val="24"/>
        </w:rPr>
        <w:t>местном</w:t>
      </w:r>
      <w:r w:rsidRPr="00B67EB2">
        <w:rPr>
          <w:szCs w:val="24"/>
        </w:rPr>
        <w:t xml:space="preserve"> </w:t>
      </w:r>
      <w:r>
        <w:rPr>
          <w:szCs w:val="24"/>
        </w:rPr>
        <w:t>уровне</w:t>
      </w:r>
      <w:r w:rsidRPr="00B67EB2">
        <w:rPr>
          <w:szCs w:val="24"/>
        </w:rPr>
        <w:t xml:space="preserve"> </w:t>
      </w:r>
      <w:r>
        <w:rPr>
          <w:szCs w:val="24"/>
        </w:rPr>
        <w:t>принадлежит</w:t>
      </w:r>
      <w:r w:rsidRPr="00B67EB2">
        <w:rPr>
          <w:szCs w:val="24"/>
        </w:rPr>
        <w:t xml:space="preserve"> </w:t>
      </w:r>
      <w:r>
        <w:rPr>
          <w:szCs w:val="24"/>
        </w:rPr>
        <w:t>санггуниану</w:t>
      </w:r>
      <w:r w:rsidRPr="00B67EB2">
        <w:rPr>
          <w:szCs w:val="24"/>
        </w:rPr>
        <w:t xml:space="preserve"> </w:t>
      </w:r>
      <w:r>
        <w:rPr>
          <w:szCs w:val="24"/>
        </w:rPr>
        <w:t>(совету) каждого уровня.  В составе каждого органа местного самоуправления имеется совет по вопросам развития, который оказывает содействие санггуниану (совету) в разработке его соответствующих всеобъемлющих и многосекторальных планов развития.</w:t>
      </w:r>
    </w:p>
    <w:p w:rsidR="008662C2" w:rsidRDefault="008662C2" w:rsidP="008662C2">
      <w:pPr>
        <w:jc w:val="center"/>
        <w:rPr>
          <w:b/>
        </w:rPr>
      </w:pPr>
      <w:r>
        <w:rPr>
          <w:b/>
        </w:rPr>
        <w:t>С.</w:t>
      </w:r>
      <w:r>
        <w:rPr>
          <w:b/>
        </w:rPr>
        <w:tab/>
        <w:t>Социально-экономические условия</w:t>
      </w:r>
    </w:p>
    <w:p w:rsidR="008662C2" w:rsidRDefault="008662C2" w:rsidP="008662C2">
      <w:pPr>
        <w:jc w:val="center"/>
        <w:rPr>
          <w:b/>
        </w:rPr>
      </w:pPr>
    </w:p>
    <w:p w:rsidR="008662C2" w:rsidRDefault="008662C2" w:rsidP="008662C2">
      <w:r>
        <w:t>18.</w:t>
      </w:r>
      <w:r>
        <w:tab/>
        <w:t xml:space="preserve">Объем годового валового внутреннего продукта на душу населения, рассчитанный на основе номинальных цен и обменного курса 2004 года, составил, по оценкам, 1 026 долл. США. </w:t>
      </w:r>
    </w:p>
    <w:p w:rsidR="008662C2" w:rsidRDefault="008662C2" w:rsidP="008662C2"/>
    <w:p w:rsidR="008662C2" w:rsidRDefault="008662C2" w:rsidP="008662C2">
      <w:r>
        <w:t>19.</w:t>
      </w:r>
      <w:r>
        <w:tab/>
        <w:t>Филиппинская экономика продолжала расти, несмотря на неблагоприятное воздействие международных событий.  К их числу относятся взрывы в Нью-Йорке 11 сентября 2001 года, распространение т</w:t>
      </w:r>
      <w:r w:rsidRPr="00213883">
        <w:rPr>
          <w:color w:val="000000"/>
          <w:szCs w:val="24"/>
        </w:rPr>
        <w:t xml:space="preserve">яжёлого </w:t>
      </w:r>
      <w:r w:rsidRPr="00213883">
        <w:rPr>
          <w:bCs/>
          <w:color w:val="000000"/>
          <w:szCs w:val="24"/>
        </w:rPr>
        <w:t>острого респираторн</w:t>
      </w:r>
      <w:r>
        <w:rPr>
          <w:bCs/>
          <w:color w:val="000000"/>
          <w:szCs w:val="24"/>
        </w:rPr>
        <w:t>о</w:t>
      </w:r>
      <w:r w:rsidRPr="00213883">
        <w:rPr>
          <w:bCs/>
          <w:color w:val="000000"/>
          <w:szCs w:val="24"/>
        </w:rPr>
        <w:t>го синдрома</w:t>
      </w:r>
      <w:r w:rsidRPr="00213883">
        <w:rPr>
          <w:szCs w:val="24"/>
        </w:rPr>
        <w:t xml:space="preserve"> </w:t>
      </w:r>
      <w:r>
        <w:t xml:space="preserve">(ТОРС), которые замедлили развитие туристической индустрии, и война между Соединенными Штатами и Ираком, в результате которой находившиеся на Ближнем Востоке филиппинские рабочие были вынуждены покинуть эти страны. </w:t>
      </w:r>
    </w:p>
    <w:p w:rsidR="008662C2" w:rsidRDefault="008662C2" w:rsidP="008662C2"/>
    <w:p w:rsidR="008662C2" w:rsidRDefault="008662C2" w:rsidP="008662C2">
      <w:r>
        <w:t>20.</w:t>
      </w:r>
      <w:r>
        <w:tab/>
        <w:t xml:space="preserve">За период 2001-2004 годов темпы роста валового национального продукта (ВНП) составляли в среднем 5,05%, а реального ВВП - 4,52%, что соответствовало установленным на этот же период плановым показателям.  Основной движущей силой роста экономики являлся сектор услуг, средние темпы роста которого за указанный период достигли 5,62%.  Такой прирост может быть обусловлен расширением телекоммуникационного сектора и новыми инвестициями в развитие центров телефонной поддержки бизнеса, привлечением внешних ресурсов в интересах компаний и разработки программного обеспечения.  При этом в секторе торговли также были достигнуты хорошие показатели за счет интенсивного расходования средств потребителями, которое поддерживалось стабильными темпами роста сельскохозяйственного сектора и пересылкой заработков филиппинских рабочих из-за границы. </w:t>
      </w:r>
    </w:p>
    <w:p w:rsidR="008662C2" w:rsidRDefault="008662C2" w:rsidP="008662C2"/>
    <w:p w:rsidR="008662C2" w:rsidRDefault="008662C2" w:rsidP="008662C2">
      <w:r>
        <w:t>21.</w:t>
      </w:r>
      <w:r>
        <w:tab/>
        <w:t xml:space="preserve">За период 2001-2004 годов темпы роста сельскохозяйственного сектора составляли в среднем 4,05%. </w:t>
      </w:r>
    </w:p>
    <w:p w:rsidR="008662C2" w:rsidRDefault="008662C2" w:rsidP="008662C2"/>
    <w:p w:rsidR="008662C2" w:rsidRDefault="008662C2" w:rsidP="008662C2">
      <w:r>
        <w:t>22.</w:t>
      </w:r>
      <w:r>
        <w:tab/>
        <w:t>Темпы роста промышленного производства в 2001-2004 годах были медленными и составили всего лишь 3,4%.  На их ограничение повлияло существенное сокращение объемов государственного строительства в целях регулирования дефицита бюджета, а также трудности, с которыми столкнулись некоторые обрабатывающие отрасли промышленности, стремящиеся поддерживать уровень своей конкурентоспособности на мировом рынке.  Кроме того, приток иностранных инвестиций был минимальным - с 1,43 млрд. долл. США в 2002 году до 1,49</w:t>
      </w:r>
      <w:r w:rsidR="001C5D25">
        <w:t> </w:t>
      </w:r>
      <w:r>
        <w:t>млрд.</w:t>
      </w:r>
      <w:r w:rsidR="001C5D25">
        <w:t> </w:t>
      </w:r>
      <w:r>
        <w:t xml:space="preserve">долл. США в 2003 году.  Низкий показатель прямых иностранных инвестиций вызван тем, что инвесторы стали отдавать предпочтение Китаю, что они частично утратили доверие вследствие возникновения проблем в сфере финансовой стабильности, гражданского спокойствия и правопорядка, а также слабой системы инфраструктуры материально-технического обеспечения. </w:t>
      </w:r>
    </w:p>
    <w:p w:rsidR="008662C2" w:rsidRDefault="008662C2" w:rsidP="008662C2"/>
    <w:p w:rsidR="008662C2" w:rsidRDefault="008662C2" w:rsidP="008662C2">
      <w:r>
        <w:t>23.</w:t>
      </w:r>
      <w:r>
        <w:tab/>
        <w:t>Несмотря на то, что в период 2001-2004 годов было создано 3,2 млн. рабочих мест, по состоянию на октябрь 2004 года уровень безработицы оставался высоким, составляя 10,9%.  С января по июль 2004 года средние темпы роста безработицы достигали 12%, поскольку количество создаваемых рабочих мест было недостаточным, чтобы полностью  обеспечить потребности прибывающей на рынок труда новой рабочей силы.</w:t>
      </w:r>
    </w:p>
    <w:p w:rsidR="008662C2" w:rsidRDefault="008662C2" w:rsidP="008662C2"/>
    <w:p w:rsidR="008662C2" w:rsidRDefault="008662C2" w:rsidP="008662C2">
      <w:pPr>
        <w:rPr>
          <w:snapToGrid w:val="0"/>
          <w:szCs w:val="24"/>
        </w:rPr>
      </w:pPr>
      <w:r>
        <w:t>24.</w:t>
      </w:r>
      <w:r>
        <w:tab/>
        <w:t>Еще более серьезные трудности обусловлены проблемой неполной занятости, масштабы которой значительно превышают уровень безработицы.  По состоянию на октябрь 2004 года, уровень неполной занятости достиг 16,9%, из которых 61% приходится на сельские районы (</w:t>
      </w:r>
      <w:r w:rsidRPr="009C1523">
        <w:rPr>
          <w:snapToGrid w:val="0"/>
          <w:szCs w:val="24"/>
        </w:rPr>
        <w:t>Национальный статистический координационный совет</w:t>
      </w:r>
      <w:r>
        <w:rPr>
          <w:snapToGrid w:val="0"/>
          <w:szCs w:val="24"/>
        </w:rPr>
        <w:t xml:space="preserve"> (НСКС), 2004 год).  В связи с сезонным характером работы в хозяйствах работники требуют больше часов работы.</w:t>
      </w:r>
    </w:p>
    <w:p w:rsidR="008662C2" w:rsidRDefault="008662C2" w:rsidP="008662C2">
      <w:pPr>
        <w:rPr>
          <w:snapToGrid w:val="0"/>
          <w:szCs w:val="24"/>
        </w:rPr>
      </w:pPr>
    </w:p>
    <w:p w:rsidR="008662C2" w:rsidRDefault="008662C2" w:rsidP="008662C2">
      <w:pPr>
        <w:rPr>
          <w:snapToGrid w:val="0"/>
          <w:szCs w:val="24"/>
        </w:rPr>
      </w:pPr>
      <w:r>
        <w:rPr>
          <w:snapToGrid w:val="0"/>
          <w:szCs w:val="24"/>
        </w:rPr>
        <w:t>25.</w:t>
      </w:r>
      <w:r>
        <w:rPr>
          <w:snapToGrid w:val="0"/>
          <w:szCs w:val="24"/>
        </w:rPr>
        <w:tab/>
        <w:t xml:space="preserve">Серьезной макроэкономической проблемой является бюджетный дефицит.  Дефицит сводного бюджета государственного сектора экономики составляет 5,52% ВВП, в то время как дефицит государственного бюджета в 2004 году резко поднялся, составив 3,8%.  Вследствие этого в 2003 году дефицит задолженности государственного сектора вырос до 101% ВВП.  </w:t>
      </w:r>
    </w:p>
    <w:p w:rsidR="008662C2" w:rsidRDefault="008662C2" w:rsidP="008662C2">
      <w:pPr>
        <w:rPr>
          <w:snapToGrid w:val="0"/>
          <w:szCs w:val="24"/>
        </w:rPr>
      </w:pPr>
    </w:p>
    <w:p w:rsidR="008662C2" w:rsidRDefault="008662C2" w:rsidP="008662C2">
      <w:r>
        <w:t>26.</w:t>
      </w:r>
      <w:r>
        <w:tab/>
        <w:t xml:space="preserve">Правительство предоставляет социальную помощь в таких областях, как здравоохранение, питание, образование, жилье, водоснабжение и санитария.  Особое внимание уделяется предоставлению основных услуг в интересах детей.  Правительство принимает активные меры в целях комплексного решения проблем развития людских ресурсов путем разработки принципов социального развития, которые будут положены в основу планирования и осуществления мероприятий по развитию людских ресурсов.  </w:t>
      </w:r>
    </w:p>
    <w:p w:rsidR="008662C2" w:rsidRDefault="008662C2" w:rsidP="008662C2"/>
    <w:p w:rsidR="008662C2" w:rsidRDefault="008662C2" w:rsidP="008662C2">
      <w:r>
        <w:t>27.</w:t>
      </w:r>
      <w:r>
        <w:tab/>
        <w:t xml:space="preserve">Начиная с 1986 года задача борьбы с нищетой превратилась в одну из приоритетных целей правительства в области развития.  В 1988 году доля филиппинцев, живущих ниже черты бедности, составила 45,5%, снизившись по сравнению с 1985 годом на 3,8%.  В 2003 году доля людей, живущих за чертой бедности, снизилась до 30,4%.  </w:t>
      </w:r>
    </w:p>
    <w:p w:rsidR="0066239D" w:rsidRDefault="0066239D" w:rsidP="0066239D"/>
    <w:p w:rsidR="0066239D" w:rsidRDefault="0066239D" w:rsidP="0066239D">
      <w:r>
        <w:t>28.</w:t>
      </w:r>
      <w:r>
        <w:tab/>
        <w:t>Для принятия мер в целях ликвидации нищеты и создания источников средств к существованию правительство учредило Президентскую комиссию по вопросам городской бедноты (1986 год), Президентскую комиссию по борьбе с нищетой (1993 год) и Национальную комиссию по борьбе с нищетой (2000 год).</w:t>
      </w:r>
    </w:p>
    <w:p w:rsidR="00800389" w:rsidRDefault="00800389" w:rsidP="0066239D"/>
    <w:p w:rsidR="0066239D" w:rsidRDefault="00D21DAE" w:rsidP="0066239D">
      <w:pPr>
        <w:jc w:val="center"/>
        <w:rPr>
          <w:b/>
        </w:rPr>
      </w:pPr>
      <w:r>
        <w:rPr>
          <w:b/>
          <w:lang w:val="en-US"/>
        </w:rPr>
        <w:br w:type="page"/>
      </w:r>
      <w:r w:rsidR="0066239D">
        <w:rPr>
          <w:b/>
          <w:lang w:val="en-US"/>
        </w:rPr>
        <w:t>D</w:t>
      </w:r>
      <w:r w:rsidR="0066239D">
        <w:rPr>
          <w:b/>
        </w:rPr>
        <w:t>.</w:t>
      </w:r>
      <w:r w:rsidR="0066239D">
        <w:rPr>
          <w:b/>
        </w:rPr>
        <w:tab/>
        <w:t>Общие правовые рамки защиты прав человека</w:t>
      </w:r>
    </w:p>
    <w:p w:rsidR="0066239D" w:rsidRPr="001C5D25" w:rsidRDefault="0066239D" w:rsidP="0066239D">
      <w:pPr>
        <w:jc w:val="center"/>
        <w:rPr>
          <w:b/>
          <w:sz w:val="16"/>
          <w:szCs w:val="16"/>
        </w:rPr>
      </w:pPr>
    </w:p>
    <w:p w:rsidR="0066239D" w:rsidRDefault="0066239D" w:rsidP="0066239D">
      <w:r>
        <w:t>29.</w:t>
      </w:r>
      <w:r>
        <w:tab/>
        <w:t>Основные права человека - составная часть филиппинской Конституции.  В Малолосской Конституции, принятой в 1898 году, в Конституциях 1935, 1973 и 1986 годов (последняя также известна под названием Конституция свободы), а также в Конституции Филиппин 1987 года содержится Билль о правах.  Двумя из провозглашенных в Конституции принципов государственной политики являются уважение достоинства каждого человека и защита основных гражданских и политических прав народа от посягательств и нарушений со стороны государства.  Билль о правах прямо запрещает применение пыток, силы, угрозы, запугивания и других средств воздействия, препятствующих свободному волеизъявлению граждан, и уполномочивает конгресс принять законы о компенсациях жертвам пыток.</w:t>
      </w:r>
    </w:p>
    <w:p w:rsidR="0066239D" w:rsidRPr="001C5D25" w:rsidRDefault="0066239D" w:rsidP="001C5D25">
      <w:pPr>
        <w:spacing w:line="240" w:lineRule="auto"/>
        <w:rPr>
          <w:sz w:val="20"/>
        </w:rPr>
      </w:pPr>
    </w:p>
    <w:p w:rsidR="0066239D" w:rsidRDefault="0066239D" w:rsidP="001C5D25">
      <w:pPr>
        <w:spacing w:line="240" w:lineRule="auto"/>
        <w:jc w:val="center"/>
        <w:rPr>
          <w:b/>
        </w:rPr>
      </w:pPr>
      <w:r>
        <w:rPr>
          <w:b/>
        </w:rPr>
        <w:t>1.</w:t>
      </w:r>
      <w:r>
        <w:rPr>
          <w:b/>
        </w:rPr>
        <w:tab/>
        <w:t>Судебные, административные и прочие органы, занимающиеся</w:t>
      </w:r>
      <w:r>
        <w:rPr>
          <w:b/>
        </w:rPr>
        <w:br/>
        <w:t>вопросами прав человека</w:t>
      </w:r>
    </w:p>
    <w:p w:rsidR="0066239D" w:rsidRPr="001C5D25" w:rsidRDefault="0066239D" w:rsidP="001C5D25">
      <w:pPr>
        <w:spacing w:line="240" w:lineRule="auto"/>
        <w:jc w:val="center"/>
        <w:rPr>
          <w:b/>
          <w:sz w:val="20"/>
        </w:rPr>
      </w:pPr>
    </w:p>
    <w:p w:rsidR="0066239D" w:rsidRDefault="0066239D" w:rsidP="0066239D">
      <w:r>
        <w:t>30.</w:t>
      </w:r>
      <w:r>
        <w:tab/>
        <w:t xml:space="preserve">В Конституции 1987 года перечислены основные права человека, при этом блюстителем и гарантом таких прав является судебная система.  Вооруженные силы Филиппин (ВСФ), Филиппинская национальная полиция (ФНП) и другие правоохранительные органы призваны, согласно Конституции, стоять на страже прав человека и свобод граждан, обеспечивать безопасность государства и всего народа. </w:t>
      </w:r>
    </w:p>
    <w:p w:rsidR="0066239D" w:rsidRPr="001C5D25" w:rsidRDefault="0066239D" w:rsidP="0066239D">
      <w:pPr>
        <w:rPr>
          <w:sz w:val="20"/>
        </w:rPr>
      </w:pPr>
    </w:p>
    <w:p w:rsidR="0066239D" w:rsidRDefault="0066239D" w:rsidP="001C5D25">
      <w:pPr>
        <w:spacing w:line="276" w:lineRule="auto"/>
      </w:pPr>
      <w:r>
        <w:t>31.</w:t>
      </w:r>
      <w:r>
        <w:tab/>
        <w:t>В соответствии с Конституцией 1987 года были создана Филиппинская комиссия по правам человека (ФКПЧ), представляющая собой независимый конституционный орган, уполномоченный от своего имени или по иску любой из сторон расследовать любые нарушения прав человека, включая гражданские и политические права;  устанавливать свои руководящие принципы работы и правила процедуры и привлекать любое лицо к ответственности за неуважение комиссии в случае их несоблюдения;  разрабатывать законодательные меры по защите прав человека всех граждан на территории Филиппин;  предусматривать превентивные меры и предоставлять правовую помощь неимущим, права которых были нарушены или которые нуждаются в защите;  осуществлять инспекционные функции в тюрьмах и местах заключения или содержания под стражей и обращаться за помощью в любое правительственное учреждение при осуществлении этих функций;  разрабатывать целостную программу в области исследований, образования и информации в целях утверждения примата прав человека;  рекомендовать конгрессу принимать эффективные меры по соблюдению прав человека;  контролировать соблюдение правительством обязательств по международным договорам о правах человека;  предоставлять иммунитет от преследования любому лицу, чьи свидетельские показания, владение документами или какими-либо иными доказательствами необходимы или полезны для установления истины в любом расследовании, проводимом самой Комиссией или под ее руководством.</w:t>
      </w:r>
    </w:p>
    <w:p w:rsidR="0066239D" w:rsidRDefault="0066239D" w:rsidP="0066239D">
      <w:r>
        <w:t>32.</w:t>
      </w:r>
      <w:r>
        <w:tab/>
        <w:t>Управление Генерального судьи - адвоката вооруженных сил Филиппин рассматривает иски в отношении военнослужащих, однако, согласно Республиканскому закону (РЗ) № 7055 ("Закон об укреплении верховенства гражданской власти над военной путем передачи гражданским судам юрисдикции в отношении отдельных правонарушений, совершенных служащими вооруженных сил Филиппин"), военнослужащие, другие лица, подпадающие под сферу действия военной юрисдикции, включая служащих районных подразделений сил гражданской обороны, которые совершают преступления или правонарушения, уголовно наказуемые в соответствии с пересмотренным Уголовным кодексом и другими специальными уголовными законами, независимо от того, являются ли сообвиняемыми, жертвами или потерпевшими сторонами гражданские лица, отныне будет привлекаться к ответственности в соответствующих гражданских судах.</w:t>
      </w:r>
    </w:p>
    <w:p w:rsidR="0066239D" w:rsidRDefault="0066239D" w:rsidP="0066239D"/>
    <w:p w:rsidR="0066239D" w:rsidRDefault="0066239D" w:rsidP="0066239D">
      <w:r>
        <w:t>33.</w:t>
      </w:r>
      <w:r>
        <w:tab/>
        <w:t xml:space="preserve">В соответствии с Республиканским законом № 6975 был создан административный дисциплинарный орган, занимающийся сотрудниками филиппинской национальной полиции (ФНП).  Жалобы на любого сотрудника ФНП могут подаваться в любую из следующих инстанций:  а)  начальнику подразделения полиции, который может налагать такие санкции, как лишение привилегий, ограничение полномочий на установленный срок, приостановление выплаты или лишение зарплаты на срок, не превышающий 15 дней;  </w:t>
      </w:r>
      <w:r>
        <w:rPr>
          <w:lang w:val="en-US"/>
        </w:rPr>
        <w:t>b</w:t>
      </w:r>
      <w:r>
        <w:t>)  мэрам городов и муниципалитетам, которые могут налагают аналогичные санкции на срок не менее 16, но не более 30 дней;  с)  в народный правоохранительный совет или НПС, который может налагать аналогичные санкции на срок свыше 30 дней или уволить соответствующего сотрудника.</w:t>
      </w:r>
    </w:p>
    <w:p w:rsidR="0066239D" w:rsidRDefault="0066239D" w:rsidP="0066239D"/>
    <w:p w:rsidR="0066239D" w:rsidRDefault="0066239D" w:rsidP="0066239D">
      <w:pPr>
        <w:jc w:val="center"/>
        <w:rPr>
          <w:b/>
        </w:rPr>
      </w:pPr>
      <w:r>
        <w:rPr>
          <w:b/>
        </w:rPr>
        <w:t>2.</w:t>
      </w:r>
      <w:r>
        <w:rPr>
          <w:b/>
        </w:rPr>
        <w:tab/>
        <w:t>Средства правовой защиты жертв нарушений прав человека</w:t>
      </w:r>
    </w:p>
    <w:p w:rsidR="0066239D" w:rsidRDefault="0066239D" w:rsidP="0066239D"/>
    <w:p w:rsidR="0066239D" w:rsidRDefault="0066239D" w:rsidP="0066239D">
      <w:r>
        <w:t>34.</w:t>
      </w:r>
      <w:r>
        <w:tab/>
        <w:t>Согласно судебному регламенту, любое лицо, незаконно содержащееся под стражей или каким-либо иным образом лишенное свободы, может подать в любой районный или апелляционный суд или непосредственно в Верховный суд ходатайство о принятии судебного приказа относительно его доставки в суд для выяснения правомерности содержания под стражей и временного освобождения.</w:t>
      </w:r>
    </w:p>
    <w:p w:rsidR="0066239D" w:rsidRDefault="0066239D" w:rsidP="0066239D"/>
    <w:p w:rsidR="0066239D" w:rsidRDefault="0066239D" w:rsidP="0066239D">
      <w:r>
        <w:t>35.</w:t>
      </w:r>
      <w:r>
        <w:tab/>
        <w:t xml:space="preserve">Лицо, права которого были нарушены, может обратиться за получением немедленной помощи в различные правительственные учреждения, в том числе в ФКПЧ;  ФНП;  министерство социального обеспечения и развития (МСОР), Национальное бюро расследований, Управление государственного атторнея, Прокуратуру, Бюро по вопросам иммиграции и депортации, Управление Генерального солиситора, Управление омбудсмена, или </w:t>
      </w:r>
      <w:r>
        <w:rPr>
          <w:i/>
        </w:rPr>
        <w:t>танодбаяна,</w:t>
      </w:r>
      <w:r>
        <w:t xml:space="preserve"> Президентскую комиссию по борьбу с преступностью, Бюро управления тюрьмами и другие аналогичные учреждения.</w:t>
      </w:r>
    </w:p>
    <w:p w:rsidR="0066239D" w:rsidRDefault="0066239D" w:rsidP="0066239D">
      <w:r>
        <w:t>36.</w:t>
      </w:r>
      <w:r>
        <w:tab/>
        <w:t>Пересмотренный уголовный кодекс является государственным законом, распространяющимся на все преступления, кроме преступлений, частного характера, таких как прелюбодеяние и сожительство вне брака, при которых необходимо участие в процессе частной стороны.  В отношении других правонарушений, наказуемых в соответствии с пересмотренным уголовным кодексом, иск предъявляется от имени народа Филиппин.  Пострадавшая сторона направляет жалобу в прокуратуру, а в случае ее отсутствия - в муниципальные суды первой инстанции того района, где было совершено правонарушение, которые проводят предварительное расследование или изучение материалов дела в целях определения того, подпадает ли совершенное преступление под действие кодекса.  Выводы прокурора или судьи направляются в прокуратуру провинции, которая затем отсылает соответствующую информацию в суды общей юрисдикции, которые, в свою очередь, определяют степень виновности правонарушителя и налагают соответствующее наказание.</w:t>
      </w:r>
    </w:p>
    <w:p w:rsidR="0066239D" w:rsidRDefault="0066239D" w:rsidP="0066239D"/>
    <w:p w:rsidR="0066239D" w:rsidRDefault="0066239D" w:rsidP="0066239D">
      <w:r>
        <w:t>37.</w:t>
      </w:r>
      <w:r>
        <w:tab/>
        <w:t>Гражданский кодекс Филиппин регулирует частные отношения членов гражданского общества, определяя их соответствующие права и обязанности в отношении лиц, предметов и гражданских действий.  По его положениям каждое лицо при осуществлении своих прав и выполнении своих обязанностей должно действовать справедливо, честно и добросовестно.</w:t>
      </w:r>
    </w:p>
    <w:p w:rsidR="0066239D" w:rsidRDefault="0066239D" w:rsidP="0066239D"/>
    <w:p w:rsidR="0066239D" w:rsidRDefault="0066239D" w:rsidP="0066239D">
      <w:r>
        <w:t>38.</w:t>
      </w:r>
      <w:r>
        <w:tab/>
        <w:t>Гражданский кодекс защищает также права человека, возлагая ответственность за возмещение убытков на любое государственное должностное лицо или служащего или любое частное лицо, которое прямо или косвенно ущемляет, умаляет или нарушает или каким-либо иным образом подрывает или ущемляет перечисленные в статье 32 Гражданского кодекса права или свободы другого лица.  В случае нарушений, наказуемых в соответствии с Гражданским кодексом, пострадавшая сторона подает иск в обычный суд, обладающий юрисдикцией по этим вопросам.  Это не касается случаев, предусмотренных положениями Республиканского закона № 7160, которые требуют разрешения спора мирным путем или посредством арбитражного разбирательства.</w:t>
      </w:r>
    </w:p>
    <w:p w:rsidR="0066239D" w:rsidRDefault="0066239D" w:rsidP="0066239D"/>
    <w:p w:rsidR="0066239D" w:rsidRDefault="0066239D" w:rsidP="0066239D">
      <w:pPr>
        <w:jc w:val="center"/>
        <w:rPr>
          <w:b/>
        </w:rPr>
      </w:pPr>
      <w:r>
        <w:rPr>
          <w:b/>
        </w:rPr>
        <w:t>3.</w:t>
      </w:r>
      <w:r>
        <w:rPr>
          <w:b/>
        </w:rPr>
        <w:tab/>
        <w:t>Национальные институты поощрения и защиты прав человека:</w:t>
      </w:r>
      <w:r>
        <w:rPr>
          <w:b/>
        </w:rPr>
        <w:br/>
        <w:t>Комиссия по правам человека</w:t>
      </w:r>
    </w:p>
    <w:p w:rsidR="0066239D" w:rsidRDefault="0066239D" w:rsidP="0066239D">
      <w:pPr>
        <w:jc w:val="center"/>
        <w:rPr>
          <w:b/>
        </w:rPr>
      </w:pPr>
    </w:p>
    <w:p w:rsidR="0066239D" w:rsidRDefault="0066239D" w:rsidP="0066239D">
      <w:r>
        <w:t>39.</w:t>
      </w:r>
      <w:r>
        <w:tab/>
        <w:t>Филиппинская комиссия по правам человека (ФКПЧ) разработала правовые меры защиты для обеспечения прав филиппинцев согласно принципам, гарантированным Конституцией Филиппин и обязательствами по международным договорам.  Она непосредственно расследует любые нарушения прав человека, в первую очередь затрагивающие гражданские и политические права.  Комиссия, помимо нарушений прав человека, связанных с вооруженным конфликтом, расследует конкретные жалобы, связанные со смертной казнью, исчезновениями, арестами, содержанием под стражей и пытками.  При выполнении своего мандата она может также запрашивать помощь других правительственных учреждений.</w:t>
      </w:r>
    </w:p>
    <w:p w:rsidR="0066239D" w:rsidRDefault="0066239D" w:rsidP="0066239D"/>
    <w:p w:rsidR="0066239D" w:rsidRDefault="0066239D" w:rsidP="0066239D">
      <w:r>
        <w:t>40.</w:t>
      </w:r>
      <w:r>
        <w:tab/>
        <w:t>Комиссия также имеет своего представителя в министерстве юстиции (МЮ), ответственном за уголовное преследование правонарушителей.  Это делается в целях уделения большего внимания слушанию и рассмотрению дел лиц, содержащихся под стражей.  МЮ осуществляет тщательный надзор за прокурорами, занимающимися этими делами, для обеспечения того, чтобы расследование проводилось в требуемый 60-дневный срок.  Верховный суд, в свою очередь, также настоятельно призвал судей ускорить рассмотрение судебных дел, используя систему непрерывного с</w:t>
      </w:r>
      <w:r w:rsidR="001C5D25">
        <w:t>удопроизводства.</w:t>
      </w:r>
    </w:p>
    <w:p w:rsidR="001C5D25" w:rsidRDefault="001C5D25" w:rsidP="0066239D"/>
    <w:p w:rsidR="0066239D" w:rsidRDefault="0066239D" w:rsidP="0066239D">
      <w:r>
        <w:t>41.</w:t>
      </w:r>
      <w:r>
        <w:tab/>
        <w:t xml:space="preserve">Для придания свидетелям необходимого мужества и уверенности учреждена программа свидетелей, предусматривающая обеспечение безопасности свидетелей, потерпевших и их ближайших родственников, а также их защиту от любых преследований и угроз.  </w:t>
      </w:r>
    </w:p>
    <w:p w:rsidR="0066239D" w:rsidRDefault="0066239D" w:rsidP="0066239D"/>
    <w:p w:rsidR="0066239D" w:rsidRDefault="0066239D" w:rsidP="0066239D">
      <w:r>
        <w:t>42.</w:t>
      </w:r>
      <w:r>
        <w:tab/>
        <w:t xml:space="preserve">МЮ - одно из правительственных ведомств, играющих важную роль в обеспечении и содействии осуществлению прав человека через свои различные бюро, отделения и комитеты на национальном и местном уровнях.  </w:t>
      </w:r>
    </w:p>
    <w:p w:rsidR="0066239D" w:rsidRDefault="0066239D" w:rsidP="0066239D"/>
    <w:p w:rsidR="0066239D" w:rsidRDefault="0066239D" w:rsidP="0066239D">
      <w:r>
        <w:t>43.</w:t>
      </w:r>
      <w:r>
        <w:tab/>
        <w:t xml:space="preserve">Управление омбудсмена - еще один независимый орган, стоящий на страже прав человека.  Его главная задача состоит в недопущении злоупотреблений со стороны государственных должностных лиц, которые подрывают права частных лиц.  Прокурорские органы министерства юстиции тесно взаимодействуют с управлением омбудсмена и управлением специального прокурора.  </w:t>
      </w:r>
    </w:p>
    <w:p w:rsidR="0066239D" w:rsidRDefault="0066239D" w:rsidP="0066239D"/>
    <w:p w:rsidR="0066239D" w:rsidRDefault="0066239D" w:rsidP="0066239D">
      <w:r>
        <w:t>44.</w:t>
      </w:r>
      <w:r>
        <w:tab/>
        <w:t>Закон 1989 года об омбудсмене (РЗ №</w:t>
      </w:r>
      <w:r w:rsidRPr="00E600BA">
        <w:t xml:space="preserve"> 6770</w:t>
      </w:r>
      <w:r>
        <w:t>) укрепил полномочия Управления омбудсмена, превратив его в мощный административный механизм, обеспечивающий подотчетность должностных лиц государства народу.</w:t>
      </w:r>
    </w:p>
    <w:p w:rsidR="0066239D" w:rsidRDefault="0066239D" w:rsidP="0066239D"/>
    <w:p w:rsidR="0066239D" w:rsidRDefault="0066239D" w:rsidP="0066239D">
      <w:r>
        <w:t>45.</w:t>
      </w:r>
      <w:r>
        <w:tab/>
        <w:t xml:space="preserve">Осуществлению и утверждению прав человека содействует и ряд других административных органов.  В основном они проводят свою политику в соответствии с законами и административными распоряжениями.  Весьма часто они обеспечивают соблюдение и содействуют утверждению установленных прав граждан, затрагивающих их повседневную жизнь.  Так, министерство труда и занятости (МТЗ) следит за обеспечением защиты и повышением благосостояния рабочих.  Министерство аграрной реформы (МАР) в ходе выполнения Закона о всесторонней аграрной реформе отстаивает экономические права фермеров.  Что касается прав филиппинских детей, женщин и инвалидов, то в целях координирования, выполнения и соблюдения государственными ведомствами всех законов, нацеленных на улучшение положения дел в соответствующих секторах, были созданы Совет по охране детства (СОД), Национальная комиссия по вопросу о роли филиппинских женщин (НКРФЖ) и Совет по защите инвалидов.  </w:t>
      </w:r>
    </w:p>
    <w:p w:rsidR="0066239D" w:rsidRDefault="0066239D" w:rsidP="0066239D"/>
    <w:p w:rsidR="0066239D" w:rsidRDefault="0066239D" w:rsidP="0066239D">
      <w:pPr>
        <w:jc w:val="center"/>
        <w:rPr>
          <w:b/>
        </w:rPr>
      </w:pPr>
      <w:r>
        <w:rPr>
          <w:b/>
        </w:rPr>
        <w:t>4.</w:t>
      </w:r>
      <w:r>
        <w:rPr>
          <w:b/>
        </w:rPr>
        <w:tab/>
        <w:t>Защита прав согласно Конституции</w:t>
      </w:r>
    </w:p>
    <w:p w:rsidR="0066239D" w:rsidRDefault="0066239D" w:rsidP="0066239D">
      <w:pPr>
        <w:jc w:val="center"/>
        <w:rPr>
          <w:b/>
        </w:rPr>
      </w:pPr>
    </w:p>
    <w:p w:rsidR="0066239D" w:rsidRDefault="0066239D" w:rsidP="0066239D">
      <w:r>
        <w:t>46.</w:t>
      </w:r>
      <w:r>
        <w:tab/>
        <w:t>Конституция 1987 года защищает, среди прочего, следующие права:  право на жизнь, свободу и собственность (раздел 1, статья </w:t>
      </w:r>
      <w:r>
        <w:rPr>
          <w:lang w:val="en-US"/>
        </w:rPr>
        <w:t>III</w:t>
      </w:r>
      <w:r>
        <w:t>);  право народа на собственную безопасность, защиту жилища, документов и имущества от любого необоснованного обыска и конфискации (раздел 2, статья </w:t>
      </w:r>
      <w:r>
        <w:rPr>
          <w:lang w:val="en-US"/>
        </w:rPr>
        <w:t>III</w:t>
      </w:r>
      <w:r>
        <w:t>);  право на неприкосновенность частной жизни и тайну переписки;  свободу слова, мнений и печати, право народа на мирные собрания и на ходатайства об удовлетворении жалоб правительством;  свободу вероисповедания и создания религиозных объединений;  свободу местожительства и права на его изменение;  право на информацию по вопросам государственной важности;  право на создание союзов и ассоциаций;  право находящихся под следствием лиц на ознакомление со своими правами, неразглашение информации и на компетентного и независимого адвоката;  право быть освобожденным под залог;  право на надлежащее судопроизводство;  право на презумпцию невиновности;  право на быстрое разрешение дел;  право на свободу от любых форм принудительного труда, за исключением случаев, когда лицо осуждено за совершенное им преступление.  Кроме того, не подлежит приостановлению действие хабеас корпус, за исключением случаев интервенции или мятежей, когда того требуют интересы государственной безопасности.</w:t>
      </w:r>
    </w:p>
    <w:p w:rsidR="0066239D" w:rsidRDefault="0066239D" w:rsidP="0066239D"/>
    <w:p w:rsidR="0066239D" w:rsidRDefault="0066239D" w:rsidP="0066239D">
      <w:pPr>
        <w:jc w:val="center"/>
        <w:rPr>
          <w:b/>
        </w:rPr>
      </w:pPr>
      <w:r>
        <w:rPr>
          <w:b/>
        </w:rPr>
        <w:t>5.</w:t>
      </w:r>
      <w:r>
        <w:rPr>
          <w:b/>
        </w:rPr>
        <w:tab/>
        <w:t>Каким образом документы по правам человека становятся</w:t>
      </w:r>
      <w:r>
        <w:rPr>
          <w:b/>
        </w:rPr>
        <w:br/>
        <w:t>частью внутреннего законодательства</w:t>
      </w:r>
    </w:p>
    <w:p w:rsidR="0066239D" w:rsidRDefault="0066239D" w:rsidP="0066239D">
      <w:pPr>
        <w:jc w:val="center"/>
        <w:rPr>
          <w:b/>
        </w:rPr>
      </w:pPr>
    </w:p>
    <w:p w:rsidR="0066239D" w:rsidRDefault="0066239D" w:rsidP="0066239D">
      <w:r>
        <w:t>47.</w:t>
      </w:r>
      <w:r>
        <w:tab/>
        <w:t>Согласно разделу 2 статьи </w:t>
      </w:r>
      <w:r>
        <w:rPr>
          <w:lang w:val="en-US"/>
        </w:rPr>
        <w:t>II</w:t>
      </w:r>
      <w:r>
        <w:t xml:space="preserve"> Конституции, Филиппины "принимают общепризнанные принципы международного права в качестве части своего внутреннего законодательства", а это означает, что положения этих правовых документов могут непосредственно применяться филиппинскими судами, другими органами правосудия или административными учреждениями.  Кроме того, в разделе 18 (7) статьи </w:t>
      </w:r>
      <w:r>
        <w:rPr>
          <w:lang w:val="en-US"/>
        </w:rPr>
        <w:t>XIII</w:t>
      </w:r>
      <w:r>
        <w:t xml:space="preserve"> Конституции указывается, что ФКПЧ должна контролировать соблюдение филиппинским правительством обязательств по международным договорам в области прав человека.</w:t>
      </w:r>
    </w:p>
    <w:p w:rsidR="0066239D" w:rsidRDefault="0066239D" w:rsidP="0066239D"/>
    <w:p w:rsidR="0066239D" w:rsidRDefault="0066239D" w:rsidP="0066239D">
      <w:r>
        <w:t>48.</w:t>
      </w:r>
      <w:r>
        <w:tab/>
        <w:t>До настоящего времени Филиппины подписали и ратифицировали 20 международных документов по правам человека, включая семь основных договоров по правам человека, а именно:  Международный пакт о гражданских и политических правах, Международный пакт об экономических, социальных и культурных правах, Конвенцию против пыток и других жестоких, бесчеловечных или унижающих достоинство видов обращения и наказания, Конвенцию о правах ребенка, Конвенцию о ликвидации всех форм расовой дискриминации в отношении женщин и Международную конвенцию о защите прав всех трудящихся-иммигрантов и членов их семей, или присоединились к ним.</w:t>
      </w:r>
    </w:p>
    <w:p w:rsidR="0066239D" w:rsidRDefault="0066239D" w:rsidP="0066239D"/>
    <w:p w:rsidR="0066239D" w:rsidRDefault="0066239D" w:rsidP="0066239D">
      <w:pPr>
        <w:jc w:val="center"/>
        <w:rPr>
          <w:b/>
        </w:rPr>
      </w:pPr>
      <w:r>
        <w:rPr>
          <w:b/>
        </w:rPr>
        <w:t>Е.</w:t>
      </w:r>
      <w:r>
        <w:rPr>
          <w:b/>
        </w:rPr>
        <w:tab/>
        <w:t>Распространение информации и просветительская деятельность</w:t>
      </w:r>
    </w:p>
    <w:p w:rsidR="0066239D" w:rsidRDefault="0066239D" w:rsidP="0066239D">
      <w:pPr>
        <w:jc w:val="center"/>
        <w:rPr>
          <w:b/>
        </w:rPr>
      </w:pPr>
    </w:p>
    <w:p w:rsidR="0066239D" w:rsidRDefault="0066239D" w:rsidP="0066239D">
      <w:r>
        <w:t>49.</w:t>
      </w:r>
      <w:r>
        <w:tab/>
        <w:t>Филиппины гарантируют уважение прав человека.  В соответствии с мандатом ФКПЧ, цель которой состоит в содействии соблюдению прав человека, страна провела целый ряд мероприятий, включая кампании в области общественной информации и образования, учебные семинары и консультации.  Учебные дисциплины по правам человека включены также в программы регулярного обучения всех военнослужащих ВСФ.</w:t>
      </w:r>
    </w:p>
    <w:p w:rsidR="0066239D" w:rsidRDefault="0066239D" w:rsidP="0066239D"/>
    <w:p w:rsidR="0066239D" w:rsidRDefault="0066239D" w:rsidP="0066239D">
      <w:r>
        <w:t>50.</w:t>
      </w:r>
      <w:r>
        <w:tab/>
        <w:t>ФКПЧ активно занялась юридическим просвещением, а также планированием, осуществлением и координацией, с участием соответствующих органов, мер по ликвидации неграмотности в области прав человека.  При взаимодействии с министерством образования (МО) Комиссия готовит учебные материалы по правам человека и включает их в учебные программы начальных и средних школ.</w:t>
      </w:r>
    </w:p>
    <w:p w:rsidR="0066239D" w:rsidRDefault="0066239D" w:rsidP="0066239D"/>
    <w:p w:rsidR="006D2AAC" w:rsidRDefault="006D2AAC" w:rsidP="006D2AAC">
      <w:r>
        <w:t>51.</w:t>
      </w:r>
      <w:r>
        <w:tab/>
        <w:t>В целях повышения осведомленности граждан о своих правах и обязанностях по внутреннему и международному праву Комиссия подготовила ряд публикаций, издав, в частности, на филиппинском языке такой важный документ по правам человека, как Декларация прав человека Организации Объединенных Наций (издание Университета Филиппин).  Печатаются и распространяются по всей стране и другие материалы, такие</w:t>
      </w:r>
      <w:r w:rsidRPr="004806D0">
        <w:t>,</w:t>
      </w:r>
      <w:r>
        <w:t xml:space="preserve"> как плакаты и брошюры.</w:t>
      </w:r>
    </w:p>
    <w:p w:rsidR="006D2AAC" w:rsidRDefault="006D2AAC" w:rsidP="006D2AAC"/>
    <w:p w:rsidR="006D2AAC" w:rsidRDefault="006D2AAC" w:rsidP="006D2AAC">
      <w:r>
        <w:t>52.</w:t>
      </w:r>
      <w:r>
        <w:tab/>
        <w:t>По инициативе Комиссии проведен ряд консультаций и диалогов с правительственными учреждениями и неправительственными организациями, что может напрямую содействовать пропаганде концепции прав человека.  Это облегчает Комиссии поиск правовых, административных и прочих альтернативных мер, направленных на решение вопросов прав человека.</w:t>
      </w:r>
    </w:p>
    <w:p w:rsidR="006D2AAC" w:rsidRDefault="006D2AAC" w:rsidP="006D2AAC"/>
    <w:p w:rsidR="006D2AAC" w:rsidRDefault="006D2AAC" w:rsidP="006D2AAC">
      <w:r>
        <w:t>53.</w:t>
      </w:r>
      <w:r>
        <w:tab/>
        <w:t>Через свое отделение общественной информации и образования ФКПЧ занимается просвещением, профессиональной подготовкой и распространением информации о правах человека в целях повышения осведомленности населения об этих правах и понимания их принципов.  Комиссия создала в стране 12 региональных и четыре субрегиональных отделения для повышения оперативности расследований, облегчения доступа к жертвам нарушений прав человека и распространения информации об этих правах.</w:t>
      </w:r>
    </w:p>
    <w:p w:rsidR="006D2AAC" w:rsidRPr="00C62FA6" w:rsidRDefault="006D2AAC" w:rsidP="001C5D25">
      <w:pPr>
        <w:spacing w:line="240" w:lineRule="auto"/>
        <w:jc w:val="center"/>
        <w:rPr>
          <w:b/>
        </w:rPr>
      </w:pPr>
      <w:r w:rsidRPr="00C62FA6">
        <w:rPr>
          <w:b/>
        </w:rPr>
        <w:t>II.</w:t>
      </w:r>
      <w:r w:rsidRPr="00C62FA6">
        <w:rPr>
          <w:b/>
        </w:rPr>
        <w:tab/>
        <w:t>ИНФОРМАЦИЯ ОБ ОСУЩЕСТВЛЕНИИ ПАКТА</w:t>
      </w:r>
    </w:p>
    <w:p w:rsidR="006D2AAC" w:rsidRDefault="006D2AAC" w:rsidP="001C5D25">
      <w:pPr>
        <w:spacing w:line="240" w:lineRule="auto"/>
      </w:pPr>
    </w:p>
    <w:p w:rsidR="006D2AAC" w:rsidRDefault="006D2AAC" w:rsidP="001C5D25">
      <w:pPr>
        <w:spacing w:line="240" w:lineRule="auto"/>
        <w:jc w:val="center"/>
      </w:pPr>
      <w:r w:rsidRPr="00CA11E2">
        <w:rPr>
          <w:b/>
        </w:rPr>
        <w:t>Статья 1</w:t>
      </w:r>
    </w:p>
    <w:p w:rsidR="006D2AAC" w:rsidRDefault="006D2AAC" w:rsidP="006D2AAC">
      <w:pPr>
        <w:jc w:val="center"/>
      </w:pPr>
    </w:p>
    <w:p w:rsidR="006D2AAC" w:rsidRDefault="006D2AAC" w:rsidP="006D2AAC">
      <w:r w:rsidRPr="00CA11E2">
        <w:t>54.</w:t>
      </w:r>
      <w:r w:rsidRPr="00CA11E2">
        <w:tab/>
        <w:t>Этот вопрос рассматривается в пункта</w:t>
      </w:r>
      <w:r>
        <w:t>х</w:t>
      </w:r>
      <w:r w:rsidRPr="00CA11E2">
        <w:t xml:space="preserve"> 447-463 второго и третьего докладов Филиппин по осуществлению МПЭСКП (CCPR/C/PHL/2002/2;  см. </w:t>
      </w:r>
      <w:r>
        <w:t xml:space="preserve">добавление </w:t>
      </w:r>
      <w:r w:rsidRPr="00CA11E2">
        <w:t>А).</w:t>
      </w:r>
    </w:p>
    <w:p w:rsidR="006D2AAC" w:rsidRDefault="006D2AAC" w:rsidP="006D2AAC"/>
    <w:p w:rsidR="006D2AAC" w:rsidRDefault="006D2AAC" w:rsidP="006D2AAC">
      <w:r w:rsidRPr="00CA11E2">
        <w:t>55.</w:t>
      </w:r>
      <w:r w:rsidRPr="00CA11E2">
        <w:tab/>
        <w:t>10 мая 2004 года в стране были проведены всеобщие выборы.  До их проведения, 13 февраля 2003 года, был введен в действие Р</w:t>
      </w:r>
      <w:r>
        <w:t>З №</w:t>
      </w:r>
      <w:r w:rsidRPr="00CA11E2">
        <w:t xml:space="preserve"> 9189, </w:t>
      </w:r>
      <w:r>
        <w:t>иначе называемый "З</w:t>
      </w:r>
      <w:r w:rsidRPr="00CA11E2">
        <w:t>акон о заочном голосовании</w:t>
      </w:r>
      <w:r>
        <w:t>"</w:t>
      </w:r>
      <w:r w:rsidRPr="00CA11E2">
        <w:t xml:space="preserve">, позволяющий участвовать в заочном голосовании всем находящимся за </w:t>
      </w:r>
      <w:r>
        <w:t>рубежом</w:t>
      </w:r>
      <w:r w:rsidRPr="00CA11E2">
        <w:t xml:space="preserve"> филиппинцам.  </w:t>
      </w:r>
      <w:r>
        <w:t>Его д</w:t>
      </w:r>
      <w:r w:rsidRPr="00CA11E2">
        <w:t>ействие распространяется на всех</w:t>
      </w:r>
      <w:r>
        <w:t xml:space="preserve"> </w:t>
      </w:r>
      <w:r w:rsidRPr="00CA11E2">
        <w:t>находящихся за границей филиппинцев, которые имеют действительный филиппинский паспорт и не отказались от филиппинского гражданства.  Этот закон направлен на то, чтобы предоставить всем находящимся за границей правомочным филиппинцам равные возможности и доступ для реализации своего права на участие в голосовании.</w:t>
      </w:r>
    </w:p>
    <w:p w:rsidR="006D2AAC" w:rsidRDefault="006D2AAC" w:rsidP="006D2AAC"/>
    <w:p w:rsidR="006D2AAC" w:rsidRDefault="006D2AAC" w:rsidP="006D2AAC">
      <w:r w:rsidRPr="00CA11E2">
        <w:t>56.</w:t>
      </w:r>
      <w:r w:rsidRPr="00CA11E2">
        <w:tab/>
        <w:t xml:space="preserve">МИД через секретариат по проведению заочного голосования за границей зарегистрировал в 84 филиппинских посольствах, консульствах и других дипломатических ведомствах 364 187 филиппинцев, которые могут голосовать заочно.  Всего на выборах 2004 года </w:t>
      </w:r>
      <w:r>
        <w:t>в</w:t>
      </w:r>
      <w:r w:rsidRPr="00CA11E2">
        <w:t xml:space="preserve"> более чем 100 заграничных избирательных округов пришло голосовать 233 092 человека (65%).</w:t>
      </w:r>
    </w:p>
    <w:p w:rsidR="006D2AAC" w:rsidRDefault="006D2AAC" w:rsidP="006D2AAC"/>
    <w:p w:rsidR="006D2AAC" w:rsidRDefault="006D2AAC" w:rsidP="006D2AAC">
      <w:r w:rsidRPr="00CA11E2">
        <w:t>57.</w:t>
      </w:r>
      <w:r w:rsidRPr="00CA11E2">
        <w:tab/>
        <w:t>Для наблюдения за ходом выборо</w:t>
      </w:r>
      <w:r>
        <w:t>в</w:t>
      </w:r>
      <w:r w:rsidRPr="00CA11E2">
        <w:t xml:space="preserve"> и укрепления </w:t>
      </w:r>
      <w:r>
        <w:t xml:space="preserve">системы </w:t>
      </w:r>
      <w:r w:rsidRPr="00CA11E2">
        <w:t xml:space="preserve">мониторинга на местах в страну прибыли представители нескольких международных организаций.  Некоторые из наблюдателей дали положительную оценку действиям филиппинцев, которые на постоянной основе </w:t>
      </w:r>
      <w:r>
        <w:t xml:space="preserve">вели </w:t>
      </w:r>
      <w:r w:rsidRPr="00CA11E2">
        <w:t xml:space="preserve">наблюдение для обеспечения свободных и честных выборов.  Другие наблюдатели отметили, что, несмотря на выраженное филиппинцами искреннее желание провести заслуживающие доверия выборы, </w:t>
      </w:r>
      <w:r>
        <w:t xml:space="preserve">перед ними стоит еще целый ряд </w:t>
      </w:r>
      <w:r w:rsidRPr="00CA11E2">
        <w:t>трудны</w:t>
      </w:r>
      <w:r>
        <w:t>х</w:t>
      </w:r>
      <w:r w:rsidRPr="00CA11E2">
        <w:t xml:space="preserve"> проблем.</w:t>
      </w:r>
    </w:p>
    <w:p w:rsidR="006D2AAC" w:rsidRDefault="006D2AAC" w:rsidP="006D2AAC"/>
    <w:p w:rsidR="006D2AAC" w:rsidRDefault="006D2AAC" w:rsidP="006D2AAC">
      <w:pPr>
        <w:jc w:val="center"/>
      </w:pPr>
      <w:r w:rsidRPr="00CA11E2">
        <w:rPr>
          <w:b/>
        </w:rPr>
        <w:t>Статья 2</w:t>
      </w:r>
    </w:p>
    <w:p w:rsidR="006D2AAC" w:rsidRDefault="006D2AAC" w:rsidP="006D2AAC">
      <w:pPr>
        <w:jc w:val="center"/>
      </w:pPr>
    </w:p>
    <w:p w:rsidR="006D2AAC" w:rsidRDefault="006D2AAC" w:rsidP="006D2AAC">
      <w:r w:rsidRPr="00CA11E2">
        <w:t>58.</w:t>
      </w:r>
      <w:r w:rsidRPr="00CA11E2">
        <w:tab/>
        <w:t>Этот вопрос рассматривается в пунктах 464</w:t>
      </w:r>
      <w:r>
        <w:t xml:space="preserve"> </w:t>
      </w:r>
      <w:r w:rsidRPr="00CA11E2">
        <w:t>-</w:t>
      </w:r>
      <w:r>
        <w:t xml:space="preserve"> </w:t>
      </w:r>
      <w:r w:rsidRPr="00CA11E2">
        <w:t xml:space="preserve">475 второго и третьего докладов Филиппин </w:t>
      </w:r>
      <w:r>
        <w:t>об</w:t>
      </w:r>
      <w:r w:rsidRPr="00CA11E2">
        <w:t xml:space="preserve"> осуществлени</w:t>
      </w:r>
      <w:r>
        <w:t>и</w:t>
      </w:r>
      <w:r w:rsidRPr="00CA11E2">
        <w:t xml:space="preserve"> МПЭСКП (CCPR/C/PHL/2002/2;  см. </w:t>
      </w:r>
      <w:r>
        <w:t>добавление</w:t>
      </w:r>
      <w:r w:rsidRPr="00CA11E2">
        <w:t xml:space="preserve"> В).</w:t>
      </w:r>
    </w:p>
    <w:p w:rsidR="006D2AAC" w:rsidRDefault="006D2AAC" w:rsidP="006D2AAC"/>
    <w:p w:rsidR="006D2AAC" w:rsidRDefault="006D2AAC" w:rsidP="006D2AAC">
      <w:r w:rsidRPr="00CA11E2">
        <w:t>59.</w:t>
      </w:r>
      <w:r w:rsidRPr="00CA11E2">
        <w:tab/>
        <w:t xml:space="preserve">В 2004 году министерство здравоохранения осуществляло руководство действиями соответствующих </w:t>
      </w:r>
      <w:r>
        <w:t>правительственных</w:t>
      </w:r>
      <w:r w:rsidRPr="00CA11E2">
        <w:t xml:space="preserve"> </w:t>
      </w:r>
      <w:r>
        <w:t>учреждений</w:t>
      </w:r>
      <w:r w:rsidRPr="00CA11E2">
        <w:t xml:space="preserve"> по проведению всеобщей регистрации инвалидов.  Это программа оказалась </w:t>
      </w:r>
      <w:r>
        <w:t>мало</w:t>
      </w:r>
      <w:r w:rsidRPr="00CA11E2">
        <w:t>эффективной в связи с низкой явкой подлежащих регистрации лиц.</w:t>
      </w:r>
    </w:p>
    <w:p w:rsidR="006D2AAC" w:rsidRDefault="006D2AAC" w:rsidP="006D2AAC">
      <w:pPr>
        <w:jc w:val="center"/>
      </w:pPr>
      <w:r w:rsidRPr="00CA11E2">
        <w:rPr>
          <w:b/>
        </w:rPr>
        <w:t>Статья 3</w:t>
      </w:r>
    </w:p>
    <w:p w:rsidR="006D2AAC" w:rsidRDefault="006D2AAC" w:rsidP="006D2AAC">
      <w:pPr>
        <w:jc w:val="center"/>
      </w:pPr>
    </w:p>
    <w:p w:rsidR="006D2AAC" w:rsidRDefault="006D2AAC" w:rsidP="006D2AAC">
      <w:r w:rsidRPr="00CA11E2">
        <w:t>60.</w:t>
      </w:r>
      <w:r w:rsidRPr="00CA11E2">
        <w:tab/>
        <w:t>Пятый и шестой объединенные доклады Филиппин по осуществлению Конвенции о ликвидации всех форм дискриминации в отношении женщин (CEDAW/C/PHL/5-6) были рассмотрены Комитетом по ликвидации всех форм дискриминации в отношении женщин 15 августа 2006 года (части этого доклада прил</w:t>
      </w:r>
      <w:r>
        <w:t>агаются</w:t>
      </w:r>
      <w:r w:rsidRPr="00CA11E2">
        <w:t xml:space="preserve"> в качестве </w:t>
      </w:r>
      <w:r>
        <w:t>добавления</w:t>
      </w:r>
      <w:r w:rsidRPr="00CA11E2">
        <w:t xml:space="preserve"> С).</w:t>
      </w:r>
    </w:p>
    <w:p w:rsidR="006D2AAC" w:rsidRDefault="006D2AAC" w:rsidP="006D2AAC"/>
    <w:p w:rsidR="006D2AAC" w:rsidRDefault="006D2AAC" w:rsidP="006D2AAC">
      <w:r>
        <w:t>61.</w:t>
      </w:r>
      <w:r>
        <w:tab/>
        <w:t>В пункте</w:t>
      </w:r>
      <w:r w:rsidRPr="00CA11E2">
        <w:t xml:space="preserve"> </w:t>
      </w:r>
      <w:r w:rsidRPr="009C5654">
        <w:t xml:space="preserve">14 </w:t>
      </w:r>
      <w:r>
        <w:t xml:space="preserve">статьи </w:t>
      </w:r>
      <w:r>
        <w:rPr>
          <w:lang w:val="en-US"/>
        </w:rPr>
        <w:t>II</w:t>
      </w:r>
      <w:r w:rsidRPr="00CA11E2">
        <w:t xml:space="preserve"> </w:t>
      </w:r>
      <w:r>
        <w:t>Конституции</w:t>
      </w:r>
      <w:r w:rsidRPr="00CA11E2">
        <w:t xml:space="preserve"> 1987 года предусматривается, что "государство признает роль женщин в формировании нации и обеспечивает основополагающее равенство женщин и мужчин перед законом".  </w:t>
      </w:r>
      <w:r>
        <w:t>Пункт 14 статьи</w:t>
      </w:r>
      <w:r w:rsidRPr="00CA11E2">
        <w:t xml:space="preserve"> XIII</w:t>
      </w:r>
      <w:r>
        <w:t xml:space="preserve"> </w:t>
      </w:r>
      <w:r w:rsidRPr="00CA11E2">
        <w:t xml:space="preserve">гарантирует также работающим женщинам право на безопасные и здоровые условия работы с учетом их материнских функций.  </w:t>
      </w:r>
      <w:r>
        <w:t>К числу других</w:t>
      </w:r>
      <w:r w:rsidRPr="00CA11E2">
        <w:t xml:space="preserve"> конкретны</w:t>
      </w:r>
      <w:r>
        <w:t>х</w:t>
      </w:r>
      <w:r w:rsidRPr="00CA11E2">
        <w:t xml:space="preserve"> положени</w:t>
      </w:r>
      <w:r>
        <w:t>й</w:t>
      </w:r>
      <w:r w:rsidRPr="00CA11E2">
        <w:t xml:space="preserve">, которые гарантируют права женщин, </w:t>
      </w:r>
      <w:r>
        <w:t>относится</w:t>
      </w:r>
      <w:r w:rsidRPr="00CA11E2">
        <w:t xml:space="preserve"> </w:t>
      </w:r>
      <w:r>
        <w:t>пункт</w:t>
      </w:r>
      <w:r w:rsidRPr="00CA11E2">
        <w:t xml:space="preserve"> 5(2), в котором закреплено право женщин на секторальное представительство в национальных и местных законодательных органах, и статья IV, которая предоставляет им равные права в плане гражданства.  В соответствии </w:t>
      </w:r>
      <w:r>
        <w:rPr>
          <w:lang w:val="en-US"/>
        </w:rPr>
        <w:t>c</w:t>
      </w:r>
      <w:r w:rsidRPr="004806D0">
        <w:t xml:space="preserve"> </w:t>
      </w:r>
      <w:r>
        <w:t xml:space="preserve">пунктом 1(2) </w:t>
      </w:r>
      <w:r w:rsidRPr="00CA11E2">
        <w:t>стать</w:t>
      </w:r>
      <w:r>
        <w:t>и</w:t>
      </w:r>
      <w:r w:rsidRPr="00CA11E2">
        <w:t xml:space="preserve"> IV </w:t>
      </w:r>
      <w:r>
        <w:t>Конституции</w:t>
      </w:r>
      <w:r w:rsidRPr="00CA11E2">
        <w:t xml:space="preserve"> 1987 года любой ребенок, отец и мать которого являются гражданами Филиппин, согласно действующему законодательству</w:t>
      </w:r>
      <w:r>
        <w:t>,</w:t>
      </w:r>
      <w:r w:rsidRPr="00CA11E2">
        <w:t xml:space="preserve"> может быть признан филиппинским гражданином.</w:t>
      </w:r>
    </w:p>
    <w:p w:rsidR="006D2AAC" w:rsidRDefault="006D2AAC" w:rsidP="006D2AAC"/>
    <w:p w:rsidR="006D2AAC" w:rsidRDefault="006D2AAC" w:rsidP="006D2AAC">
      <w:r w:rsidRPr="00CA11E2">
        <w:t>62.</w:t>
      </w:r>
      <w:r w:rsidRPr="00CA11E2">
        <w:tab/>
        <w:t>С этой целью правительство Филиппин приняло законы для устранения исторически сложившейся практики ущемления прав женщин в различных сферах жизни.  Сюда входят законы, запрещающие дискриминацию в сфере занятости, подчеркивающие важность обеспечения права на образование женщин и девочек, устраняющие препятствия для поступления женщин на работу в полицию и на военную службу и криминализирующие случаи сексуального домогательства в сфере образования и профессиональной подготовки, а также по месту работы.</w:t>
      </w:r>
    </w:p>
    <w:p w:rsidR="006D2AAC" w:rsidRDefault="006D2AAC" w:rsidP="006D2AAC"/>
    <w:p w:rsidR="006D2AAC" w:rsidRDefault="006D2AAC" w:rsidP="006D2AAC">
      <w:r w:rsidRPr="00CA11E2">
        <w:t>63.</w:t>
      </w:r>
      <w:r w:rsidRPr="00CA11E2">
        <w:tab/>
        <w:t>Закон о гражданстве предоставляет филиппинским женщинам и мужчинам равные права в отношении приобретения, изменения или сохранения их гражданства или гражданства их детей.</w:t>
      </w:r>
    </w:p>
    <w:p w:rsidR="006D2AAC" w:rsidRDefault="006D2AAC" w:rsidP="006D2AAC"/>
    <w:p w:rsidR="006D2AAC" w:rsidRDefault="006D2AAC" w:rsidP="006D2AAC">
      <w:r w:rsidRPr="00CA11E2">
        <w:t>64.</w:t>
      </w:r>
      <w:r w:rsidRPr="00CA11E2">
        <w:tab/>
      </w:r>
      <w:r>
        <w:t>Равенство</w:t>
      </w:r>
      <w:r w:rsidRPr="00CA11E2">
        <w:t xml:space="preserve"> мужчин  и женщин в </w:t>
      </w:r>
      <w:r>
        <w:t xml:space="preserve">вопросах </w:t>
      </w:r>
      <w:r w:rsidRPr="00CA11E2">
        <w:t xml:space="preserve">оплаты труда, </w:t>
      </w:r>
      <w:r>
        <w:t xml:space="preserve">получения </w:t>
      </w:r>
      <w:r w:rsidRPr="00CA11E2">
        <w:t xml:space="preserve">равной платы за труд равной ценности и </w:t>
      </w:r>
      <w:r>
        <w:t xml:space="preserve">обеспечения </w:t>
      </w:r>
      <w:r w:rsidRPr="00CA11E2">
        <w:t xml:space="preserve">условий труда </w:t>
      </w:r>
      <w:r>
        <w:t>закреплен</w:t>
      </w:r>
      <w:r w:rsidRPr="00CA11E2">
        <w:t xml:space="preserve">о в </w:t>
      </w:r>
      <w:r>
        <w:t>пункте 14 статьи</w:t>
      </w:r>
      <w:r w:rsidRPr="00CA11E2">
        <w:t xml:space="preserve"> II </w:t>
      </w:r>
      <w:r>
        <w:t>Конституции</w:t>
      </w:r>
      <w:r w:rsidRPr="00CA11E2">
        <w:t>.</w:t>
      </w:r>
    </w:p>
    <w:p w:rsidR="006D2AAC" w:rsidRDefault="006D2AAC" w:rsidP="006D2AAC"/>
    <w:p w:rsidR="006D2AAC" w:rsidRDefault="006D2AAC" w:rsidP="006D2AAC">
      <w:r w:rsidRPr="00CA11E2">
        <w:t>65.</w:t>
      </w:r>
      <w:r w:rsidRPr="00CA11E2">
        <w:tab/>
        <w:t xml:space="preserve">Предпринимаются также </w:t>
      </w:r>
      <w:r>
        <w:t xml:space="preserve">положительные </w:t>
      </w:r>
      <w:r w:rsidRPr="00CA11E2">
        <w:t xml:space="preserve">меры в целях удовлетворения особых потребностей женщин на рабочих местах.  </w:t>
      </w:r>
      <w:r>
        <w:t>В стране уже давно</w:t>
      </w:r>
      <w:r w:rsidRPr="00CA11E2">
        <w:t xml:space="preserve"> действует система охраны материнства.  В соответствии с недавно принятым законодательством РЗ </w:t>
      </w:r>
      <w:r>
        <w:t xml:space="preserve">№ </w:t>
      </w:r>
      <w:r w:rsidRPr="00CA11E2">
        <w:t xml:space="preserve">8187, или </w:t>
      </w:r>
      <w:r>
        <w:t>З</w:t>
      </w:r>
      <w:r w:rsidRPr="00CA11E2">
        <w:t>акон</w:t>
      </w:r>
      <w:r>
        <w:t>ом</w:t>
      </w:r>
      <w:r w:rsidRPr="00CA11E2">
        <w:t xml:space="preserve"> о предоставлении отпуска отцу по уходу за ребенком 1996 года, отпуск предоставляется </w:t>
      </w:r>
      <w:r>
        <w:t>также мужчине по случаю</w:t>
      </w:r>
      <w:r w:rsidRPr="00CA11E2">
        <w:t xml:space="preserve"> рождения ребенка </w:t>
      </w:r>
      <w:r>
        <w:t xml:space="preserve">его </w:t>
      </w:r>
      <w:r w:rsidRPr="00CA11E2">
        <w:t xml:space="preserve">супругой.  Статья 132 </w:t>
      </w:r>
      <w:r>
        <w:t>Т</w:t>
      </w:r>
      <w:r w:rsidRPr="00CA11E2">
        <w:t>рудового кодекса требует, чтобы работодатели обеспечивали женщин определенными удобствами, такими, как отдельные туалетные комнаты и комнаты для переодевания.</w:t>
      </w:r>
    </w:p>
    <w:p w:rsidR="006D2AAC" w:rsidRDefault="006D2AAC" w:rsidP="006D2AAC"/>
    <w:p w:rsidR="006D2AAC" w:rsidRDefault="006D2AAC" w:rsidP="006D2AAC">
      <w:r w:rsidRPr="00CA11E2">
        <w:t>66.</w:t>
      </w:r>
      <w:r w:rsidRPr="00CA11E2">
        <w:tab/>
        <w:t>Закон о борьбе с сексуальными домогательствами защищает женщин от сексуальных домогательств и устанавливает уголовную ответственность за проявление по отношению к ним дискриминации.</w:t>
      </w:r>
    </w:p>
    <w:p w:rsidR="006D2AAC" w:rsidRDefault="006D2AAC" w:rsidP="006D2AAC"/>
    <w:p w:rsidR="006D2AAC" w:rsidRDefault="006D2AAC" w:rsidP="006D2AAC">
      <w:r w:rsidRPr="00CA11E2">
        <w:t>67.</w:t>
      </w:r>
      <w:r w:rsidRPr="00CA11E2">
        <w:tab/>
        <w:t xml:space="preserve">Право на получение образования является основным право филиппинских мужчин и женщин.  В 2000 году уровень базовой грамотности мужчин и женщин с 10 лет и старше был почти одинаковым и составлял соответственно 92,3% и 92,0% с разницей между </w:t>
      </w:r>
      <w:r>
        <w:t xml:space="preserve">представителями разных </w:t>
      </w:r>
      <w:r w:rsidRPr="00CA11E2">
        <w:t>пол</w:t>
      </w:r>
      <w:r>
        <w:t>ов</w:t>
      </w:r>
      <w:r w:rsidRPr="00CA11E2">
        <w:t xml:space="preserve"> в 0,3 процентных пункта.</w:t>
      </w:r>
    </w:p>
    <w:p w:rsidR="006D2AAC" w:rsidRDefault="006D2AAC" w:rsidP="006D2AAC"/>
    <w:p w:rsidR="006D2AAC" w:rsidRDefault="006D2AAC" w:rsidP="006D2AAC">
      <w:r w:rsidRPr="00CA11E2">
        <w:t>68.</w:t>
      </w:r>
      <w:r w:rsidRPr="00CA11E2">
        <w:tab/>
      </w:r>
      <w:r>
        <w:t xml:space="preserve">Филиппинское правительство </w:t>
      </w:r>
      <w:r>
        <w:rPr>
          <w:spacing w:val="-2"/>
        </w:rPr>
        <w:t>обеспечило также поддержку прав женщин в отношении получения проездных документов, а именно паспорта.  Р</w:t>
      </w:r>
      <w:r>
        <w:rPr>
          <w:spacing w:val="-2"/>
        </w:rPr>
        <w:t>у</w:t>
      </w:r>
      <w:r>
        <w:rPr>
          <w:spacing w:val="-2"/>
        </w:rPr>
        <w:t xml:space="preserve">ководящие принципы, касающиеся выдачи паспортов женщинам, предусмотренные в </w:t>
      </w:r>
      <w:r>
        <w:t>Законе о паспорте</w:t>
      </w:r>
      <w:r>
        <w:rPr>
          <w:spacing w:val="-2"/>
        </w:rPr>
        <w:t xml:space="preserve"> 1996 года, не требуют, чтобы женщины испр</w:t>
      </w:r>
      <w:r>
        <w:rPr>
          <w:spacing w:val="-2"/>
        </w:rPr>
        <w:t>а</w:t>
      </w:r>
      <w:r>
        <w:rPr>
          <w:spacing w:val="-2"/>
        </w:rPr>
        <w:t>шивали согласия своих мужей при подаче заявления о выдаче данного документа.</w:t>
      </w:r>
      <w:r w:rsidRPr="00CA11E2">
        <w:t xml:space="preserve">  Руководящие принципы требуют лишь предоставления соответствующих документов, подтверждающих гражданское состояние или семейное положение заявительниц.</w:t>
      </w:r>
    </w:p>
    <w:p w:rsidR="006D2AAC" w:rsidRDefault="006D2AAC" w:rsidP="006D2AAC"/>
    <w:p w:rsidR="006D2AAC" w:rsidRDefault="006D2AAC" w:rsidP="006D2AAC">
      <w:r w:rsidRPr="00CA11E2">
        <w:t>69.</w:t>
      </w:r>
      <w:r w:rsidRPr="00CA11E2">
        <w:tab/>
        <w:t xml:space="preserve">Продолжительность жизни женщин на Филиппинах всегда была выше, чем </w:t>
      </w:r>
      <w:r>
        <w:t xml:space="preserve">продолжительность жизни </w:t>
      </w:r>
      <w:r w:rsidRPr="00CA11E2">
        <w:t>мужчин (по данным 1999 года продолжительность жизни женщин составляла 71,28 года, а мужчин - 66,03 года).</w:t>
      </w:r>
    </w:p>
    <w:p w:rsidR="006D2AAC" w:rsidRDefault="006D2AAC" w:rsidP="006D2AAC"/>
    <w:p w:rsidR="006D2AAC" w:rsidRDefault="006D2AAC" w:rsidP="006D2AAC">
      <w:r>
        <w:t>70.</w:t>
      </w:r>
      <w:r>
        <w:tab/>
        <w:t>На Филиппинах уровень материнской смертности (УМС) в 1970 году составил 190 на 100 000 живорождений, а в 1995 году - 179,7.  Согласно данным Национального демографического обзора в области здравоохранения (НДООЗ) за 1998 год, за период 1991</w:t>
      </w:r>
      <w:r>
        <w:noBreakHyphen/>
        <w:t>1997 годов уровень смертности в стране составил 172 на 100 000 живорождений.</w:t>
      </w:r>
    </w:p>
    <w:p w:rsidR="006D2AAC" w:rsidRDefault="006D2AAC" w:rsidP="006D2AAC"/>
    <w:p w:rsidR="006D2AAC" w:rsidRDefault="006D2AAC" w:rsidP="006D2AAC">
      <w:r>
        <w:t>71.</w:t>
      </w:r>
      <w:r>
        <w:tab/>
        <w:t xml:space="preserve">В соответствии с данными НДООЗ за 1998 год на долю материнской смертности приходится, по оценкам, 14% от общего числа умерших женщин в возрасте от 15 до 49 лет.  Примерно две женщины на каждую 1 000 живорождений умирают во время беременности, родов и в постнатальный период.  За свою жизнь филиппинские женщины сталкиваются с тем, что в одном из ста случаев они могут умереть по причине материнства.  Более высокий уровень материнской смертности наблюдается в бедных сельских районах, изолированных областях и бедных городских общинах.  </w:t>
      </w:r>
    </w:p>
    <w:p w:rsidR="006D2AAC" w:rsidRDefault="006D2AAC" w:rsidP="006D2AAC"/>
    <w:p w:rsidR="006D2AAC" w:rsidRDefault="006D2AAC" w:rsidP="006D2AAC">
      <w:r>
        <w:t>72.</w:t>
      </w:r>
      <w:r>
        <w:tab/>
        <w:t>С 1986 года филиппинское правительство через посредство Национальной комиссии по вопросу о роли филиппинских женщин (НКРФЖ) активно реализует различные программы в целях эффективного осуществления законов, касающихся женщин.  Филиппинский план развития с учетом гендерных аспектов на 1995</w:t>
      </w:r>
      <w:r>
        <w:noBreakHyphen/>
        <w:t>2025 годы, сформулированный в 1995 году, служит в качестве руководства для пересмотра и разработки различными государственными учреждениями программ, учитывающих гендерный фактор.  К их числу относятся, среди прочего, обучение использованию подходов, учитывающих гендерный и ориентированный на развитие факторы при разработке проектов;  создание служб, занимающихся проблемами физических и сексуальных надругательств, а также другими вопросами в области репродуктивного здоровья женщин;  предоставление кредитов;  обучение навыкам, необходимым для получения средств к существованию</w:t>
      </w:r>
      <w:r w:rsidRPr="004806D0">
        <w:t xml:space="preserve">; </w:t>
      </w:r>
      <w:r>
        <w:t xml:space="preserve"> и предоставление информации, способствующей повышению экономической производительности женщин.</w:t>
      </w:r>
    </w:p>
    <w:p w:rsidR="006D2AAC" w:rsidRDefault="006D2AAC" w:rsidP="006D2AAC"/>
    <w:p w:rsidR="006D2AAC" w:rsidRDefault="006D2AAC" w:rsidP="006D2AAC">
      <w:r>
        <w:t>73.</w:t>
      </w:r>
      <w:r>
        <w:tab/>
        <w:t>Правительство Филиппин также уделяет первоочередное внимание изменению отношения и ценностей общества в сторону признания равенства ролей</w:t>
      </w:r>
      <w:r w:rsidRPr="004806D0">
        <w:t>,</w:t>
      </w:r>
      <w:r>
        <w:t xml:space="preserve"> прав, и обязанностей женщин и мужчин.  В этой связи с 1989 года оно приняло три плана развития в интересах женщин.  В Плане развития в интересах женщин (ПРЖ) признавалось, что правительственные учреждения несут совместную ответственность за выполнение программ по улучшению положения женщин.  Учреждения создали координационные центры по вопросам ПРЖ для координации осуществления плана и руководства работой по созданию учрежденческого потенциала для уделения особого внимания гендерным вопросам.</w:t>
      </w:r>
    </w:p>
    <w:p w:rsidR="006D2AAC" w:rsidRDefault="006D2AAC" w:rsidP="006D2AAC"/>
    <w:p w:rsidR="006D2AAC" w:rsidRDefault="006D2AAC" w:rsidP="006D2AAC">
      <w:r>
        <w:t>74.</w:t>
      </w:r>
      <w:r>
        <w:tab/>
        <w:t>В то же время План развития Филиппин с учетом гендерных аспектов (ПРГА) на 1995</w:t>
      </w:r>
      <w:r>
        <w:noBreakHyphen/>
        <w:t xml:space="preserve">2025 годы был рассчитан на долгосрочную перспективу и должен был служить базой для создания среднесрочных планов, в число которых входит, например, Рамочный план по улучшению положения женщин (РПЖ), цели, программы и проекты в рамках которого рассчитаны на более короткий период.  РПЖ направлен на расширение экономических прав и возможностей женщин при обеспечении поддержки и защиты их прав человека в контексте управления, учитывающего гендерный фактор.  </w:t>
      </w:r>
    </w:p>
    <w:p w:rsidR="006D2AAC" w:rsidRDefault="006D2AAC" w:rsidP="006D2AAC"/>
    <w:p w:rsidR="006D2AAC" w:rsidRDefault="006D2AAC" w:rsidP="006D2AAC">
      <w:r>
        <w:t>75.</w:t>
      </w:r>
      <w:r>
        <w:tab/>
        <w:t xml:space="preserve">Бюджетная политика по вопросам ПРЖ, закрепленная в ежегодном </w:t>
      </w:r>
      <w:r w:rsidR="00D825D4">
        <w:t>З</w:t>
      </w:r>
      <w:r>
        <w:t>аконе о бюджете, предусматривает использование 5% бюджета каждого учреждения для осуществления его планов в рамках ПРГА и РПЖ.  Национальной комиссии по вопросу о роли филиппинских женщин совместно с Национальным управлением экономики и развития (НУЭР) и министерством бюджета и управления (МБУ) поручено следить за осуществлением РПЖ и бюджетной политики.  С 1999 по 2003 год НКРФЖ ежегодно получала от министерств и их подведомственных учреждений в среднем 130</w:t>
      </w:r>
      <w:r>
        <w:noBreakHyphen/>
        <w:t>335 материалов для национального плана по вопросам ПРЖ.</w:t>
      </w:r>
    </w:p>
    <w:p w:rsidR="006D2AAC" w:rsidRDefault="006D2AAC" w:rsidP="006D2AAC"/>
    <w:p w:rsidR="006D2AAC" w:rsidRDefault="006D2AAC" w:rsidP="006D2AAC">
      <w:pPr>
        <w:jc w:val="center"/>
        <w:rPr>
          <w:b/>
        </w:rPr>
      </w:pPr>
      <w:r w:rsidRPr="00081C10">
        <w:rPr>
          <w:b/>
        </w:rPr>
        <w:t>Статья</w:t>
      </w:r>
      <w:r>
        <w:rPr>
          <w:b/>
        </w:rPr>
        <w:t xml:space="preserve"> 4</w:t>
      </w:r>
    </w:p>
    <w:p w:rsidR="006D2AAC" w:rsidRDefault="006D2AAC" w:rsidP="006D2AAC">
      <w:pPr>
        <w:jc w:val="center"/>
        <w:rPr>
          <w:b/>
        </w:rPr>
      </w:pPr>
    </w:p>
    <w:p w:rsidR="006D2AAC" w:rsidRDefault="006D2AAC" w:rsidP="006D2AAC">
      <w:r>
        <w:t>76.</w:t>
      </w:r>
      <w:r>
        <w:tab/>
        <w:t>В отношении предусмотренных Пактом прав в стране не существует каких-либо ограничений, кроме тех, которые определены законом.  Такие ограничения, если они существуют, по своему характеру совместимы с этими правами и преследуют единственную цель - содействие всеобщему благосостоянию в свободном обществе.</w:t>
      </w:r>
    </w:p>
    <w:p w:rsidR="006D2AAC" w:rsidRDefault="006D2AAC" w:rsidP="006D2AAC"/>
    <w:p w:rsidR="006D2AAC" w:rsidRDefault="006D2AAC" w:rsidP="006D2AAC">
      <w:pPr>
        <w:jc w:val="center"/>
        <w:rPr>
          <w:b/>
        </w:rPr>
      </w:pPr>
      <w:r>
        <w:rPr>
          <w:b/>
        </w:rPr>
        <w:t>Статьи 5 и 6</w:t>
      </w:r>
    </w:p>
    <w:p w:rsidR="006D2AAC" w:rsidRDefault="006D2AAC" w:rsidP="006D2AAC">
      <w:pPr>
        <w:jc w:val="center"/>
        <w:rPr>
          <w:b/>
        </w:rPr>
      </w:pPr>
    </w:p>
    <w:p w:rsidR="006D2AAC" w:rsidRDefault="006D2AAC" w:rsidP="006B333C">
      <w:pPr>
        <w:widowControl w:val="0"/>
        <w:numPr>
          <w:ilvl w:val="12"/>
          <w:numId w:val="0"/>
        </w:numPr>
        <w:tabs>
          <w:tab w:val="clear" w:pos="1701"/>
          <w:tab w:val="left" w:pos="1540"/>
        </w:tabs>
        <w:autoSpaceDE w:val="0"/>
        <w:autoSpaceDN w:val="0"/>
        <w:adjustRightInd w:val="0"/>
        <w:ind w:left="1540" w:hanging="1540"/>
        <w:rPr>
          <w:b/>
        </w:rPr>
      </w:pPr>
      <w:r>
        <w:rPr>
          <w:b/>
        </w:rPr>
        <w:t>Вопрос № 1</w:t>
      </w:r>
      <w:r w:rsidR="006B333C">
        <w:rPr>
          <w:b/>
        </w:rPr>
        <w:t>.</w:t>
      </w:r>
      <w:r w:rsidR="00DF2919">
        <w:rPr>
          <w:b/>
        </w:rPr>
        <w:tab/>
      </w:r>
      <w:r>
        <w:rPr>
          <w:b/>
        </w:rPr>
        <w:t>Конвенции МОТ, участником которых являются Филиппины</w:t>
      </w:r>
    </w:p>
    <w:p w:rsidR="006D2AAC" w:rsidRDefault="006D2AAC" w:rsidP="006D2AAC">
      <w:pPr>
        <w:rPr>
          <w:b/>
        </w:rPr>
      </w:pPr>
    </w:p>
    <w:p w:rsidR="006D2AAC" w:rsidRDefault="006D2AAC" w:rsidP="006D2AAC">
      <w:r>
        <w:t>77.</w:t>
      </w:r>
      <w:r>
        <w:tab/>
        <w:t>Филиппины являются участником Конвенции № 122 Международной организации труда (МОТ) (Конвенция о политике в области занятости, 1964 год), Конвенции № 111 МОТ (Конвенция о дискриминации в области труда и занятий, 1958 год), КЛРД и КЛДЖ.</w:t>
      </w:r>
    </w:p>
    <w:p w:rsidR="006D2AAC" w:rsidRDefault="006D2AAC" w:rsidP="006D2AAC"/>
    <w:p w:rsidR="006D2AAC" w:rsidRDefault="006D2AAC" w:rsidP="006D2AAC">
      <w:r>
        <w:t>78.</w:t>
      </w:r>
      <w:r>
        <w:tab/>
        <w:t>Правительство Филиппин представило свой доклад об осуществлении Конвенции 22 МОТ за период, заканчивающийся в августе 2002 года.  Также были  представлены ответы в связи с рекомендациями, высказанными Комитетом экспертов МОТ (далее Комитет), по вышеуказанному докладу.</w:t>
      </w:r>
    </w:p>
    <w:p w:rsidR="006D2AAC" w:rsidRDefault="006D2AAC" w:rsidP="006D2AAC"/>
    <w:p w:rsidR="006D2AAC" w:rsidRDefault="006D2AAC" w:rsidP="006D2AAC">
      <w:r>
        <w:t>7</w:t>
      </w:r>
      <w:r w:rsidRPr="001A182F">
        <w:t>9</w:t>
      </w:r>
      <w:r>
        <w:t>.</w:t>
      </w:r>
      <w:r>
        <w:tab/>
        <w:t>Правительство Филиппин также представило свой доклад об осуществлении Конвенции № 111 МОТ за отчетный период, заканчивающийся 31 августа 2001 года.  Во</w:t>
      </w:r>
      <w:r w:rsidR="00E1690B">
        <w:t> </w:t>
      </w:r>
      <w:r>
        <w:t xml:space="preserve">исполнение рекомендации Комитета, касающейся устранения правительством дискриминационной практики "отдания предпочтения лицам мужского пола" при принятии на работу служащих, правительство приняло решение внести поправку в статью 135 Трудового кодекса.  С этой целью в конгресс были представлены различные законопроекты, касающиеся предоставления женщинам более широких возможностей в плане доступа к системе профессиональной подготовки и запрещения дискриминационной практики, например включения в объявления о приеме на работу служащих примечаний о том, что предпочтение отдается мужчинам. </w:t>
      </w:r>
    </w:p>
    <w:p w:rsidR="006D2AAC" w:rsidRDefault="006D2AAC" w:rsidP="006D2AAC"/>
    <w:p w:rsidR="006D2AAC" w:rsidRDefault="00DF2919" w:rsidP="006D2AAC">
      <w:pPr>
        <w:rPr>
          <w:b/>
        </w:rPr>
      </w:pPr>
      <w:r>
        <w:rPr>
          <w:b/>
        </w:rPr>
        <w:br w:type="page"/>
      </w:r>
      <w:r w:rsidR="006D2AAC">
        <w:rPr>
          <w:b/>
        </w:rPr>
        <w:t>Вопрос № 2</w:t>
      </w:r>
    </w:p>
    <w:p w:rsidR="006D2AAC" w:rsidRDefault="006D2AAC" w:rsidP="006D2AAC">
      <w:pPr>
        <w:rPr>
          <w:b/>
        </w:rPr>
      </w:pPr>
    </w:p>
    <w:p w:rsidR="006D2AAC" w:rsidRDefault="006D2AAC" w:rsidP="00DF7943">
      <w:pPr>
        <w:ind w:left="567" w:hanging="567"/>
        <w:rPr>
          <w:b/>
        </w:rPr>
      </w:pPr>
      <w:r w:rsidRPr="00FA5E25">
        <w:rPr>
          <w:b/>
        </w:rPr>
        <w:t>2.а</w:t>
      </w:r>
      <w:r>
        <w:rPr>
          <w:b/>
        </w:rPr>
        <w:tab/>
      </w:r>
      <w:r w:rsidRPr="00FA5E25">
        <w:rPr>
          <w:b/>
        </w:rPr>
        <w:t>Положение, уровень и тенденции в таких областях, как занятость, безработица и неполная занятость</w:t>
      </w:r>
    </w:p>
    <w:p w:rsidR="006D2AAC" w:rsidRDefault="006D2AAC" w:rsidP="006D2AAC">
      <w:pPr>
        <w:rPr>
          <w:b/>
        </w:rPr>
      </w:pPr>
    </w:p>
    <w:p w:rsidR="006D2AAC" w:rsidRDefault="006D2AAC" w:rsidP="006D2AAC">
      <w:r>
        <w:t>80.</w:t>
      </w:r>
      <w:r>
        <w:tab/>
        <w:t>За период 1998-2003 годов среднегодовые темпы роста численности рабочей силы составляли 3,1% (в среднем это 979 000 впервые выходящих или возвращающихся на рынок труда лиц</w:t>
      </w:r>
      <w:r w:rsidRPr="004806D0">
        <w:t>)</w:t>
      </w:r>
      <w:r>
        <w:t xml:space="preserve">.  Всего за шестилетний период численность рабочей силы в стране увеличилась с 29 674 млн. до 34 571 млн. человек. </w:t>
      </w:r>
    </w:p>
    <w:p w:rsidR="006D2AAC" w:rsidRDefault="006D2AAC" w:rsidP="006D2AAC"/>
    <w:p w:rsidR="006D2AAC" w:rsidRDefault="006D2AAC" w:rsidP="006D2AAC">
      <w:pPr>
        <w:rPr>
          <w:b/>
        </w:rPr>
      </w:pPr>
      <w:r w:rsidRPr="00FA5E25">
        <w:rPr>
          <w:b/>
        </w:rPr>
        <w:t>Занятость и безработица</w:t>
      </w:r>
    </w:p>
    <w:p w:rsidR="006D2AAC" w:rsidRDefault="006D2AAC" w:rsidP="006D2AAC">
      <w:pPr>
        <w:rPr>
          <w:b/>
        </w:rPr>
      </w:pPr>
    </w:p>
    <w:p w:rsidR="00A833F4" w:rsidRDefault="00A833F4" w:rsidP="00A833F4">
      <w:r>
        <w:t>81.</w:t>
      </w:r>
      <w:r w:rsidRPr="006731DC">
        <w:tab/>
      </w:r>
      <w:r>
        <w:t>Уровень занятости рос постоянно и с 26</w:t>
      </w:r>
      <w:r>
        <w:rPr>
          <w:lang w:val="en-US"/>
        </w:rPr>
        <w:t> </w:t>
      </w:r>
      <w:r>
        <w:t>631</w:t>
      </w:r>
      <w:r>
        <w:rPr>
          <w:lang w:val="en-US"/>
        </w:rPr>
        <w:t> </w:t>
      </w:r>
      <w:r>
        <w:t>млн. трудящихся в 1998 году увеличился до 30 635 млн. в 2003 году.  Однако по сравнению с темпами роста численности рабочей силы ежегодные темпы увеличения уровня занятости были более медленными и составили 2,9%, т.е. 801 000 дополнительно получавших работу лиц.  Процесс создания рабочих мест протекал весьма хаотично:  дважды происходило резкое замедление – в 1998 году (0,7%) и 2000 году (-1,0%), восстановление темпов роста в 1999 году (4,2%) и 2001 году (6,2%), после чего отмечались более умеренные показатели в 2002 (3,1%) и 2003 годах (1,9%).  Периоды подъемов и спадов в сфере обеспечения занятости тесно связаны с колебаниями уровня занятости в сельскохозяйственном секторе, вызванными неблагоприятными последствиями природного феномена Эль</w:t>
      </w:r>
      <w:r>
        <w:noBreakHyphen/>
        <w:t>Ниньо, которые проявились в стране впервые в 1998 году и затем вновь 2000 году.  С другой стороны, на промышленный сектор пришелся основной удар финансового кризиса азиатских государств 1997 года и глобального замедления темпов роста экономики, начавшегося в 2000 году.</w:t>
      </w:r>
    </w:p>
    <w:p w:rsidR="00A833F4" w:rsidRDefault="00A833F4" w:rsidP="00A833F4"/>
    <w:p w:rsidR="00A833F4" w:rsidRDefault="00A833F4" w:rsidP="00A833F4">
      <w:r>
        <w:t>82.</w:t>
      </w:r>
      <w:r w:rsidRPr="006731DC">
        <w:tab/>
      </w:r>
      <w:r>
        <w:t xml:space="preserve">Лидером в обеспечении роста занятости явился сектор услуг, в котором ежегодные темпы увеличения этого показателя составляли стабильные 5,4%.  Его доля в общем объеме занятости выросла с 45% в 1998 году до 47,6% в 2003 году.  Между тем в секторах сельского хозяйства, рыбной и лесной промышленности, на которые приходится значительная доля общего объема занятости (37%), этот показатель не изменился.  В промышленности уровень занятости рос очень медленными темпами (1,6%), а его доля в общем объеме занятости за этот же период сократилась с 17,1% до 15,8%.  </w:t>
      </w:r>
    </w:p>
    <w:p w:rsidR="00A833F4" w:rsidRDefault="00A833F4" w:rsidP="00A833F4"/>
    <w:p w:rsidR="00A833F4" w:rsidRDefault="00A833F4" w:rsidP="00A833F4">
      <w:r>
        <w:t>83.</w:t>
      </w:r>
      <w:r>
        <w:tab/>
        <w:t>В государственном секторе общая численность работающих в 2003 году составляла 2,37 млн. человек, т.е. с 1998 года она увеличилась всего лишь на 295 000 (13,7%) трудящихся.  За этот период показатель роста занятости в государственном секторе экономики постоянно сокращался и с высокого уровня в 5,8% в 2000 году уменьшился до</w:t>
      </w:r>
      <w:r w:rsidR="00F71A04">
        <w:t> </w:t>
      </w:r>
      <w:r>
        <w:t xml:space="preserve">1,8% в 2002 году.  В 2003 году этот показатель снизился даже до 0,5%.  В результате проведенной правительством программы приватизации число служащих в принадлежащих государству или контролируемых им корпорациях сократилось с 128 466 человек в 1993 году до 94 970 в 1999 году.  Немногим менее 87% от общего количества государственных служащих имеют статус штатного работника с пожизненной гарантией сохранения должности.  </w:t>
      </w:r>
    </w:p>
    <w:p w:rsidR="00A833F4" w:rsidRDefault="00A833F4" w:rsidP="00A833F4"/>
    <w:p w:rsidR="00A833F4" w:rsidRDefault="00A833F4" w:rsidP="00A833F4">
      <w:r>
        <w:t>84.</w:t>
      </w:r>
      <w:r>
        <w:tab/>
        <w:t>Уровень занятости в стране продолжал расти, достигнув в апреле 2004 года 3,6% в годовом исчислении, что составляет более миллиона (1,102 млн.) трудоустроенных лиц, как об этом сообщается в Обзоре рабочей силы (ОРС) за март 2004 года.  Такой прирост был обусловлен продолжающимся расширением сектора услуг (6,2%) и быстрым восстановлением темпов роста занятости в секторе промышленности (5,7%).  Это свидетельствует об улучшении показателей по сравнению с данными 2003 года, когда был зарегистрирован почти нулевой прирост занятости (0,8%, или 232 000).</w:t>
      </w:r>
    </w:p>
    <w:p w:rsidR="00A833F4" w:rsidRDefault="00A833F4" w:rsidP="00A833F4"/>
    <w:p w:rsidR="00A833F4" w:rsidRDefault="00A833F4" w:rsidP="00A833F4">
      <w:r>
        <w:t>85.</w:t>
      </w:r>
      <w:r>
        <w:tab/>
        <w:t xml:space="preserve">В октябре 1990 года на долю сельскохозяйственного сектора, включая рыбную и лесную промышленность, приходилось 45,2% от общего объема занятости.  В октябре </w:t>
      </w:r>
      <w:r w:rsidRPr="000E6562">
        <w:t>1999</w:t>
      </w:r>
      <w:r>
        <w:rPr>
          <w:lang w:val="en-US"/>
        </w:rPr>
        <w:t> </w:t>
      </w:r>
      <w:r w:rsidRPr="00EA51CB">
        <w:t>год</w:t>
      </w:r>
      <w:r w:rsidRPr="00B551A9">
        <w:t>а</w:t>
      </w:r>
      <w:r>
        <w:t xml:space="preserve"> она сократилась на 6,1%, достигнув 39,1%.  Это можно было бы рассматривать в качестве позитивного явления, если бы темпы снижения не были столь медленными по сравнению с другими странами – членами АСЕАН.  Кроме того, сектор промышленности не смог поглотить всех лиц, покинувших сельскохозяйственный сектор.  Данные показывают, что за этот период доля сектора промышленности в общем объеме занятости оставалась практически неизменной.  С октября 1990 по октябрь </w:t>
      </w:r>
      <w:r w:rsidRPr="00923330">
        <w:t>1999</w:t>
      </w:r>
      <w:r>
        <w:rPr>
          <w:lang w:val="en-US"/>
        </w:rPr>
        <w:t> </w:t>
      </w:r>
      <w:r w:rsidRPr="00895B41">
        <w:t>год</w:t>
      </w:r>
      <w:r w:rsidRPr="00923330">
        <w:t xml:space="preserve">а </w:t>
      </w:r>
      <w:r>
        <w:t>ее прирост был минимальным, составляя 0,6%.  Покинувшие сельскохозяйственный сектор работники, как представляется, перешли в сектор услуг, доля которого с 39,7% в 1990 году возросла до 44,2% в 1999 году.  Такое вынужденное поглощение бывших трудящихся сельскохозяйственного сектора сектором услуг привело к росту неформального сектора в городских районах.</w:t>
      </w:r>
    </w:p>
    <w:p w:rsidR="00A833F4" w:rsidRDefault="00A833F4" w:rsidP="00A833F4"/>
    <w:p w:rsidR="00A833F4" w:rsidRDefault="00A833F4" w:rsidP="00A833F4">
      <w:r>
        <w:t>86.</w:t>
      </w:r>
      <w:r>
        <w:tab/>
        <w:t xml:space="preserve">В ОРС за июль 2000 года указывается, что в сельскохозяйственном секторе после зафиксированного в июле </w:t>
      </w:r>
      <w:r w:rsidRPr="00B86E10">
        <w:t>1999</w:t>
      </w:r>
      <w:r>
        <w:rPr>
          <w:lang w:val="en-US"/>
        </w:rPr>
        <w:t> </w:t>
      </w:r>
      <w:r w:rsidRPr="00895B41">
        <w:t>год</w:t>
      </w:r>
      <w:r>
        <w:t>а роста (0,8 млн. человек), был зарегистрирован спад (1,188 млн., или 10,1%).  В 2001 году его доля в общем объеме занятости вновь сократилась с 37,4 до 35,1%.  С другой стороны, уровень занятости в секторе промышленности, после резкого падения в 1999 году, вырос на 5,7%.  Во всех подотраслях показатели роста занятости были положительными, и лидирующие позиции здесь принадлежали обрабатывающей промышленности, за которой следовали сектор строительства, горная и карьерная разработка, сектор производства электроэнергии, газоснабжение и водоснабжение.</w:t>
      </w:r>
    </w:p>
    <w:p w:rsidR="00A833F4" w:rsidRDefault="00A833F4" w:rsidP="00A833F4"/>
    <w:p w:rsidR="00A833F4" w:rsidRDefault="00A833F4" w:rsidP="00A833F4">
      <w:r>
        <w:t>87.</w:t>
      </w:r>
      <w:r>
        <w:tab/>
        <w:t>С течением времени в результате быстрого увеличения численности рабочей силы и умеренных темпов роста экономики возросло количество безработных, которое, за исключением наблюдавшегося в 1999 году замедления, постоянно увеличивалось и с</w:t>
      </w:r>
      <w:r w:rsidR="00DF2919">
        <w:t> </w:t>
      </w:r>
      <w:r>
        <w:t>3,04 млн. в 1998 году достигло 3,93 млн. в 2003 году.  Уровень безработицы несколько сократился с 10,3% в 1998 году до 9,8% в 1999 году, а затем вновь возрос до 11,2% в</w:t>
      </w:r>
      <w:r w:rsidR="00DF2919">
        <w:t> </w:t>
      </w:r>
      <w:r>
        <w:t>2000 году.</w:t>
      </w:r>
    </w:p>
    <w:p w:rsidR="00A833F4" w:rsidRDefault="00A833F4" w:rsidP="00A833F4"/>
    <w:p w:rsidR="00A833F4" w:rsidRDefault="00A833F4" w:rsidP="00A833F4">
      <w:r>
        <w:t>88.</w:t>
      </w:r>
      <w:r>
        <w:tab/>
        <w:t>С проблемой безработицы в первую очередь сталкиваются не имеющие навыков и трудового опыта молодые работники.  Из общего количества безработных половину составляют молодые люди (лица в возрасте от 15 до 24 лет).  Уровень безработицы среди молодых людей в два раза превышает уровень безработицы по всей стране (21,4% в</w:t>
      </w:r>
      <w:r w:rsidR="00DF2919">
        <w:t> </w:t>
      </w:r>
      <w:r>
        <w:t xml:space="preserve">1998 году и 23,2% – в 2003 году).  Большинство безработных – выпускники школ и находящиеся на каникулах студенты высших учебных заведений, ищущие работу на время каникул, что объясняет тот факт, что в апреле обычно наблюдается самый высокий уровень безработицы.  </w:t>
      </w:r>
    </w:p>
    <w:p w:rsidR="00A833F4" w:rsidRDefault="00A833F4" w:rsidP="00A833F4"/>
    <w:p w:rsidR="00A833F4" w:rsidRDefault="00A833F4" w:rsidP="00A833F4">
      <w:r>
        <w:t>89.</w:t>
      </w:r>
      <w:r>
        <w:tab/>
        <w:t xml:space="preserve">В 2003 году из общего числа безработных 60,6% приходилось на долю мужчин.  Однако уровень безработицы среди мужчин (11,3%) несколько ниже, чем уровень безработицы среди женщин (11,5%).  </w:t>
      </w:r>
    </w:p>
    <w:p w:rsidR="00A833F4" w:rsidRDefault="00A833F4" w:rsidP="00A833F4"/>
    <w:p w:rsidR="00A833F4" w:rsidRDefault="00A833F4" w:rsidP="00A833F4">
      <w:r>
        <w:t>90.</w:t>
      </w:r>
      <w:r>
        <w:tab/>
        <w:t>Также более высокий уровень безработицы наблюдается в развитых районах, таких, как район национальной столицы (РНС) (17%), Район </w:t>
      </w:r>
      <w:r>
        <w:rPr>
          <w:lang w:val="en-US"/>
        </w:rPr>
        <w:t>III</w:t>
      </w:r>
      <w:r w:rsidRPr="00786C96">
        <w:t xml:space="preserve"> </w:t>
      </w:r>
      <w:r>
        <w:t>(12,1%) и Район </w:t>
      </w:r>
      <w:r>
        <w:rPr>
          <w:lang w:val="en-US"/>
        </w:rPr>
        <w:t>IV</w:t>
      </w:r>
      <w:r w:rsidRPr="00786C96">
        <w:t xml:space="preserve"> </w:t>
      </w:r>
      <w:r>
        <w:t>(12,9%) по сравнению с менее развитыми районами, такими, как Район </w:t>
      </w:r>
      <w:r>
        <w:rPr>
          <w:lang w:val="en-US"/>
        </w:rPr>
        <w:t>II</w:t>
      </w:r>
      <w:r w:rsidRPr="00A90272">
        <w:t xml:space="preserve"> (</w:t>
      </w:r>
      <w:r>
        <w:t xml:space="preserve">6,3%), Административный район Кордильера (8,9%) и Район </w:t>
      </w:r>
      <w:r>
        <w:rPr>
          <w:lang w:val="en-US"/>
        </w:rPr>
        <w:t>IX</w:t>
      </w:r>
      <w:r w:rsidRPr="00F1261D">
        <w:t xml:space="preserve"> (7,8%).</w:t>
      </w:r>
    </w:p>
    <w:p w:rsidR="00A833F4" w:rsidRDefault="00A833F4" w:rsidP="00A833F4"/>
    <w:p w:rsidR="00A833F4" w:rsidRDefault="00A833F4" w:rsidP="00A833F4">
      <w:r>
        <w:t>91.</w:t>
      </w:r>
      <w:r w:rsidRPr="00392522">
        <w:tab/>
      </w:r>
      <w:r>
        <w:t>В 90-е годы уровень безработицы в основном был нестабильным.  С 8,4% в 1990 году он увеличился до 10,6% в 1991 году.  Это явилось следствием энергетического кризиса, тяжелейшего тайфуна, обрушившегося на район Висаян в 1990 году, разрушительного землетрясения в столице и районе Лусон Центральный и извержения вулкана на горе Пинатубо в 1991 году.  Падение уровня безработицы в 1992 году было обусловлено общим улучшением положения дел в экономике благодаря экономическим реформам и благоприятным погодным условиям.  В 1998 году резкий рост уровня безработицы до 10,1% был спровоцирован финансовым кризисом в азиатских странах и природным феноменом Эль-Ниньо, который проявился в стране в 1997 и 1998 годах.  В 1999 году после выхода экономики из кризиса уровень безработицы сократился до 9,7%.</w:t>
      </w:r>
    </w:p>
    <w:p w:rsidR="00A833F4" w:rsidRDefault="00A833F4" w:rsidP="00A833F4"/>
    <w:p w:rsidR="00A833F4" w:rsidRDefault="00A833F4" w:rsidP="00A833F4">
      <w:r>
        <w:t>92.</w:t>
      </w:r>
      <w:r>
        <w:tab/>
        <w:t xml:space="preserve">В 1999 году число трудящихся мужского пола составляло 62,3% от общего объема рабочей силы страны.  Хотя на долю женщин приходилось чуть более одной трети в общем объеме рабочей силы, уровень безработицы среди женщин был немного выше и составлял 9,9% по сравнению с 9,5% среди мужчин.  </w:t>
      </w:r>
    </w:p>
    <w:p w:rsidR="00A833F4" w:rsidRDefault="00A833F4" w:rsidP="00A833F4"/>
    <w:p w:rsidR="00A833F4" w:rsidRDefault="00A833F4" w:rsidP="00A833F4">
      <w:r>
        <w:t>93.</w:t>
      </w:r>
      <w:r>
        <w:tab/>
        <w:t>Безработица распространена главным образом в городах.  В 1999 году среди безработных не менее двух третей составляли жители городов (61%).  Уровень безработицы в городских районах (12,6%) почти в два раза превышает уровень безработицы (7,1%) на рынке труда в сельской местности.</w:t>
      </w:r>
    </w:p>
    <w:p w:rsidR="00A833F4" w:rsidRDefault="00A833F4" w:rsidP="00A833F4"/>
    <w:p w:rsidR="00A833F4" w:rsidRPr="006731DC" w:rsidRDefault="00A833F4" w:rsidP="00A833F4">
      <w:r>
        <w:rPr>
          <w:b/>
        </w:rPr>
        <w:t>Неполная занятость</w:t>
      </w:r>
    </w:p>
    <w:p w:rsidR="00A833F4" w:rsidRPr="006731DC" w:rsidRDefault="00A833F4" w:rsidP="00A833F4"/>
    <w:p w:rsidR="00A833F4" w:rsidRDefault="00A833F4" w:rsidP="00A833F4">
      <w:r>
        <w:t>94.</w:t>
      </w:r>
      <w:r>
        <w:tab/>
        <w:t xml:space="preserve">Для рынка труда Филиппин неполная занятость создает более серьезные проблемы чем безработица, поскольку она затрагивает людей всех возрастов и почти в два раза превосходит по масштабам общий уровень безработицы.  Показатель неполной занятости составлял в 1998 году 21,6%, 1999 году – 22,1% и в 2000 году – 21,7%, а затем в период 2001–2003 годов он стабилизировался на уровне 17,0% благодаря восстановлению темпов роста занятости в сельскохозяйственном секторе.  </w:t>
      </w:r>
    </w:p>
    <w:p w:rsidR="00A833F4" w:rsidRDefault="00A833F4" w:rsidP="00A833F4"/>
    <w:p w:rsidR="00A833F4" w:rsidRDefault="00A833F4" w:rsidP="00A833F4">
      <w:r>
        <w:t>95.</w:t>
      </w:r>
      <w:r>
        <w:tab/>
        <w:t>В 2003 году 5,21 млн. работающих по найму лиц считались неполностью занятыми в том смысле, что они хотели иметь больше часов работы, чем фактически имели.  Эта цифра представляет собой существенное сокращение по сравнению с зарегистрированным в 1999 году самым высоким показателем в 6,127 млн. человек.  Измерение количества отработанных рабочих часов за последнюю неделю показывает, что примерно две трети (63,7%), или 3,32 млн. человек, явно были заняты неполный рабочий день, т.е. они работали менее 40 часов, что эквивалентно работе полный рабочий день.</w:t>
      </w:r>
    </w:p>
    <w:p w:rsidR="00A833F4" w:rsidRDefault="00A833F4" w:rsidP="00A833F4"/>
    <w:p w:rsidR="00A833F4" w:rsidRDefault="00A833F4" w:rsidP="00A833F4">
      <w:r>
        <w:t>96.</w:t>
      </w:r>
      <w:r>
        <w:tab/>
        <w:t>Неполная занятость в большей мере характерна для сельских районов.  В 2003 году самый высокий уровень неполной занятости был отмечен в менее развитых районах, таких как Районы </w:t>
      </w:r>
      <w:r>
        <w:rPr>
          <w:lang w:val="en-US"/>
        </w:rPr>
        <w:t>II</w:t>
      </w:r>
      <w:r>
        <w:t xml:space="preserve"> (20,1%), </w:t>
      </w:r>
      <w:r>
        <w:rPr>
          <w:lang w:val="en-US"/>
        </w:rPr>
        <w:t>V</w:t>
      </w:r>
      <w:r>
        <w:t xml:space="preserve"> (30,4%), и </w:t>
      </w:r>
      <w:r>
        <w:rPr>
          <w:lang w:val="en-US"/>
        </w:rPr>
        <w:t>X</w:t>
      </w:r>
      <w:r w:rsidRPr="00FE4FC5">
        <w:t xml:space="preserve"> </w:t>
      </w:r>
      <w:r>
        <w:t xml:space="preserve">(30,5%), а самый низкий – в развитых районах, таких, как Район национальной столицы (РНС) (9,6%), Район </w:t>
      </w:r>
      <w:r>
        <w:rPr>
          <w:lang w:val="en-US"/>
        </w:rPr>
        <w:t>III</w:t>
      </w:r>
      <w:r w:rsidRPr="00E85263">
        <w:t xml:space="preserve"> (9,2%), </w:t>
      </w:r>
      <w:r>
        <w:rPr>
          <w:lang w:val="en-US"/>
        </w:rPr>
        <w:t>IV</w:t>
      </w:r>
      <w:r w:rsidRPr="00E85263">
        <w:t>-</w:t>
      </w:r>
      <w:r>
        <w:rPr>
          <w:lang w:val="en-US"/>
        </w:rPr>
        <w:t>A</w:t>
      </w:r>
      <w:r w:rsidRPr="00E85263">
        <w:t xml:space="preserve"> (</w:t>
      </w:r>
      <w:r>
        <w:t>12</w:t>
      </w:r>
      <w:r w:rsidRPr="00E85263">
        <w:t xml:space="preserve">,3%) </w:t>
      </w:r>
      <w:r>
        <w:t xml:space="preserve">и Район </w:t>
      </w:r>
      <w:r>
        <w:rPr>
          <w:lang w:val="en-US"/>
        </w:rPr>
        <w:t>VII</w:t>
      </w:r>
      <w:r w:rsidRPr="00E85263">
        <w:t xml:space="preserve"> (11,3%)</w:t>
      </w:r>
      <w:r>
        <w:t xml:space="preserve">.   </w:t>
      </w:r>
    </w:p>
    <w:p w:rsidR="00A833F4" w:rsidRDefault="00A833F4" w:rsidP="00A833F4"/>
    <w:p w:rsidR="00A833F4" w:rsidRDefault="00A833F4" w:rsidP="00A833F4">
      <w:r>
        <w:t>97.</w:t>
      </w:r>
      <w:r>
        <w:tab/>
        <w:t xml:space="preserve">В 2003 году среди занятых неполный рабочий день трудящихся было также много лиц с низким уровнем образования.  Примерно половина (46,6%) занятых неполный рабочий день трудящихся посещали только начальную школу или вообще не учились.  Чуть более одной трети (36,4%) учились только в средней школе, и менее одной пятой (17,0%) имели высшее образование.  </w:t>
      </w:r>
    </w:p>
    <w:p w:rsidR="00A833F4" w:rsidRDefault="00A833F4" w:rsidP="00A833F4"/>
    <w:p w:rsidR="00A833F4" w:rsidRDefault="00A833F4" w:rsidP="00A833F4">
      <w:r>
        <w:t>98.</w:t>
      </w:r>
      <w:r>
        <w:tab/>
        <w:t>В период кризиса начала 1990-х годов уровень неполной занятости вырос с 5 млн. до 6,5 млн. человек в 1999 году.  За этот период уровень неполной занятости сократился на 0,1 процентных пункта, т.е. с 22,4% до 22,3%.  Количество занятых неполный рабочий день в период 1990–1999 годов сохранялось на высоком уровне и составляло ежегодно 5,4 млн. человек.</w:t>
      </w:r>
    </w:p>
    <w:p w:rsidR="00A833F4" w:rsidRDefault="00A833F4" w:rsidP="00A833F4"/>
    <w:p w:rsidR="00A833F4" w:rsidRDefault="00A833F4" w:rsidP="00A833F4">
      <w:r>
        <w:t>99.</w:t>
      </w:r>
      <w:r>
        <w:tab/>
        <w:t>В 1999 году 53,6% трудящихся явно были заняты неполный рабочий день, т.е. они работали менее 40 часов в неделю.  Остальные (46,4%) были неявно заняты неполный рабочий день, т.е. они работали 40 часов или более, но по-прежнему хотели иметь дополнительные рабочие часы.</w:t>
      </w:r>
    </w:p>
    <w:p w:rsidR="00A833F4" w:rsidRDefault="00A833F4" w:rsidP="00A833F4"/>
    <w:p w:rsidR="00B41A6D" w:rsidRDefault="00B41A6D" w:rsidP="00B41A6D">
      <w:pPr>
        <w:pStyle w:val="Heading1"/>
      </w:pPr>
      <w:r>
        <w:t>Обеспечение занятости особых групп трудящихся</w:t>
      </w:r>
    </w:p>
    <w:p w:rsidR="00B41A6D" w:rsidRDefault="00B41A6D" w:rsidP="00B41A6D"/>
    <w:p w:rsidR="00B41A6D" w:rsidRDefault="00B41A6D" w:rsidP="00B41A6D">
      <w:r>
        <w:t>100.</w:t>
      </w:r>
      <w:r>
        <w:tab/>
        <w:t>В 90-е годы возможности трудоустройства женщин расширились.  С 1990</w:t>
      </w:r>
      <w:r w:rsidRPr="003C42B2">
        <w:t xml:space="preserve"> </w:t>
      </w:r>
      <w:r>
        <w:t>года по январь 2002 года число трудящихся женщин увеличилось в среднем с 8 млн. до 10,2</w:t>
      </w:r>
      <w:r w:rsidR="00DF2919">
        <w:t> </w:t>
      </w:r>
      <w:r>
        <w:t>млн. человек.  Среднегодовые темпы роста занятости среди женщин составляли 3,5% по сравнению с 2,7% среди мужчин.</w:t>
      </w:r>
    </w:p>
    <w:p w:rsidR="00B41A6D" w:rsidRDefault="00B41A6D" w:rsidP="00B41A6D"/>
    <w:p w:rsidR="00B41A6D" w:rsidRDefault="00B41A6D" w:rsidP="00B41A6D">
      <w:r>
        <w:t>101.</w:t>
      </w:r>
      <w:r>
        <w:tab/>
        <w:t>С 1990 по 1999 год темпы роста  работающих детей в возрасте от 10 до 14 лет составляли в среднем 3% за год и их количество возросло с 715 000 до 898 000.  В общем объеме занятости на их долю приходится в среднем 3%, при этом самый высокий показатель занятости среди детей был зарегистрирован в 199</w:t>
      </w:r>
      <w:r w:rsidRPr="003C42B2">
        <w:t>1</w:t>
      </w:r>
      <w:r>
        <w:t xml:space="preserve"> году (3,7%), а самый низкий (3,0%) – в 1998 году.  С принятием РЗ № 6655, предусматривающего предоставление бесплатного среднего образования, проведение информационно-пропагандистской работы и мобилизацию усилий, направленных на сокращение уровня детского труда, число трудящихся детей постоянно сокращалось с 932 000 в 1996 году до</w:t>
      </w:r>
      <w:r w:rsidR="00DF2919">
        <w:t> </w:t>
      </w:r>
      <w:r>
        <w:t>831 000 в 1998 году.</w:t>
      </w:r>
    </w:p>
    <w:p w:rsidR="00B41A6D" w:rsidRDefault="00B41A6D" w:rsidP="00B41A6D"/>
    <w:p w:rsidR="00B41A6D" w:rsidRDefault="00B41A6D" w:rsidP="00B41A6D">
      <w:r>
        <w:t>102.</w:t>
      </w:r>
      <w:r>
        <w:tab/>
        <w:t>Что касается обеспечения занятости инвалидов, то Филиппины являются участником Конвенции МОТ № 159 (Конвенция</w:t>
      </w:r>
      <w:r w:rsidRPr="007A5DE1">
        <w:t xml:space="preserve"> </w:t>
      </w:r>
      <w:r>
        <w:t>о профессиональной реабилитации и занятости инвалидов).  В целях приведения в соответствие местного законодательства с принципами, предусмотренными в Конвенции МОТ № 159, конгресс ввел в действие РЗ №7277 в целях обеспечения реабилитации, саморазвития, экономической самодостаточности и интеграции таких людей в общество.  В 2000 году МТЗ ввело в действие программу "</w:t>
      </w:r>
      <w:r w:rsidRPr="0064448A">
        <w:rPr>
          <w:iCs/>
          <w:lang w:val="en-US"/>
        </w:rPr>
        <w:t>Tulong</w:t>
      </w:r>
      <w:r w:rsidRPr="0064448A">
        <w:rPr>
          <w:iCs/>
        </w:rPr>
        <w:t xml:space="preserve"> </w:t>
      </w:r>
      <w:r w:rsidRPr="0064448A">
        <w:rPr>
          <w:iCs/>
          <w:lang w:val="en-US"/>
        </w:rPr>
        <w:t>Alalay</w:t>
      </w:r>
      <w:r w:rsidRPr="0064448A">
        <w:rPr>
          <w:iCs/>
        </w:rPr>
        <w:t xml:space="preserve"> </w:t>
      </w:r>
      <w:r w:rsidRPr="0064448A">
        <w:rPr>
          <w:iCs/>
          <w:lang w:val="en-US"/>
        </w:rPr>
        <w:t>sa</w:t>
      </w:r>
      <w:r w:rsidRPr="0064448A">
        <w:rPr>
          <w:iCs/>
        </w:rPr>
        <w:t xml:space="preserve"> </w:t>
      </w:r>
      <w:r w:rsidRPr="0064448A">
        <w:rPr>
          <w:iCs/>
          <w:lang w:val="en-US"/>
        </w:rPr>
        <w:t>Taong</w:t>
      </w:r>
      <w:r w:rsidRPr="0064448A">
        <w:rPr>
          <w:iCs/>
        </w:rPr>
        <w:t xml:space="preserve"> </w:t>
      </w:r>
      <w:r w:rsidRPr="0064448A">
        <w:rPr>
          <w:iCs/>
          <w:lang w:val="en-US"/>
        </w:rPr>
        <w:t>may</w:t>
      </w:r>
      <w:r w:rsidRPr="0064448A">
        <w:rPr>
          <w:iCs/>
        </w:rPr>
        <w:t xml:space="preserve"> </w:t>
      </w:r>
      <w:r w:rsidRPr="0064448A">
        <w:rPr>
          <w:iCs/>
          <w:lang w:val="en-US"/>
        </w:rPr>
        <w:t>Kapansanan</w:t>
      </w:r>
      <w:r w:rsidRPr="0064448A">
        <w:rPr>
          <w:iCs/>
        </w:rPr>
        <w:t>"</w:t>
      </w:r>
      <w:r>
        <w:rPr>
          <w:i/>
          <w:iCs/>
        </w:rPr>
        <w:t xml:space="preserve"> </w:t>
      </w:r>
      <w:r>
        <w:t>(в буквальном смысле, Программу оказания помощи инвалидам) для оказания помощи инвалидам в их интеграции в общество путем предоставления доступа к профессиональной подготовке и возможностям трудоустройства как в формальном, так и неформальном секторах</w:t>
      </w:r>
      <w:r w:rsidR="00DF2919">
        <w:t>.</w:t>
      </w:r>
    </w:p>
    <w:p w:rsidR="00B41A6D" w:rsidRDefault="00B41A6D" w:rsidP="00B41A6D"/>
    <w:p w:rsidR="00B41A6D" w:rsidRDefault="00B41A6D" w:rsidP="00B41A6D">
      <w:r>
        <w:t>103.</w:t>
      </w:r>
      <w:r>
        <w:tab/>
        <w:t>С 1994 по 2004 год с помощью этой программы в формальном секторе удалось обеспечить работой 22 110  инвалидов.  Из этого числа 32%, или 7 219 инвалидов, получили работу на открытом рынке труда.  Что касается самостоятельной занятости, то 14 891 инвалиду, или 67%, была оказана помощь в целях реализации их проектов по получению средств к существованию.  Профессиональное обучение прошли 7 059 инвалидов.</w:t>
      </w:r>
    </w:p>
    <w:p w:rsidR="00B41A6D" w:rsidRDefault="00B41A6D" w:rsidP="00B41A6D"/>
    <w:p w:rsidR="00B41A6D" w:rsidRDefault="00B41A6D" w:rsidP="00B41A6D">
      <w:r>
        <w:t>104.</w:t>
      </w:r>
      <w:r>
        <w:tab/>
        <w:t>Что касается профессионально-технического обучения и профессиональной подготовки, то У</w:t>
      </w:r>
      <w:r w:rsidRPr="00B008D3">
        <w:rPr>
          <w:snapToGrid w:val="0"/>
          <w:szCs w:val="24"/>
        </w:rPr>
        <w:t>правление по техническому образованию и развитию навыков</w:t>
      </w:r>
      <w:r>
        <w:t xml:space="preserve">  (УТОРН) организует для инвалидов различные программы обучения, направленные на развитие производственных навыков,  способностей получения средств к существованию и занятия предпринимательской  деятельностью.  В целях развития навыков и приобретения качеств, повышающих шансы получения работы, инвалидов также включают в национальную программу сертификации уровня  квалификационной подготовки.  Процедуру оценки и сертификации</w:t>
      </w:r>
      <w:r w:rsidRPr="00A37F61">
        <w:t xml:space="preserve"> </w:t>
      </w:r>
      <w:r>
        <w:t>прошли в общей сложности 227 инвалидов.  107 инвалидов получили помощь частного фонда, предоставляющего стипендии для получения образования, и содействие в рамках проекта</w:t>
      </w:r>
      <w:r w:rsidRPr="002D17EA">
        <w:t xml:space="preserve"> </w:t>
      </w:r>
      <w:r>
        <w:t>Азиатского банка развития в области технического обучения и развития навыков (УТОРН).</w:t>
      </w:r>
    </w:p>
    <w:p w:rsidR="00B41A6D" w:rsidRDefault="00B41A6D" w:rsidP="00B41A6D"/>
    <w:p w:rsidR="00B41A6D" w:rsidRDefault="00B41A6D" w:rsidP="00DF7943">
      <w:pPr>
        <w:ind w:left="567" w:hanging="567"/>
        <w:rPr>
          <w:b/>
          <w:bCs/>
        </w:rPr>
      </w:pPr>
      <w:r>
        <w:rPr>
          <w:b/>
          <w:bCs/>
        </w:rPr>
        <w:t>2.</w:t>
      </w:r>
      <w:r>
        <w:rPr>
          <w:b/>
          <w:bCs/>
          <w:lang w:val="en-US"/>
        </w:rPr>
        <w:t>b</w:t>
      </w:r>
      <w:r>
        <w:rPr>
          <w:b/>
          <w:bCs/>
        </w:rPr>
        <w:tab/>
        <w:t>Основные стратегии и меры, осуществляемые в целях обеспечения рабочих мест для всех</w:t>
      </w:r>
    </w:p>
    <w:p w:rsidR="00B41A6D" w:rsidRDefault="00B41A6D" w:rsidP="00B41A6D"/>
    <w:p w:rsidR="00B41A6D" w:rsidRDefault="00B41A6D" w:rsidP="00B41A6D">
      <w:r>
        <w:t>105.</w:t>
      </w:r>
      <w:r>
        <w:tab/>
        <w:t xml:space="preserve">Принятое на себя Филиппинами обязательство обеспечить рабочие места и равные возможности трудоустройства для всех граждан включено в политику и нормативные документы страны.  </w:t>
      </w:r>
    </w:p>
    <w:p w:rsidR="00B41A6D" w:rsidRDefault="00B41A6D" w:rsidP="00B41A6D">
      <w:pPr>
        <w:rPr>
          <w:b/>
          <w:bCs/>
        </w:rPr>
      </w:pPr>
    </w:p>
    <w:p w:rsidR="00B41A6D" w:rsidRDefault="00B41A6D" w:rsidP="00B41A6D">
      <w:pPr>
        <w:rPr>
          <w:b/>
          <w:bCs/>
        </w:rPr>
      </w:pPr>
      <w:r>
        <w:rPr>
          <w:b/>
          <w:bCs/>
        </w:rPr>
        <w:t>Инструменты осуществления политики</w:t>
      </w:r>
    </w:p>
    <w:p w:rsidR="00B41A6D" w:rsidRDefault="00B41A6D" w:rsidP="00B41A6D"/>
    <w:p w:rsidR="00B41A6D" w:rsidRDefault="00B41A6D" w:rsidP="00B41A6D">
      <w:r>
        <w:t>106.</w:t>
      </w:r>
      <w:r>
        <w:tab/>
        <w:t>Филиппины являются участником Конвенции МОТ № 100 (Конвенция о равном вознаграждении), Конвенции МОТ № 111 (Конвенция о дискриминации в области труда и занятий) и Конвенции МОТ № 122 (Конвенция о политике в области занятости)</w:t>
      </w:r>
      <w:r w:rsidR="00DF2919">
        <w:t>.</w:t>
      </w:r>
    </w:p>
    <w:p w:rsidR="00B41A6D" w:rsidRDefault="00B41A6D" w:rsidP="00B41A6D">
      <w:pPr>
        <w:tabs>
          <w:tab w:val="clear" w:pos="567"/>
          <w:tab w:val="clear" w:pos="1134"/>
          <w:tab w:val="clear" w:pos="1701"/>
          <w:tab w:val="clear" w:pos="2268"/>
          <w:tab w:val="clear" w:pos="6237"/>
        </w:tabs>
        <w:ind w:left="360"/>
      </w:pPr>
    </w:p>
    <w:p w:rsidR="00B41A6D" w:rsidRPr="009E778E" w:rsidRDefault="00B41A6D" w:rsidP="00B41A6D">
      <w:pPr>
        <w:tabs>
          <w:tab w:val="clear" w:pos="567"/>
          <w:tab w:val="clear" w:pos="1134"/>
          <w:tab w:val="clear" w:pos="1701"/>
          <w:tab w:val="clear" w:pos="2268"/>
          <w:tab w:val="clear" w:pos="6237"/>
          <w:tab w:val="left" w:pos="561"/>
        </w:tabs>
      </w:pPr>
      <w:r>
        <w:t>107.</w:t>
      </w:r>
      <w:r>
        <w:tab/>
        <w:t>В 1987 году</w:t>
      </w:r>
      <w:r w:rsidRPr="002D17EA">
        <w:t xml:space="preserve"> </w:t>
      </w:r>
      <w:r>
        <w:t>Филиппины приняли новую Конституцию.  Данный вопрос охватывается следующими положениями Конституции</w:t>
      </w:r>
      <w:r>
        <w:rPr>
          <w:rStyle w:val="FootnoteReference"/>
        </w:rPr>
        <w:footnoteReference w:id="1"/>
      </w:r>
      <w:r>
        <w:t xml:space="preserve">:  пунктами 9 и 18 статьи </w:t>
      </w:r>
      <w:r>
        <w:rPr>
          <w:lang w:val="en-US"/>
        </w:rPr>
        <w:t>II</w:t>
      </w:r>
      <w:r>
        <w:t xml:space="preserve">;  пунктом 12 статьи </w:t>
      </w:r>
      <w:r>
        <w:rPr>
          <w:lang w:val="en-US"/>
        </w:rPr>
        <w:t>XII</w:t>
      </w:r>
      <w:r w:rsidRPr="004D0D76">
        <w:t xml:space="preserve">, </w:t>
      </w:r>
      <w:r>
        <w:t xml:space="preserve">пунктом 3 статьи </w:t>
      </w:r>
      <w:r>
        <w:rPr>
          <w:lang w:val="en-US"/>
        </w:rPr>
        <w:t>XIII</w:t>
      </w:r>
      <w:r>
        <w:t xml:space="preserve"> и пунктом 2 (2) статьи </w:t>
      </w:r>
      <w:r>
        <w:rPr>
          <w:lang w:val="en-US"/>
        </w:rPr>
        <w:t>IX</w:t>
      </w:r>
      <w:r w:rsidRPr="009E778E">
        <w:t>-</w:t>
      </w:r>
      <w:r>
        <w:t>В.</w:t>
      </w:r>
    </w:p>
    <w:p w:rsidR="00B41A6D" w:rsidRPr="007D623B" w:rsidRDefault="00B41A6D" w:rsidP="00B41A6D">
      <w:r>
        <w:t>108.</w:t>
      </w:r>
      <w:r>
        <w:tab/>
        <w:t>Принятое на себя филиппинским правительством обязательство перед трудящимися отражено в следующих нормативных актах</w:t>
      </w:r>
      <w:r>
        <w:rPr>
          <w:rStyle w:val="FootnoteReference"/>
        </w:rPr>
        <w:footnoteReference w:id="2"/>
      </w:r>
      <w:r w:rsidR="006B333C">
        <w:t>:</w:t>
      </w:r>
    </w:p>
    <w:p w:rsidR="00B41A6D" w:rsidRDefault="00B41A6D" w:rsidP="006B333C">
      <w:pPr>
        <w:numPr>
          <w:ilvl w:val="0"/>
          <w:numId w:val="14"/>
        </w:numPr>
        <w:tabs>
          <w:tab w:val="clear" w:pos="567"/>
          <w:tab w:val="clear" w:pos="1701"/>
          <w:tab w:val="clear" w:pos="2268"/>
          <w:tab w:val="clear" w:pos="6237"/>
        </w:tabs>
      </w:pPr>
      <w:r>
        <w:t>Трудовой кодекс Филиппин;</w:t>
      </w:r>
    </w:p>
    <w:p w:rsidR="00B41A6D" w:rsidRPr="006B333C" w:rsidRDefault="00B41A6D" w:rsidP="00B41A6D">
      <w:pPr>
        <w:tabs>
          <w:tab w:val="clear" w:pos="567"/>
          <w:tab w:val="clear" w:pos="1134"/>
          <w:tab w:val="clear" w:pos="1701"/>
          <w:tab w:val="clear" w:pos="2268"/>
          <w:tab w:val="clear" w:pos="6237"/>
        </w:tabs>
        <w:rPr>
          <w:sz w:val="16"/>
          <w:szCs w:val="16"/>
        </w:rPr>
      </w:pPr>
    </w:p>
    <w:p w:rsidR="00B41A6D" w:rsidRDefault="00B41A6D" w:rsidP="00B41A6D">
      <w:pPr>
        <w:numPr>
          <w:ilvl w:val="0"/>
          <w:numId w:val="14"/>
        </w:numPr>
        <w:tabs>
          <w:tab w:val="clear" w:pos="567"/>
          <w:tab w:val="clear" w:pos="1701"/>
          <w:tab w:val="clear" w:pos="2268"/>
          <w:tab w:val="clear" w:pos="6237"/>
        </w:tabs>
      </w:pPr>
      <w:r>
        <w:t>Административный кодекс 1987 года;</w:t>
      </w:r>
    </w:p>
    <w:p w:rsidR="00B41A6D" w:rsidRPr="006B333C" w:rsidRDefault="00B41A6D" w:rsidP="00B41A6D">
      <w:pPr>
        <w:tabs>
          <w:tab w:val="clear" w:pos="567"/>
          <w:tab w:val="clear" w:pos="1134"/>
          <w:tab w:val="clear" w:pos="1701"/>
          <w:tab w:val="clear" w:pos="2268"/>
          <w:tab w:val="clear" w:pos="6237"/>
        </w:tabs>
        <w:rPr>
          <w:sz w:val="16"/>
          <w:szCs w:val="16"/>
        </w:rPr>
      </w:pPr>
    </w:p>
    <w:p w:rsidR="00B41A6D" w:rsidRPr="00E90728" w:rsidRDefault="00B41A6D" w:rsidP="006B333C">
      <w:pPr>
        <w:numPr>
          <w:ilvl w:val="0"/>
          <w:numId w:val="14"/>
        </w:numPr>
        <w:tabs>
          <w:tab w:val="clear" w:pos="567"/>
          <w:tab w:val="clear" w:pos="1701"/>
          <w:tab w:val="clear" w:pos="2268"/>
          <w:tab w:val="clear" w:pos="6237"/>
        </w:tabs>
      </w:pPr>
      <w:r>
        <w:t xml:space="preserve">РЗ № 8759 </w:t>
      </w:r>
      <w:r>
        <w:rPr>
          <w:i/>
          <w:iCs/>
        </w:rPr>
        <w:t xml:space="preserve">"Закон об институционализации Национальной сети служб оказания содействия посредством учреждения </w:t>
      </w:r>
      <w:r w:rsidRPr="004F6EBA">
        <w:rPr>
          <w:i/>
        </w:rPr>
        <w:t>Государственного бюро трудоустройства</w:t>
      </w:r>
      <w:r>
        <w:rPr>
          <w:i/>
          <w:iCs/>
        </w:rPr>
        <w:t xml:space="preserve">  (ГБТ) в каждой провинции, главном городе и стратегических областях по всей стране";</w:t>
      </w:r>
    </w:p>
    <w:p w:rsidR="00B41A6D" w:rsidRPr="006B333C" w:rsidRDefault="00B41A6D" w:rsidP="00B41A6D">
      <w:pPr>
        <w:tabs>
          <w:tab w:val="clear" w:pos="567"/>
          <w:tab w:val="clear" w:pos="1134"/>
          <w:tab w:val="clear" w:pos="1701"/>
          <w:tab w:val="clear" w:pos="2268"/>
          <w:tab w:val="clear" w:pos="6237"/>
        </w:tabs>
        <w:rPr>
          <w:sz w:val="16"/>
          <w:szCs w:val="16"/>
        </w:rPr>
      </w:pPr>
    </w:p>
    <w:p w:rsidR="00B41A6D" w:rsidRPr="00E90728" w:rsidRDefault="00B41A6D" w:rsidP="006B333C">
      <w:pPr>
        <w:numPr>
          <w:ilvl w:val="0"/>
          <w:numId w:val="14"/>
        </w:numPr>
        <w:tabs>
          <w:tab w:val="clear" w:pos="567"/>
          <w:tab w:val="clear" w:pos="1701"/>
          <w:tab w:val="clear" w:pos="2268"/>
          <w:tab w:val="clear" w:pos="6237"/>
        </w:tabs>
      </w:pPr>
      <w:r>
        <w:t>РЗ № 7323 "</w:t>
      </w:r>
      <w:r>
        <w:rPr>
          <w:i/>
          <w:iCs/>
        </w:rPr>
        <w:t>Закон об оказании помощи в продолжении образования неимущим учащимся посредством содействия их трудоустройству во время летних и/или рождественских каникул путем стимулирования  работодателей в виде права оплачивать учащимся только шестьдесят процентов их оклада или заработной платы, и предоставления учащимся ваучеров на обучение на остальные сорок процентов, оплачиваемых государством, и о запрещении подачи и применении санкций за подачу мошеннических или фиктивных заявлений, а также для других целей";</w:t>
      </w:r>
    </w:p>
    <w:p w:rsidR="00B41A6D" w:rsidRDefault="00B41A6D" w:rsidP="00B41A6D">
      <w:pPr>
        <w:tabs>
          <w:tab w:val="clear" w:pos="567"/>
          <w:tab w:val="clear" w:pos="1134"/>
          <w:tab w:val="clear" w:pos="1701"/>
          <w:tab w:val="clear" w:pos="2268"/>
          <w:tab w:val="clear" w:pos="6237"/>
        </w:tabs>
      </w:pPr>
    </w:p>
    <w:p w:rsidR="00B41A6D" w:rsidRPr="00E90728" w:rsidRDefault="00B41A6D" w:rsidP="00B41A6D">
      <w:pPr>
        <w:numPr>
          <w:ilvl w:val="0"/>
          <w:numId w:val="14"/>
        </w:numPr>
        <w:tabs>
          <w:tab w:val="clear" w:pos="567"/>
          <w:tab w:val="clear" w:pos="1701"/>
          <w:tab w:val="clear" w:pos="2268"/>
          <w:tab w:val="clear" w:pos="6237"/>
        </w:tabs>
      </w:pPr>
      <w:r>
        <w:t>РЗ</w:t>
      </w:r>
      <w:r w:rsidRPr="004249F6">
        <w:t xml:space="preserve"> №</w:t>
      </w:r>
      <w:r>
        <w:t xml:space="preserve"> </w:t>
      </w:r>
      <w:r w:rsidRPr="004249F6">
        <w:t>7277</w:t>
      </w:r>
      <w:r w:rsidRPr="004249F6">
        <w:rPr>
          <w:i/>
          <w:iCs/>
        </w:rPr>
        <w:t xml:space="preserve"> </w:t>
      </w:r>
      <w:r>
        <w:rPr>
          <w:i/>
          <w:iCs/>
        </w:rPr>
        <w:t>"</w:t>
      </w:r>
      <w:r w:rsidRPr="007C5D03">
        <w:rPr>
          <w:i/>
          <w:iCs/>
        </w:rPr>
        <w:t xml:space="preserve">Закон о </w:t>
      </w:r>
      <w:r w:rsidRPr="007C5D03">
        <w:rPr>
          <w:i/>
        </w:rPr>
        <w:t>реабилитации, саморазвити</w:t>
      </w:r>
      <w:r>
        <w:rPr>
          <w:i/>
        </w:rPr>
        <w:t>и</w:t>
      </w:r>
      <w:r w:rsidRPr="007C5D03">
        <w:rPr>
          <w:i/>
        </w:rPr>
        <w:t xml:space="preserve">, экономической самодостаточности инвалидов и их интеграции в </w:t>
      </w:r>
      <w:r>
        <w:rPr>
          <w:i/>
        </w:rPr>
        <w:t>общество, а также для других целей";</w:t>
      </w:r>
    </w:p>
    <w:p w:rsidR="00B41A6D" w:rsidRDefault="00B41A6D" w:rsidP="00B41A6D">
      <w:pPr>
        <w:tabs>
          <w:tab w:val="clear" w:pos="567"/>
          <w:tab w:val="clear" w:pos="1134"/>
          <w:tab w:val="clear" w:pos="1701"/>
          <w:tab w:val="clear" w:pos="2268"/>
          <w:tab w:val="clear" w:pos="6237"/>
        </w:tabs>
      </w:pPr>
    </w:p>
    <w:p w:rsidR="00B41A6D" w:rsidRDefault="00B41A6D" w:rsidP="00B41A6D">
      <w:pPr>
        <w:numPr>
          <w:ilvl w:val="0"/>
          <w:numId w:val="14"/>
        </w:numPr>
        <w:tabs>
          <w:tab w:val="clear" w:pos="567"/>
          <w:tab w:val="clear" w:pos="1701"/>
          <w:tab w:val="clear" w:pos="2268"/>
          <w:tab w:val="clear" w:pos="6237"/>
        </w:tabs>
      </w:pPr>
      <w:r>
        <w:t>РЗ № 9262 "</w:t>
      </w:r>
      <w:r>
        <w:rPr>
          <w:i/>
          <w:iCs/>
        </w:rPr>
        <w:t>Закон, определяющий понятие насилия в отношении женщин и их детей, предусматривающий меры защиты жертв, устанавливающий меры наказания за такие деяния, а также для других целей".</w:t>
      </w:r>
    </w:p>
    <w:p w:rsidR="00B41A6D" w:rsidRDefault="00B41A6D" w:rsidP="00B41A6D">
      <w:pPr>
        <w:pStyle w:val="Heading1"/>
      </w:pPr>
    </w:p>
    <w:p w:rsidR="00B41A6D" w:rsidRDefault="00B41A6D" w:rsidP="00B41A6D">
      <w:pPr>
        <w:pStyle w:val="Heading1"/>
      </w:pPr>
      <w:r>
        <w:t xml:space="preserve">Меры по осуществлению </w:t>
      </w:r>
    </w:p>
    <w:p w:rsidR="00B41A6D" w:rsidRDefault="00B41A6D" w:rsidP="00B41A6D"/>
    <w:p w:rsidR="00B41A6D" w:rsidRDefault="00B41A6D" w:rsidP="00B41A6D">
      <w:r>
        <w:t>109.</w:t>
      </w:r>
      <w:r>
        <w:tab/>
        <w:t>В целях введения в действие этих заложенных в Конституции стратегий и предусмотренных законами требований МТЗ разработало ряд ключевых программ.  Первой из них является создание Государственного бюро по трудоустройству (ГБТ) - многофункциональной структуры, предлагающей справочные услуги в связи с трудоустройством как внутри страны, так и за границей, и обучение в целях улучшения перспектив получения работы или расширения возможностей для трудоустройства.  Отделения ГБТ служат в качестве центров, которые дают справки и информацию по различным государственным службам и программам, предоставляют населению надлежащую информацию в отношении трудоустройства и положения на рынке труда, объединяются в сеть с другими ГБТ в районе и по всей стране в целях обмена сведениями о рабочих местах, и облегчают доступ  населения  к государственным службам благодаря активному участию органов местного самоуправления.  Программы поддержки ГБТ включают в себя проведение таких мероприятий, как ярмарки рабочих мест, мероприятия по содействию в поисках работы для получения средств к существованию и индивидуальной трудовой деятельности, ведение национального реестра рабочей силы, реализацию специальных программ обеспечения занятости студентов, программ воспитания уважительного отношения к работе, формирование молодежных бригад выходного дня, создание центров содействия получению средств к существованию и центров оказания помощи домашней прислуге.</w:t>
      </w:r>
    </w:p>
    <w:p w:rsidR="00B41A6D" w:rsidRDefault="00B41A6D" w:rsidP="00B41A6D"/>
    <w:p w:rsidR="00B41A6D" w:rsidRDefault="00B41A6D" w:rsidP="00B41A6D">
      <w:r>
        <w:t>110.</w:t>
      </w:r>
      <w:r>
        <w:tab/>
        <w:t>МТЗ, МО и министерство финансов (МФ) совместно реализуют Специальную программу для студентов (СПС), которая направлена на содействие развитию интеллектуальных способностей детей из неимущих семей и оказание помощи в продолжении обучения неимущим, но способным студентам посредством содействия их трудоустройству во время летних и/или рождественских каникул и предоставления средств для финансирования/продления/субсидирования их образования.</w:t>
      </w:r>
    </w:p>
    <w:p w:rsidR="00B41A6D" w:rsidRDefault="00B41A6D" w:rsidP="00B41A6D"/>
    <w:p w:rsidR="00B41A6D" w:rsidRDefault="00B41A6D" w:rsidP="00B41A6D">
      <w:r>
        <w:t>111.</w:t>
      </w:r>
      <w:r>
        <w:tab/>
        <w:t xml:space="preserve">Программа </w:t>
      </w:r>
      <w:r>
        <w:rPr>
          <w:lang w:val="en-US"/>
        </w:rPr>
        <w:t>TULAY</w:t>
      </w:r>
      <w:r>
        <w:t xml:space="preserve"> (</w:t>
      </w:r>
      <w:r>
        <w:rPr>
          <w:lang w:val="en-US"/>
        </w:rPr>
        <w:t>Tulong</w:t>
      </w:r>
      <w:r>
        <w:t xml:space="preserve"> </w:t>
      </w:r>
      <w:r>
        <w:rPr>
          <w:lang w:val="en-US"/>
        </w:rPr>
        <w:t>Alalay</w:t>
      </w:r>
      <w:r>
        <w:t xml:space="preserve"> </w:t>
      </w:r>
      <w:r>
        <w:rPr>
          <w:lang w:val="en-US"/>
        </w:rPr>
        <w:t>sa</w:t>
      </w:r>
      <w:r>
        <w:t xml:space="preserve"> </w:t>
      </w:r>
      <w:r>
        <w:rPr>
          <w:lang w:val="en-US"/>
        </w:rPr>
        <w:t>Taong</w:t>
      </w:r>
      <w:r>
        <w:t xml:space="preserve"> </w:t>
      </w:r>
      <w:r>
        <w:rPr>
          <w:lang w:val="en-US"/>
        </w:rPr>
        <w:t>May</w:t>
      </w:r>
      <w:r>
        <w:t xml:space="preserve"> </w:t>
      </w:r>
      <w:r>
        <w:rPr>
          <w:lang w:val="en-US"/>
        </w:rPr>
        <w:t>Kapansanan</w:t>
      </w:r>
      <w:r>
        <w:t xml:space="preserve">) конкретно ориентирована на инвалидов.  (См. пункты 103-104).  </w:t>
      </w:r>
      <w:r>
        <w:rPr>
          <w:lang w:val="en-US"/>
        </w:rPr>
        <w:t>TULAY</w:t>
      </w:r>
      <w:r>
        <w:t xml:space="preserve"> является одной из программ бюро по трудоустройству на местах, цель которой заключается в содействии интегрированию инвалидов в общество путем предоставления им доступа к профессиональной подготовке и возможностей в сфере трудоустройства как в формальном, так и неформальном секторах.  </w:t>
      </w:r>
    </w:p>
    <w:p w:rsidR="00B41A6D" w:rsidRDefault="00B41A6D" w:rsidP="00B41A6D"/>
    <w:p w:rsidR="00B41A6D" w:rsidRDefault="00B41A6D" w:rsidP="00B41A6D">
      <w:r>
        <w:t>112.</w:t>
      </w:r>
      <w:r>
        <w:tab/>
        <w:t xml:space="preserve">В 1999 году Комиссия по гражданской службе (КГС) приняла </w:t>
      </w:r>
      <w:r>
        <w:rPr>
          <w:i/>
        </w:rPr>
        <w:t>Циркуляр-меморандум</w:t>
      </w:r>
      <w:r w:rsidRPr="007B4347">
        <w:rPr>
          <w:i/>
        </w:rPr>
        <w:t xml:space="preserve"> о равном представительстве мужчин и женщин на должностях третьего уровня</w:t>
      </w:r>
      <w:r>
        <w:rPr>
          <w:i/>
        </w:rPr>
        <w:t xml:space="preserve">.  </w:t>
      </w:r>
      <w:r>
        <w:t xml:space="preserve">В нем предусматривается:  </w:t>
      </w:r>
      <w:r>
        <w:rPr>
          <w:lang w:val="en-US"/>
        </w:rPr>
        <w:t>a</w:t>
      </w:r>
      <w:r w:rsidRPr="0081781C">
        <w:t>)</w:t>
      </w:r>
      <w:r>
        <w:t xml:space="preserve">  выдвижение и назначение как мужчин, так и женщин на должности третьего уровня;  </w:t>
      </w:r>
      <w:r>
        <w:rPr>
          <w:lang w:val="en-US"/>
        </w:rPr>
        <w:t>b</w:t>
      </w:r>
      <w:r w:rsidRPr="0081781C">
        <w:t xml:space="preserve">) </w:t>
      </w:r>
      <w:r>
        <w:t xml:space="preserve"> поддержание резерва квалифицированных мужчин и женщин в качестве кандидатов на каждую вакантную должность третьего уровня в правительстве;  и  с)  поощрение, насколько это возможно, одинакового (50 на 50) представительства лиц обоих полов на должностях третьего уровня.</w:t>
      </w:r>
    </w:p>
    <w:p w:rsidR="00B41A6D" w:rsidRPr="00850EAA" w:rsidRDefault="00B41A6D" w:rsidP="00B41A6D">
      <w:pPr>
        <w:ind w:left="567" w:hanging="567"/>
      </w:pPr>
    </w:p>
    <w:p w:rsidR="00B41A6D" w:rsidRPr="007D623B" w:rsidRDefault="00B41A6D" w:rsidP="00B41A6D">
      <w:r>
        <w:t>113.</w:t>
      </w:r>
      <w:r>
        <w:tab/>
        <w:t xml:space="preserve">В среднесрочном плане развития Филиппин на 2004-2010 годы (СПРФ) предусмотрена схема содействия созданию рабочих мест с помощью следующих основных элементов:  </w:t>
      </w:r>
      <w:r>
        <w:rPr>
          <w:lang w:val="en-US"/>
        </w:rPr>
        <w:t>a</w:t>
      </w:r>
      <w:r>
        <w:t xml:space="preserve">) принятие концепции свободного предпринимательства;  </w:t>
      </w:r>
      <w:r>
        <w:rPr>
          <w:lang w:val="en-US"/>
        </w:rPr>
        <w:t>b</w:t>
      </w:r>
      <w:r>
        <w:t>)</w:t>
      </w:r>
      <w:r w:rsidR="00734B05">
        <w:t> </w:t>
      </w:r>
      <w:r>
        <w:t xml:space="preserve"> уделение основного внимания видам работ с высокой стоимостью;  с)  принятие микроэкономических стратегических мер;  </w:t>
      </w:r>
      <w:r>
        <w:rPr>
          <w:lang w:val="en-US"/>
        </w:rPr>
        <w:t>d</w:t>
      </w:r>
      <w:r>
        <w:t>)  повышение производительности;  и  </w:t>
      </w:r>
      <w:r>
        <w:rPr>
          <w:lang w:val="en-US"/>
        </w:rPr>
        <w:t>e</w:t>
      </w:r>
      <w:r>
        <w:t>)  привлечение инвестиций.  В целях дополнения мер по обеспечению занятости правительство реализует программы по созданию, сохранению, повышению качества рабочих мест и содействию обеспечению занятости.  Обеспечение занятости включает в себя создание прямых или косвенных возможностей для получения работы на внутреннем рынке труда.  Сохранение занятости подразумевает наличие гармоничных взаимоотношений между работником и работодателем и сохранение существующих рабочих мест с выгодными условиями оплаты труда, включая мирное разрешение конфликтов, механизмы совместного принятия решений и взаимное доверие.  Повышение эффективности занятости включает в себя повышение компетентности, производительности, стоимости работы, улучшение условий, охраны и гигиены труда, повышение заработной платы и благосостояния.  Содействие обеспечению занятости означает оказание помощи в получении доступа к возможностям в области трудоустройства и другим возможностям, включая работу заграницей.</w:t>
      </w:r>
    </w:p>
    <w:p w:rsidR="00B41A6D" w:rsidRDefault="00B41A6D" w:rsidP="00B41A6D"/>
    <w:p w:rsidR="00E157A0" w:rsidRDefault="00E157A0" w:rsidP="00E157A0"/>
    <w:p w:rsidR="00E157A0" w:rsidRDefault="00734B05" w:rsidP="00734B05">
      <w:pPr>
        <w:pStyle w:val="BodyText"/>
        <w:spacing w:line="288" w:lineRule="auto"/>
        <w:ind w:left="720" w:hanging="720"/>
      </w:pPr>
      <w:r>
        <w:br w:type="page"/>
      </w:r>
      <w:r w:rsidR="00E157A0">
        <w:t>2.с</w:t>
      </w:r>
      <w:r w:rsidR="00E157A0">
        <w:tab/>
        <w:t>Меры, принятые в целях обеспечения максимально возможной производительности труда</w:t>
      </w:r>
    </w:p>
    <w:p w:rsidR="00E157A0" w:rsidRDefault="00E157A0" w:rsidP="00E157A0"/>
    <w:p w:rsidR="00E157A0" w:rsidRPr="00932AD1" w:rsidRDefault="00E157A0" w:rsidP="00E157A0">
      <w:r>
        <w:t>114.</w:t>
      </w:r>
      <w:r>
        <w:tab/>
        <w:t>Правительство приняло следующие подходы, направленные на содействие повышению организационной производительности работников.  Также были приняты специальные меры в целях снижения нагрузки трудящихся женщин, традиционно выполняющих многие виды работ по дому</w:t>
      </w:r>
      <w:r>
        <w:rPr>
          <w:rStyle w:val="FootnoteReference"/>
        </w:rPr>
        <w:footnoteReference w:id="3"/>
      </w:r>
      <w:r>
        <w:t>.</w:t>
      </w:r>
    </w:p>
    <w:p w:rsidR="00E157A0" w:rsidRDefault="00E157A0" w:rsidP="00E157A0"/>
    <w:p w:rsidR="00E157A0" w:rsidRDefault="00E157A0" w:rsidP="00E157A0">
      <w:pPr>
        <w:pStyle w:val="Heading1"/>
      </w:pPr>
      <w:r>
        <w:t>Развитие людских ресурсов</w:t>
      </w:r>
    </w:p>
    <w:p w:rsidR="00E157A0" w:rsidRDefault="00E157A0" w:rsidP="00E157A0"/>
    <w:p w:rsidR="00E157A0" w:rsidRDefault="00E157A0" w:rsidP="00E157A0">
      <w:r>
        <w:t>115.</w:t>
      </w:r>
      <w:r>
        <w:tab/>
        <w:t xml:space="preserve">Первый подход состоит в развитии людских ресурсов и рабочей силы.  Правительство поощряет и поддерживает полную и продуктивную занятость путем совершенствования профессиональной подготовки и эффективного использования рабочей силы.  Республиканский закон № 7796 </w:t>
      </w:r>
      <w:r w:rsidRPr="00B05031">
        <w:t>[1994]</w:t>
      </w:r>
      <w:r>
        <w:t>, предусматривающий создание Управления по техническому образованию и развитию навыков (УТОРН), был введен в действие в целях содействия достижению этой цели.</w:t>
      </w:r>
    </w:p>
    <w:p w:rsidR="00E157A0" w:rsidRDefault="00E157A0" w:rsidP="00E157A0"/>
    <w:p w:rsidR="00E157A0" w:rsidRDefault="00E157A0" w:rsidP="00E157A0">
      <w:r>
        <w:t>116.</w:t>
      </w:r>
      <w:r>
        <w:tab/>
        <w:t>Статья 7 РЗ № 7796 предусматривает, что УТОРН создается в целях разработки и координирования комплексной программы технического обучения и развития навыков.  В</w:t>
      </w:r>
      <w:r>
        <w:rPr>
          <w:lang w:val="en-US"/>
        </w:rPr>
        <w:t> </w:t>
      </w:r>
      <w:r>
        <w:t>состав Управления входят представители правительства, отраслевых групп, торговых объединений, работодателей и трудящихся.</w:t>
      </w:r>
    </w:p>
    <w:p w:rsidR="00E157A0" w:rsidRDefault="00E157A0" w:rsidP="00E157A0"/>
    <w:p w:rsidR="00E157A0" w:rsidRDefault="00E157A0" w:rsidP="00E157A0">
      <w:r>
        <w:t>117.</w:t>
      </w:r>
      <w:r>
        <w:tab/>
        <w:t>Статья 27 этого закона предусматривает создание соответствующих механизмов стимулирования, в том числе налоговых, в целях поощрения государственных и частных структур к созданию возможностей для получения высококачественного технического образования и практических навыков работы.</w:t>
      </w:r>
    </w:p>
    <w:p w:rsidR="00E157A0" w:rsidRDefault="00E157A0" w:rsidP="00E157A0"/>
    <w:p w:rsidR="00E157A0" w:rsidRDefault="00E157A0" w:rsidP="00E157A0">
      <w:r>
        <w:t>118.</w:t>
      </w:r>
      <w:r>
        <w:tab/>
        <w:t>Республиканский закон № 7686, предусматривающий введение двойной системы профессионально-технического обучения, дополняет работу УТОРН.  В рамках этой системы предусматривается институционализация партнерства между частным сектором промышленности и учебными заведениями в целях подготовки квалифицированной рабочей силы.</w:t>
      </w:r>
    </w:p>
    <w:p w:rsidR="00E157A0" w:rsidRDefault="00E157A0" w:rsidP="00E157A0"/>
    <w:p w:rsidR="00E157A0" w:rsidRDefault="00E157A0" w:rsidP="00E157A0">
      <w:r>
        <w:t>119.</w:t>
      </w:r>
      <w:r>
        <w:tab/>
        <w:t>Двумя самыми важными показателями работы УТОРН являются количество выпускников профессионально-технических училищ и количество трудящихся, уровень профессиональных навыков которых был оценен или сертифицирован.  В 2003 календарном году количество выпускников системы профессионально-технического образования и подготовки в государственных и частных учебных заведениях превысило намеченный уровень в один миллион человек.  В том же году общее количество выпускников и трудящихся, прошедших проверку  профессиональных навыков, составило 232 823 человека, а число сертифицированных трудящихся </w:t>
      </w:r>
      <w:r>
        <w:noBreakHyphen/>
        <w:t xml:space="preserve"> 109 443 человека.</w:t>
      </w:r>
    </w:p>
    <w:p w:rsidR="00E157A0" w:rsidRDefault="00E157A0" w:rsidP="00E157A0"/>
    <w:p w:rsidR="00E157A0" w:rsidRDefault="00E157A0" w:rsidP="00E157A0">
      <w:r>
        <w:t>120.</w:t>
      </w:r>
      <w:r>
        <w:tab/>
        <w:t>Что касается подготовки работников для государственного сектора, то меры по развитию людских ресурсов включают в себя программы предоставления стипендий для обучения на академических курсах, курсах, по окончании которых выдается соответствующий диплом, краткосрочных программ повышения квалификации, программ по развитию  определенных стереотипов поведения и ценностей, а также дистанционное обучение.  Комиссия по гражданской службе (КГС) предоставляет государственным служащим стипендии сроком на один год в размере полного оклада для обучения с отрывом от работы в целях получения степени бакалавра или магистра по вопросам государственного управления.  За период 1994-2000 годов 4 300 служащим были предоставлены стипендии для получения степени магистра;  586 - степени бакалавра и свыше 6 000 - для повышения уровня квалификации.  Всего в 2000 году в рамках проводимых КГС программ более 300 000 работников государственного сектора получили возможность пройти курс профессиональной подготовки.</w:t>
      </w:r>
    </w:p>
    <w:p w:rsidR="00E157A0" w:rsidRDefault="00E157A0" w:rsidP="00E157A0"/>
    <w:p w:rsidR="00E157A0" w:rsidRDefault="00E157A0" w:rsidP="00E157A0">
      <w:r>
        <w:t>121.</w:t>
      </w:r>
      <w:r>
        <w:tab/>
        <w:t xml:space="preserve"> Министерство образования реализует национальную программу компьютерной грамотности для преподавателей, администраторов и технического персонала, осущест</w:t>
      </w:r>
      <w:r>
        <w:t>в</w:t>
      </w:r>
      <w:r>
        <w:t>ляемую в рамках программы повышения квалификации преподавательского с</w:t>
      </w:r>
      <w:r>
        <w:t>о</w:t>
      </w:r>
      <w:r>
        <w:t>става.</w:t>
      </w:r>
    </w:p>
    <w:p w:rsidR="00E157A0" w:rsidRDefault="00E157A0" w:rsidP="00E157A0"/>
    <w:p w:rsidR="00E157A0" w:rsidRDefault="00E157A0" w:rsidP="00734B05">
      <w:pPr>
        <w:keepNext/>
        <w:rPr>
          <w:b/>
        </w:rPr>
      </w:pPr>
      <w:r>
        <w:rPr>
          <w:b/>
        </w:rPr>
        <w:t>Оказание содействия в трудоустройстве</w:t>
      </w:r>
    </w:p>
    <w:p w:rsidR="00E157A0" w:rsidRDefault="00E157A0" w:rsidP="00E157A0">
      <w:pPr>
        <w:rPr>
          <w:b/>
        </w:rPr>
      </w:pPr>
    </w:p>
    <w:p w:rsidR="00E157A0" w:rsidRDefault="00E157A0" w:rsidP="00E157A0">
      <w:r>
        <w:t>122.</w:t>
      </w:r>
      <w:r>
        <w:tab/>
        <w:t>Созданное в 1992 году ГБТ призвано обеспечить максимально полное участие частного сектора и органов местного самоуправления в разработке, использовании и ведении реестра рабочей силы, профессий и вакансий в целях эффективного подбора рабочих мест.  Только в 1992 году по всей стране было создано 75 ГБТ.  По состоянию на май 2004 года в разных областях страны было образовано 1 765 ГБТ, из которых 1 531 бюро считаются полностью функциональными.  С 1999 года по май 2004 года с помощью ГБТ 3 540 111 лиц, подавших заявки о трудоустройстве, получили работу в стране или за границей.  Из 4 973 858 зарегистрированных заявителей в различные компании были устроены 3 285 960 человек.  С другой стороны, только с января по апрель 2004 года ГБТ трудоустроили внутри страны и за границей</w:t>
      </w:r>
      <w:r w:rsidRPr="007B578D">
        <w:t xml:space="preserve"> 217</w:t>
      </w:r>
      <w:r>
        <w:t> </w:t>
      </w:r>
      <w:r w:rsidRPr="007B578D">
        <w:t xml:space="preserve">529 </w:t>
      </w:r>
      <w:r>
        <w:t xml:space="preserve">лиц, ищущих работу.  </w:t>
      </w:r>
      <w:r w:rsidRPr="007B578D">
        <w:t>(</w:t>
      </w:r>
      <w:r>
        <w:t>См. пункт </w:t>
      </w:r>
      <w:r w:rsidRPr="007B578D">
        <w:t>110.)</w:t>
      </w:r>
    </w:p>
    <w:p w:rsidR="00E157A0" w:rsidRDefault="00E157A0" w:rsidP="00E157A0"/>
    <w:p w:rsidR="00E157A0" w:rsidRDefault="00E157A0" w:rsidP="00E157A0">
      <w:r w:rsidRPr="007B578D">
        <w:t>123.</w:t>
      </w:r>
      <w:r w:rsidRPr="007B578D">
        <w:tab/>
      </w:r>
      <w:r>
        <w:t xml:space="preserve">В контексте принятия постоянных мер по увеличению числа бюро по трудоустройству МТЗ совместно с частным сектором ввело в действие в </w:t>
      </w:r>
      <w:r w:rsidRPr="007B578D">
        <w:t xml:space="preserve">1998 </w:t>
      </w:r>
      <w:r>
        <w:t>году компьютеризированную систему подбора вакансий при определении на работу, известную под названием "Фил-Джобнет".  Участвующие в этой системе предприятия вводят в компьютерную сеть информацию об имеющихся вакансиях и квалификационных требованиях, что обеспечивает доступ к информации о рынке труда в любое время.  Вместе с ГБТ</w:t>
      </w:r>
      <w:r w:rsidRPr="00F34E47">
        <w:t xml:space="preserve"> </w:t>
      </w:r>
      <w:r>
        <w:t>"Фил-Джобнет" считается важным элементом пакета долгосрочных решений, направленных на ликвидацию проблемы неправильной расстановки кадров, которая в свою очередь отрицательно влияет на обеспечение продуктивной занятости.</w:t>
      </w:r>
    </w:p>
    <w:p w:rsidR="00E157A0" w:rsidRDefault="00E157A0" w:rsidP="00E157A0"/>
    <w:p w:rsidR="00E157A0" w:rsidRDefault="00E157A0" w:rsidP="00E157A0">
      <w:r w:rsidRPr="007775B4">
        <w:t>124.</w:t>
      </w:r>
      <w:r w:rsidRPr="007775B4">
        <w:tab/>
      </w:r>
      <w:r>
        <w:t>"Фил</w:t>
      </w:r>
      <w:r w:rsidRPr="007775B4">
        <w:t>-</w:t>
      </w:r>
      <w:r>
        <w:t>Джобнет"</w:t>
      </w:r>
      <w:r w:rsidRPr="007775B4">
        <w:t xml:space="preserve"> </w:t>
      </w:r>
      <w:r>
        <w:t>является</w:t>
      </w:r>
      <w:r w:rsidRPr="007775B4">
        <w:t xml:space="preserve"> </w:t>
      </w:r>
      <w:r>
        <w:t>автоматизированной</w:t>
      </w:r>
      <w:r w:rsidRPr="007775B4">
        <w:t xml:space="preserve"> </w:t>
      </w:r>
      <w:r>
        <w:t>системой</w:t>
      </w:r>
      <w:r w:rsidRPr="007775B4">
        <w:t xml:space="preserve"> </w:t>
      </w:r>
      <w:r>
        <w:t>информирования о рынке труда и подбора работников на основе сопоставления их квалификации с предъявляемыми квалификационными требованиями.  Ее задача состоит в сокращении сроков трудоустройства ищущих работу лиц, а также заполнения вакансий работодателями.  По</w:t>
      </w:r>
      <w:r w:rsidRPr="007775B4">
        <w:t xml:space="preserve"> </w:t>
      </w:r>
      <w:r>
        <w:t>состоянию</w:t>
      </w:r>
      <w:r w:rsidRPr="007775B4">
        <w:t xml:space="preserve"> </w:t>
      </w:r>
      <w:r>
        <w:t>на</w:t>
      </w:r>
      <w:r w:rsidRPr="007775B4">
        <w:t xml:space="preserve"> 28 </w:t>
      </w:r>
      <w:r>
        <w:t>июля</w:t>
      </w:r>
      <w:r w:rsidRPr="007775B4">
        <w:t xml:space="preserve"> 2004</w:t>
      </w:r>
      <w:r w:rsidRPr="007775B4">
        <w:rPr>
          <w:lang w:val="en-US"/>
        </w:rPr>
        <w:t> </w:t>
      </w:r>
      <w:r>
        <w:t>года</w:t>
      </w:r>
      <w:r w:rsidRPr="007775B4">
        <w:t xml:space="preserve"> </w:t>
      </w:r>
      <w:r>
        <w:t>в</w:t>
      </w:r>
      <w:r w:rsidRPr="007775B4">
        <w:t xml:space="preserve"> </w:t>
      </w:r>
      <w:r>
        <w:t>системе</w:t>
      </w:r>
      <w:r w:rsidRPr="007775B4">
        <w:t xml:space="preserve"> </w:t>
      </w:r>
      <w:r>
        <w:t>"Фил</w:t>
      </w:r>
      <w:r w:rsidRPr="007775B4">
        <w:t>-</w:t>
      </w:r>
      <w:r>
        <w:t>Джобнет"</w:t>
      </w:r>
      <w:r w:rsidRPr="007775B4">
        <w:t xml:space="preserve"> </w:t>
      </w:r>
      <w:r>
        <w:t>была размещена информация о более чем</w:t>
      </w:r>
      <w:r w:rsidRPr="007775B4">
        <w:t xml:space="preserve"> 415</w:t>
      </w:r>
      <w:r>
        <w:t> </w:t>
      </w:r>
      <w:r w:rsidRPr="007775B4">
        <w:t xml:space="preserve">075 </w:t>
      </w:r>
      <w:r>
        <w:t>вакансиях</w:t>
      </w:r>
      <w:r w:rsidRPr="007775B4">
        <w:t xml:space="preserve"> 2</w:t>
      </w:r>
      <w:r>
        <w:t> </w:t>
      </w:r>
      <w:r w:rsidRPr="007775B4">
        <w:t xml:space="preserve">429 </w:t>
      </w:r>
      <w:r>
        <w:t>фирм и зарегистрировано около</w:t>
      </w:r>
      <w:r w:rsidRPr="007775B4">
        <w:t xml:space="preserve"> 379</w:t>
      </w:r>
      <w:r>
        <w:t> </w:t>
      </w:r>
      <w:r w:rsidRPr="007775B4">
        <w:t xml:space="preserve">759 </w:t>
      </w:r>
      <w:r>
        <w:t>лиц, ищущих работу по всей стране.</w:t>
      </w:r>
    </w:p>
    <w:p w:rsidR="00E157A0" w:rsidRDefault="00E157A0" w:rsidP="00E157A0"/>
    <w:p w:rsidR="00E157A0" w:rsidRDefault="00E157A0" w:rsidP="00E157A0">
      <w:r w:rsidRPr="00147D0F">
        <w:t>125.</w:t>
      </w:r>
      <w:r w:rsidRPr="00147D0F">
        <w:tab/>
      </w:r>
      <w:r>
        <w:t>Республиканский</w:t>
      </w:r>
      <w:r w:rsidRPr="00147D0F">
        <w:t xml:space="preserve"> </w:t>
      </w:r>
      <w:r>
        <w:t>закон</w:t>
      </w:r>
      <w:r w:rsidRPr="00147D0F">
        <w:t xml:space="preserve"> № 8042, </w:t>
      </w:r>
      <w:r>
        <w:t>иначе называемый</w:t>
      </w:r>
      <w:r w:rsidRPr="00147D0F">
        <w:t xml:space="preserve"> </w:t>
      </w:r>
      <w:r>
        <w:rPr>
          <w:i/>
        </w:rPr>
        <w:t>Закон</w:t>
      </w:r>
      <w:r w:rsidRPr="00147D0F">
        <w:rPr>
          <w:i/>
        </w:rPr>
        <w:t xml:space="preserve"> </w:t>
      </w:r>
      <w:r>
        <w:rPr>
          <w:i/>
        </w:rPr>
        <w:t>о</w:t>
      </w:r>
      <w:r w:rsidRPr="00147D0F">
        <w:rPr>
          <w:i/>
        </w:rPr>
        <w:t xml:space="preserve"> </w:t>
      </w:r>
      <w:r>
        <w:rPr>
          <w:i/>
        </w:rPr>
        <w:t>трудящихся-мигрантах 1</w:t>
      </w:r>
      <w:r w:rsidRPr="00147D0F">
        <w:rPr>
          <w:i/>
        </w:rPr>
        <w:t xml:space="preserve">995 </w:t>
      </w:r>
      <w:r>
        <w:rPr>
          <w:i/>
        </w:rPr>
        <w:t>года</w:t>
      </w:r>
      <w:r w:rsidRPr="00147D0F">
        <w:t xml:space="preserve">, </w:t>
      </w:r>
      <w:r>
        <w:t>регулирует процедуру набора, трудоустройства и социальной защиты филиппинских трудящихся, работающих за рубежом.  В</w:t>
      </w:r>
      <w:r w:rsidRPr="00147D0F">
        <w:t xml:space="preserve"> </w:t>
      </w:r>
      <w:r>
        <w:t>соответствии</w:t>
      </w:r>
      <w:r w:rsidRPr="00147D0F">
        <w:t xml:space="preserve"> </w:t>
      </w:r>
      <w:r>
        <w:t>с</w:t>
      </w:r>
      <w:r w:rsidRPr="00147D0F">
        <w:t xml:space="preserve"> </w:t>
      </w:r>
      <w:r>
        <w:t>этим</w:t>
      </w:r>
      <w:r w:rsidRPr="00147D0F">
        <w:t xml:space="preserve"> </w:t>
      </w:r>
      <w:r>
        <w:t>законом</w:t>
      </w:r>
      <w:r w:rsidRPr="00147D0F">
        <w:t xml:space="preserve"> </w:t>
      </w:r>
      <w:r>
        <w:t>вопросами подбора и трудоустройства таких лиц занимается Филиппинское управление по</w:t>
      </w:r>
      <w:r w:rsidRPr="00147D0F">
        <w:t xml:space="preserve"> </w:t>
      </w:r>
      <w:r>
        <w:t>трудоустройству за рубежом (ФУТР).  Существенным изменением стратегии в этой области является использование принципа назначения работников на основе отбора и признание того факта, что "главной мерой защиты всех трудящихся-мигрантов является обладание профессиональными навыками".  Исходя из этого, правительство направляет на работу и/или выдает разрешения для работы только квалифицированным филиппинским рабочим.  Закон также предусматривает, что работники могут направляться только в те страны, где защищаются права трудящихся-мигрантов</w:t>
      </w:r>
      <w:r>
        <w:rPr>
          <w:rStyle w:val="FootnoteReference"/>
        </w:rPr>
        <w:footnoteReference w:id="4"/>
      </w:r>
      <w:r>
        <w:t>.</w:t>
      </w:r>
    </w:p>
    <w:p w:rsidR="00E157A0" w:rsidRDefault="00E157A0" w:rsidP="00E157A0"/>
    <w:p w:rsidR="002833C3" w:rsidRDefault="002833C3" w:rsidP="002833C3">
      <w:r w:rsidRPr="002C7563">
        <w:t>126.</w:t>
      </w:r>
      <w:r w:rsidRPr="002C7563">
        <w:tab/>
      </w:r>
      <w:r>
        <w:t xml:space="preserve">Статьи </w:t>
      </w:r>
      <w:r w:rsidRPr="002C7563">
        <w:t xml:space="preserve">2 </w:t>
      </w:r>
      <w:r w:rsidRPr="00680E35">
        <w:rPr>
          <w:lang w:val="en-US"/>
        </w:rPr>
        <w:t>g</w:t>
      </w:r>
      <w:r w:rsidRPr="002C7563">
        <w:t xml:space="preserve">) </w:t>
      </w:r>
      <w:r>
        <w:t>и</w:t>
      </w:r>
      <w:r w:rsidRPr="002C7563">
        <w:t xml:space="preserve"> 4 </w:t>
      </w:r>
      <w:r>
        <w:t>были включены в закон в целях реагирования и предупреждения случаев нарушения прав филиппинских трудящихся, которые нередко происходят с ними во время нахождения за рубежом.</w:t>
      </w:r>
    </w:p>
    <w:p w:rsidR="002833C3" w:rsidRDefault="002833C3" w:rsidP="002833C3"/>
    <w:p w:rsidR="002833C3" w:rsidRDefault="002833C3" w:rsidP="002833C3">
      <w:r w:rsidRPr="002C7563">
        <w:t>127.</w:t>
      </w:r>
      <w:r w:rsidRPr="002C7563">
        <w:tab/>
      </w:r>
      <w:r>
        <w:t xml:space="preserve">С помощью предоставляемых ФУТР услуг по трудоустройству и оказанию помощи в поисках работы в различных странах в </w:t>
      </w:r>
      <w:r w:rsidRPr="00496694">
        <w:t>1996</w:t>
      </w:r>
      <w:r>
        <w:t xml:space="preserve"> году</w:t>
      </w:r>
      <w:r w:rsidRPr="00496694">
        <w:t xml:space="preserve"> </w:t>
      </w:r>
      <w:r w:rsidR="008D61A5" w:rsidRPr="00496694">
        <w:t>660</w:t>
      </w:r>
      <w:r w:rsidR="008D61A5">
        <w:t> </w:t>
      </w:r>
      <w:r w:rsidR="008D61A5" w:rsidRPr="00496694">
        <w:t>122</w:t>
      </w:r>
      <w:r w:rsidR="008D61A5">
        <w:t xml:space="preserve"> филиппинских трудящихся </w:t>
      </w:r>
      <w:r>
        <w:t>были трудоустроены,</w:t>
      </w:r>
      <w:r w:rsidRPr="00496694">
        <w:t xml:space="preserve"> </w:t>
      </w:r>
      <w:r>
        <w:t xml:space="preserve">в </w:t>
      </w:r>
      <w:r w:rsidRPr="00496694">
        <w:t>199</w:t>
      </w:r>
      <w:r>
        <w:t xml:space="preserve">7 году - </w:t>
      </w:r>
      <w:r w:rsidRPr="00496694">
        <w:t>747</w:t>
      </w:r>
      <w:r>
        <w:t> </w:t>
      </w:r>
      <w:r w:rsidRPr="00496694">
        <w:t>696</w:t>
      </w:r>
      <w:r>
        <w:t>, в</w:t>
      </w:r>
      <w:r w:rsidRPr="00496694">
        <w:t xml:space="preserve"> 199</w:t>
      </w:r>
      <w:r>
        <w:t xml:space="preserve">8 году - </w:t>
      </w:r>
      <w:r w:rsidRPr="00496694">
        <w:t>831</w:t>
      </w:r>
      <w:r>
        <w:t> </w:t>
      </w:r>
      <w:r w:rsidRPr="00496694">
        <w:t>643</w:t>
      </w:r>
      <w:r>
        <w:t>,</w:t>
      </w:r>
      <w:r w:rsidRPr="00496694">
        <w:t xml:space="preserve"> </w:t>
      </w:r>
      <w:r>
        <w:t>в</w:t>
      </w:r>
      <w:r w:rsidRPr="00496694">
        <w:t xml:space="preserve"> 199</w:t>
      </w:r>
      <w:r>
        <w:t xml:space="preserve">9 году - </w:t>
      </w:r>
      <w:r w:rsidRPr="00496694">
        <w:t>837</w:t>
      </w:r>
      <w:r>
        <w:t> </w:t>
      </w:r>
      <w:r w:rsidRPr="00496694">
        <w:t>020</w:t>
      </w:r>
      <w:r>
        <w:t>, с</w:t>
      </w:r>
      <w:r w:rsidR="008D61A5">
        <w:t> </w:t>
      </w:r>
      <w:r w:rsidRPr="00496694">
        <w:t xml:space="preserve">2000 </w:t>
      </w:r>
      <w:r>
        <w:t>по</w:t>
      </w:r>
      <w:r w:rsidRPr="00496694">
        <w:t xml:space="preserve"> 2002</w:t>
      </w:r>
      <w:r>
        <w:t xml:space="preserve"> год -</w:t>
      </w:r>
      <w:r w:rsidRPr="00496694">
        <w:t xml:space="preserve"> 459</w:t>
      </w:r>
      <w:r>
        <w:t> </w:t>
      </w:r>
      <w:r w:rsidRPr="00496694">
        <w:t>832</w:t>
      </w:r>
      <w:r>
        <w:t xml:space="preserve"> и в</w:t>
      </w:r>
      <w:r w:rsidRPr="00496694">
        <w:t xml:space="preserve"> 200</w:t>
      </w:r>
      <w:r>
        <w:t>3 году</w:t>
      </w:r>
      <w:r w:rsidRPr="00496694">
        <w:t xml:space="preserve"> </w:t>
      </w:r>
      <w:r>
        <w:t xml:space="preserve">- </w:t>
      </w:r>
      <w:r w:rsidRPr="00496694">
        <w:t>867</w:t>
      </w:r>
      <w:r>
        <w:t> </w:t>
      </w:r>
      <w:r w:rsidRPr="00496694">
        <w:t>969</w:t>
      </w:r>
      <w:r>
        <w:t xml:space="preserve"> человек.  Общая</w:t>
      </w:r>
      <w:r w:rsidRPr="00E333EE">
        <w:t xml:space="preserve"> </w:t>
      </w:r>
      <w:r>
        <w:t>сумма</w:t>
      </w:r>
      <w:r w:rsidRPr="00E333EE">
        <w:t xml:space="preserve"> </w:t>
      </w:r>
      <w:r>
        <w:t>переведенных</w:t>
      </w:r>
      <w:r w:rsidRPr="00E333EE">
        <w:t xml:space="preserve"> </w:t>
      </w:r>
      <w:r>
        <w:t>заработков</w:t>
      </w:r>
      <w:r w:rsidRPr="00E333EE">
        <w:t xml:space="preserve"> </w:t>
      </w:r>
      <w:r>
        <w:t>составила</w:t>
      </w:r>
      <w:r w:rsidRPr="00E333EE">
        <w:t xml:space="preserve"> </w:t>
      </w:r>
      <w:r>
        <w:t>в</w:t>
      </w:r>
      <w:r w:rsidRPr="00E333EE">
        <w:t xml:space="preserve"> 1996 </w:t>
      </w:r>
      <w:r>
        <w:t>году</w:t>
      </w:r>
      <w:r w:rsidRPr="00E333EE">
        <w:t xml:space="preserve"> </w:t>
      </w:r>
      <w:r>
        <w:t xml:space="preserve">более </w:t>
      </w:r>
      <w:r w:rsidRPr="00E333EE">
        <w:t xml:space="preserve">4,2 </w:t>
      </w:r>
      <w:r>
        <w:t>млрд</w:t>
      </w:r>
      <w:r w:rsidRPr="00E333EE">
        <w:t xml:space="preserve">. </w:t>
      </w:r>
      <w:r>
        <w:t>долл</w:t>
      </w:r>
      <w:r w:rsidRPr="00E333EE">
        <w:t xml:space="preserve">. </w:t>
      </w:r>
      <w:r>
        <w:t>США</w:t>
      </w:r>
      <w:r w:rsidRPr="00E333EE">
        <w:t xml:space="preserve">, </w:t>
      </w:r>
      <w:r>
        <w:t>в</w:t>
      </w:r>
      <w:r w:rsidRPr="00E333EE">
        <w:t xml:space="preserve"> 1997 </w:t>
      </w:r>
      <w:r>
        <w:t>году</w:t>
      </w:r>
      <w:r w:rsidRPr="00547BDC">
        <w:rPr>
          <w:lang w:val="en-US"/>
        </w:rPr>
        <w:t> </w:t>
      </w:r>
      <w:r>
        <w:t>-</w:t>
      </w:r>
      <w:r w:rsidR="008D61A5">
        <w:br/>
      </w:r>
      <w:r>
        <w:t xml:space="preserve">более </w:t>
      </w:r>
      <w:r w:rsidRPr="00E333EE">
        <w:t xml:space="preserve">5,7 </w:t>
      </w:r>
      <w:r>
        <w:t>млрд</w:t>
      </w:r>
      <w:r w:rsidRPr="00E333EE">
        <w:t xml:space="preserve">. </w:t>
      </w:r>
      <w:r>
        <w:t>долл</w:t>
      </w:r>
      <w:r w:rsidRPr="00E333EE">
        <w:t xml:space="preserve">. </w:t>
      </w:r>
      <w:r>
        <w:t>США</w:t>
      </w:r>
      <w:r w:rsidRPr="00E333EE">
        <w:t xml:space="preserve">, </w:t>
      </w:r>
      <w:r>
        <w:t>в</w:t>
      </w:r>
      <w:r w:rsidRPr="00E333EE">
        <w:t xml:space="preserve"> 1998 </w:t>
      </w:r>
      <w:r>
        <w:t>году</w:t>
      </w:r>
      <w:r w:rsidRPr="00547BDC">
        <w:rPr>
          <w:lang w:val="en-US"/>
        </w:rPr>
        <w:t> </w:t>
      </w:r>
      <w:r>
        <w:t>-</w:t>
      </w:r>
      <w:r w:rsidRPr="00E333EE">
        <w:t xml:space="preserve"> </w:t>
      </w:r>
      <w:r>
        <w:t xml:space="preserve">свыше </w:t>
      </w:r>
      <w:r w:rsidRPr="00E333EE">
        <w:t xml:space="preserve">4,9 </w:t>
      </w:r>
      <w:r>
        <w:t>млрд</w:t>
      </w:r>
      <w:r w:rsidRPr="00E333EE">
        <w:t xml:space="preserve">. </w:t>
      </w:r>
      <w:r>
        <w:t>долл</w:t>
      </w:r>
      <w:r w:rsidRPr="00E333EE">
        <w:t xml:space="preserve">. </w:t>
      </w:r>
      <w:r>
        <w:t>США</w:t>
      </w:r>
      <w:r w:rsidRPr="00E333EE">
        <w:t xml:space="preserve">, </w:t>
      </w:r>
      <w:r>
        <w:t>в</w:t>
      </w:r>
      <w:r w:rsidRPr="00E333EE">
        <w:t xml:space="preserve"> 1999 </w:t>
      </w:r>
      <w:r>
        <w:t>году</w:t>
      </w:r>
      <w:r w:rsidRPr="00547BDC">
        <w:rPr>
          <w:lang w:val="en-US"/>
        </w:rPr>
        <w:t> </w:t>
      </w:r>
      <w:r>
        <w:t>-</w:t>
      </w:r>
      <w:r w:rsidR="008D61A5">
        <w:br/>
      </w:r>
      <w:r>
        <w:t xml:space="preserve">более </w:t>
      </w:r>
      <w:r w:rsidRPr="00E333EE">
        <w:t xml:space="preserve">6,7 </w:t>
      </w:r>
      <w:r>
        <w:t>млрд</w:t>
      </w:r>
      <w:r w:rsidRPr="00E333EE">
        <w:t xml:space="preserve">. </w:t>
      </w:r>
      <w:r>
        <w:t>долл</w:t>
      </w:r>
      <w:r w:rsidRPr="00E333EE">
        <w:t xml:space="preserve">. </w:t>
      </w:r>
      <w:r>
        <w:t>США</w:t>
      </w:r>
      <w:r w:rsidRPr="00E333EE">
        <w:t xml:space="preserve">, </w:t>
      </w:r>
      <w:r>
        <w:t>в</w:t>
      </w:r>
      <w:r w:rsidRPr="00E333EE">
        <w:t xml:space="preserve"> </w:t>
      </w:r>
      <w:r>
        <w:t>январе</w:t>
      </w:r>
      <w:r w:rsidRPr="00E333EE">
        <w:t xml:space="preserve"> </w:t>
      </w:r>
      <w:r>
        <w:t>и</w:t>
      </w:r>
      <w:r w:rsidRPr="00E333EE">
        <w:t xml:space="preserve"> </w:t>
      </w:r>
      <w:r>
        <w:t>феврале</w:t>
      </w:r>
      <w:r w:rsidRPr="00E333EE">
        <w:t xml:space="preserve"> 2000</w:t>
      </w:r>
      <w:r w:rsidRPr="004D5722">
        <w:rPr>
          <w:lang w:val="en-US"/>
        </w:rPr>
        <w:t> </w:t>
      </w:r>
      <w:r>
        <w:t>года</w:t>
      </w:r>
      <w:r w:rsidRPr="00E333EE">
        <w:t xml:space="preserve"> </w:t>
      </w:r>
      <w:r>
        <w:t>-</w:t>
      </w:r>
      <w:r w:rsidRPr="00E333EE">
        <w:t xml:space="preserve"> </w:t>
      </w:r>
      <w:r>
        <w:t xml:space="preserve">более </w:t>
      </w:r>
      <w:r w:rsidRPr="00E333EE">
        <w:t xml:space="preserve">1,1 </w:t>
      </w:r>
      <w:r>
        <w:t>млрд</w:t>
      </w:r>
      <w:r w:rsidRPr="00E333EE">
        <w:t xml:space="preserve">. </w:t>
      </w:r>
      <w:r>
        <w:t>долл</w:t>
      </w:r>
      <w:r w:rsidRPr="00E333EE">
        <w:t xml:space="preserve">. </w:t>
      </w:r>
      <w:r>
        <w:t>США</w:t>
      </w:r>
      <w:r w:rsidRPr="00E333EE">
        <w:t xml:space="preserve"> </w:t>
      </w:r>
      <w:r>
        <w:t>и</w:t>
      </w:r>
      <w:r w:rsidRPr="00E333EE">
        <w:t xml:space="preserve"> </w:t>
      </w:r>
      <w:r>
        <w:t>в</w:t>
      </w:r>
      <w:r w:rsidR="008D61A5">
        <w:t> </w:t>
      </w:r>
      <w:r w:rsidRPr="00E333EE">
        <w:t>2003</w:t>
      </w:r>
      <w:r>
        <w:t> году</w:t>
      </w:r>
      <w:r w:rsidRPr="004D5722">
        <w:rPr>
          <w:lang w:val="en-US"/>
        </w:rPr>
        <w:t> </w:t>
      </w:r>
      <w:r>
        <w:rPr>
          <w:lang w:val="en-US"/>
        </w:rPr>
        <w:t>- </w:t>
      </w:r>
      <w:r w:rsidRPr="00E333EE">
        <w:t>7</w:t>
      </w:r>
      <w:r w:rsidRPr="004D5722">
        <w:rPr>
          <w:lang w:val="en-US"/>
        </w:rPr>
        <w:t> </w:t>
      </w:r>
      <w:r w:rsidRPr="00E333EE">
        <w:t>640</w:t>
      </w:r>
      <w:r>
        <w:rPr>
          <w:lang w:val="en-US"/>
        </w:rPr>
        <w:t> </w:t>
      </w:r>
      <w:r>
        <w:t>млрд</w:t>
      </w:r>
      <w:r w:rsidRPr="00E333EE">
        <w:t xml:space="preserve">. </w:t>
      </w:r>
      <w:r>
        <w:t>долл</w:t>
      </w:r>
      <w:r w:rsidRPr="00E333EE">
        <w:t xml:space="preserve">. </w:t>
      </w:r>
      <w:r>
        <w:t>США</w:t>
      </w:r>
      <w:r w:rsidRPr="00E333EE">
        <w:t>.</w:t>
      </w:r>
    </w:p>
    <w:p w:rsidR="002833C3" w:rsidRDefault="002833C3" w:rsidP="002833C3"/>
    <w:p w:rsidR="002833C3" w:rsidRDefault="002833C3" w:rsidP="002833C3">
      <w:pPr>
        <w:rPr>
          <w:b/>
        </w:rPr>
      </w:pPr>
      <w:r>
        <w:rPr>
          <w:b/>
        </w:rPr>
        <w:t>Разработка стандартов</w:t>
      </w:r>
    </w:p>
    <w:p w:rsidR="002833C3" w:rsidRDefault="002833C3" w:rsidP="002833C3">
      <w:pPr>
        <w:rPr>
          <w:b/>
        </w:rPr>
      </w:pPr>
    </w:p>
    <w:p w:rsidR="002833C3" w:rsidRDefault="002833C3" w:rsidP="002833C3">
      <w:r w:rsidRPr="004D5722">
        <w:t>128.</w:t>
      </w:r>
      <w:r w:rsidRPr="004D5722">
        <w:tab/>
      </w:r>
      <w:r>
        <w:t>В</w:t>
      </w:r>
      <w:r w:rsidRPr="004D5722">
        <w:t xml:space="preserve"> </w:t>
      </w:r>
      <w:r>
        <w:t>Трудовом</w:t>
      </w:r>
      <w:r w:rsidRPr="004D5722">
        <w:t xml:space="preserve"> </w:t>
      </w:r>
      <w:r>
        <w:t>кодексе</w:t>
      </w:r>
      <w:r w:rsidRPr="004D5722">
        <w:t xml:space="preserve">, </w:t>
      </w:r>
      <w:r>
        <w:t>среди</w:t>
      </w:r>
      <w:r w:rsidRPr="004D5722">
        <w:t xml:space="preserve"> </w:t>
      </w:r>
      <w:r>
        <w:t>прочего</w:t>
      </w:r>
      <w:r w:rsidRPr="004D5722">
        <w:t xml:space="preserve">, </w:t>
      </w:r>
      <w:r>
        <w:t>предусмотрены</w:t>
      </w:r>
      <w:r w:rsidRPr="004D5722">
        <w:t xml:space="preserve"> </w:t>
      </w:r>
      <w:r>
        <w:t>минимальные</w:t>
      </w:r>
      <w:r w:rsidRPr="004D5722">
        <w:t xml:space="preserve"> </w:t>
      </w:r>
      <w:r>
        <w:t>нормы</w:t>
      </w:r>
      <w:r w:rsidRPr="004D5722">
        <w:t xml:space="preserve"> </w:t>
      </w:r>
      <w:r>
        <w:t>занятости</w:t>
      </w:r>
      <w:r w:rsidRPr="004D5722">
        <w:t xml:space="preserve">, </w:t>
      </w:r>
      <w:r>
        <w:t>включая</w:t>
      </w:r>
      <w:r w:rsidRPr="004D5722">
        <w:t xml:space="preserve"> </w:t>
      </w:r>
      <w:r>
        <w:t>уровень</w:t>
      </w:r>
      <w:r w:rsidRPr="004D5722">
        <w:t xml:space="preserve"> </w:t>
      </w:r>
      <w:r>
        <w:t>заработной</w:t>
      </w:r>
      <w:r w:rsidRPr="004D5722">
        <w:t xml:space="preserve"> </w:t>
      </w:r>
      <w:r>
        <w:t>платы</w:t>
      </w:r>
      <w:r w:rsidRPr="004D5722">
        <w:t xml:space="preserve">, </w:t>
      </w:r>
      <w:r>
        <w:t>количество</w:t>
      </w:r>
      <w:r w:rsidRPr="004D5722">
        <w:t xml:space="preserve"> </w:t>
      </w:r>
      <w:r>
        <w:t>рабочих</w:t>
      </w:r>
      <w:r w:rsidRPr="004D5722">
        <w:t xml:space="preserve"> </w:t>
      </w:r>
      <w:r>
        <w:t>часов</w:t>
      </w:r>
      <w:r w:rsidRPr="004D5722">
        <w:t xml:space="preserve">, </w:t>
      </w:r>
      <w:r>
        <w:t>выходные дни, оплату за сверхурочную работу и работу в ночное время, нормы охраны труда и санитарные нормы.  В Кодексе также предусматривается создание Государственного страхового фонда для выплаты компенсаций и пособий на реабилитацию в связи с несчастными случаями или авариями на работе.  Эти нормы, которые более детально обсуждаются в соответствующих разделах, предназначены не только для того, чтобы создать необходимые условия для продуктивного труда, но и для выполнения предусмотренного в</w:t>
      </w:r>
      <w:r w:rsidR="00E5379C">
        <w:t> </w:t>
      </w:r>
      <w:r>
        <w:t>Конституции положения о том, что государство обеспечивает справедливые и надлежащие условия труда.</w:t>
      </w:r>
    </w:p>
    <w:p w:rsidR="002833C3" w:rsidRDefault="002833C3" w:rsidP="002833C3"/>
    <w:p w:rsidR="002833C3" w:rsidRDefault="002833C3" w:rsidP="002833C3">
      <w:pPr>
        <w:rPr>
          <w:b/>
        </w:rPr>
      </w:pPr>
      <w:r w:rsidRPr="00C362F8">
        <w:rPr>
          <w:b/>
        </w:rPr>
        <w:t>Коллективные</w:t>
      </w:r>
      <w:r w:rsidRPr="00E333EE">
        <w:rPr>
          <w:b/>
        </w:rPr>
        <w:t xml:space="preserve"> </w:t>
      </w:r>
      <w:r w:rsidRPr="00C362F8">
        <w:rPr>
          <w:b/>
        </w:rPr>
        <w:t>переговоры</w:t>
      </w:r>
    </w:p>
    <w:p w:rsidR="002833C3" w:rsidRDefault="002833C3" w:rsidP="002833C3">
      <w:pPr>
        <w:rPr>
          <w:b/>
        </w:rPr>
      </w:pPr>
    </w:p>
    <w:p w:rsidR="002833C3" w:rsidRDefault="002833C3" w:rsidP="002833C3">
      <w:r w:rsidRPr="00C362F8">
        <w:t>129.</w:t>
      </w:r>
      <w:r w:rsidRPr="00C362F8">
        <w:tab/>
      </w:r>
      <w:r>
        <w:t>Конституция</w:t>
      </w:r>
      <w:r w:rsidRPr="00C362F8">
        <w:t xml:space="preserve"> </w:t>
      </w:r>
      <w:r>
        <w:t>Филиппин</w:t>
      </w:r>
      <w:r w:rsidRPr="00C362F8">
        <w:t xml:space="preserve"> </w:t>
      </w:r>
      <w:r>
        <w:t>гарантирует</w:t>
      </w:r>
      <w:r w:rsidRPr="00C362F8">
        <w:t xml:space="preserve"> </w:t>
      </w:r>
      <w:r>
        <w:t>права</w:t>
      </w:r>
      <w:r w:rsidRPr="00C362F8">
        <w:t xml:space="preserve"> </w:t>
      </w:r>
      <w:r>
        <w:t>трудящихся</w:t>
      </w:r>
      <w:r w:rsidRPr="00C362F8">
        <w:t xml:space="preserve"> </w:t>
      </w:r>
      <w:r>
        <w:t>на</w:t>
      </w:r>
      <w:r w:rsidRPr="00C362F8">
        <w:t xml:space="preserve"> </w:t>
      </w:r>
      <w:r>
        <w:t>создание</w:t>
      </w:r>
      <w:r w:rsidRPr="00C362F8">
        <w:t xml:space="preserve"> </w:t>
      </w:r>
      <w:r>
        <w:t>профсоюзов</w:t>
      </w:r>
      <w:r w:rsidRPr="00C362F8">
        <w:t xml:space="preserve"> </w:t>
      </w:r>
      <w:r>
        <w:t>и</w:t>
      </w:r>
      <w:r w:rsidRPr="00C362F8">
        <w:t xml:space="preserve"> </w:t>
      </w:r>
      <w:r>
        <w:t>ведение</w:t>
      </w:r>
      <w:r w:rsidRPr="00C362F8">
        <w:t xml:space="preserve"> </w:t>
      </w:r>
      <w:r>
        <w:t>коллективных</w:t>
      </w:r>
      <w:r w:rsidRPr="00C362F8">
        <w:t xml:space="preserve"> </w:t>
      </w:r>
      <w:r>
        <w:t>переговоров</w:t>
      </w:r>
      <w:r w:rsidRPr="00C362F8">
        <w:t xml:space="preserve">, </w:t>
      </w:r>
      <w:r>
        <w:t>а</w:t>
      </w:r>
      <w:r w:rsidRPr="00C362F8">
        <w:t xml:space="preserve"> </w:t>
      </w:r>
      <w:r>
        <w:t>также</w:t>
      </w:r>
      <w:r w:rsidRPr="00C362F8">
        <w:t xml:space="preserve"> </w:t>
      </w:r>
      <w:r>
        <w:t>на</w:t>
      </w:r>
      <w:r w:rsidRPr="00C362F8">
        <w:t xml:space="preserve"> </w:t>
      </w:r>
      <w:r>
        <w:t>участие</w:t>
      </w:r>
      <w:r w:rsidRPr="00C362F8">
        <w:t xml:space="preserve"> </w:t>
      </w:r>
      <w:r>
        <w:t>в</w:t>
      </w:r>
      <w:r w:rsidRPr="00C362F8">
        <w:t xml:space="preserve"> </w:t>
      </w:r>
      <w:r>
        <w:t>процессах</w:t>
      </w:r>
      <w:r w:rsidRPr="00C362F8">
        <w:t xml:space="preserve"> </w:t>
      </w:r>
      <w:r>
        <w:t>разработки</w:t>
      </w:r>
      <w:r w:rsidRPr="00C362F8">
        <w:t xml:space="preserve"> </w:t>
      </w:r>
      <w:r>
        <w:t>политики</w:t>
      </w:r>
      <w:r w:rsidRPr="00C362F8">
        <w:t xml:space="preserve"> </w:t>
      </w:r>
      <w:r>
        <w:t>и</w:t>
      </w:r>
      <w:r w:rsidRPr="00C362F8">
        <w:t xml:space="preserve"> </w:t>
      </w:r>
      <w:r>
        <w:t>принятия</w:t>
      </w:r>
      <w:r w:rsidRPr="00C362F8">
        <w:t xml:space="preserve"> </w:t>
      </w:r>
      <w:r>
        <w:t>решений</w:t>
      </w:r>
      <w:r w:rsidRPr="00C362F8">
        <w:t xml:space="preserve">, </w:t>
      </w:r>
      <w:r>
        <w:t>затрагивающих</w:t>
      </w:r>
      <w:r w:rsidRPr="00C362F8">
        <w:t xml:space="preserve"> </w:t>
      </w:r>
      <w:r>
        <w:t>их</w:t>
      </w:r>
      <w:r w:rsidRPr="00C362F8">
        <w:t xml:space="preserve"> </w:t>
      </w:r>
      <w:r>
        <w:t>права</w:t>
      </w:r>
      <w:r w:rsidRPr="00C362F8">
        <w:t xml:space="preserve">. </w:t>
      </w:r>
      <w:r>
        <w:t xml:space="preserve"> Том</w:t>
      </w:r>
      <w:r w:rsidRPr="00C362F8">
        <w:t xml:space="preserve"> </w:t>
      </w:r>
      <w:r w:rsidRPr="00680E35">
        <w:rPr>
          <w:lang w:val="en-US"/>
        </w:rPr>
        <w:t>V</w:t>
      </w:r>
      <w:r w:rsidRPr="00C362F8">
        <w:t xml:space="preserve"> </w:t>
      </w:r>
      <w:r>
        <w:t>Трудового</w:t>
      </w:r>
      <w:r w:rsidRPr="004D5722">
        <w:t xml:space="preserve"> </w:t>
      </w:r>
      <w:r>
        <w:t>кодекса, в который в</w:t>
      </w:r>
      <w:r w:rsidRPr="00C362F8">
        <w:t xml:space="preserve"> 1989 </w:t>
      </w:r>
      <w:r>
        <w:t>году были внесены существенные изменения посредством РЗ</w:t>
      </w:r>
      <w:r w:rsidRPr="00C362F8">
        <w:t xml:space="preserve"> </w:t>
      </w:r>
      <w:r>
        <w:t xml:space="preserve">№ </w:t>
      </w:r>
      <w:r w:rsidRPr="00C362F8">
        <w:t xml:space="preserve">6715, </w:t>
      </w:r>
      <w:r>
        <w:t>является нормативным документом по осуществлению этой политики.</w:t>
      </w:r>
    </w:p>
    <w:p w:rsidR="002833C3" w:rsidRDefault="002833C3" w:rsidP="002833C3"/>
    <w:p w:rsidR="002833C3" w:rsidRDefault="002833C3" w:rsidP="002833C3">
      <w:r w:rsidRPr="00850833">
        <w:t>130.</w:t>
      </w:r>
      <w:r w:rsidRPr="00850833">
        <w:tab/>
      </w:r>
      <w:r>
        <w:t>В</w:t>
      </w:r>
      <w:r w:rsidRPr="00850833">
        <w:t xml:space="preserve"> </w:t>
      </w:r>
      <w:r>
        <w:t>статье</w:t>
      </w:r>
      <w:r w:rsidRPr="00850833">
        <w:t xml:space="preserve"> 211 </w:t>
      </w:r>
      <w:r>
        <w:t>Трудового кодекса признается право на ведение коллективных</w:t>
      </w:r>
      <w:r w:rsidRPr="00C362F8">
        <w:t xml:space="preserve"> </w:t>
      </w:r>
      <w:r>
        <w:t>переговоров и производственную демократию в качестве предпочтительных видов взаимоотношений между трудящимися и администрацией.  В</w:t>
      </w:r>
      <w:r w:rsidRPr="00850833">
        <w:t xml:space="preserve"> </w:t>
      </w:r>
      <w:r>
        <w:t>статье</w:t>
      </w:r>
      <w:r w:rsidRPr="00850833">
        <w:t xml:space="preserve"> 2</w:t>
      </w:r>
      <w:r>
        <w:t>75</w:t>
      </w:r>
      <w:r w:rsidRPr="00850833">
        <w:t xml:space="preserve"> </w:t>
      </w:r>
      <w:r>
        <w:t xml:space="preserve">Кодекса провозглашается концепция сотрудничества правительства и организаций предпринимателей и трудящихся в решении социально-трудовых вопросов в качестве государственной политики в области трудовых отношений, а в статье </w:t>
      </w:r>
      <w:r w:rsidRPr="00850833">
        <w:t xml:space="preserve">277 </w:t>
      </w:r>
      <w:r>
        <w:t>закладывается правовая основа, дающая возможность правительству принимать меры стимулирования, включая обучение рабочих и оказание им технической помощи, в целях повышения производительности, улучшения условий труда и качества трудовой жизни, а также расширения сотрудничества между работодателями и рабочими.  Правительство считает концепцию сотрудничества правительства и организаций предпринимателей и трудящихся в решении социально-трудовых вопросов неотъемлемой частью системы государственного управления.  В</w:t>
      </w:r>
      <w:r w:rsidRPr="00E75D3F">
        <w:t xml:space="preserve"> </w:t>
      </w:r>
      <w:r>
        <w:t>апреле</w:t>
      </w:r>
      <w:r w:rsidRPr="00E75D3F">
        <w:t xml:space="preserve"> 1991 </w:t>
      </w:r>
      <w:r>
        <w:t>года</w:t>
      </w:r>
      <w:r w:rsidRPr="00E75D3F">
        <w:t xml:space="preserve"> </w:t>
      </w:r>
      <w:r>
        <w:t>правительство</w:t>
      </w:r>
      <w:r w:rsidRPr="00E75D3F">
        <w:t xml:space="preserve"> </w:t>
      </w:r>
      <w:r>
        <w:t>стало</w:t>
      </w:r>
      <w:r w:rsidRPr="00E75D3F">
        <w:t xml:space="preserve"> </w:t>
      </w:r>
      <w:r>
        <w:t>участником</w:t>
      </w:r>
      <w:r w:rsidRPr="00E75D3F">
        <w:t xml:space="preserve"> </w:t>
      </w:r>
      <w:r>
        <w:t>Конвенции МОТ № 144 (Конвенция о трехсторонних консультациях, 1976 год</w:t>
      </w:r>
      <w:r w:rsidRPr="00E75D3F">
        <w:t xml:space="preserve">). </w:t>
      </w:r>
      <w:r>
        <w:t xml:space="preserve"> В </w:t>
      </w:r>
      <w:r w:rsidRPr="00E75D3F">
        <w:t>1990</w:t>
      </w:r>
      <w:r>
        <w:t> году в соответствии с Правительственным распоряжением №</w:t>
      </w:r>
      <w:r w:rsidRPr="00E75D3F">
        <w:t xml:space="preserve"> 403</w:t>
      </w:r>
      <w:r>
        <w:t xml:space="preserve"> был создан Трехсторонний совет по мирному разрешению трудовых конфликтов (ТСМРТК), который выполняет функции консультативного органа президента и министра труда и занятости.</w:t>
      </w:r>
    </w:p>
    <w:p w:rsidR="002833C3" w:rsidRDefault="002833C3" w:rsidP="002833C3"/>
    <w:p w:rsidR="002833C3" w:rsidRDefault="002833C3" w:rsidP="002833C3">
      <w:pPr>
        <w:rPr>
          <w:b/>
        </w:rPr>
      </w:pPr>
      <w:r w:rsidRPr="00ED0349">
        <w:rPr>
          <w:b/>
        </w:rPr>
        <w:t>Защита от несправедливого увольнения</w:t>
      </w:r>
    </w:p>
    <w:p w:rsidR="002833C3" w:rsidRDefault="002833C3" w:rsidP="002833C3">
      <w:pPr>
        <w:rPr>
          <w:b/>
        </w:rPr>
      </w:pPr>
    </w:p>
    <w:p w:rsidR="002833C3" w:rsidRDefault="002833C3" w:rsidP="002833C3">
      <w:r w:rsidRPr="00ED0349">
        <w:t>131.</w:t>
      </w:r>
      <w:r w:rsidRPr="00ED0349">
        <w:tab/>
      </w:r>
      <w:r>
        <w:t>Статья</w:t>
      </w:r>
      <w:r w:rsidRPr="00ED0349">
        <w:t xml:space="preserve"> 279 </w:t>
      </w:r>
      <w:r>
        <w:t>Трудового</w:t>
      </w:r>
      <w:r w:rsidRPr="00ED0349">
        <w:t xml:space="preserve"> </w:t>
      </w:r>
      <w:r>
        <w:t>кодекса</w:t>
      </w:r>
      <w:r w:rsidRPr="00ED0349">
        <w:t xml:space="preserve"> </w:t>
      </w:r>
      <w:r>
        <w:t>гарантирует право работников на сохранение должности.  Служащий, как таковой</w:t>
      </w:r>
      <w:r w:rsidRPr="00DF119D">
        <w:t>,</w:t>
      </w:r>
      <w:r>
        <w:t xml:space="preserve"> не может быть уволен, за исключением случаев, когда это делается по обоснованной причине или на основании закона, например, при закрытии предприятия или сокращении должности служащего.  Статья 277 </w:t>
      </w:r>
      <w:r w:rsidRPr="00680E35">
        <w:rPr>
          <w:lang w:val="en-US"/>
        </w:rPr>
        <w:t>b</w:t>
      </w:r>
      <w:r w:rsidRPr="00282288">
        <w:t>)</w:t>
      </w:r>
      <w:r w:rsidRPr="00ED0349">
        <w:t xml:space="preserve"> </w:t>
      </w:r>
      <w:r>
        <w:t>Трудового</w:t>
      </w:r>
      <w:r w:rsidRPr="00ED0349">
        <w:t xml:space="preserve"> </w:t>
      </w:r>
      <w:r>
        <w:t>кодекса предусматривает, что при прекращении трудовых отношений должны соблюдаться два условия, касающиеся предварительного уведомления и заслушивания служащего.  Служащий может оспаривать законность своего увольнения в Национальной комиссии по вопросам трудовых отношений (НКТО).</w:t>
      </w:r>
    </w:p>
    <w:p w:rsidR="002833C3" w:rsidRDefault="002833C3" w:rsidP="002833C3"/>
    <w:p w:rsidR="002833C3" w:rsidRDefault="002833C3" w:rsidP="002833C3">
      <w:r w:rsidRPr="00282288">
        <w:t>132.</w:t>
      </w:r>
      <w:r w:rsidRPr="00282288">
        <w:tab/>
      </w:r>
      <w:r>
        <w:t>Что</w:t>
      </w:r>
      <w:r w:rsidRPr="00282288">
        <w:t xml:space="preserve"> </w:t>
      </w:r>
      <w:r>
        <w:t>касается</w:t>
      </w:r>
      <w:r w:rsidRPr="00282288">
        <w:t xml:space="preserve"> </w:t>
      </w:r>
      <w:r>
        <w:t>гарантии</w:t>
      </w:r>
      <w:r w:rsidRPr="00282288">
        <w:t xml:space="preserve"> </w:t>
      </w:r>
      <w:r>
        <w:t>сохранения</w:t>
      </w:r>
      <w:r w:rsidRPr="00282288">
        <w:t xml:space="preserve"> </w:t>
      </w:r>
      <w:r>
        <w:t>должностей</w:t>
      </w:r>
      <w:r w:rsidRPr="00282288">
        <w:t xml:space="preserve"> </w:t>
      </w:r>
      <w:r>
        <w:t>государственных служащих</w:t>
      </w:r>
      <w:r w:rsidRPr="00282288">
        <w:t xml:space="preserve">, </w:t>
      </w:r>
      <w:r>
        <w:t>то</w:t>
      </w:r>
      <w:r w:rsidRPr="00282288">
        <w:t xml:space="preserve"> </w:t>
      </w:r>
      <w:r>
        <w:t>пункт </w:t>
      </w:r>
      <w:r w:rsidRPr="00282288">
        <w:t>2</w:t>
      </w:r>
      <w:r>
        <w:t> </w:t>
      </w:r>
      <w:r w:rsidRPr="00282288">
        <w:t xml:space="preserve">(3) </w:t>
      </w:r>
      <w:r>
        <w:t>статьи</w:t>
      </w:r>
      <w:r w:rsidRPr="00282288">
        <w:t xml:space="preserve"> </w:t>
      </w:r>
      <w:r w:rsidRPr="00680E35">
        <w:rPr>
          <w:lang w:val="en-US"/>
        </w:rPr>
        <w:t>IX</w:t>
      </w:r>
      <w:r w:rsidRPr="00282288">
        <w:t>-</w:t>
      </w:r>
      <w:r w:rsidRPr="00680E35">
        <w:rPr>
          <w:lang w:val="en-US"/>
        </w:rPr>
        <w:t>B</w:t>
      </w:r>
      <w:r w:rsidRPr="00282288">
        <w:t xml:space="preserve"> </w:t>
      </w:r>
      <w:r>
        <w:t>Конституции предусматривает, что ни одно должностное лицо или служащий гражданской службы не может быть уволен или временно отстранен от работы, за исключением случаев, предусмотренных законом.  Это</w:t>
      </w:r>
      <w:r w:rsidRPr="00282288">
        <w:t xml:space="preserve"> </w:t>
      </w:r>
      <w:r>
        <w:t>положение</w:t>
      </w:r>
      <w:r w:rsidRPr="00282288">
        <w:t xml:space="preserve"> </w:t>
      </w:r>
      <w:r>
        <w:t>вновь</w:t>
      </w:r>
      <w:r w:rsidRPr="00282288">
        <w:t xml:space="preserve"> </w:t>
      </w:r>
      <w:r>
        <w:t>подтверждается</w:t>
      </w:r>
      <w:r w:rsidRPr="00282288">
        <w:t xml:space="preserve"> </w:t>
      </w:r>
      <w:r>
        <w:t>в</w:t>
      </w:r>
      <w:r w:rsidRPr="00282288">
        <w:t xml:space="preserve"> </w:t>
      </w:r>
      <w:r>
        <w:t>пункте</w:t>
      </w:r>
      <w:r w:rsidRPr="00282288">
        <w:t xml:space="preserve"> 46 </w:t>
      </w:r>
      <w:r>
        <w:t>главы</w:t>
      </w:r>
      <w:r w:rsidRPr="00282288">
        <w:t xml:space="preserve"> 7 </w:t>
      </w:r>
      <w:r>
        <w:t>части</w:t>
      </w:r>
      <w:r w:rsidRPr="00282288">
        <w:t xml:space="preserve"> </w:t>
      </w:r>
      <w:r w:rsidRPr="00680E35">
        <w:rPr>
          <w:lang w:val="en-US"/>
        </w:rPr>
        <w:t>I</w:t>
      </w:r>
      <w:r w:rsidRPr="0088132C">
        <w:t xml:space="preserve"> </w:t>
      </w:r>
      <w:r>
        <w:rPr>
          <w:lang w:val="en-US"/>
        </w:rPr>
        <w:t>A</w:t>
      </w:r>
      <w:r w:rsidRPr="00282288">
        <w:t xml:space="preserve"> </w:t>
      </w:r>
      <w:r>
        <w:t>тома</w:t>
      </w:r>
      <w:r w:rsidRPr="00282288">
        <w:t xml:space="preserve"> </w:t>
      </w:r>
      <w:r w:rsidRPr="00680E35">
        <w:rPr>
          <w:lang w:val="en-US"/>
        </w:rPr>
        <w:t>V</w:t>
      </w:r>
      <w:r w:rsidRPr="00282288">
        <w:t xml:space="preserve"> </w:t>
      </w:r>
      <w:r>
        <w:t>Административного кодекса</w:t>
      </w:r>
      <w:r w:rsidRPr="00282288">
        <w:t xml:space="preserve"> 1987</w:t>
      </w:r>
      <w:r>
        <w:t> года</w:t>
      </w:r>
      <w:r w:rsidRPr="00282288">
        <w:t xml:space="preserve">. </w:t>
      </w:r>
      <w:r>
        <w:t xml:space="preserve"> В</w:t>
      </w:r>
      <w:r w:rsidRPr="00282288">
        <w:t xml:space="preserve"> </w:t>
      </w:r>
      <w:r>
        <w:t>разделе</w:t>
      </w:r>
      <w:r w:rsidRPr="00282288">
        <w:t xml:space="preserve"> 2 </w:t>
      </w:r>
      <w:r>
        <w:t>Республиканского</w:t>
      </w:r>
      <w:r w:rsidRPr="00282288">
        <w:t xml:space="preserve"> </w:t>
      </w:r>
      <w:r>
        <w:t>закона</w:t>
      </w:r>
      <w:r w:rsidRPr="00282288">
        <w:t xml:space="preserve"> №</w:t>
      </w:r>
      <w:r>
        <w:rPr>
          <w:lang w:val="en-US"/>
        </w:rPr>
        <w:t> </w:t>
      </w:r>
      <w:r w:rsidRPr="00282288">
        <w:t>6656 (</w:t>
      </w:r>
      <w:r>
        <w:rPr>
          <w:i/>
        </w:rPr>
        <w:t>Закон</w:t>
      </w:r>
      <w:r w:rsidRPr="00282288">
        <w:rPr>
          <w:i/>
        </w:rPr>
        <w:t xml:space="preserve"> </w:t>
      </w:r>
      <w:r>
        <w:rPr>
          <w:i/>
        </w:rPr>
        <w:t>о</w:t>
      </w:r>
      <w:r w:rsidRPr="00282288">
        <w:rPr>
          <w:i/>
        </w:rPr>
        <w:t xml:space="preserve"> </w:t>
      </w:r>
      <w:r>
        <w:rPr>
          <w:i/>
        </w:rPr>
        <w:t>гарантии</w:t>
      </w:r>
      <w:r w:rsidRPr="00282288">
        <w:rPr>
          <w:i/>
        </w:rPr>
        <w:t xml:space="preserve"> </w:t>
      </w:r>
      <w:r>
        <w:rPr>
          <w:i/>
        </w:rPr>
        <w:t>сохранения</w:t>
      </w:r>
      <w:r w:rsidRPr="00282288">
        <w:rPr>
          <w:i/>
        </w:rPr>
        <w:t xml:space="preserve"> </w:t>
      </w:r>
      <w:r>
        <w:rPr>
          <w:i/>
        </w:rPr>
        <w:t>должности</w:t>
      </w:r>
      <w:r w:rsidRPr="00282288">
        <w:rPr>
          <w:i/>
        </w:rPr>
        <w:t xml:space="preserve"> </w:t>
      </w:r>
      <w:r>
        <w:rPr>
          <w:i/>
        </w:rPr>
        <w:t>должностных</w:t>
      </w:r>
      <w:r w:rsidRPr="00282288">
        <w:rPr>
          <w:i/>
        </w:rPr>
        <w:t xml:space="preserve"> </w:t>
      </w:r>
      <w:r>
        <w:rPr>
          <w:i/>
        </w:rPr>
        <w:t>лиц</w:t>
      </w:r>
      <w:r w:rsidRPr="00282288">
        <w:rPr>
          <w:i/>
        </w:rPr>
        <w:t xml:space="preserve"> </w:t>
      </w:r>
      <w:r>
        <w:rPr>
          <w:i/>
        </w:rPr>
        <w:t>и</w:t>
      </w:r>
      <w:r w:rsidRPr="00282288">
        <w:rPr>
          <w:i/>
        </w:rPr>
        <w:t xml:space="preserve"> </w:t>
      </w:r>
      <w:r>
        <w:rPr>
          <w:i/>
        </w:rPr>
        <w:t>служащих</w:t>
      </w:r>
      <w:r w:rsidRPr="00282288">
        <w:rPr>
          <w:i/>
        </w:rPr>
        <w:t xml:space="preserve"> </w:t>
      </w:r>
      <w:r>
        <w:rPr>
          <w:i/>
        </w:rPr>
        <w:t>при</w:t>
      </w:r>
      <w:r w:rsidRPr="00282288">
        <w:rPr>
          <w:i/>
        </w:rPr>
        <w:t xml:space="preserve"> </w:t>
      </w:r>
      <w:r>
        <w:rPr>
          <w:i/>
        </w:rPr>
        <w:t>проведении</w:t>
      </w:r>
      <w:r w:rsidRPr="00282288">
        <w:rPr>
          <w:i/>
        </w:rPr>
        <w:t xml:space="preserve"> </w:t>
      </w:r>
      <w:r>
        <w:rPr>
          <w:i/>
        </w:rPr>
        <w:t>реорганизации</w:t>
      </w:r>
      <w:r w:rsidRPr="00282288">
        <w:rPr>
          <w:i/>
        </w:rPr>
        <w:t xml:space="preserve"> </w:t>
      </w:r>
      <w:r>
        <w:rPr>
          <w:i/>
        </w:rPr>
        <w:t>правительства</w:t>
      </w:r>
      <w:r w:rsidRPr="00282288">
        <w:t xml:space="preserve">) </w:t>
      </w:r>
      <w:r>
        <w:t>подтверждается это положение и вводится требование о направлении соответствующего уведомления и проведении слушания вопроса до увольнения.</w:t>
      </w:r>
    </w:p>
    <w:p w:rsidR="002833C3" w:rsidRDefault="002833C3" w:rsidP="002833C3"/>
    <w:p w:rsidR="002833C3" w:rsidRDefault="002833C3" w:rsidP="002833C3">
      <w:pPr>
        <w:rPr>
          <w:b/>
        </w:rPr>
      </w:pPr>
      <w:r>
        <w:rPr>
          <w:b/>
        </w:rPr>
        <w:t>Программы повышения производительности труда</w:t>
      </w:r>
    </w:p>
    <w:p w:rsidR="002833C3" w:rsidRDefault="002833C3" w:rsidP="002833C3">
      <w:pPr>
        <w:rPr>
          <w:b/>
        </w:rPr>
      </w:pPr>
    </w:p>
    <w:p w:rsidR="002833C3" w:rsidRDefault="002833C3" w:rsidP="002833C3">
      <w:r>
        <w:t>133.</w:t>
      </w:r>
      <w:r>
        <w:tab/>
        <w:t xml:space="preserve">Республиканский закон № 6971, иначе называемый Закон о стимулировании повышения производительности труда 1991 года, поощряет использование принципа мирного урегулирования трудовых споров и повышение уровня производительности труда посредством стимулирования как трудящихся, так и предпринимателей.  В пункте 6 этого </w:t>
      </w:r>
      <w:r w:rsidR="00E5379C">
        <w:t>з</w:t>
      </w:r>
      <w:r>
        <w:t xml:space="preserve">акона поощряется разработка и осуществление программ стимулирования повышения производительности труда и содержатся рекомендации, касающиеся определения доли в прибылях рабочих и служащих и премий за повышение производительности.  В пункте 7 этого </w:t>
      </w:r>
      <w:r w:rsidR="00E5379C">
        <w:t>з</w:t>
      </w:r>
      <w:r>
        <w:t>акона предусматриваются льготы и налоговые стимулы для предприятий, осуществляющих программы стимулирования занятости.</w:t>
      </w:r>
    </w:p>
    <w:p w:rsidR="002833C3" w:rsidRDefault="002833C3" w:rsidP="002833C3"/>
    <w:p w:rsidR="002833C3" w:rsidRDefault="002833C3" w:rsidP="002833C3">
      <w:r>
        <w:t>134.</w:t>
      </w:r>
      <w:r>
        <w:tab/>
        <w:t>МТП располагает специализированными центрами обучения и региональными бюро, которые проводят обучение трудовым навыкам и получению средств к существованию в таких областях, как изготовление сувениров и домашней утвари;  одежды и различных аксессуаров;  производство химикатов, электроники и средств телекоммуникации;  металлообработка;  услуги в строительном бизнесе;  сельское и лесное хозяйство.  Они также готовят оптовых и розничных продавцов, кооператоров, управляющих и руководителей среднего звена.</w:t>
      </w:r>
    </w:p>
    <w:p w:rsidR="002833C3" w:rsidRDefault="002833C3" w:rsidP="002833C3"/>
    <w:p w:rsidR="002833C3" w:rsidRDefault="002833C3" w:rsidP="002833C3">
      <w:r>
        <w:t>135.</w:t>
      </w:r>
      <w:r>
        <w:tab/>
        <w:t>Центры технологии кустарного производства организуют обучение по следующим жизненно важным областям:  шитье одежды, изготовление букетов, сумок и праздничных украшений, сувениров, бумажных изделий, переработка продуктов питания, ручное ткачество, изготовление плетеных и глиняных изделий.  УТОРН проводит обучение нетрадиционным видам деятельности, в том числе в таких областях, как изготовление мебели и деревянных деталей для строительства, деревообработка, эксплуатация, ремонт и конструирование машин, основные сварочные технологии, изготовление сувениров и домашней утвари, а также развитие кустарных промыслов на базе общин.</w:t>
      </w:r>
    </w:p>
    <w:p w:rsidR="002833C3" w:rsidRDefault="002833C3" w:rsidP="002833C3"/>
    <w:p w:rsidR="002833C3" w:rsidRDefault="002833C3" w:rsidP="00DF7221">
      <w:pPr>
        <w:spacing w:line="264" w:lineRule="auto"/>
      </w:pPr>
      <w:r>
        <w:t>136.</w:t>
      </w:r>
      <w:r>
        <w:tab/>
        <w:t>МСОР руководит Программой наращивания потенциала в области производственных навыков для женщин, находящихся в неблагоприятных условиях.  В рамках этой программы женщин обучают навыкам шитья, изготовления изделий из ратанга и игрушек, обработки и сохранения пищевых продуктов, производства керамики, ткачества, а также навыкам помощи в домашнем хозяйстве.  Эта программа также позволяет женщинам совершенствовать свои профессиональные качества, расширять знания и развивать практические навыки в области материнства и личной гигиены, участвовать в мероприятиях общины и развивать коммуникационные навыки</w:t>
      </w:r>
      <w:r>
        <w:rPr>
          <w:rStyle w:val="FootnoteReference"/>
        </w:rPr>
        <w:footnoteReference w:id="5"/>
      </w:r>
      <w:r>
        <w:t>.</w:t>
      </w:r>
    </w:p>
    <w:p w:rsidR="002833C3" w:rsidRDefault="002833C3" w:rsidP="002833C3"/>
    <w:p w:rsidR="002833C3" w:rsidRDefault="002833C3" w:rsidP="00DF7221">
      <w:pPr>
        <w:spacing w:line="264" w:lineRule="auto"/>
      </w:pPr>
      <w:r>
        <w:t>137.</w:t>
      </w:r>
      <w:r>
        <w:tab/>
        <w:t>Деловой совет филиппинских женщин финансирует курсы по развитию навыков предпринимательской деятельности для женщин-инвалидов и курсов для женщин-предпринимателей по совершенствованию предпринимательской деятельности и выживанию на рынке.  Было установлено, что прошедшие обучение на этих курсах женщины проявляют большую целеустремленность и уверенность в себе, принимают более активное участие в деятельности общин, проявляют большую решительность и в большей степени осознают свои права как женщины и предприниматели.</w:t>
      </w:r>
    </w:p>
    <w:p w:rsidR="00C74EAA" w:rsidRPr="001774AD" w:rsidRDefault="00C74EAA" w:rsidP="00C74EAA"/>
    <w:p w:rsidR="00C74EAA" w:rsidRDefault="00C74EAA" w:rsidP="00DF7221">
      <w:pPr>
        <w:spacing w:line="264" w:lineRule="auto"/>
      </w:pPr>
      <w:r>
        <w:t>138.</w:t>
      </w:r>
      <w:r>
        <w:tab/>
        <w:t>Женский центр УТОРН был создан в 1998 году с целью улучшения социально-экономического положения женщин посредством их профессиональной подготовки, проведения исследований и пропагандистской деятельности.  Центр организует программы подготовки, основанные на использовании новых технологий, и обучение в целях расширения экономических возможностей/развития социальных навыков, которое ориентировано на неимущих женщин городских районов, женщин из сельских районов, молодых женщин, возвратившихся после работы за границей, женщин-мигрантов, жен работающих за границей рабочих/моряков и перемещенных женщин-трудящихся</w:t>
      </w:r>
      <w:r>
        <w:rPr>
          <w:rStyle w:val="FootnoteReference"/>
        </w:rPr>
        <w:footnoteReference w:id="6"/>
      </w:r>
      <w:r>
        <w:t>.</w:t>
      </w:r>
    </w:p>
    <w:p w:rsidR="00F8635B" w:rsidRDefault="00C74EAA" w:rsidP="00F8635B">
      <w:pPr>
        <w:spacing w:line="264" w:lineRule="auto"/>
      </w:pPr>
      <w:r>
        <w:t>139.</w:t>
      </w:r>
      <w:r>
        <w:tab/>
        <w:t xml:space="preserve">К другим видам деятельности, которая направлена на повышение производительности, относятся:  а)  распространение знаний среди малоимущих жителей сельских районов и их ознакомление с новыми технологиями;  </w:t>
      </w:r>
      <w:r>
        <w:rPr>
          <w:lang w:val="en-US"/>
        </w:rPr>
        <w:t>b</w:t>
      </w:r>
      <w:r>
        <w:t xml:space="preserve">)  выделение из бюджета дополнительных средств в поддержку исследований, развития и повышения уровня знаний и навыков на местах;  с)  всемерное поощрение морского фермерства, в частности создание заповедных зон мангровых деревьев и рыбных заказников;  </w:t>
      </w:r>
      <w:r>
        <w:rPr>
          <w:lang w:val="en-US"/>
        </w:rPr>
        <w:t>d</w:t>
      </w:r>
      <w:r>
        <w:t xml:space="preserve">)  финансирование государственными </w:t>
      </w:r>
      <w:r w:rsidR="00F8635B">
        <w:t xml:space="preserve">финансовыми институтами, например Земельным банком Филиппин и Банком развития Филиппин, демонстрационных проектов государственных университетов и колледжей;  </w:t>
      </w:r>
      <w:r w:rsidR="00F8635B">
        <w:rPr>
          <w:lang w:val="en-US"/>
        </w:rPr>
        <w:t>e</w:t>
      </w:r>
      <w:r w:rsidR="00F8635B">
        <w:t>)  поиск свободных патентов для их распространения среди малых и средних предприятий.</w:t>
      </w:r>
    </w:p>
    <w:p w:rsidR="00F8635B" w:rsidRDefault="00F8635B" w:rsidP="00F8635B"/>
    <w:p w:rsidR="00C74EAA" w:rsidRDefault="00C74EAA" w:rsidP="00C74EAA">
      <w:pPr>
        <w:rPr>
          <w:b/>
        </w:rPr>
      </w:pPr>
      <w:r>
        <w:rPr>
          <w:b/>
        </w:rPr>
        <w:t>2.</w:t>
      </w:r>
      <w:r>
        <w:rPr>
          <w:b/>
          <w:lang w:val="en-US"/>
        </w:rPr>
        <w:t>d</w:t>
      </w:r>
      <w:r>
        <w:rPr>
          <w:b/>
        </w:rPr>
        <w:tab/>
        <w:t>Меры по обеспечению свободы выбора места работы</w:t>
      </w:r>
    </w:p>
    <w:p w:rsidR="00C74EAA" w:rsidRDefault="00C74EAA" w:rsidP="00C74EAA">
      <w:pPr>
        <w:rPr>
          <w:b/>
        </w:rPr>
      </w:pPr>
    </w:p>
    <w:p w:rsidR="00C74EAA" w:rsidRDefault="00C74EAA" w:rsidP="00C74EAA">
      <w:r>
        <w:t>140.</w:t>
      </w:r>
      <w:r>
        <w:tab/>
        <w:t>Филиппины являются государством</w:t>
      </w:r>
      <w:r w:rsidRPr="00594FC7">
        <w:t xml:space="preserve"> </w:t>
      </w:r>
      <w:r>
        <w:t>-</w:t>
      </w:r>
      <w:r w:rsidRPr="00594FC7">
        <w:t xml:space="preserve"> </w:t>
      </w:r>
      <w:r>
        <w:t>участником основных конвенций МОТ, касающихся обеспечения равных возможностей и равного обращения, а также запрещения дискриминации.  Изложенные в Конституции и Трудовом кодексе положения общей политики демонстрируют приверженность правительства принципам, закрепленным в этих конвенциях.</w:t>
      </w:r>
    </w:p>
    <w:p w:rsidR="00C74EAA" w:rsidRDefault="00C74EAA" w:rsidP="00C74EAA"/>
    <w:p w:rsidR="00C74EAA" w:rsidRDefault="00C74EAA" w:rsidP="00C74EAA">
      <w:r>
        <w:t>141.</w:t>
      </w:r>
      <w:r>
        <w:tab/>
        <w:t>Статья 135 Трудового кодекса запрещает дискриминацию</w:t>
      </w:r>
      <w:r w:rsidRPr="009E6F19">
        <w:t xml:space="preserve"> </w:t>
      </w:r>
      <w:r>
        <w:t xml:space="preserve">по признаку пола в отношении условий занятости.  Статья 136 запрещает дискриминацию в связи со вступлением в брак, а статья 137 запрещает дискриминацию по причине беременности.  Кодекс также предусматривает наказание за нарушение этих положений.  </w:t>
      </w:r>
    </w:p>
    <w:p w:rsidR="00C74EAA" w:rsidRDefault="00C74EAA" w:rsidP="00C74EAA"/>
    <w:p w:rsidR="00C74EAA" w:rsidRDefault="00C74EAA" w:rsidP="00C74EAA">
      <w:r>
        <w:t>142.</w:t>
      </w:r>
      <w:r>
        <w:tab/>
        <w:t>Вместе с тем Трудовой кодекс допускает определенные формы дискриминации на основе биологических и других соответствующих соображений</w:t>
      </w:r>
      <w:r>
        <w:rPr>
          <w:rStyle w:val="FootnoteReference"/>
        </w:rPr>
        <w:footnoteReference w:id="7"/>
      </w:r>
      <w:r>
        <w:t>.</w:t>
      </w:r>
    </w:p>
    <w:p w:rsidR="00C74EAA" w:rsidRDefault="00C74EAA" w:rsidP="00C74EAA">
      <w:r>
        <w:t>143.</w:t>
      </w:r>
      <w:r>
        <w:tab/>
        <w:t>Республиканский закон № 6725 направлен на усиление запрещения дискриминации в отношении женщин в том, что касается условий работы, обеспечения возможностей для продвижения по службе и профессиональной подготовки.</w:t>
      </w:r>
    </w:p>
    <w:p w:rsidR="00C74EAA" w:rsidRDefault="00C74EAA" w:rsidP="00C74EAA"/>
    <w:p w:rsidR="00C74EAA" w:rsidRDefault="00C74EAA" w:rsidP="00C74EAA">
      <w:r>
        <w:t>144.</w:t>
      </w:r>
      <w:r>
        <w:tab/>
        <w:t xml:space="preserve">В соответствии с положениями Закона о борьбе с сексуальными домогательствами правительственные учреждения создали свои соответствующие комитеты по правилам приличия и расследованию жалоб на сексуальные домогательства в их соответствующих подразделениях.  Перед этими комитетами поставлена задача выявлять различные акты и формы сексуального домогательства, разрабатывать правила, касающиеся вынесения решений по подобному делу, и определять надлежащие меры наказания в зависимости от формы и тяжести правонарушения.  </w:t>
      </w:r>
    </w:p>
    <w:p w:rsidR="00C74EAA" w:rsidRDefault="00C74EAA" w:rsidP="00C74EAA"/>
    <w:p w:rsidR="00C74EAA" w:rsidRDefault="00C74EAA" w:rsidP="00C74EAA">
      <w:r>
        <w:t>145.</w:t>
      </w:r>
      <w:r>
        <w:tab/>
        <w:t>МТЗ требует, чтобы в частном секторе соблюдались определенные положения этого закона, включая вывешивание в помещениях учреждения копий закона, провозглашение компанией своей политики в отношении сексуальных домогательств и создание комитета по правилам приличия и расследованию случаев сексуальных домогательств.</w:t>
      </w:r>
    </w:p>
    <w:p w:rsidR="00C74EAA" w:rsidRDefault="00C74EAA" w:rsidP="00C74EAA"/>
    <w:p w:rsidR="00C74EAA" w:rsidRDefault="00C74EAA" w:rsidP="00C74EAA">
      <w:pPr>
        <w:rPr>
          <w:b/>
        </w:rPr>
      </w:pPr>
      <w:r>
        <w:rPr>
          <w:b/>
        </w:rPr>
        <w:t>2.е</w:t>
      </w:r>
      <w:r>
        <w:rPr>
          <w:b/>
        </w:rPr>
        <w:tab/>
        <w:t>Программы профессионально-технической подготовки</w:t>
      </w:r>
    </w:p>
    <w:p w:rsidR="00C74EAA" w:rsidRDefault="00C74EAA" w:rsidP="00C74EAA">
      <w:pPr>
        <w:rPr>
          <w:b/>
        </w:rPr>
      </w:pPr>
    </w:p>
    <w:p w:rsidR="00C74EAA" w:rsidRDefault="00C74EAA" w:rsidP="00C74EAA">
      <w:r>
        <w:t>146.</w:t>
      </w:r>
      <w:r>
        <w:tab/>
        <w:t xml:space="preserve">Как было указано выше, программы правительства по развитию людских ресурсов, профессионально-технического образования и подготовки (ПТОП) направлены УТОРН.  </w:t>
      </w:r>
    </w:p>
    <w:p w:rsidR="00C74EAA" w:rsidRDefault="00C74EAA" w:rsidP="00C74EAA"/>
    <w:p w:rsidR="00C74EAA" w:rsidRDefault="00C74EAA" w:rsidP="00C74EAA">
      <w:r>
        <w:t>147.</w:t>
      </w:r>
      <w:r>
        <w:tab/>
        <w:t xml:space="preserve">ПТОП ориентированы на повышение возможностей в сфере трудоустройства и увеличения производительности филиппинцев, а также в долгосрочной перспективе - на сокращение масштабов нищеты.  </w:t>
      </w:r>
    </w:p>
    <w:p w:rsidR="00C74EAA" w:rsidRDefault="00C74EAA" w:rsidP="00C74EAA"/>
    <w:p w:rsidR="00C74EAA" w:rsidRDefault="00C74EAA" w:rsidP="00C74EAA">
      <w:r>
        <w:t>148.</w:t>
      </w:r>
      <w:r>
        <w:tab/>
        <w:t xml:space="preserve">УТОРН уполномочено разработать комплексный план развития ПТОП на основе реформированной программы обучения на производственной базе.  С помощью этой программы УТОРН намерено содействовать обеспечению защиты и повышению благосостояния трудящихся или обучающихся лиц, повышать качество и уровень социальной ответственности системы технического образования и развития навыков, активизировать усилия правительства по созданию рабочих мест и расширить диапазон возможностей, предоставляемых населению в дополнение к традиционно более высоким уровням обучения в </w:t>
      </w:r>
      <w:r w:rsidR="004E082F">
        <w:t>сфере формального образования.</w:t>
      </w:r>
    </w:p>
    <w:p w:rsidR="00C74EAA" w:rsidRDefault="00C74EAA" w:rsidP="00C74EAA"/>
    <w:p w:rsidR="00C74EAA" w:rsidRDefault="00C74EAA" w:rsidP="00C74EAA">
      <w:r>
        <w:t>149.</w:t>
      </w:r>
      <w:r>
        <w:tab/>
        <w:t>В качестве органа, ведающего вопросами профессионально-технического образования и развития навыков, УТОРН выполняет функции общего управления в секторе ПТОП.  Деятельность сектора определяется, как правило, входящими в него компонентами.  В широком плане система ПТОП на Филиппинах включает в себя следующие структурные и административные элементы:</w:t>
      </w:r>
    </w:p>
    <w:p w:rsidR="00C74EAA" w:rsidRDefault="00C74EAA" w:rsidP="00C74EAA"/>
    <w:p w:rsidR="00C74EAA" w:rsidRDefault="00C74EAA" w:rsidP="00C74EAA">
      <w:r>
        <w:t>150.</w:t>
      </w:r>
      <w:r>
        <w:tab/>
      </w:r>
      <w:r>
        <w:rPr>
          <w:i/>
        </w:rPr>
        <w:t xml:space="preserve">Система подготовки на базе школ.  </w:t>
      </w:r>
      <w:r>
        <w:t>Предусматривает курс обучения продолжительностью от одного до трех лет для молодых людей, получивших полное среднее образование.  Лидерами в этой подотрасли являются частные учреждения, на котор</w:t>
      </w:r>
      <w:r w:rsidR="004E082F">
        <w:t>ые приходится 90% выпускников.</w:t>
      </w:r>
    </w:p>
    <w:p w:rsidR="00C74EAA" w:rsidRDefault="00C74EAA" w:rsidP="00C74EAA"/>
    <w:p w:rsidR="00C74EAA" w:rsidRDefault="00C74EAA" w:rsidP="00C74EAA">
      <w:r>
        <w:t>151.</w:t>
      </w:r>
      <w:r>
        <w:tab/>
      </w:r>
      <w:r w:rsidRPr="00385307">
        <w:rPr>
          <w:i/>
        </w:rPr>
        <w:t>Под</w:t>
      </w:r>
      <w:r>
        <w:rPr>
          <w:i/>
        </w:rPr>
        <w:t>с</w:t>
      </w:r>
      <w:r w:rsidRPr="00385307">
        <w:rPr>
          <w:i/>
        </w:rPr>
        <w:t>ектор н</w:t>
      </w:r>
      <w:r>
        <w:rPr>
          <w:i/>
        </w:rPr>
        <w:t xml:space="preserve">еформального образования, профессиональной подготовки, повышения квалификации или программ, проводимых в соответствующих центрах.  </w:t>
      </w:r>
      <w:r>
        <w:t>Организует курсы для широкого круга лиц, в том числе для молодежи, не посещающей школу, безработных, трудящихся, которые стремятся повысить свой профессиональный уровень, женщин, ищущих работу, и возвращающихся из-за границы работников, желающих приобрести навыки предпринимательской деятельности или освоить востребованные профессии.</w:t>
      </w:r>
    </w:p>
    <w:p w:rsidR="00AA711F" w:rsidRDefault="00AA711F" w:rsidP="00AA711F"/>
    <w:p w:rsidR="00AA711F" w:rsidRDefault="00AA711F" w:rsidP="00AA711F">
      <w:pPr>
        <w:rPr>
          <w:i/>
        </w:rPr>
      </w:pPr>
      <w:r>
        <w:t>152.</w:t>
      </w:r>
      <w:r>
        <w:tab/>
      </w:r>
      <w:r>
        <w:rPr>
          <w:i/>
        </w:rPr>
        <w:t xml:space="preserve">Система обучения на производстве и в рамках промышленных партнерств.  </w:t>
      </w:r>
      <w:r>
        <w:t xml:space="preserve">Речь идет о </w:t>
      </w:r>
      <w:r w:rsidRPr="007F47D2">
        <w:t>ряд</w:t>
      </w:r>
      <w:r>
        <w:t>е</w:t>
      </w:r>
      <w:r w:rsidRPr="007F47D2">
        <w:t xml:space="preserve"> действующих механизмов подготовки </w:t>
      </w:r>
      <w:r>
        <w:t>кадров.  Эта система также предусматривает заключение</w:t>
      </w:r>
      <w:r w:rsidRPr="007F47D2">
        <w:t xml:space="preserve"> соглашений между предприятиями и </w:t>
      </w:r>
      <w:r>
        <w:t>учебными</w:t>
      </w:r>
      <w:r w:rsidRPr="007F47D2">
        <w:t xml:space="preserve"> заведениями в отношении </w:t>
      </w:r>
      <w:r>
        <w:t>организации</w:t>
      </w:r>
      <w:r w:rsidRPr="007F47D2">
        <w:t xml:space="preserve"> курсов как с отрывом, так и без отрыва от производства.</w:t>
      </w:r>
    </w:p>
    <w:p w:rsidR="00AA711F" w:rsidRDefault="00AA711F" w:rsidP="00AA711F">
      <w:pPr>
        <w:rPr>
          <w:i/>
        </w:rPr>
      </w:pPr>
    </w:p>
    <w:p w:rsidR="00AA711F" w:rsidRDefault="00AA711F" w:rsidP="00AA711F">
      <w:r>
        <w:t>153.</w:t>
      </w:r>
      <w:r>
        <w:tab/>
        <w:t>Под эту категорию подпадают программы стажировки и система двойной подготовки.  Программы обучения на производстве также призваны содействовать повышению производительности рабочих промышленных предприятий.</w:t>
      </w:r>
    </w:p>
    <w:p w:rsidR="00AA711F" w:rsidRDefault="00AA711F" w:rsidP="00AA711F"/>
    <w:p w:rsidR="006B1321" w:rsidRDefault="00AA711F" w:rsidP="00AA711F">
      <w:r>
        <w:t>154.</w:t>
      </w:r>
      <w:r>
        <w:tab/>
      </w:r>
      <w:r>
        <w:rPr>
          <w:i/>
        </w:rPr>
        <w:t xml:space="preserve">Программы обучения на базе общин.  </w:t>
      </w:r>
      <w:r>
        <w:t>Программы обучения на базе общин представляют собой программы профессиональной подготовки, специально разработанные с учетом необходимости подготовки специалистов тех категорий, в которых нуждается община, и которые в конечном счете преследуют цель обеспечения самостоятельной занятости.  В число бенефициаров этих программ входят неимущие и находящиеся в неблагополучном положении лица (молодежь, не посещающая школу, безработные взрослые лица), маргинализированные сектора (работники натуральных хозяйств и рыбаки) и экономические группы (неформальный сектор) в общине.  Такое</w:t>
      </w:r>
    </w:p>
    <w:p w:rsidR="00AA711F" w:rsidRDefault="006B1321" w:rsidP="00AA711F">
      <w:r>
        <w:br w:type="page"/>
      </w:r>
      <w:r w:rsidR="00AA711F">
        <w:t>обучение обычно организуется органами местного самоуправления и группами общин или неправительственными организациями</w:t>
      </w:r>
      <w:r w:rsidR="00AA711F">
        <w:rPr>
          <w:rStyle w:val="FootnoteReference"/>
        </w:rPr>
        <w:footnoteReference w:id="8"/>
      </w:r>
      <w:r w:rsidR="00AA711F">
        <w:t>.</w:t>
      </w:r>
    </w:p>
    <w:p w:rsidR="00AA711F" w:rsidRDefault="00AA711F" w:rsidP="00AA711F"/>
    <w:p w:rsidR="00AA711F" w:rsidRDefault="00AA711F" w:rsidP="00AA711F">
      <w:r>
        <w:t>155.</w:t>
      </w:r>
      <w:r>
        <w:tab/>
        <w:t>В контексте выполнения своих задач УТОРН также реализует базовые программы профессиональной ориентации трудящихся и осуществляет контроль за их выполнением.   Они призваны обеспечивать подготовку по наиболее востребованным профессиям, поощрять стремление к продвижению по службе и планированию карьерного роста, а также вырабатывать отношение к труду и стиль работы.  Некоторые из этих программ также включают в себя развитие системы ценностей</w:t>
      </w:r>
      <w:r>
        <w:rPr>
          <w:rStyle w:val="FootnoteReference"/>
        </w:rPr>
        <w:footnoteReference w:id="9"/>
      </w:r>
      <w:r>
        <w:t>.</w:t>
      </w:r>
    </w:p>
    <w:p w:rsidR="00AA711F" w:rsidRDefault="00AA711F" w:rsidP="00AA711F"/>
    <w:p w:rsidR="00AA711F" w:rsidRPr="005426FD" w:rsidRDefault="00AA711F" w:rsidP="00AA711F">
      <w:r>
        <w:t>156.</w:t>
      </w:r>
      <w:r>
        <w:tab/>
        <w:t>Участие частного сектора в этом процессе имеет еще более важное значение, поскольку именно компания обладает наиболее широкими возможностями для выявления технологических новшеств и определения внешних изменений, которые могут влиять на ее предпринимательскую деятельность.  По существу предприятие имеет оптимальные возможности, позволяющие ей определить потребности в перепрофилировании и переподготовке работников и принять безотлагательные меры в целях оперативного внесения коррективов в рынок труда.</w:t>
      </w:r>
    </w:p>
    <w:p w:rsidR="00AA711F" w:rsidRDefault="00AA711F" w:rsidP="00AA711F"/>
    <w:p w:rsidR="00AA711F" w:rsidRDefault="00AA711F" w:rsidP="00AA711F">
      <w:r>
        <w:t>157.</w:t>
      </w:r>
      <w:r>
        <w:tab/>
        <w:t>Участие частного сектора в профессионально-техническом обучении имеет решающее значение.  Многие предприятия финансировали приобретение учебного оборудования.  Множество других предприятий также поддерживает профессиональную подготовку посредством организации системы обучения на производстве, выделения добровольных пожертвований и определения требуемых профессий</w:t>
      </w:r>
      <w:r>
        <w:rPr>
          <w:rStyle w:val="FootnoteReference"/>
        </w:rPr>
        <w:footnoteReference w:id="10"/>
      </w:r>
      <w:r>
        <w:t>.</w:t>
      </w:r>
    </w:p>
    <w:p w:rsidR="00AA711F" w:rsidRDefault="00AA711F" w:rsidP="00AA711F"/>
    <w:p w:rsidR="00AA711F" w:rsidRPr="005426FD" w:rsidRDefault="00AA711F" w:rsidP="00AA711F">
      <w:r>
        <w:t>158.</w:t>
      </w:r>
      <w:r>
        <w:tab/>
        <w:t>ПТОП осуществляется как формальными, так и неформальными структурами.  Число учащихся заведений системы ПТОП на базе школ с 286 000 в 2001 году возросло примерно до 439 000 в 2002 году и достигло 492 000 в 2003 году.  Число лиц, обучающихся в системе образования на базе общин, также составило в 2003 году почти 492 000 человек.  В период 2001-2003 годов число лиц, набранных для прохождения обучения на базе общин, достигло почти 600 000 человек.</w:t>
      </w:r>
    </w:p>
    <w:p w:rsidR="00AA711F" w:rsidRDefault="00AA711F" w:rsidP="00AA711F"/>
    <w:p w:rsidR="00AA711F" w:rsidRDefault="00AA711F" w:rsidP="00AA711F">
      <w:r>
        <w:t>159.</w:t>
      </w:r>
      <w:r>
        <w:tab/>
        <w:t>Последние данные показывают, что в области ПТОП с использованием формальных структур доминирует частный сектор (82%).  Диаметрально противоположная картина наблюдается в области обучения в неформальном секторе, где на долю финансируемых из государственного бюджета институтов приходится 64% всех учебных заведений.  Существует примерно 2 045 частных институтов/центров и 1 353 финансируемых из государственного бюджета заведений ПТОП.  Все они составляют общую сеть ПТОП, в состав которой входят высшие учебные заведения, производственные учебные центры, учебные центры НПО, учебные центры ОМС, а также школы и учебные центры, подконтрольные УТОРН.  На долю частных институтов приходится почти 80% от общего числа принимаемых на учебу в системе формального ПТОП лиц.  Все они финансируются почти исключительно за счет платы за обучение и пожертвований при минимальных государственных субсидиях.</w:t>
      </w:r>
    </w:p>
    <w:p w:rsidR="00AA711F" w:rsidRDefault="00AA711F" w:rsidP="00AA711F"/>
    <w:p w:rsidR="00AA711F" w:rsidRDefault="00AA711F" w:rsidP="006B1321">
      <w:pPr>
        <w:spacing w:line="264" w:lineRule="auto"/>
      </w:pPr>
      <w:r>
        <w:t>160.</w:t>
      </w:r>
      <w:r>
        <w:tab/>
        <w:t>Правительственное распоряжение № 358 от 2004 года предусматривает создание механизма ликвидации разрыва между ПТОП и высшим образованием.   ПР № 358 предписывает УТОРН и Комиссии по делам высшего образования (КВО) в сотрудничестве с соответствующими секторами создать единую национальную квалификационную структуру</w:t>
      </w:r>
      <w:r w:rsidRPr="0067790A">
        <w:t xml:space="preserve">, призванную организовать </w:t>
      </w:r>
      <w:r>
        <w:t xml:space="preserve">поэтапную </w:t>
      </w:r>
      <w:r w:rsidRPr="0067790A">
        <w:t xml:space="preserve">систему </w:t>
      </w:r>
      <w:r>
        <w:t>упрощения</w:t>
      </w:r>
      <w:r w:rsidRPr="0067790A">
        <w:t xml:space="preserve"> перехода и последовательно</w:t>
      </w:r>
      <w:r>
        <w:t>го</w:t>
      </w:r>
      <w:r w:rsidRPr="0067790A">
        <w:t xml:space="preserve"> продвижения из ПТОП в систему высшего образования</w:t>
      </w:r>
      <w:r>
        <w:t xml:space="preserve">. </w:t>
      </w:r>
      <w:r w:rsidRPr="0067790A">
        <w:t xml:space="preserve"> Эта структура охватывает различные механизмы разработки и </w:t>
      </w:r>
      <w:r>
        <w:t xml:space="preserve">формулирования </w:t>
      </w:r>
      <w:r w:rsidRPr="0067790A">
        <w:t xml:space="preserve">единых </w:t>
      </w:r>
      <w:r>
        <w:t>квалификационных норм</w:t>
      </w:r>
      <w:r w:rsidRPr="0067790A">
        <w:t>, включая</w:t>
      </w:r>
      <w:r>
        <w:t xml:space="preserve">, </w:t>
      </w:r>
      <w:r w:rsidRPr="0067790A">
        <w:t>среди прочего</w:t>
      </w:r>
      <w:r>
        <w:t>,</w:t>
      </w:r>
      <w:r w:rsidRPr="0067790A">
        <w:t xml:space="preserve"> Национальную</w:t>
      </w:r>
      <w:r>
        <w:t xml:space="preserve"> систему</w:t>
      </w:r>
      <w:r w:rsidRPr="0067790A">
        <w:t xml:space="preserve"> перевода кредитов, </w:t>
      </w:r>
      <w:r>
        <w:t>п</w:t>
      </w:r>
      <w:r w:rsidRPr="0067790A">
        <w:t>рограммы п</w:t>
      </w:r>
      <w:r>
        <w:t>ерехода</w:t>
      </w:r>
      <w:r w:rsidRPr="0067790A">
        <w:t xml:space="preserve"> </w:t>
      </w:r>
      <w:r>
        <w:t>из</w:t>
      </w:r>
      <w:r w:rsidRPr="0067790A">
        <w:t xml:space="preserve"> ПТОП</w:t>
      </w:r>
      <w:r>
        <w:t xml:space="preserve"> в другую сферу</w:t>
      </w:r>
      <w:r w:rsidRPr="0067790A">
        <w:t>, Систем</w:t>
      </w:r>
      <w:r>
        <w:t>у</w:t>
      </w:r>
      <w:r w:rsidRPr="0067790A">
        <w:t xml:space="preserve"> </w:t>
      </w:r>
      <w:r>
        <w:t>у</w:t>
      </w:r>
      <w:r w:rsidRPr="0067790A">
        <w:t>совершенствован</w:t>
      </w:r>
      <w:r>
        <w:t>ной</w:t>
      </w:r>
      <w:r w:rsidRPr="0067790A">
        <w:t xml:space="preserve"> эквивалентности, принятие </w:t>
      </w:r>
      <w:r>
        <w:t xml:space="preserve">поэтапных </w:t>
      </w:r>
      <w:r w:rsidRPr="0067790A">
        <w:t xml:space="preserve">учебных планов/программ, подход, ориентированный на использование </w:t>
      </w:r>
      <w:r>
        <w:t xml:space="preserve">модульных </w:t>
      </w:r>
      <w:r w:rsidRPr="0067790A">
        <w:t>программ</w:t>
      </w:r>
      <w:r>
        <w:t>, программы, учитывающие уровень</w:t>
      </w:r>
      <w:r w:rsidRPr="0067790A">
        <w:t xml:space="preserve"> компетентности, </w:t>
      </w:r>
      <w:r>
        <w:t>с</w:t>
      </w:r>
      <w:r w:rsidRPr="0067790A">
        <w:t>еть колледжей или университетов двойного сектора и аккредитаци</w:t>
      </w:r>
      <w:r>
        <w:t>ю</w:t>
      </w:r>
      <w:r w:rsidRPr="0067790A">
        <w:t xml:space="preserve"> предварительного обучения</w:t>
      </w:r>
      <w:r>
        <w:t>.</w:t>
      </w:r>
    </w:p>
    <w:p w:rsidR="00AA711F" w:rsidRPr="006B1321" w:rsidRDefault="00AA711F" w:rsidP="00AA711F">
      <w:pPr>
        <w:rPr>
          <w:sz w:val="16"/>
          <w:szCs w:val="16"/>
        </w:rPr>
      </w:pPr>
    </w:p>
    <w:p w:rsidR="00AA711F" w:rsidRDefault="00AA711F" w:rsidP="006B1321">
      <w:pPr>
        <w:spacing w:line="264" w:lineRule="auto"/>
      </w:pPr>
      <w:r>
        <w:t>161.</w:t>
      </w:r>
      <w:r>
        <w:tab/>
        <w:t>Кроме того, УТОРН в сотрудничестве с промышленным сектором проводит конкурсы профессионального мастерства, такие, как Национальные олимпийские игры по профессиональному мастерству, что способствует развитию профессиональных навыков и дает возможность участвовать в международных конкурсах профессионального мастерства</w:t>
      </w:r>
      <w:r>
        <w:rPr>
          <w:rStyle w:val="FootnoteReference"/>
        </w:rPr>
        <w:footnoteReference w:id="11"/>
      </w:r>
      <w:r>
        <w:t>.</w:t>
      </w:r>
    </w:p>
    <w:p w:rsidR="00AA711F" w:rsidRPr="006B1321" w:rsidRDefault="00AA711F" w:rsidP="00AA711F">
      <w:pPr>
        <w:rPr>
          <w:sz w:val="16"/>
          <w:szCs w:val="16"/>
        </w:rPr>
      </w:pPr>
    </w:p>
    <w:p w:rsidR="00AA711F" w:rsidRDefault="00AA711F" w:rsidP="006B1321">
      <w:pPr>
        <w:spacing w:line="264" w:lineRule="auto"/>
      </w:pPr>
      <w:r>
        <w:t>162.</w:t>
      </w:r>
      <w:r>
        <w:tab/>
        <w:t>Женский центр УТОРН гордится тем, что является единственным в стране учебным заведением ПТОП, оснащенным на уровне мировых стандартов, который занимается исключительно вопросами расширения прав и возможностей женщин</w:t>
      </w:r>
      <w:r>
        <w:rPr>
          <w:rStyle w:val="FootnoteReference"/>
        </w:rPr>
        <w:footnoteReference w:id="12"/>
      </w:r>
      <w:r>
        <w:t>.</w:t>
      </w:r>
    </w:p>
    <w:p w:rsidR="00AA711F" w:rsidRDefault="00AA711F" w:rsidP="00AA711F">
      <w:pPr>
        <w:rPr>
          <w:b/>
        </w:rPr>
      </w:pPr>
      <w:r>
        <w:rPr>
          <w:b/>
        </w:rPr>
        <w:t>2.</w:t>
      </w:r>
      <w:r>
        <w:rPr>
          <w:b/>
          <w:lang w:val="en-US"/>
        </w:rPr>
        <w:t>f</w:t>
      </w:r>
      <w:r>
        <w:rPr>
          <w:b/>
        </w:rPr>
        <w:tab/>
        <w:t>Трудности, с которыми приходится сталкиваться</w:t>
      </w:r>
    </w:p>
    <w:p w:rsidR="00AA711F" w:rsidRDefault="00AA711F" w:rsidP="00AA711F">
      <w:pPr>
        <w:rPr>
          <w:b/>
        </w:rPr>
      </w:pPr>
    </w:p>
    <w:p w:rsidR="00AA711F" w:rsidRDefault="00AA711F" w:rsidP="00AA711F">
      <w:r>
        <w:t>163.</w:t>
      </w:r>
      <w:r>
        <w:tab/>
        <w:t>Трудности, препятствующие достижению полного, продуктивного и свободного выбора работы, обусловлены наболевшими структурными дефектами экономики в целом и рынка труда в частности.  Представляется, что достижению этих целей также мешает оказываемое процессом глобализации давление, если его не регулировать соответствующим образом.  Обсуждавшиеся выше макроэкономические показатели позволят учитывать эти трудности.</w:t>
      </w:r>
    </w:p>
    <w:p w:rsidR="00AA711F" w:rsidRPr="00E24694" w:rsidRDefault="00AA711F" w:rsidP="00AA711F"/>
    <w:p w:rsidR="00AA711F" w:rsidRPr="005426FD" w:rsidRDefault="00AA711F" w:rsidP="00AA711F">
      <w:r>
        <w:t>164.</w:t>
      </w:r>
      <w:r>
        <w:tab/>
        <w:t>В неформальном секторе предельные нормативы условий труда неблагоприятно влияют на обеспечение продуктивной занятости.  Также можно отметить, что безработица и неполная занятость превалируют в сельскохозяйственном секторе главным образом по причине сезонности работ.  Сложные проблемы также возникают в связи с низкой производительностью труда и земельных угодий.</w:t>
      </w:r>
    </w:p>
    <w:p w:rsidR="00AA711F" w:rsidRDefault="00AA711F" w:rsidP="00AA711F"/>
    <w:p w:rsidR="00AA711F" w:rsidRPr="005426FD" w:rsidRDefault="00AA711F" w:rsidP="00AA711F">
      <w:r>
        <w:t>165.</w:t>
      </w:r>
      <w:r>
        <w:tab/>
        <w:t>В формальном секторе наиболее распространенными негативными факторами являются уровень заработной платы и пособий, ограниченный выбор видов трудовой деятельности, ограниченный доступ к основным услугам, ограниченные возможности трудящихся по ведению коллективных переговоров, ослабление профсоюзов и рост масштабов контрактуализации (найма работников на краткосрочной основе без права сохранения за ними работы, применения к ним положений трудового законодательства и выплаты минимальной зарплаты) и флексибилизации (права руководства переводить работников из одного отдела в другой или с одной работы на другую, которое может использоваться администрацией для удаления "возмутителей спокойствия" или руководителей профсоюзов).</w:t>
      </w:r>
    </w:p>
    <w:p w:rsidR="00AA711F" w:rsidRDefault="00AA711F" w:rsidP="00AA711F"/>
    <w:p w:rsidR="00AA711F" w:rsidRDefault="00AA711F" w:rsidP="00AA711F">
      <w:r>
        <w:t>166.</w:t>
      </w:r>
      <w:r>
        <w:tab/>
        <w:t>Правительство стремится устранить эти трудности посредством реализации ряда программ по проведению реформ, включая, среди прочего:  а)</w:t>
      </w:r>
      <w:r>
        <w:rPr>
          <w:lang w:val="en-US"/>
        </w:rPr>
        <w:t>  </w:t>
      </w:r>
      <w:r>
        <w:t xml:space="preserve">различные программы по обеспечению защиты и введению трудовых норм в сфере заключения трудовых договоров и флексибилизации трудовых отношений, по борьбе с сексуальными домогательствами, меры по защите женщин от дискриминации и борьбе с нарушениями прав детей, программы для инвалидов и пожилых граждан;  </w:t>
      </w:r>
      <w:r>
        <w:rPr>
          <w:lang w:val="en-US"/>
        </w:rPr>
        <w:t>b</w:t>
      </w:r>
      <w:r w:rsidRPr="0084648D">
        <w:t>)</w:t>
      </w:r>
      <w:r>
        <w:rPr>
          <w:lang w:val="en-US"/>
        </w:rPr>
        <w:t>  </w:t>
      </w:r>
      <w:r>
        <w:t>специальные программы для трудящихся, работающих по контракту за границей, в которых основное внимание уделяется вопросам защиты трудящихся женщин, занятых на так называемых "грязных", трудных и опасных работах;  с)</w:t>
      </w:r>
      <w:r>
        <w:rPr>
          <w:lang w:val="en-US"/>
        </w:rPr>
        <w:t>  </w:t>
      </w:r>
      <w:r>
        <w:t xml:space="preserve">краткосрочные меры, которые помогают облегчить тяжелое положение безземельных и сельскохозяйственных рабочих, в том числе интенсивная реализация программы аграрной реформы, программы развития специальных профессиональных навыков, поощрение создания кооперативов работников и программы защиты работающих детей;  и  </w:t>
      </w:r>
      <w:r>
        <w:rPr>
          <w:lang w:val="en-US"/>
        </w:rPr>
        <w:t>d</w:t>
      </w:r>
      <w:r w:rsidRPr="003644C8">
        <w:t>)</w:t>
      </w:r>
      <w:r>
        <w:rPr>
          <w:lang w:val="en-US"/>
        </w:rPr>
        <w:t>  </w:t>
      </w:r>
      <w:r>
        <w:t>программы обеспечения безотлагательного трудоустройства, создания сетей системы социального обеспечения и проведения мер по корректированию экономики, направленных на смягчение влияния глобализации и децентрализации, а также другие новые экономические программы, направленные на стабилизацию экономики в среднесрочной и долгосрочной перспективе.</w:t>
      </w:r>
    </w:p>
    <w:p w:rsidR="00AA711F" w:rsidRDefault="00AA711F" w:rsidP="00AA711F"/>
    <w:p w:rsidR="00AA711F" w:rsidRDefault="00AA711F" w:rsidP="00AA711F">
      <w:pPr>
        <w:rPr>
          <w:b/>
        </w:rPr>
      </w:pPr>
      <w:r>
        <w:rPr>
          <w:b/>
        </w:rPr>
        <w:t>Техническое образование</w:t>
      </w:r>
    </w:p>
    <w:p w:rsidR="00AA711F" w:rsidRDefault="00AA711F" w:rsidP="00AA711F">
      <w:pPr>
        <w:rPr>
          <w:b/>
        </w:rPr>
      </w:pPr>
    </w:p>
    <w:p w:rsidR="00AA711F" w:rsidRDefault="00AA711F" w:rsidP="00AA711F">
      <w:r>
        <w:t>167.</w:t>
      </w:r>
      <w:r>
        <w:tab/>
        <w:t>Сектор ПТОП сталкивается с целым рядом проблем, требующих пристального изучения и внимания.  К числу таких проблем относятся:</w:t>
      </w:r>
    </w:p>
    <w:p w:rsidR="00AA711F" w:rsidRDefault="00AA711F" w:rsidP="00AA711F"/>
    <w:p w:rsidR="00AA711F" w:rsidRDefault="00AA711F" w:rsidP="00AA711F">
      <w:r>
        <w:t>168.</w:t>
      </w:r>
      <w:r>
        <w:tab/>
      </w:r>
      <w:r w:rsidRPr="00E741E9">
        <w:rPr>
          <w:i/>
        </w:rPr>
        <w:t>П</w:t>
      </w:r>
      <w:r>
        <w:rPr>
          <w:i/>
        </w:rPr>
        <w:t xml:space="preserve">редвзятое отношение общества к ПТОП.  </w:t>
      </w:r>
      <w:r>
        <w:t>В докладе Комиссии по вопросам образования конгрессу 1991 года говорится, что общество относится к ПТОП предвзято и</w:t>
      </w:r>
      <w:r w:rsidR="004E2D54">
        <w:t> </w:t>
      </w:r>
      <w:r>
        <w:t>отрицательно.  Филиппинские семьи стремятся, чтобы их дети окончили колледж и считают, что в систему профессионально-технического обучения идут только те, у кого менее развиты способности к обучению.</w:t>
      </w:r>
    </w:p>
    <w:p w:rsidR="00AB358D" w:rsidRDefault="00AB358D" w:rsidP="00AB358D"/>
    <w:p w:rsidR="00AB358D" w:rsidRDefault="00AB358D" w:rsidP="00AB358D">
      <w:r>
        <w:t>169.</w:t>
      </w:r>
      <w:r>
        <w:tab/>
      </w:r>
      <w:r>
        <w:rPr>
          <w:i/>
        </w:rPr>
        <w:t xml:space="preserve">Отсутствие прямой связи между профессионально-техническим обучением, профессиональной подготовкой и высшим образованием.  </w:t>
      </w:r>
      <w:r>
        <w:t>Филиппинцы считают ПТОП "тупиком", поскольку, как правило, они не обеспечивают продвижения по службе или карьерный рост тормозится по причине недостаточного уровня образования.  В целях изменения такого восприятия был создан поэтапный механизм, предусматривающий прохождение курса ПТОП и получение диплома об окончании колледжа для удовлетворения различных потребностей учащихся и поощрения стремления к продолжению учебы на более высоком уровне.</w:t>
      </w:r>
    </w:p>
    <w:p w:rsidR="00AB358D" w:rsidRDefault="00AB358D" w:rsidP="00AB358D"/>
    <w:p w:rsidR="00AB358D" w:rsidRDefault="00AB358D" w:rsidP="00AB358D">
      <w:r>
        <w:t>170.</w:t>
      </w:r>
      <w:r>
        <w:tab/>
      </w:r>
      <w:r>
        <w:rPr>
          <w:i/>
        </w:rPr>
        <w:t xml:space="preserve">Потребность в определении склонностей молодежи.  </w:t>
      </w:r>
      <w:r>
        <w:t>Существует потребность в</w:t>
      </w:r>
      <w:r w:rsidR="004E2D54">
        <w:t> </w:t>
      </w:r>
      <w:r>
        <w:t>оказании помощи выпускникам школ с выбором курсов в колледже.  Для целей профессиональной ориентации и представления рекомендаций родителям и учащимся в отношении выбора того или иного курса обучения после окончания средней школы было бы целесообразно проводить обзор по выявлению способностей</w:t>
      </w:r>
      <w:r w:rsidR="00B555EF">
        <w:t xml:space="preserve"> и уровня подготовки учащихся.</w:t>
      </w:r>
    </w:p>
    <w:p w:rsidR="00AB358D" w:rsidRDefault="00AB358D" w:rsidP="00AB358D"/>
    <w:p w:rsidR="00AB358D" w:rsidRDefault="00AB358D" w:rsidP="00AB358D">
      <w:r>
        <w:t>171.</w:t>
      </w:r>
      <w:r>
        <w:tab/>
      </w:r>
      <w:r>
        <w:rPr>
          <w:i/>
        </w:rPr>
        <w:t xml:space="preserve">Расхождения между спросом и предложением на рынке труда.  </w:t>
      </w:r>
      <w:r>
        <w:t>Большое количество выпускников остаются безработными или не полностью занятыми по той причине, что они не отвечают требованиям рынка труда.  Весьма печально, что часть рабочих вакансий не может быть заполнена в силу того, что имеющаяся рабочая сила не подходит для выполнения таких работ, как было подтверждено в проведенном УТОРН в</w:t>
      </w:r>
      <w:r w:rsidR="004E2D54">
        <w:t> </w:t>
      </w:r>
      <w:r>
        <w:t>2002 году Исследовании положения выпускников.  Результаты показывают, что количество выпускников системы ПТОП, которым удается найти работу,  невелико:  58,28% выпускников учебных центров, 67,73% выпускников школ УТОРН и 57,6%</w:t>
      </w:r>
      <w:r>
        <w:rPr>
          <w:lang w:val="en-US"/>
        </w:rPr>
        <w:t> </w:t>
      </w:r>
      <w:r>
        <w:t>выпускников частных институтов.  Кроме того, трудоустроившиеся выпускники не применяют полученные ими профессиональные знания, поскольку их используют не на тех работах, к которым их готовили.  Сообщается, что коэффициент использования приобретенных профессиональных знаний составляет, соответственно, среди выпускников учебных центров 80,4%, а среди выпускников школ УТОРН и частных институтов ПТОП - 77,46%.</w:t>
      </w:r>
    </w:p>
    <w:p w:rsidR="00AB358D" w:rsidRDefault="00AB358D" w:rsidP="00AB358D"/>
    <w:p w:rsidR="00AB358D" w:rsidRDefault="00AB358D" w:rsidP="00AB358D">
      <w:r>
        <w:t>172.</w:t>
      </w:r>
      <w:r>
        <w:tab/>
      </w:r>
      <w:r>
        <w:rPr>
          <w:i/>
        </w:rPr>
        <w:t xml:space="preserve">Потребность в инвестициях в систему ПТОП, приносящих большую отдачу.  </w:t>
      </w:r>
      <w:r>
        <w:t>Вложение средств в подготовку специалистов среднего уровня по</w:t>
      </w:r>
      <w:r w:rsidRPr="0089399F">
        <w:t>-</w:t>
      </w:r>
      <w:r>
        <w:t>прежнему сконцентрировано главным образом на организации обучения непосредственно органами центрального правительства, которое отложило давно намеченную передачу этой функции органам местного самоуправления и частному сектору.  В целях оптимизации использования государственных инвестиций необходимо откорректировать программы ПТОП таким образом, чтобы основное внимание уделялось только программам с высоким уровнем поглощения их выпускников рынком.</w:t>
      </w:r>
    </w:p>
    <w:p w:rsidR="00AB358D" w:rsidRDefault="00AB358D" w:rsidP="00AB358D"/>
    <w:p w:rsidR="00AB358D" w:rsidRDefault="00AB358D" w:rsidP="00AB358D">
      <w:r>
        <w:t>173.</w:t>
      </w:r>
      <w:r>
        <w:tab/>
        <w:t>Страна также сталкивается с многочисленными проблемами, которые тормозят развитие профессионально-технического образования и навыков.  Среди них наиболее серьезными являются:</w:t>
      </w:r>
    </w:p>
    <w:p w:rsidR="00AB358D" w:rsidRDefault="00AB358D" w:rsidP="00AB358D"/>
    <w:p w:rsidR="00AB358D" w:rsidRDefault="00AB358D" w:rsidP="00AB358D">
      <w:pPr>
        <w:numPr>
          <w:ilvl w:val="0"/>
          <w:numId w:val="6"/>
        </w:numPr>
        <w:tabs>
          <w:tab w:val="clear" w:pos="567"/>
          <w:tab w:val="clear" w:pos="1701"/>
          <w:tab w:val="clear" w:pos="2268"/>
          <w:tab w:val="clear" w:pos="6237"/>
        </w:tabs>
      </w:pPr>
      <w:r>
        <w:t>низкий коэффициент завершивших образование учащихся, что отражается на  уровне образования рабочей силы;</w:t>
      </w:r>
    </w:p>
    <w:p w:rsidR="00AB358D" w:rsidRDefault="00AB358D" w:rsidP="00AB358D">
      <w:pPr>
        <w:tabs>
          <w:tab w:val="clear" w:pos="567"/>
          <w:tab w:val="clear" w:pos="1134"/>
          <w:tab w:val="clear" w:pos="1701"/>
          <w:tab w:val="clear" w:pos="2268"/>
          <w:tab w:val="clear" w:pos="6237"/>
        </w:tabs>
        <w:ind w:left="60"/>
      </w:pPr>
    </w:p>
    <w:p w:rsidR="00AB358D" w:rsidRDefault="00AB358D" w:rsidP="00AB358D">
      <w:pPr>
        <w:numPr>
          <w:ilvl w:val="0"/>
          <w:numId w:val="6"/>
        </w:numPr>
        <w:tabs>
          <w:tab w:val="clear" w:pos="567"/>
          <w:tab w:val="clear" w:pos="1701"/>
          <w:tab w:val="clear" w:pos="2268"/>
          <w:tab w:val="clear" w:pos="6237"/>
        </w:tabs>
      </w:pPr>
      <w:r>
        <w:t>усиление процессов, связанных с перемещением трудящихся под воздействием глобальных и местных факторов;</w:t>
      </w:r>
    </w:p>
    <w:p w:rsidR="00AB358D" w:rsidRDefault="00AB358D" w:rsidP="00AB358D">
      <w:pPr>
        <w:tabs>
          <w:tab w:val="clear" w:pos="567"/>
          <w:tab w:val="clear" w:pos="1134"/>
          <w:tab w:val="clear" w:pos="1701"/>
          <w:tab w:val="clear" w:pos="2268"/>
          <w:tab w:val="clear" w:pos="6237"/>
        </w:tabs>
        <w:ind w:left="60"/>
      </w:pPr>
    </w:p>
    <w:p w:rsidR="00AB358D" w:rsidRDefault="00AB358D" w:rsidP="00AB358D">
      <w:pPr>
        <w:numPr>
          <w:ilvl w:val="0"/>
          <w:numId w:val="6"/>
        </w:numPr>
        <w:tabs>
          <w:tab w:val="clear" w:pos="567"/>
          <w:tab w:val="clear" w:pos="1701"/>
          <w:tab w:val="clear" w:pos="2268"/>
          <w:tab w:val="clear" w:pos="6237"/>
        </w:tabs>
      </w:pPr>
      <w:r>
        <w:t>большинство профессионально-технических институтов находится в городских районах, которые ограничивают в них доступ большинству выходцев из сельских районов;</w:t>
      </w:r>
      <w:r w:rsidRPr="0089399F">
        <w:t xml:space="preserve"> </w:t>
      </w:r>
      <w:r>
        <w:t xml:space="preserve"> и</w:t>
      </w:r>
    </w:p>
    <w:p w:rsidR="00AB358D" w:rsidRDefault="00AB358D" w:rsidP="00AB358D">
      <w:pPr>
        <w:tabs>
          <w:tab w:val="clear" w:pos="567"/>
          <w:tab w:val="clear" w:pos="1134"/>
          <w:tab w:val="clear" w:pos="1701"/>
          <w:tab w:val="clear" w:pos="2268"/>
          <w:tab w:val="clear" w:pos="6237"/>
        </w:tabs>
        <w:ind w:left="60"/>
      </w:pPr>
    </w:p>
    <w:p w:rsidR="00AB358D" w:rsidRDefault="00AB358D" w:rsidP="00AB358D">
      <w:pPr>
        <w:numPr>
          <w:ilvl w:val="0"/>
          <w:numId w:val="6"/>
        </w:numPr>
        <w:tabs>
          <w:tab w:val="clear" w:pos="567"/>
          <w:tab w:val="clear" w:pos="1701"/>
          <w:tab w:val="clear" w:pos="2268"/>
          <w:tab w:val="clear" w:pos="6237"/>
        </w:tabs>
      </w:pPr>
      <w:r>
        <w:t>проблемы, возникающие в связи с нехваткой квалифицированных инструкторов, устаревшими учебными планами и ненадлежащим финансированием, по-прежнему влияют на качество технического образования и не дают никакой возможности его развивать.</w:t>
      </w:r>
    </w:p>
    <w:p w:rsidR="00AB358D" w:rsidRDefault="00AB358D" w:rsidP="00AB358D"/>
    <w:p w:rsidR="00AB358D" w:rsidRDefault="00825BE3" w:rsidP="00AB358D">
      <w:r>
        <w:br w:type="page"/>
      </w:r>
      <w:r w:rsidR="00AB358D">
        <w:t>174.</w:t>
      </w:r>
      <w:r w:rsidR="00AB358D">
        <w:tab/>
        <w:t>С учетом вышеизложенного УТОРН действует по трем направлениям в целях решения этих проблем, а именно:</w:t>
      </w:r>
    </w:p>
    <w:p w:rsidR="00AB358D" w:rsidRDefault="00AB358D" w:rsidP="00AB358D"/>
    <w:p w:rsidR="00AB358D" w:rsidRDefault="00AB358D" w:rsidP="00AB358D">
      <w:pPr>
        <w:numPr>
          <w:ilvl w:val="0"/>
          <w:numId w:val="6"/>
        </w:numPr>
        <w:tabs>
          <w:tab w:val="clear" w:pos="567"/>
          <w:tab w:val="clear" w:pos="1701"/>
          <w:tab w:val="clear" w:pos="2268"/>
          <w:tab w:val="clear" w:pos="6237"/>
        </w:tabs>
      </w:pPr>
      <w:r>
        <w:rPr>
          <w:i/>
          <w:iCs/>
        </w:rPr>
        <w:t xml:space="preserve">Глобальная конкурентоспособность </w:t>
      </w:r>
      <w:r>
        <w:t>– в рамках этого направления уделяется внимание потребностям в подготовке кадров для экспортных видов деятельности, передовых отраслей,  реструктурируемых отраслей, вспомогательных отраслей и подготовке рабо</w:t>
      </w:r>
      <w:r w:rsidR="00B555EF">
        <w:t>тников для работы за границей.</w:t>
      </w:r>
    </w:p>
    <w:p w:rsidR="00AB358D" w:rsidRDefault="00AB358D" w:rsidP="00AB358D">
      <w:pPr>
        <w:tabs>
          <w:tab w:val="clear" w:pos="567"/>
          <w:tab w:val="clear" w:pos="1134"/>
          <w:tab w:val="clear" w:pos="1701"/>
          <w:tab w:val="clear" w:pos="2268"/>
          <w:tab w:val="clear" w:pos="6237"/>
        </w:tabs>
        <w:ind w:left="240"/>
      </w:pPr>
    </w:p>
    <w:p w:rsidR="00AB358D" w:rsidRDefault="00AB358D" w:rsidP="00AB358D">
      <w:pPr>
        <w:numPr>
          <w:ilvl w:val="0"/>
          <w:numId w:val="6"/>
        </w:numPr>
        <w:tabs>
          <w:tab w:val="clear" w:pos="567"/>
          <w:tab w:val="clear" w:pos="1701"/>
          <w:tab w:val="clear" w:pos="2268"/>
          <w:tab w:val="clear" w:pos="6237"/>
        </w:tabs>
      </w:pPr>
      <w:r>
        <w:rPr>
          <w:i/>
          <w:iCs/>
        </w:rPr>
        <w:t xml:space="preserve">Развитие сельскохозяйственных районов </w:t>
      </w:r>
      <w:r>
        <w:t>- в рамках этого направления учитывается потребность в активизации развития сельских районов по всей стране посредством уделения внимания подготовке кадров для ведения экономической деятельности в сельской местности, в первую очередь сельского хозяйства на основе применения технологий и развития рыбного хозяйства.</w:t>
      </w:r>
    </w:p>
    <w:p w:rsidR="00AB358D" w:rsidRDefault="00AB358D" w:rsidP="00AB358D">
      <w:pPr>
        <w:tabs>
          <w:tab w:val="clear" w:pos="567"/>
          <w:tab w:val="clear" w:pos="1134"/>
          <w:tab w:val="clear" w:pos="1701"/>
          <w:tab w:val="clear" w:pos="2268"/>
          <w:tab w:val="clear" w:pos="6237"/>
        </w:tabs>
        <w:ind w:left="240"/>
      </w:pPr>
    </w:p>
    <w:p w:rsidR="00AB358D" w:rsidRDefault="00AB358D" w:rsidP="00AB358D">
      <w:pPr>
        <w:numPr>
          <w:ilvl w:val="0"/>
          <w:numId w:val="6"/>
        </w:numPr>
        <w:tabs>
          <w:tab w:val="clear" w:pos="567"/>
          <w:tab w:val="clear" w:pos="1701"/>
          <w:tab w:val="clear" w:pos="2268"/>
          <w:tab w:val="clear" w:pos="6237"/>
        </w:tabs>
      </w:pPr>
      <w:r>
        <w:rPr>
          <w:i/>
          <w:iCs/>
        </w:rPr>
        <w:t xml:space="preserve">Социальная интеграция </w:t>
      </w:r>
      <w:r>
        <w:t>- в рамках этого направления внимание уделяется вопросам подготовки полупрофессиональных и других работников сферы социального обеспечения в целях облегчения доступа к сфере социальных услуг; предоставления более широкого выбора экономических и социальных возможностей для неимущих и находящихся в неблагоприятном положении филиппинцев;  а также формирования навыков социального общения и развития личности.</w:t>
      </w:r>
    </w:p>
    <w:p w:rsidR="00AB358D" w:rsidRDefault="00AB358D" w:rsidP="00AB358D"/>
    <w:p w:rsidR="00AB358D" w:rsidRDefault="00AB358D" w:rsidP="0039615B">
      <w:pPr>
        <w:widowControl w:val="0"/>
        <w:numPr>
          <w:ilvl w:val="12"/>
          <w:numId w:val="0"/>
        </w:numPr>
        <w:tabs>
          <w:tab w:val="clear" w:pos="1701"/>
          <w:tab w:val="left" w:pos="1540"/>
        </w:tabs>
        <w:autoSpaceDE w:val="0"/>
        <w:autoSpaceDN w:val="0"/>
        <w:adjustRightInd w:val="0"/>
        <w:ind w:left="1540" w:hanging="1540"/>
      </w:pPr>
      <w:r w:rsidRPr="0039615B">
        <w:rPr>
          <w:b/>
          <w:bCs/>
        </w:rPr>
        <w:t>Вопрос № 3</w:t>
      </w:r>
      <w:r w:rsidR="0039615B">
        <w:rPr>
          <w:b/>
          <w:bCs/>
        </w:rPr>
        <w:t>.</w:t>
      </w:r>
      <w:r w:rsidR="00B555EF" w:rsidRPr="0039615B">
        <w:rPr>
          <w:b/>
          <w:bCs/>
        </w:rPr>
        <w:tab/>
      </w:r>
      <w:r w:rsidRPr="0039615B">
        <w:rPr>
          <w:b/>
          <w:bCs/>
        </w:rPr>
        <w:t>Дискриминация</w:t>
      </w:r>
    </w:p>
    <w:p w:rsidR="00AB358D" w:rsidRDefault="00AB358D" w:rsidP="00AB358D"/>
    <w:p w:rsidR="00AB358D" w:rsidRDefault="00AB358D" w:rsidP="00AB358D">
      <w:pPr>
        <w:rPr>
          <w:b/>
          <w:bCs/>
        </w:rPr>
      </w:pPr>
      <w:r>
        <w:rPr>
          <w:b/>
          <w:bCs/>
        </w:rPr>
        <w:t>3.а</w:t>
      </w:r>
      <w:r>
        <w:rPr>
          <w:b/>
          <w:bCs/>
        </w:rPr>
        <w:tab/>
        <w:t>Дискриминация на работе</w:t>
      </w:r>
    </w:p>
    <w:p w:rsidR="00AB358D" w:rsidRDefault="00AB358D" w:rsidP="00AB358D">
      <w:pPr>
        <w:rPr>
          <w:b/>
          <w:bCs/>
        </w:rPr>
      </w:pPr>
    </w:p>
    <w:p w:rsidR="00AB358D" w:rsidRDefault="00AB358D" w:rsidP="00AB358D">
      <w:r>
        <w:t>175.</w:t>
      </w:r>
      <w:r>
        <w:tab/>
        <w:t>Как правило, ни в законе, ни в административной практике, ни на практике между лицами или группами лиц не проводится каких-либо различий, исключений, ограничений или предпочтений по признаку расы, цвета кожи, пола, религии, политических воззрений, национальности и</w:t>
      </w:r>
      <w:r w:rsidR="004E082F">
        <w:t xml:space="preserve">ли социального происхождения. </w:t>
      </w:r>
    </w:p>
    <w:p w:rsidR="00AB358D" w:rsidRDefault="00AB358D" w:rsidP="00AB358D"/>
    <w:p w:rsidR="00AB358D" w:rsidRDefault="00AB358D" w:rsidP="00AB358D">
      <w:r>
        <w:t>176.</w:t>
      </w:r>
      <w:r>
        <w:tab/>
        <w:t>Единственным исключением является статья 40 Трудового кодекса, регулирующая процедуру вступления иностранных граждан на рынок труда.  Точнее, статья 40 содержит требование о том, что иностранцы, не являющиеся резидентами и обращающиеся за разрешением на въезд в Филиппины для целей получения работы, обязаны получить разрешение на работу для иностранных граждан в МТЗ.  При выдаче такого разрешения обязательно проводится "проверка рынка труда", т.е.  оно выдается только после установления того, что на территории Филиппин отсутствуют лица, имеющие соответствующую квалификацию, способные и желающие выполнять работу, на которую претендует иностранец.</w:t>
      </w:r>
    </w:p>
    <w:p w:rsidR="00AB358D" w:rsidRDefault="00AB358D" w:rsidP="00AB358D"/>
    <w:p w:rsidR="00AB358D" w:rsidRPr="008B4012" w:rsidRDefault="00AB358D" w:rsidP="00AB358D">
      <w:pPr>
        <w:widowControl w:val="0"/>
        <w:tabs>
          <w:tab w:val="clear" w:pos="567"/>
          <w:tab w:val="clear" w:pos="1134"/>
          <w:tab w:val="clear" w:pos="1701"/>
          <w:tab w:val="clear" w:pos="2268"/>
          <w:tab w:val="clear" w:pos="6237"/>
          <w:tab w:val="left" w:pos="360"/>
        </w:tabs>
        <w:autoSpaceDE w:val="0"/>
        <w:autoSpaceDN w:val="0"/>
        <w:adjustRightInd w:val="0"/>
      </w:pPr>
      <w:r>
        <w:t>177.</w:t>
      </w:r>
      <w:r>
        <w:tab/>
        <w:t>В целях</w:t>
      </w:r>
      <w:r w:rsidRPr="008B4012">
        <w:t xml:space="preserve"> выполнения своих обязательств перед различными многосторонними организациями, такими</w:t>
      </w:r>
      <w:r>
        <w:t>,</w:t>
      </w:r>
      <w:r w:rsidRPr="008B4012">
        <w:t xml:space="preserve"> как Всемирная торговая организация, Ассоциация </w:t>
      </w:r>
      <w:r>
        <w:t>государств</w:t>
      </w:r>
      <w:r w:rsidRPr="008B4012">
        <w:t xml:space="preserve"> Юго-Восточной Азии и Ази</w:t>
      </w:r>
      <w:r>
        <w:t>атско</w:t>
      </w:r>
      <w:r w:rsidRPr="008B4012">
        <w:t>-</w:t>
      </w:r>
      <w:r>
        <w:t>т</w:t>
      </w:r>
      <w:r w:rsidRPr="008B4012">
        <w:t>ихоокеан</w:t>
      </w:r>
      <w:r>
        <w:t>ская</w:t>
      </w:r>
      <w:r w:rsidRPr="008B4012">
        <w:t xml:space="preserve"> </w:t>
      </w:r>
      <w:r>
        <w:t xml:space="preserve">ассоциация </w:t>
      </w:r>
      <w:r w:rsidRPr="008B4012">
        <w:t>экономическо</w:t>
      </w:r>
      <w:r>
        <w:t>го</w:t>
      </w:r>
      <w:r w:rsidRPr="008B4012">
        <w:t xml:space="preserve"> </w:t>
      </w:r>
      <w:r>
        <w:t>с</w:t>
      </w:r>
      <w:r w:rsidRPr="008B4012">
        <w:t>отрудничеств</w:t>
      </w:r>
      <w:r>
        <w:t>а</w:t>
      </w:r>
      <w:r w:rsidRPr="008B4012">
        <w:t xml:space="preserve">, </w:t>
      </w:r>
      <w:r>
        <w:t>п</w:t>
      </w:r>
      <w:r w:rsidRPr="008B4012">
        <w:t xml:space="preserve">равительство </w:t>
      </w:r>
      <w:r>
        <w:t>рассматривает</w:t>
      </w:r>
      <w:r w:rsidRPr="008B4012">
        <w:t xml:space="preserve"> возможность либерализации ст</w:t>
      </w:r>
      <w:r>
        <w:t xml:space="preserve">атьи </w:t>
      </w:r>
      <w:r w:rsidRPr="008B4012">
        <w:t xml:space="preserve">40 в </w:t>
      </w:r>
      <w:r>
        <w:t>отношении</w:t>
      </w:r>
      <w:r w:rsidRPr="008B4012">
        <w:t xml:space="preserve"> </w:t>
      </w:r>
      <w:r>
        <w:t xml:space="preserve">тех предприятий </w:t>
      </w:r>
      <w:r w:rsidRPr="008B4012">
        <w:t xml:space="preserve">или </w:t>
      </w:r>
      <w:r>
        <w:t>видов деятельности</w:t>
      </w:r>
      <w:r w:rsidRPr="008B4012">
        <w:t xml:space="preserve">, где требуется опыт иностранных граждан, </w:t>
      </w:r>
      <w:r>
        <w:t>особенно</w:t>
      </w:r>
      <w:r w:rsidRPr="008B4012">
        <w:t xml:space="preserve"> в </w:t>
      </w:r>
      <w:r>
        <w:t xml:space="preserve">сфере </w:t>
      </w:r>
      <w:r w:rsidRPr="008B4012">
        <w:t>морско</w:t>
      </w:r>
      <w:r>
        <w:t>го дела</w:t>
      </w:r>
      <w:r w:rsidRPr="008B4012">
        <w:t>, воздушн</w:t>
      </w:r>
      <w:r>
        <w:t>ого</w:t>
      </w:r>
      <w:r w:rsidRPr="008B4012">
        <w:t xml:space="preserve"> транспорт</w:t>
      </w:r>
      <w:r>
        <w:t>а</w:t>
      </w:r>
      <w:r w:rsidRPr="008B4012">
        <w:t>, телекоммуникаци</w:t>
      </w:r>
      <w:r>
        <w:t>й</w:t>
      </w:r>
      <w:r w:rsidRPr="008B4012">
        <w:t xml:space="preserve"> и банковско</w:t>
      </w:r>
      <w:r>
        <w:t>го дела</w:t>
      </w:r>
      <w:r w:rsidRPr="008B4012">
        <w:t xml:space="preserve">, </w:t>
      </w:r>
      <w:r>
        <w:t xml:space="preserve">а </w:t>
      </w:r>
      <w:r w:rsidRPr="008B4012">
        <w:t xml:space="preserve">также в бизнесе и </w:t>
      </w:r>
      <w:r>
        <w:t>других областях</w:t>
      </w:r>
      <w:r w:rsidRPr="008B4012">
        <w:t>.</w:t>
      </w:r>
    </w:p>
    <w:p w:rsidR="00AB358D" w:rsidRPr="008B4012" w:rsidRDefault="00AB358D" w:rsidP="00AB358D">
      <w:pPr>
        <w:widowControl w:val="0"/>
        <w:numPr>
          <w:ilvl w:val="12"/>
          <w:numId w:val="0"/>
        </w:numPr>
        <w:autoSpaceDE w:val="0"/>
        <w:autoSpaceDN w:val="0"/>
        <w:adjustRightInd w:val="0"/>
      </w:pPr>
    </w:p>
    <w:p w:rsidR="00AB358D" w:rsidRPr="008B4012" w:rsidRDefault="00AB358D" w:rsidP="00AB358D">
      <w:pPr>
        <w:widowControl w:val="0"/>
        <w:tabs>
          <w:tab w:val="clear" w:pos="567"/>
          <w:tab w:val="clear" w:pos="1134"/>
          <w:tab w:val="clear" w:pos="1701"/>
          <w:tab w:val="clear" w:pos="2268"/>
          <w:tab w:val="clear" w:pos="6237"/>
          <w:tab w:val="left" w:pos="360"/>
        </w:tabs>
        <w:autoSpaceDE w:val="0"/>
        <w:autoSpaceDN w:val="0"/>
        <w:adjustRightInd w:val="0"/>
      </w:pPr>
      <w:r>
        <w:t>178.</w:t>
      </w:r>
      <w:r>
        <w:tab/>
      </w:r>
      <w:r w:rsidRPr="008B4012">
        <w:t xml:space="preserve">Верховный Суд Филиппин </w:t>
      </w:r>
      <w:r>
        <w:t>в</w:t>
      </w:r>
      <w:r w:rsidRPr="008B4012">
        <w:rPr>
          <w:i/>
          <w:iCs/>
        </w:rPr>
        <w:t xml:space="preserve"> </w:t>
      </w:r>
      <w:r>
        <w:rPr>
          <w:iCs/>
        </w:rPr>
        <w:t xml:space="preserve">деле </w:t>
      </w:r>
      <w:r w:rsidRPr="00FA7801">
        <w:rPr>
          <w:i/>
          <w:iCs/>
        </w:rPr>
        <w:t>М</w:t>
      </w:r>
      <w:r w:rsidRPr="008B4012">
        <w:rPr>
          <w:i/>
          <w:iCs/>
        </w:rPr>
        <w:t>еждународн</w:t>
      </w:r>
      <w:r>
        <w:rPr>
          <w:i/>
          <w:iCs/>
        </w:rPr>
        <w:t>ый</w:t>
      </w:r>
      <w:r w:rsidRPr="008B4012">
        <w:rPr>
          <w:i/>
          <w:iCs/>
        </w:rPr>
        <w:t xml:space="preserve"> </w:t>
      </w:r>
      <w:r>
        <w:rPr>
          <w:i/>
          <w:iCs/>
        </w:rPr>
        <w:t>ш</w:t>
      </w:r>
      <w:r w:rsidRPr="008B4012">
        <w:rPr>
          <w:i/>
          <w:iCs/>
        </w:rPr>
        <w:t>кольн</w:t>
      </w:r>
      <w:r>
        <w:rPr>
          <w:i/>
          <w:iCs/>
        </w:rPr>
        <w:t>ый</w:t>
      </w:r>
      <w:r w:rsidRPr="008B4012">
        <w:rPr>
          <w:i/>
          <w:iCs/>
        </w:rPr>
        <w:t xml:space="preserve"> </w:t>
      </w:r>
      <w:r>
        <w:rPr>
          <w:i/>
          <w:iCs/>
        </w:rPr>
        <w:t>с</w:t>
      </w:r>
      <w:r w:rsidRPr="008B4012">
        <w:rPr>
          <w:i/>
          <w:iCs/>
        </w:rPr>
        <w:t xml:space="preserve">оюз </w:t>
      </w:r>
      <w:r>
        <w:rPr>
          <w:i/>
          <w:iCs/>
        </w:rPr>
        <w:t>п</w:t>
      </w:r>
      <w:r w:rsidRPr="008B4012">
        <w:rPr>
          <w:i/>
          <w:iCs/>
        </w:rPr>
        <w:t>едагогов</w:t>
      </w:r>
      <w:r>
        <w:rPr>
          <w:i/>
          <w:iCs/>
        </w:rPr>
        <w:t xml:space="preserve"> против</w:t>
      </w:r>
      <w:r w:rsidRPr="008B4012">
        <w:rPr>
          <w:i/>
          <w:iCs/>
        </w:rPr>
        <w:t xml:space="preserve"> </w:t>
      </w:r>
      <w:r>
        <w:rPr>
          <w:i/>
          <w:iCs/>
        </w:rPr>
        <w:t>Кисумбинга</w:t>
      </w:r>
      <w:r w:rsidRPr="008B4012">
        <w:t xml:space="preserve"> (</w:t>
      </w:r>
      <w:r w:rsidRPr="008B4012">
        <w:rPr>
          <w:lang w:val="en-US"/>
        </w:rPr>
        <w:t>G</w:t>
      </w:r>
      <w:r w:rsidRPr="008B4012">
        <w:t>.</w:t>
      </w:r>
      <w:r w:rsidRPr="008B4012">
        <w:rPr>
          <w:lang w:val="en-US"/>
        </w:rPr>
        <w:t>R</w:t>
      </w:r>
      <w:r>
        <w:t>. №</w:t>
      </w:r>
      <w:r w:rsidRPr="008B4012">
        <w:t xml:space="preserve"> 128845,</w:t>
      </w:r>
      <w:r>
        <w:t xml:space="preserve"> </w:t>
      </w:r>
      <w:r w:rsidRPr="008B4012">
        <w:t>1</w:t>
      </w:r>
      <w:r>
        <w:t> </w:t>
      </w:r>
      <w:r w:rsidRPr="008B4012">
        <w:t>июня 2000</w:t>
      </w:r>
      <w:r>
        <w:t> года)</w:t>
      </w:r>
      <w:r w:rsidRPr="008B4012">
        <w:t xml:space="preserve"> объяв</w:t>
      </w:r>
      <w:r>
        <w:t>и</w:t>
      </w:r>
      <w:r w:rsidRPr="008B4012">
        <w:t>л предоставление более высоких жалований иностранны</w:t>
      </w:r>
      <w:r>
        <w:t>м</w:t>
      </w:r>
      <w:r w:rsidRPr="008B4012">
        <w:t xml:space="preserve"> наем</w:t>
      </w:r>
      <w:r>
        <w:t>ным работникам</w:t>
      </w:r>
      <w:r w:rsidRPr="008B4012">
        <w:t xml:space="preserve"> </w:t>
      </w:r>
      <w:r>
        <w:t xml:space="preserve">дискриминацией по отношению </w:t>
      </w:r>
      <w:r w:rsidRPr="008B4012">
        <w:t>к местны</w:t>
      </w:r>
      <w:r>
        <w:t>м</w:t>
      </w:r>
      <w:r w:rsidRPr="008B4012">
        <w:t xml:space="preserve"> </w:t>
      </w:r>
      <w:r>
        <w:t>трудящимся.  Суд в своем решении заявил,</w:t>
      </w:r>
      <w:r w:rsidRPr="008B4012">
        <w:t xml:space="preserve"> </w:t>
      </w:r>
      <w:r>
        <w:t>ч</w:t>
      </w:r>
      <w:r w:rsidRPr="008B4012">
        <w:t xml:space="preserve">то </w:t>
      </w:r>
      <w:r>
        <w:t>статья </w:t>
      </w:r>
      <w:r w:rsidRPr="008B4012">
        <w:t xml:space="preserve">7 </w:t>
      </w:r>
      <w:r>
        <w:t>МПЭСКП "четко устанавливает</w:t>
      </w:r>
      <w:r w:rsidRPr="008B4012">
        <w:t xml:space="preserve"> в это</w:t>
      </w:r>
      <w:r>
        <w:t>м вопросе</w:t>
      </w:r>
      <w:r w:rsidRPr="008B4012">
        <w:t xml:space="preserve"> </w:t>
      </w:r>
      <w:r>
        <w:t>давно существующую прописную истину</w:t>
      </w:r>
      <w:r w:rsidRPr="008B4012">
        <w:t xml:space="preserve"> </w:t>
      </w:r>
      <w:r>
        <w:t>о равном</w:t>
      </w:r>
      <w:r w:rsidRPr="008B4012">
        <w:t xml:space="preserve"> </w:t>
      </w:r>
      <w:r>
        <w:t xml:space="preserve">вознаграждении </w:t>
      </w:r>
      <w:r w:rsidRPr="008B4012">
        <w:t>за равн</w:t>
      </w:r>
      <w:r>
        <w:t xml:space="preserve">ый труд.  </w:t>
      </w:r>
      <w:r w:rsidRPr="008B4012">
        <w:t>Л</w:t>
      </w:r>
      <w:r>
        <w:t>ица, имеющие равную квалификацию и</w:t>
      </w:r>
      <w:r w:rsidRPr="008B4012">
        <w:t xml:space="preserve"> навык</w:t>
      </w:r>
      <w:r>
        <w:t xml:space="preserve">и и которые при выполнении работы затрачивающие равные </w:t>
      </w:r>
      <w:r w:rsidRPr="008B4012">
        <w:t>усили</w:t>
      </w:r>
      <w:r>
        <w:t xml:space="preserve">я, несут равную меру </w:t>
      </w:r>
      <w:r w:rsidRPr="008B4012">
        <w:t>ответственност</w:t>
      </w:r>
      <w:r>
        <w:t>и</w:t>
      </w:r>
      <w:r w:rsidRPr="008B4012">
        <w:t xml:space="preserve"> </w:t>
      </w:r>
      <w:r>
        <w:t>и</w:t>
      </w:r>
      <w:r w:rsidRPr="008B4012">
        <w:t xml:space="preserve"> </w:t>
      </w:r>
      <w:r>
        <w:t>находятся</w:t>
      </w:r>
      <w:r w:rsidRPr="008B4012">
        <w:t xml:space="preserve"> </w:t>
      </w:r>
      <w:r>
        <w:t xml:space="preserve">в одинаковых </w:t>
      </w:r>
      <w:r w:rsidRPr="008B4012">
        <w:t xml:space="preserve">условиях </w:t>
      </w:r>
      <w:r>
        <w:t xml:space="preserve">и должны получать одинаковую заработную плату.  </w:t>
      </w:r>
      <w:r w:rsidRPr="008B4012">
        <w:t>Это правило</w:t>
      </w:r>
      <w:r>
        <w:t xml:space="preserve"> также применяется </w:t>
      </w:r>
      <w:r w:rsidRPr="008B4012">
        <w:t xml:space="preserve">к </w:t>
      </w:r>
      <w:r>
        <w:t>вышеуказанной ш</w:t>
      </w:r>
      <w:r w:rsidRPr="008B4012">
        <w:t xml:space="preserve">коле, </w:t>
      </w:r>
      <w:r>
        <w:t xml:space="preserve">невзирая на ее </w:t>
      </w:r>
      <w:r w:rsidRPr="008B4012">
        <w:t>международный</w:t>
      </w:r>
      <w:r>
        <w:t xml:space="preserve"> статус".</w:t>
      </w:r>
    </w:p>
    <w:p w:rsidR="00AB358D" w:rsidRPr="008B4012" w:rsidRDefault="00AB358D" w:rsidP="00AB358D">
      <w:pPr>
        <w:widowControl w:val="0"/>
        <w:numPr>
          <w:ilvl w:val="12"/>
          <w:numId w:val="0"/>
        </w:numPr>
        <w:autoSpaceDE w:val="0"/>
        <w:autoSpaceDN w:val="0"/>
        <w:adjustRightInd w:val="0"/>
      </w:pPr>
    </w:p>
    <w:p w:rsidR="00AB358D" w:rsidRPr="008B4012" w:rsidRDefault="00AB358D" w:rsidP="00AB358D">
      <w:pPr>
        <w:widowControl w:val="0"/>
        <w:numPr>
          <w:ilvl w:val="12"/>
          <w:numId w:val="0"/>
        </w:numPr>
        <w:autoSpaceDE w:val="0"/>
        <w:autoSpaceDN w:val="0"/>
        <w:adjustRightInd w:val="0"/>
        <w:ind w:left="567" w:hanging="567"/>
        <w:rPr>
          <w:b/>
          <w:bCs/>
        </w:rPr>
      </w:pPr>
      <w:r w:rsidRPr="008B4012">
        <w:rPr>
          <w:b/>
          <w:bCs/>
        </w:rPr>
        <w:t>3.b</w:t>
      </w:r>
      <w:r>
        <w:rPr>
          <w:b/>
          <w:bCs/>
        </w:rPr>
        <w:tab/>
      </w:r>
      <w:r w:rsidRPr="008B4012">
        <w:rPr>
          <w:b/>
          <w:bCs/>
        </w:rPr>
        <w:t>Нед</w:t>
      </w:r>
      <w:r>
        <w:rPr>
          <w:b/>
          <w:bCs/>
        </w:rPr>
        <w:t>опущение д</w:t>
      </w:r>
      <w:r w:rsidRPr="008B4012">
        <w:rPr>
          <w:b/>
          <w:bCs/>
        </w:rPr>
        <w:t xml:space="preserve">искриминация </w:t>
      </w:r>
      <w:r>
        <w:rPr>
          <w:b/>
          <w:bCs/>
        </w:rPr>
        <w:t xml:space="preserve">в области </w:t>
      </w:r>
      <w:r w:rsidRPr="008B4012">
        <w:rPr>
          <w:b/>
          <w:bCs/>
        </w:rPr>
        <w:t>профессионально-техническо</w:t>
      </w:r>
      <w:r>
        <w:rPr>
          <w:b/>
          <w:bCs/>
        </w:rPr>
        <w:t>й</w:t>
      </w:r>
      <w:r w:rsidRPr="008B4012">
        <w:rPr>
          <w:b/>
          <w:bCs/>
        </w:rPr>
        <w:t xml:space="preserve"> </w:t>
      </w:r>
      <w:r>
        <w:rPr>
          <w:b/>
          <w:bCs/>
        </w:rPr>
        <w:t>ориентации</w:t>
      </w:r>
      <w:r w:rsidRPr="008B4012">
        <w:rPr>
          <w:b/>
          <w:bCs/>
        </w:rPr>
        <w:t xml:space="preserve"> и </w:t>
      </w:r>
      <w:r>
        <w:rPr>
          <w:b/>
          <w:bCs/>
        </w:rPr>
        <w:t>подготовки</w:t>
      </w:r>
    </w:p>
    <w:p w:rsidR="00AB358D" w:rsidRPr="008B4012" w:rsidRDefault="00AB358D" w:rsidP="00AB358D">
      <w:pPr>
        <w:widowControl w:val="0"/>
        <w:numPr>
          <w:ilvl w:val="12"/>
          <w:numId w:val="0"/>
        </w:numPr>
        <w:autoSpaceDE w:val="0"/>
        <w:autoSpaceDN w:val="0"/>
        <w:adjustRightInd w:val="0"/>
        <w:rPr>
          <w:b/>
          <w:bCs/>
        </w:rPr>
      </w:pPr>
    </w:p>
    <w:p w:rsidR="00AB358D" w:rsidRPr="008B4012" w:rsidRDefault="00AB358D" w:rsidP="00AB358D">
      <w:pPr>
        <w:widowControl w:val="0"/>
        <w:tabs>
          <w:tab w:val="clear" w:pos="567"/>
          <w:tab w:val="clear" w:pos="1134"/>
          <w:tab w:val="clear" w:pos="1701"/>
          <w:tab w:val="clear" w:pos="2268"/>
          <w:tab w:val="clear" w:pos="6237"/>
          <w:tab w:val="left" w:pos="360"/>
        </w:tabs>
        <w:autoSpaceDE w:val="0"/>
        <w:autoSpaceDN w:val="0"/>
        <w:adjustRightInd w:val="0"/>
      </w:pPr>
      <w:r>
        <w:t>179.</w:t>
      </w:r>
      <w:r>
        <w:tab/>
        <w:t>Филиппинские законы и политика в области</w:t>
      </w:r>
      <w:r w:rsidRPr="008B4012">
        <w:t xml:space="preserve"> профессионально-техническо</w:t>
      </w:r>
      <w:r>
        <w:t>й</w:t>
      </w:r>
      <w:r w:rsidRPr="008B4012">
        <w:t xml:space="preserve"> </w:t>
      </w:r>
      <w:r>
        <w:t>ориентации</w:t>
      </w:r>
      <w:r w:rsidRPr="008B4012">
        <w:t xml:space="preserve"> и </w:t>
      </w:r>
      <w:r>
        <w:t xml:space="preserve">подготовки, </w:t>
      </w:r>
      <w:r w:rsidRPr="008B4012">
        <w:t xml:space="preserve">занятости и </w:t>
      </w:r>
      <w:r>
        <w:t>профессий</w:t>
      </w:r>
      <w:r w:rsidRPr="008B4012">
        <w:t xml:space="preserve"> </w:t>
      </w:r>
      <w:r>
        <w:t xml:space="preserve">применяются ко всем </w:t>
      </w:r>
      <w:r w:rsidRPr="008B4012">
        <w:t>люд</w:t>
      </w:r>
      <w:r>
        <w:t>ям,</w:t>
      </w:r>
      <w:r w:rsidRPr="008B4012">
        <w:t xml:space="preserve"> независимо от их  расы</w:t>
      </w:r>
      <w:r>
        <w:t xml:space="preserve">, этнического происхождения, </w:t>
      </w:r>
      <w:r w:rsidRPr="008B4012">
        <w:t>цвета</w:t>
      </w:r>
      <w:r>
        <w:t xml:space="preserve"> кожи</w:t>
      </w:r>
      <w:r w:rsidRPr="008B4012">
        <w:t>, пола и религии.</w:t>
      </w:r>
    </w:p>
    <w:p w:rsidR="00AB358D" w:rsidRPr="008B4012" w:rsidRDefault="00AB358D" w:rsidP="00AB358D">
      <w:pPr>
        <w:widowControl w:val="0"/>
        <w:numPr>
          <w:ilvl w:val="12"/>
          <w:numId w:val="0"/>
        </w:numPr>
        <w:autoSpaceDE w:val="0"/>
        <w:autoSpaceDN w:val="0"/>
        <w:adjustRightInd w:val="0"/>
      </w:pPr>
    </w:p>
    <w:p w:rsidR="00AB358D" w:rsidRPr="008B4012" w:rsidRDefault="00AB358D" w:rsidP="00AB358D">
      <w:pPr>
        <w:widowControl w:val="0"/>
        <w:numPr>
          <w:ilvl w:val="12"/>
          <w:numId w:val="0"/>
        </w:numPr>
        <w:autoSpaceDE w:val="0"/>
        <w:autoSpaceDN w:val="0"/>
        <w:adjustRightInd w:val="0"/>
      </w:pPr>
      <w:r w:rsidRPr="008B4012">
        <w:rPr>
          <w:b/>
          <w:bCs/>
        </w:rPr>
        <w:t>3.c</w:t>
      </w:r>
      <w:r>
        <w:rPr>
          <w:b/>
          <w:bCs/>
        </w:rPr>
        <w:tab/>
      </w:r>
      <w:r w:rsidRPr="008B4012">
        <w:rPr>
          <w:b/>
          <w:bCs/>
        </w:rPr>
        <w:t>Пре</w:t>
      </w:r>
      <w:r>
        <w:rPr>
          <w:b/>
          <w:bCs/>
        </w:rPr>
        <w:t>имущественное право на получение работы</w:t>
      </w:r>
      <w:r w:rsidRPr="008B4012">
        <w:rPr>
          <w:b/>
          <w:bCs/>
        </w:rPr>
        <w:t xml:space="preserve"> филиппински</w:t>
      </w:r>
      <w:r>
        <w:rPr>
          <w:b/>
          <w:bCs/>
        </w:rPr>
        <w:t>ми</w:t>
      </w:r>
      <w:r w:rsidRPr="008B4012">
        <w:rPr>
          <w:b/>
          <w:bCs/>
        </w:rPr>
        <w:t xml:space="preserve"> </w:t>
      </w:r>
      <w:r>
        <w:rPr>
          <w:b/>
          <w:bCs/>
        </w:rPr>
        <w:t>гражданами</w:t>
      </w:r>
    </w:p>
    <w:p w:rsidR="00AB358D" w:rsidRPr="008B4012" w:rsidRDefault="00AB358D" w:rsidP="00AB358D">
      <w:pPr>
        <w:widowControl w:val="0"/>
        <w:numPr>
          <w:ilvl w:val="12"/>
          <w:numId w:val="0"/>
        </w:numPr>
        <w:autoSpaceDE w:val="0"/>
        <w:autoSpaceDN w:val="0"/>
        <w:adjustRightInd w:val="0"/>
        <w:rPr>
          <w:b/>
          <w:bCs/>
        </w:rPr>
      </w:pPr>
    </w:p>
    <w:p w:rsidR="00AB358D" w:rsidRPr="008B4012" w:rsidRDefault="00AB358D" w:rsidP="00AB358D">
      <w:pPr>
        <w:widowControl w:val="0"/>
        <w:tabs>
          <w:tab w:val="clear" w:pos="567"/>
          <w:tab w:val="clear" w:pos="1134"/>
          <w:tab w:val="clear" w:pos="1701"/>
          <w:tab w:val="clear" w:pos="2268"/>
          <w:tab w:val="clear" w:pos="6237"/>
          <w:tab w:val="left" w:pos="360"/>
        </w:tabs>
        <w:autoSpaceDE w:val="0"/>
        <w:autoSpaceDN w:val="0"/>
        <w:adjustRightInd w:val="0"/>
        <w:rPr>
          <w:b/>
          <w:bCs/>
        </w:rPr>
      </w:pPr>
      <w:r>
        <w:t>180.</w:t>
      </w:r>
      <w:r>
        <w:tab/>
      </w:r>
      <w:r w:rsidRPr="008B4012">
        <w:t>Пре</w:t>
      </w:r>
      <w:r w:rsidRPr="005239D8">
        <w:rPr>
          <w:bCs/>
        </w:rPr>
        <w:t>имущественное право на получение работы филиппински</w:t>
      </w:r>
      <w:r>
        <w:rPr>
          <w:bCs/>
        </w:rPr>
        <w:t>м</w:t>
      </w:r>
      <w:r w:rsidRPr="005239D8">
        <w:rPr>
          <w:bCs/>
        </w:rPr>
        <w:t xml:space="preserve"> граждан</w:t>
      </w:r>
      <w:r>
        <w:rPr>
          <w:bCs/>
        </w:rPr>
        <w:t>ином</w:t>
      </w:r>
      <w:r w:rsidRPr="008B4012">
        <w:t xml:space="preserve"> не счита</w:t>
      </w:r>
      <w:r>
        <w:t>е</w:t>
      </w:r>
      <w:r w:rsidRPr="008B4012">
        <w:t>т</w:t>
      </w:r>
      <w:r>
        <w:t>ся</w:t>
      </w:r>
      <w:r w:rsidRPr="008B4012">
        <w:t xml:space="preserve"> дискриминационным </w:t>
      </w:r>
      <w:r>
        <w:t>ни</w:t>
      </w:r>
      <w:r w:rsidRPr="008B4012">
        <w:t xml:space="preserve"> </w:t>
      </w:r>
      <w:r>
        <w:t>по</w:t>
      </w:r>
      <w:r w:rsidRPr="008B4012">
        <w:t xml:space="preserve"> закон</w:t>
      </w:r>
      <w:r>
        <w:t>у,</w:t>
      </w:r>
      <w:r w:rsidRPr="008B4012">
        <w:t xml:space="preserve"> </w:t>
      </w:r>
      <w:r>
        <w:t>н</w:t>
      </w:r>
      <w:r w:rsidRPr="008B4012">
        <w:t xml:space="preserve">и </w:t>
      </w:r>
      <w:r>
        <w:t xml:space="preserve">на практике и обусловлено предусмотренной в Конституции </w:t>
      </w:r>
      <w:r w:rsidRPr="008B4012">
        <w:t>политик</w:t>
      </w:r>
      <w:r>
        <w:t>ой</w:t>
      </w:r>
      <w:r w:rsidRPr="008B4012">
        <w:t xml:space="preserve"> </w:t>
      </w:r>
      <w:r>
        <w:t xml:space="preserve">преимущественного права на трудоустройство граждан страны </w:t>
      </w:r>
      <w:r w:rsidRPr="008B4012">
        <w:t xml:space="preserve">и </w:t>
      </w:r>
      <w:r>
        <w:t xml:space="preserve">с учетом особенностей </w:t>
      </w:r>
      <w:r w:rsidRPr="008B4012">
        <w:t xml:space="preserve">рынка </w:t>
      </w:r>
      <w:r>
        <w:t xml:space="preserve">труда.  </w:t>
      </w:r>
    </w:p>
    <w:p w:rsidR="00AB358D" w:rsidRPr="008B4012" w:rsidRDefault="00AB358D" w:rsidP="00AB358D">
      <w:pPr>
        <w:widowControl w:val="0"/>
        <w:numPr>
          <w:ilvl w:val="12"/>
          <w:numId w:val="0"/>
        </w:numPr>
        <w:autoSpaceDE w:val="0"/>
        <w:autoSpaceDN w:val="0"/>
        <w:adjustRightInd w:val="0"/>
      </w:pPr>
    </w:p>
    <w:p w:rsidR="00AB358D" w:rsidRPr="008B4012" w:rsidRDefault="004E082F" w:rsidP="004E082F">
      <w:pPr>
        <w:keepNext/>
        <w:widowControl w:val="0"/>
        <w:numPr>
          <w:ilvl w:val="12"/>
          <w:numId w:val="0"/>
        </w:numPr>
        <w:tabs>
          <w:tab w:val="clear" w:pos="1701"/>
          <w:tab w:val="left" w:pos="1540"/>
        </w:tabs>
        <w:autoSpaceDE w:val="0"/>
        <w:autoSpaceDN w:val="0"/>
        <w:adjustRightInd w:val="0"/>
        <w:ind w:left="1540" w:hanging="1540"/>
        <w:rPr>
          <w:b/>
          <w:bCs/>
        </w:rPr>
      </w:pPr>
      <w:r>
        <w:rPr>
          <w:b/>
          <w:bCs/>
        </w:rPr>
        <w:br w:type="page"/>
      </w:r>
      <w:r w:rsidR="00AB358D">
        <w:rPr>
          <w:b/>
          <w:bCs/>
        </w:rPr>
        <w:t>Вопрос №</w:t>
      </w:r>
      <w:r w:rsidR="00AB358D" w:rsidRPr="008B4012">
        <w:rPr>
          <w:b/>
          <w:bCs/>
        </w:rPr>
        <w:t xml:space="preserve"> 4</w:t>
      </w:r>
      <w:r w:rsidR="0039615B">
        <w:rPr>
          <w:b/>
          <w:bCs/>
        </w:rPr>
        <w:t>.</w:t>
      </w:r>
      <w:r w:rsidR="00B555EF">
        <w:rPr>
          <w:b/>
          <w:bCs/>
        </w:rPr>
        <w:tab/>
      </w:r>
      <w:r w:rsidR="00AB358D" w:rsidRPr="008B4012">
        <w:rPr>
          <w:b/>
          <w:bCs/>
        </w:rPr>
        <w:t xml:space="preserve">Часть </w:t>
      </w:r>
      <w:r w:rsidR="00AB358D">
        <w:rPr>
          <w:b/>
          <w:bCs/>
        </w:rPr>
        <w:t>трудящегося</w:t>
      </w:r>
      <w:r w:rsidR="00AB358D" w:rsidRPr="008B4012">
        <w:rPr>
          <w:b/>
          <w:bCs/>
        </w:rPr>
        <w:t xml:space="preserve"> населения, </w:t>
      </w:r>
      <w:r w:rsidR="00AB358D">
        <w:rPr>
          <w:b/>
          <w:bCs/>
        </w:rPr>
        <w:t>имеющего</w:t>
      </w:r>
      <w:r w:rsidR="00AB358D" w:rsidRPr="008B4012">
        <w:rPr>
          <w:b/>
          <w:bCs/>
        </w:rPr>
        <w:t xml:space="preserve"> бол</w:t>
      </w:r>
      <w:r w:rsidR="00AB358D">
        <w:rPr>
          <w:b/>
          <w:bCs/>
        </w:rPr>
        <w:t>ее</w:t>
      </w:r>
      <w:r w:rsidR="00AB358D" w:rsidRPr="008B4012">
        <w:rPr>
          <w:b/>
          <w:bCs/>
        </w:rPr>
        <w:t xml:space="preserve"> одн</w:t>
      </w:r>
      <w:r w:rsidR="00AB358D">
        <w:rPr>
          <w:b/>
          <w:bCs/>
        </w:rPr>
        <w:t>ой</w:t>
      </w:r>
      <w:r w:rsidR="00AB358D" w:rsidRPr="008B4012">
        <w:rPr>
          <w:b/>
          <w:bCs/>
        </w:rPr>
        <w:t xml:space="preserve"> </w:t>
      </w:r>
      <w:r w:rsidR="00AB358D">
        <w:rPr>
          <w:b/>
          <w:bCs/>
        </w:rPr>
        <w:t>работы</w:t>
      </w:r>
      <w:r w:rsidR="00B555EF">
        <w:rPr>
          <w:b/>
          <w:bCs/>
        </w:rPr>
        <w:br/>
      </w:r>
      <w:r w:rsidR="00AB358D">
        <w:rPr>
          <w:b/>
          <w:bCs/>
        </w:rPr>
        <w:t>с полной занятостью</w:t>
      </w:r>
      <w:r w:rsidR="00AB358D" w:rsidRPr="008B4012">
        <w:rPr>
          <w:b/>
          <w:bCs/>
        </w:rPr>
        <w:t xml:space="preserve"> </w:t>
      </w:r>
    </w:p>
    <w:p w:rsidR="00AB358D" w:rsidRPr="004E082F" w:rsidRDefault="00AB358D" w:rsidP="004E082F">
      <w:pPr>
        <w:widowControl w:val="0"/>
        <w:tabs>
          <w:tab w:val="clear" w:pos="567"/>
          <w:tab w:val="clear" w:pos="1134"/>
          <w:tab w:val="clear" w:pos="1701"/>
          <w:tab w:val="clear" w:pos="2268"/>
          <w:tab w:val="clear" w:pos="6237"/>
        </w:tabs>
        <w:autoSpaceDE w:val="0"/>
        <w:autoSpaceDN w:val="0"/>
        <w:adjustRightInd w:val="0"/>
        <w:rPr>
          <w:sz w:val="20"/>
        </w:rPr>
      </w:pPr>
    </w:p>
    <w:p w:rsidR="00AB358D" w:rsidRPr="008B4012" w:rsidRDefault="00AB358D" w:rsidP="00AB358D">
      <w:pPr>
        <w:widowControl w:val="0"/>
        <w:tabs>
          <w:tab w:val="clear" w:pos="567"/>
          <w:tab w:val="clear" w:pos="1134"/>
          <w:tab w:val="clear" w:pos="1701"/>
          <w:tab w:val="clear" w:pos="2268"/>
          <w:tab w:val="clear" w:pos="6237"/>
          <w:tab w:val="left" w:pos="360"/>
        </w:tabs>
        <w:autoSpaceDE w:val="0"/>
        <w:autoSpaceDN w:val="0"/>
        <w:adjustRightInd w:val="0"/>
      </w:pPr>
      <w:r>
        <w:t>181.</w:t>
      </w:r>
      <w:r>
        <w:tab/>
        <w:t>И</w:t>
      </w:r>
      <w:r w:rsidRPr="008B4012">
        <w:t>нформации о</w:t>
      </w:r>
      <w:r>
        <w:t xml:space="preserve"> доле</w:t>
      </w:r>
      <w:r w:rsidRPr="008B4012">
        <w:t xml:space="preserve"> населения, которое </w:t>
      </w:r>
      <w:r>
        <w:t xml:space="preserve">трудится </w:t>
      </w:r>
      <w:r w:rsidRPr="008B4012">
        <w:t>боле</w:t>
      </w:r>
      <w:r>
        <w:t>е</w:t>
      </w:r>
      <w:r w:rsidRPr="008B4012">
        <w:t xml:space="preserve"> </w:t>
      </w:r>
      <w:r>
        <w:t xml:space="preserve">чем на </w:t>
      </w:r>
      <w:r w:rsidRPr="008B4012">
        <w:t>одной</w:t>
      </w:r>
      <w:r>
        <w:t xml:space="preserve"> работе с полной занятостью, чтобы обеспечить </w:t>
      </w:r>
      <w:r w:rsidRPr="008B4012">
        <w:t xml:space="preserve">для себя и </w:t>
      </w:r>
      <w:r>
        <w:t>своей</w:t>
      </w:r>
      <w:r w:rsidRPr="008B4012">
        <w:t xml:space="preserve"> сем</w:t>
      </w:r>
      <w:r>
        <w:t>ьи</w:t>
      </w:r>
      <w:r w:rsidRPr="008B4012">
        <w:t xml:space="preserve"> </w:t>
      </w:r>
      <w:r>
        <w:t xml:space="preserve">надлежащий </w:t>
      </w:r>
      <w:r w:rsidRPr="008B4012">
        <w:t>уровень жизни</w:t>
      </w:r>
      <w:r>
        <w:t>, не имеется.  О</w:t>
      </w:r>
      <w:r w:rsidRPr="008B4012">
        <w:t>днако</w:t>
      </w:r>
      <w:r>
        <w:t xml:space="preserve"> определенные выводы в этом отношении можно сделать</w:t>
      </w:r>
      <w:r w:rsidRPr="008B4012">
        <w:t xml:space="preserve"> </w:t>
      </w:r>
      <w:r>
        <w:t xml:space="preserve">на основании данных об уровне неполной занятости, который с </w:t>
      </w:r>
      <w:r w:rsidRPr="007B2A82">
        <w:t>1999</w:t>
      </w:r>
      <w:r>
        <w:rPr>
          <w:lang w:val="en-US"/>
        </w:rPr>
        <w:t> </w:t>
      </w:r>
      <w:r w:rsidRPr="007B2A82">
        <w:t>год</w:t>
      </w:r>
      <w:r>
        <w:t>а составляет 22,</w:t>
      </w:r>
      <w:r w:rsidRPr="008B4012">
        <w:t>3</w:t>
      </w:r>
      <w:r>
        <w:t>%.</w:t>
      </w:r>
    </w:p>
    <w:p w:rsidR="00AB358D" w:rsidRPr="008B4012" w:rsidRDefault="00AB358D" w:rsidP="00AB358D">
      <w:pPr>
        <w:widowControl w:val="0"/>
        <w:numPr>
          <w:ilvl w:val="12"/>
          <w:numId w:val="0"/>
        </w:numPr>
        <w:autoSpaceDE w:val="0"/>
        <w:autoSpaceDN w:val="0"/>
        <w:adjustRightInd w:val="0"/>
      </w:pPr>
    </w:p>
    <w:p w:rsidR="00AB358D" w:rsidRPr="008B4012" w:rsidRDefault="00AB358D" w:rsidP="00AB358D">
      <w:pPr>
        <w:widowControl w:val="0"/>
        <w:tabs>
          <w:tab w:val="clear" w:pos="567"/>
          <w:tab w:val="clear" w:pos="1134"/>
          <w:tab w:val="clear" w:pos="1701"/>
          <w:tab w:val="clear" w:pos="2268"/>
          <w:tab w:val="clear" w:pos="6237"/>
          <w:tab w:val="left" w:pos="360"/>
        </w:tabs>
        <w:autoSpaceDE w:val="0"/>
        <w:autoSpaceDN w:val="0"/>
        <w:adjustRightInd w:val="0"/>
      </w:pPr>
      <w:r>
        <w:t>182.</w:t>
      </w:r>
      <w:r>
        <w:tab/>
        <w:t>Более</w:t>
      </w:r>
      <w:r w:rsidRPr="008B4012">
        <w:t xml:space="preserve"> 50</w:t>
      </w:r>
      <w:r>
        <w:t>% женщин</w:t>
      </w:r>
      <w:r w:rsidRPr="008B4012">
        <w:t xml:space="preserve"> </w:t>
      </w:r>
      <w:r>
        <w:t>работают</w:t>
      </w:r>
      <w:r w:rsidRPr="008B4012">
        <w:t xml:space="preserve"> полн</w:t>
      </w:r>
      <w:r>
        <w:t>ый</w:t>
      </w:r>
      <w:r w:rsidRPr="008B4012">
        <w:t xml:space="preserve"> рабоч</w:t>
      </w:r>
      <w:r>
        <w:t>ий</w:t>
      </w:r>
      <w:r w:rsidRPr="008B4012">
        <w:t xml:space="preserve"> д</w:t>
      </w:r>
      <w:r>
        <w:t>е</w:t>
      </w:r>
      <w:r w:rsidRPr="008B4012">
        <w:t>н</w:t>
      </w:r>
      <w:r>
        <w:t xml:space="preserve">ь </w:t>
      </w:r>
      <w:r w:rsidRPr="008B4012">
        <w:t>или работали  меньше чем 40</w:t>
      </w:r>
      <w:r>
        <w:t> </w:t>
      </w:r>
      <w:r w:rsidRPr="008B4012">
        <w:t>часов в неделю</w:t>
      </w:r>
      <w:r>
        <w:t xml:space="preserve">. </w:t>
      </w:r>
      <w:r w:rsidRPr="008B4012">
        <w:t xml:space="preserve"> В 1989</w:t>
      </w:r>
      <w:r>
        <w:t xml:space="preserve"> году</w:t>
      </w:r>
      <w:r w:rsidRPr="008B4012">
        <w:t xml:space="preserve"> </w:t>
      </w:r>
      <w:r>
        <w:t>доля</w:t>
      </w:r>
      <w:r w:rsidRPr="008B4012">
        <w:t xml:space="preserve"> женщин</w:t>
      </w:r>
      <w:r>
        <w:t xml:space="preserve">, занятых </w:t>
      </w:r>
      <w:r w:rsidRPr="008B4012">
        <w:t>полн</w:t>
      </w:r>
      <w:r>
        <w:t>ый</w:t>
      </w:r>
      <w:r w:rsidRPr="008B4012">
        <w:t xml:space="preserve"> рабоч</w:t>
      </w:r>
      <w:r>
        <w:t>ий</w:t>
      </w:r>
      <w:r w:rsidRPr="008B4012">
        <w:t xml:space="preserve"> </w:t>
      </w:r>
      <w:r>
        <w:t>день,</w:t>
      </w:r>
      <w:r w:rsidRPr="008B4012">
        <w:t xml:space="preserve"> </w:t>
      </w:r>
      <w:r>
        <w:t>составляла 62%,</w:t>
      </w:r>
      <w:r w:rsidRPr="008B4012">
        <w:t xml:space="preserve"> </w:t>
      </w:r>
      <w:r>
        <w:t>а</w:t>
      </w:r>
      <w:r w:rsidRPr="008B4012">
        <w:t xml:space="preserve"> в 1999</w:t>
      </w:r>
      <w:r>
        <w:t xml:space="preserve"> году она</w:t>
      </w:r>
      <w:r w:rsidRPr="008B4012">
        <w:t xml:space="preserve"> сокра</w:t>
      </w:r>
      <w:r>
        <w:t>тилась</w:t>
      </w:r>
      <w:r w:rsidRPr="008B4012">
        <w:t xml:space="preserve"> </w:t>
      </w:r>
      <w:r>
        <w:t xml:space="preserve">до </w:t>
      </w:r>
      <w:r w:rsidRPr="008B4012">
        <w:t>60</w:t>
      </w:r>
      <w:r>
        <w:t xml:space="preserve">%.  Количество не полностью занятых </w:t>
      </w:r>
      <w:r w:rsidRPr="008B4012">
        <w:t xml:space="preserve">женщин </w:t>
      </w:r>
      <w:r>
        <w:t xml:space="preserve">возросло </w:t>
      </w:r>
      <w:r w:rsidRPr="008B4012">
        <w:t>с 36</w:t>
      </w:r>
      <w:r>
        <w:t>,</w:t>
      </w:r>
      <w:r w:rsidRPr="008B4012">
        <w:t>4</w:t>
      </w:r>
      <w:r>
        <w:t>%</w:t>
      </w:r>
      <w:r w:rsidRPr="008B4012">
        <w:t xml:space="preserve"> в 1989</w:t>
      </w:r>
      <w:r>
        <w:t xml:space="preserve"> году</w:t>
      </w:r>
      <w:r w:rsidRPr="008B4012">
        <w:t xml:space="preserve"> </w:t>
      </w:r>
      <w:r>
        <w:t>до 38,</w:t>
      </w:r>
      <w:r w:rsidRPr="008B4012">
        <w:t>1</w:t>
      </w:r>
      <w:r>
        <w:t>%</w:t>
      </w:r>
      <w:r w:rsidRPr="008B4012">
        <w:t xml:space="preserve"> в 1999</w:t>
      </w:r>
      <w:r>
        <w:t xml:space="preserve"> году</w:t>
      </w:r>
      <w:r w:rsidRPr="008B4012">
        <w:t>.</w:t>
      </w:r>
    </w:p>
    <w:p w:rsidR="00AB358D" w:rsidRPr="004E082F" w:rsidRDefault="00AB358D" w:rsidP="004E082F">
      <w:pPr>
        <w:widowControl w:val="0"/>
        <w:tabs>
          <w:tab w:val="clear" w:pos="567"/>
          <w:tab w:val="clear" w:pos="1134"/>
          <w:tab w:val="clear" w:pos="1701"/>
          <w:tab w:val="clear" w:pos="2268"/>
          <w:tab w:val="clear" w:pos="6237"/>
        </w:tabs>
        <w:autoSpaceDE w:val="0"/>
        <w:autoSpaceDN w:val="0"/>
        <w:adjustRightInd w:val="0"/>
        <w:rPr>
          <w:sz w:val="20"/>
        </w:rPr>
      </w:pPr>
    </w:p>
    <w:p w:rsidR="00AB358D" w:rsidRPr="008B4012" w:rsidRDefault="00AB358D" w:rsidP="0039615B">
      <w:pPr>
        <w:widowControl w:val="0"/>
        <w:numPr>
          <w:ilvl w:val="12"/>
          <w:numId w:val="0"/>
        </w:numPr>
        <w:tabs>
          <w:tab w:val="clear" w:pos="1701"/>
          <w:tab w:val="left" w:pos="1540"/>
        </w:tabs>
        <w:autoSpaceDE w:val="0"/>
        <w:autoSpaceDN w:val="0"/>
        <w:adjustRightInd w:val="0"/>
        <w:ind w:left="1540" w:hanging="1540"/>
        <w:rPr>
          <w:b/>
          <w:bCs/>
        </w:rPr>
      </w:pPr>
      <w:r w:rsidRPr="008B4012">
        <w:rPr>
          <w:b/>
          <w:bCs/>
        </w:rPr>
        <w:t xml:space="preserve">Вопрос </w:t>
      </w:r>
      <w:r>
        <w:rPr>
          <w:b/>
          <w:bCs/>
        </w:rPr>
        <w:t xml:space="preserve">№ </w:t>
      </w:r>
      <w:r w:rsidRPr="008B4012">
        <w:rPr>
          <w:b/>
          <w:bCs/>
        </w:rPr>
        <w:t>5</w:t>
      </w:r>
      <w:r w:rsidR="0039615B">
        <w:rPr>
          <w:b/>
          <w:bCs/>
        </w:rPr>
        <w:t>.</w:t>
      </w:r>
      <w:r w:rsidR="00B555EF">
        <w:rPr>
          <w:b/>
          <w:bCs/>
        </w:rPr>
        <w:tab/>
      </w:r>
      <w:r w:rsidRPr="008B4012">
        <w:rPr>
          <w:b/>
          <w:bCs/>
        </w:rPr>
        <w:t xml:space="preserve">Изменения в законодательстве и  </w:t>
      </w:r>
      <w:r>
        <w:rPr>
          <w:b/>
          <w:bCs/>
        </w:rPr>
        <w:t>стратегиях</w:t>
      </w:r>
      <w:r w:rsidRPr="008B4012">
        <w:rPr>
          <w:b/>
          <w:bCs/>
        </w:rPr>
        <w:t>, затрагивающ</w:t>
      </w:r>
      <w:r>
        <w:rPr>
          <w:b/>
          <w:bCs/>
        </w:rPr>
        <w:t>их</w:t>
      </w:r>
      <w:r w:rsidRPr="008B4012">
        <w:rPr>
          <w:b/>
          <w:bCs/>
        </w:rPr>
        <w:t xml:space="preserve"> право</w:t>
      </w:r>
      <w:r w:rsidR="0039615B">
        <w:rPr>
          <w:b/>
          <w:bCs/>
        </w:rPr>
        <w:br/>
      </w:r>
      <w:r>
        <w:rPr>
          <w:b/>
          <w:bCs/>
        </w:rPr>
        <w:t>на</w:t>
      </w:r>
      <w:r w:rsidRPr="008B4012">
        <w:rPr>
          <w:b/>
          <w:bCs/>
        </w:rPr>
        <w:t xml:space="preserve"> </w:t>
      </w:r>
      <w:r>
        <w:rPr>
          <w:b/>
          <w:bCs/>
        </w:rPr>
        <w:t>труд</w:t>
      </w:r>
    </w:p>
    <w:p w:rsidR="00AB358D" w:rsidRPr="004E082F" w:rsidRDefault="00AB358D" w:rsidP="004E082F">
      <w:pPr>
        <w:widowControl w:val="0"/>
        <w:tabs>
          <w:tab w:val="clear" w:pos="567"/>
          <w:tab w:val="clear" w:pos="1134"/>
          <w:tab w:val="clear" w:pos="1701"/>
          <w:tab w:val="clear" w:pos="2268"/>
          <w:tab w:val="clear" w:pos="6237"/>
        </w:tabs>
        <w:autoSpaceDE w:val="0"/>
        <w:autoSpaceDN w:val="0"/>
        <w:adjustRightInd w:val="0"/>
        <w:rPr>
          <w:sz w:val="20"/>
        </w:rPr>
      </w:pPr>
    </w:p>
    <w:p w:rsidR="00AB358D" w:rsidRPr="008B4012" w:rsidRDefault="00AB358D" w:rsidP="00AB358D">
      <w:pPr>
        <w:widowControl w:val="0"/>
        <w:tabs>
          <w:tab w:val="clear" w:pos="567"/>
          <w:tab w:val="clear" w:pos="1134"/>
          <w:tab w:val="clear" w:pos="1701"/>
          <w:tab w:val="clear" w:pos="2268"/>
          <w:tab w:val="clear" w:pos="6237"/>
          <w:tab w:val="left" w:pos="360"/>
        </w:tabs>
        <w:autoSpaceDE w:val="0"/>
        <w:autoSpaceDN w:val="0"/>
        <w:adjustRightInd w:val="0"/>
      </w:pPr>
      <w:r>
        <w:t>183.</w:t>
      </w:r>
      <w:r>
        <w:tab/>
        <w:t>За о</w:t>
      </w:r>
      <w:r w:rsidRPr="008B4012">
        <w:t>тче</w:t>
      </w:r>
      <w:r>
        <w:t>т</w:t>
      </w:r>
      <w:r w:rsidRPr="008B4012">
        <w:t>н</w:t>
      </w:r>
      <w:r>
        <w:t>ый</w:t>
      </w:r>
      <w:r w:rsidRPr="008B4012">
        <w:t xml:space="preserve"> период </w:t>
      </w:r>
      <w:r>
        <w:t>были приняты следующие т</w:t>
      </w:r>
      <w:r w:rsidRPr="008B4012">
        <w:t xml:space="preserve">ри </w:t>
      </w:r>
      <w:r>
        <w:t>основные</w:t>
      </w:r>
      <w:r w:rsidRPr="008B4012">
        <w:t xml:space="preserve"> закона, затрагива</w:t>
      </w:r>
      <w:r>
        <w:t>ющие</w:t>
      </w:r>
      <w:r w:rsidRPr="008B4012">
        <w:t xml:space="preserve">  право</w:t>
      </w:r>
      <w:r>
        <w:t xml:space="preserve"> на</w:t>
      </w:r>
      <w:r w:rsidRPr="008B4012">
        <w:t xml:space="preserve"> </w:t>
      </w:r>
      <w:r>
        <w:t>труд:</w:t>
      </w:r>
      <w:r w:rsidRPr="008B4012">
        <w:t xml:space="preserve"> </w:t>
      </w:r>
      <w:r>
        <w:t>Закон о создании УТОРН,</w:t>
      </w:r>
      <w:r w:rsidRPr="008B4012">
        <w:t xml:space="preserve">  </w:t>
      </w:r>
      <w:r>
        <w:t>Закон о</w:t>
      </w:r>
      <w:r w:rsidRPr="008B4012">
        <w:t xml:space="preserve"> </w:t>
      </w:r>
      <w:r>
        <w:t>д</w:t>
      </w:r>
      <w:r w:rsidRPr="008B4012">
        <w:t>войной</w:t>
      </w:r>
      <w:r>
        <w:t xml:space="preserve"> системе профессионально</w:t>
      </w:r>
      <w:r w:rsidRPr="008B4012">
        <w:t>-техническ</w:t>
      </w:r>
      <w:r>
        <w:t>ого образования и</w:t>
      </w:r>
      <w:r w:rsidRPr="008B4012">
        <w:t xml:space="preserve">  Закон </w:t>
      </w:r>
      <w:r>
        <w:t>о трудящихся-м</w:t>
      </w:r>
      <w:r w:rsidRPr="008B4012">
        <w:t>игр</w:t>
      </w:r>
      <w:r>
        <w:t xml:space="preserve">антах. </w:t>
      </w:r>
      <w:r w:rsidRPr="008B4012">
        <w:t xml:space="preserve"> Верховный </w:t>
      </w:r>
      <w:r>
        <w:t>с</w:t>
      </w:r>
      <w:r w:rsidRPr="008B4012">
        <w:t xml:space="preserve">уд </w:t>
      </w:r>
      <w:r>
        <w:t>признает правильным использование правоохранительных органов</w:t>
      </w:r>
      <w:r w:rsidRPr="008B4012">
        <w:t xml:space="preserve"> </w:t>
      </w:r>
      <w:r>
        <w:t>в целях</w:t>
      </w:r>
      <w:r w:rsidRPr="008B4012">
        <w:t xml:space="preserve"> регулировани</w:t>
      </w:r>
      <w:r>
        <w:t>я</w:t>
      </w:r>
      <w:r w:rsidRPr="008B4012">
        <w:t xml:space="preserve">  </w:t>
      </w:r>
      <w:r>
        <w:t>п</w:t>
      </w:r>
      <w:r w:rsidRPr="008B4012">
        <w:t xml:space="preserve">равительством </w:t>
      </w:r>
      <w:r>
        <w:t xml:space="preserve">выезда </w:t>
      </w:r>
      <w:r w:rsidRPr="008B4012">
        <w:t>за</w:t>
      </w:r>
      <w:r>
        <w:t xml:space="preserve"> </w:t>
      </w:r>
      <w:r w:rsidRPr="008B4012">
        <w:t>грани</w:t>
      </w:r>
      <w:r>
        <w:t>цу</w:t>
      </w:r>
      <w:r w:rsidRPr="008B4012">
        <w:t xml:space="preserve"> филиппинских рабочих</w:t>
      </w:r>
      <w:r>
        <w:t xml:space="preserve">.  </w:t>
      </w:r>
      <w:r w:rsidRPr="008B4012">
        <w:t>В 1989</w:t>
      </w:r>
      <w:r>
        <w:t xml:space="preserve"> году</w:t>
      </w:r>
      <w:r w:rsidRPr="008B4012">
        <w:t xml:space="preserve"> </w:t>
      </w:r>
      <w:r>
        <w:t>при рассмотрении одного дела</w:t>
      </w:r>
      <w:r w:rsidRPr="008B4012">
        <w:t xml:space="preserve"> Верховный </w:t>
      </w:r>
      <w:r>
        <w:t>с</w:t>
      </w:r>
      <w:r w:rsidRPr="008B4012">
        <w:t xml:space="preserve">уд </w:t>
      </w:r>
      <w:r>
        <w:t>под</w:t>
      </w:r>
      <w:r w:rsidRPr="008B4012">
        <w:t xml:space="preserve">держал </w:t>
      </w:r>
      <w:r>
        <w:t>введенный м</w:t>
      </w:r>
      <w:r w:rsidRPr="008B4012">
        <w:t xml:space="preserve">инистром труда </w:t>
      </w:r>
      <w:r>
        <w:t>запрет на выезд</w:t>
      </w:r>
      <w:r w:rsidRPr="008B4012">
        <w:t xml:space="preserve"> за</w:t>
      </w:r>
      <w:r>
        <w:t xml:space="preserve"> </w:t>
      </w:r>
      <w:r w:rsidRPr="008B4012">
        <w:t>границ</w:t>
      </w:r>
      <w:r>
        <w:t>у местных работников</w:t>
      </w:r>
      <w:r w:rsidRPr="008B4012">
        <w:t xml:space="preserve">, </w:t>
      </w:r>
      <w:r>
        <w:t xml:space="preserve">выполняющих функции домашней прислуги, </w:t>
      </w:r>
      <w:r w:rsidRPr="008B4012">
        <w:t xml:space="preserve">поскольку это было сделано </w:t>
      </w:r>
      <w:r>
        <w:t>в интересах</w:t>
      </w:r>
      <w:r w:rsidRPr="008B4012">
        <w:t xml:space="preserve"> </w:t>
      </w:r>
      <w:r>
        <w:t xml:space="preserve">сохранения </w:t>
      </w:r>
      <w:r w:rsidRPr="008B4012">
        <w:t>благосостояни</w:t>
      </w:r>
      <w:r>
        <w:t>я</w:t>
      </w:r>
      <w:r w:rsidRPr="008B4012">
        <w:t xml:space="preserve"> этой группы рабо</w:t>
      </w:r>
      <w:r>
        <w:t xml:space="preserve">тников. </w:t>
      </w:r>
      <w:r w:rsidRPr="008B4012">
        <w:t xml:space="preserve"> В</w:t>
      </w:r>
      <w:r>
        <w:t> </w:t>
      </w:r>
      <w:r w:rsidRPr="008B4012">
        <w:t>1994</w:t>
      </w:r>
      <w:r>
        <w:t xml:space="preserve"> году </w:t>
      </w:r>
      <w:r w:rsidRPr="008B4012">
        <w:t xml:space="preserve">Верховный </w:t>
      </w:r>
      <w:r>
        <w:t>с</w:t>
      </w:r>
      <w:r w:rsidRPr="008B4012">
        <w:t>уд аналогичн</w:t>
      </w:r>
      <w:r>
        <w:t>ым</w:t>
      </w:r>
      <w:r w:rsidRPr="008B4012">
        <w:t xml:space="preserve"> </w:t>
      </w:r>
      <w:r>
        <w:t>образом</w:t>
      </w:r>
      <w:r w:rsidRPr="008B4012">
        <w:t xml:space="preserve"> поддержал </w:t>
      </w:r>
      <w:r>
        <w:t>право</w:t>
      </w:r>
      <w:r w:rsidRPr="008B4012">
        <w:t xml:space="preserve"> </w:t>
      </w:r>
      <w:r>
        <w:t>м</w:t>
      </w:r>
      <w:r w:rsidRPr="008B4012">
        <w:t>инистра труда</w:t>
      </w:r>
      <w:r>
        <w:t xml:space="preserve"> на установление</w:t>
      </w:r>
      <w:r w:rsidRPr="008B4012">
        <w:t xml:space="preserve"> минимальн</w:t>
      </w:r>
      <w:r>
        <w:t>ого</w:t>
      </w:r>
      <w:r w:rsidRPr="008B4012">
        <w:t xml:space="preserve"> возраст</w:t>
      </w:r>
      <w:r>
        <w:t>а</w:t>
      </w:r>
      <w:r w:rsidRPr="008B4012">
        <w:t xml:space="preserve"> и </w:t>
      </w:r>
      <w:r>
        <w:t>квалификационных</w:t>
      </w:r>
      <w:r w:rsidRPr="008B4012">
        <w:t xml:space="preserve"> требовани</w:t>
      </w:r>
      <w:r>
        <w:t>й</w:t>
      </w:r>
      <w:r w:rsidRPr="008B4012">
        <w:t xml:space="preserve"> </w:t>
      </w:r>
      <w:r>
        <w:t xml:space="preserve">в качестве </w:t>
      </w:r>
      <w:r w:rsidRPr="008B4012">
        <w:t>предварительны</w:t>
      </w:r>
      <w:r>
        <w:t>х</w:t>
      </w:r>
      <w:r w:rsidRPr="008B4012">
        <w:t xml:space="preserve"> услови</w:t>
      </w:r>
      <w:r>
        <w:t>й</w:t>
      </w:r>
      <w:r w:rsidRPr="008B4012">
        <w:t xml:space="preserve"> </w:t>
      </w:r>
      <w:r>
        <w:t>для</w:t>
      </w:r>
      <w:r w:rsidRPr="008B4012">
        <w:t xml:space="preserve"> </w:t>
      </w:r>
      <w:r>
        <w:t>направления на работу артистов</w:t>
      </w:r>
      <w:r w:rsidRPr="008B4012">
        <w:t>.</w:t>
      </w:r>
    </w:p>
    <w:p w:rsidR="00AB358D" w:rsidRPr="004E082F" w:rsidRDefault="00AB358D" w:rsidP="004E082F">
      <w:pPr>
        <w:widowControl w:val="0"/>
        <w:tabs>
          <w:tab w:val="clear" w:pos="567"/>
          <w:tab w:val="clear" w:pos="1134"/>
          <w:tab w:val="clear" w:pos="1701"/>
          <w:tab w:val="clear" w:pos="2268"/>
          <w:tab w:val="clear" w:pos="6237"/>
        </w:tabs>
        <w:autoSpaceDE w:val="0"/>
        <w:autoSpaceDN w:val="0"/>
        <w:adjustRightInd w:val="0"/>
        <w:rPr>
          <w:sz w:val="20"/>
        </w:rPr>
      </w:pPr>
    </w:p>
    <w:p w:rsidR="00AB358D" w:rsidRPr="008B4012" w:rsidRDefault="00AB358D" w:rsidP="00AB358D">
      <w:pPr>
        <w:widowControl w:val="0"/>
        <w:tabs>
          <w:tab w:val="clear" w:pos="567"/>
          <w:tab w:val="clear" w:pos="1134"/>
          <w:tab w:val="clear" w:pos="1701"/>
          <w:tab w:val="clear" w:pos="2268"/>
          <w:tab w:val="clear" w:pos="6237"/>
          <w:tab w:val="left" w:pos="360"/>
        </w:tabs>
        <w:autoSpaceDE w:val="0"/>
        <w:autoSpaceDN w:val="0"/>
        <w:adjustRightInd w:val="0"/>
      </w:pPr>
      <w:r>
        <w:t>184.</w:t>
      </w:r>
      <w:r>
        <w:tab/>
        <w:t>К числу других</w:t>
      </w:r>
      <w:r w:rsidRPr="008B4012">
        <w:t xml:space="preserve"> </w:t>
      </w:r>
      <w:r>
        <w:t>основных</w:t>
      </w:r>
      <w:r w:rsidRPr="008B4012">
        <w:t xml:space="preserve"> </w:t>
      </w:r>
      <w:r>
        <w:t>изменений</w:t>
      </w:r>
      <w:r w:rsidRPr="008B4012">
        <w:t xml:space="preserve"> </w:t>
      </w:r>
      <w:r>
        <w:t xml:space="preserve">в </w:t>
      </w:r>
      <w:r w:rsidRPr="008B4012">
        <w:t>законодатель</w:t>
      </w:r>
      <w:r>
        <w:t>стве, которые следует упомянуть, относятся</w:t>
      </w:r>
      <w:r w:rsidRPr="008B4012">
        <w:t>:</w:t>
      </w:r>
    </w:p>
    <w:p w:rsidR="00AB358D" w:rsidRPr="004E082F" w:rsidRDefault="00AB358D" w:rsidP="004E082F">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B555EF">
      <w:pPr>
        <w:widowControl w:val="0"/>
        <w:numPr>
          <w:ilvl w:val="0"/>
          <w:numId w:val="12"/>
        </w:numPr>
        <w:tabs>
          <w:tab w:val="clear" w:pos="567"/>
          <w:tab w:val="clear" w:pos="1701"/>
          <w:tab w:val="clear" w:pos="2268"/>
          <w:tab w:val="clear" w:pos="6237"/>
        </w:tabs>
        <w:autoSpaceDE w:val="0"/>
        <w:autoSpaceDN w:val="0"/>
        <w:adjustRightInd w:val="0"/>
      </w:pPr>
      <w:r>
        <w:t xml:space="preserve">ПР № </w:t>
      </w:r>
      <w:r w:rsidRPr="008B4012">
        <w:t xml:space="preserve">180 </w:t>
      </w:r>
      <w:r>
        <w:t>серии</w:t>
      </w:r>
      <w:r w:rsidRPr="008B4012">
        <w:t xml:space="preserve"> 1987</w:t>
      </w:r>
      <w:r>
        <w:t xml:space="preserve"> года</w:t>
      </w:r>
      <w:r w:rsidRPr="008B4012">
        <w:t>, котор</w:t>
      </w:r>
      <w:r>
        <w:t xml:space="preserve">ое регулирует </w:t>
      </w:r>
      <w:r w:rsidRPr="008B4012">
        <w:t xml:space="preserve">право </w:t>
      </w:r>
      <w:r>
        <w:t xml:space="preserve">государственных </w:t>
      </w:r>
      <w:r w:rsidRPr="008B4012">
        <w:t>служащих</w:t>
      </w:r>
      <w:r>
        <w:t xml:space="preserve"> на создание профсоюзной организации</w:t>
      </w:r>
      <w:r w:rsidRPr="008B4012">
        <w:t>.</w:t>
      </w:r>
    </w:p>
    <w:p w:rsidR="00AB358D" w:rsidRPr="004E082F"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РЗ</w:t>
      </w:r>
      <w:r w:rsidRPr="008B4012">
        <w:t xml:space="preserve"> </w:t>
      </w:r>
      <w:r>
        <w:t xml:space="preserve">№ </w:t>
      </w:r>
      <w:r w:rsidRPr="008B4012">
        <w:t>6715</w:t>
      </w:r>
      <w:r>
        <w:t>,</w:t>
      </w:r>
      <w:r w:rsidRPr="008B4012">
        <w:t xml:space="preserve"> или Новый </w:t>
      </w:r>
      <w:r>
        <w:t>з</w:t>
      </w:r>
      <w:r w:rsidRPr="008B4012">
        <w:t xml:space="preserve">акон </w:t>
      </w:r>
      <w:r>
        <w:t>о трудовых о</w:t>
      </w:r>
      <w:r w:rsidRPr="008B4012">
        <w:t>тношени</w:t>
      </w:r>
      <w:r>
        <w:t xml:space="preserve">ях </w:t>
      </w:r>
      <w:r w:rsidRPr="008B4012">
        <w:t>1989</w:t>
      </w:r>
      <w:r>
        <w:t xml:space="preserve"> года</w:t>
      </w:r>
      <w:r w:rsidRPr="008B4012">
        <w:t>.</w:t>
      </w:r>
    </w:p>
    <w:p w:rsidR="00AB358D" w:rsidRPr="004E082F"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rsidRPr="008B4012">
        <w:t>Р</w:t>
      </w:r>
      <w:r>
        <w:t>З</w:t>
      </w:r>
      <w:r w:rsidRPr="008B4012">
        <w:t xml:space="preserve"> </w:t>
      </w:r>
      <w:r>
        <w:t xml:space="preserve">№ </w:t>
      </w:r>
      <w:r w:rsidRPr="008B4012">
        <w:t>6727</w:t>
      </w:r>
      <w:r>
        <w:t>,</w:t>
      </w:r>
      <w:r w:rsidRPr="008B4012">
        <w:t xml:space="preserve"> или </w:t>
      </w:r>
      <w:r>
        <w:t>Закон об оптимизации з</w:t>
      </w:r>
      <w:r w:rsidRPr="008B4012">
        <w:t>аработной платы</w:t>
      </w:r>
      <w:r>
        <w:t xml:space="preserve"> 1989 года.  </w:t>
      </w:r>
    </w:p>
    <w:p w:rsidR="00AB358D" w:rsidRPr="004E082F"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rsidRPr="008B4012">
        <w:t>Р</w:t>
      </w:r>
      <w:r>
        <w:t>З</w:t>
      </w:r>
      <w:r w:rsidRPr="008B4012">
        <w:t xml:space="preserve"> </w:t>
      </w:r>
      <w:r>
        <w:t xml:space="preserve">№ </w:t>
      </w:r>
      <w:r w:rsidRPr="008B4012">
        <w:t>6725</w:t>
      </w:r>
      <w:r>
        <w:t xml:space="preserve"> от</w:t>
      </w:r>
      <w:r w:rsidRPr="008B4012">
        <w:t xml:space="preserve"> 1989</w:t>
      </w:r>
      <w:r>
        <w:t xml:space="preserve"> года об</w:t>
      </w:r>
      <w:r w:rsidRPr="008B4012">
        <w:t xml:space="preserve"> усил</w:t>
      </w:r>
      <w:r>
        <w:t>ении</w:t>
      </w:r>
      <w:r w:rsidRPr="008B4012">
        <w:t xml:space="preserve"> запрещени</w:t>
      </w:r>
      <w:r>
        <w:t>я</w:t>
      </w:r>
      <w:r w:rsidRPr="008B4012">
        <w:t xml:space="preserve"> дискриминаци</w:t>
      </w:r>
      <w:r>
        <w:t>и</w:t>
      </w:r>
      <w:r w:rsidRPr="008B4012">
        <w:t xml:space="preserve"> </w:t>
      </w:r>
      <w:r>
        <w:t>в отношении</w:t>
      </w:r>
      <w:r w:rsidRPr="008B4012">
        <w:t xml:space="preserve"> женщин.</w:t>
      </w: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РЗ</w:t>
      </w:r>
      <w:r w:rsidRPr="008B4012">
        <w:t xml:space="preserve"> </w:t>
      </w:r>
      <w:r>
        <w:t xml:space="preserve">№ </w:t>
      </w:r>
      <w:r w:rsidRPr="008B4012">
        <w:t>6971</w:t>
      </w:r>
      <w:r>
        <w:t>,</w:t>
      </w:r>
      <w:r w:rsidRPr="008B4012">
        <w:t xml:space="preserve"> или </w:t>
      </w:r>
      <w:r>
        <w:t>Закон о</w:t>
      </w:r>
      <w:r w:rsidRPr="008B4012">
        <w:t xml:space="preserve"> </w:t>
      </w:r>
      <w:r>
        <w:t>с</w:t>
      </w:r>
      <w:r w:rsidRPr="008B4012">
        <w:t>тимул</w:t>
      </w:r>
      <w:r>
        <w:t>ировании п</w:t>
      </w:r>
      <w:r w:rsidRPr="008B4012">
        <w:t>роизводительности</w:t>
      </w:r>
      <w:r>
        <w:t xml:space="preserve"> </w:t>
      </w:r>
      <w:r w:rsidRPr="008B4012">
        <w:t>1990</w:t>
      </w:r>
      <w:r>
        <w:t xml:space="preserve"> года</w:t>
      </w:r>
      <w:r w:rsidRPr="008B4012">
        <w:t>.</w:t>
      </w:r>
    </w:p>
    <w:p w:rsidR="00AB358D" w:rsidRPr="0039615B"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РЗ</w:t>
      </w:r>
      <w:r w:rsidRPr="008B4012">
        <w:t xml:space="preserve"> </w:t>
      </w:r>
      <w:r>
        <w:t>№ 7641,</w:t>
      </w:r>
      <w:r w:rsidRPr="008B4012">
        <w:t xml:space="preserve"> или Новый </w:t>
      </w:r>
      <w:r>
        <w:t>з</w:t>
      </w:r>
      <w:r w:rsidRPr="008B4012">
        <w:t xml:space="preserve">акон </w:t>
      </w:r>
      <w:r>
        <w:t>о выходе на пенсию 1992 года.</w:t>
      </w:r>
    </w:p>
    <w:p w:rsidR="00AB358D" w:rsidRPr="0039615B"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РЗ</w:t>
      </w:r>
      <w:r w:rsidRPr="008B4012">
        <w:t xml:space="preserve"> </w:t>
      </w:r>
      <w:r>
        <w:t xml:space="preserve">№ </w:t>
      </w:r>
      <w:r w:rsidRPr="008B4012">
        <w:t>7655</w:t>
      </w:r>
      <w:r>
        <w:t>,</w:t>
      </w:r>
      <w:r w:rsidRPr="008B4012">
        <w:t xml:space="preserve"> предпис</w:t>
      </w:r>
      <w:r>
        <w:t>ывающий</w:t>
      </w:r>
      <w:r w:rsidRPr="008B4012">
        <w:t xml:space="preserve"> </w:t>
      </w:r>
      <w:r>
        <w:t>установление</w:t>
      </w:r>
      <w:r w:rsidRPr="008B4012">
        <w:t xml:space="preserve"> минимальн</w:t>
      </w:r>
      <w:r>
        <w:t>ой</w:t>
      </w:r>
      <w:r w:rsidRPr="008B4012">
        <w:t xml:space="preserve"> заработн</w:t>
      </w:r>
      <w:r>
        <w:t>ой</w:t>
      </w:r>
      <w:r w:rsidRPr="008B4012">
        <w:t xml:space="preserve"> плат</w:t>
      </w:r>
      <w:r>
        <w:t>ы</w:t>
      </w:r>
      <w:r w:rsidRPr="008B4012">
        <w:t xml:space="preserve"> для </w:t>
      </w:r>
      <w:r>
        <w:t>домашней прислуги.</w:t>
      </w:r>
    </w:p>
    <w:p w:rsidR="00AB358D" w:rsidRPr="0039615B"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rsidRPr="008B4012">
        <w:t>Р</w:t>
      </w:r>
      <w:r>
        <w:t>З</w:t>
      </w:r>
      <w:r w:rsidRPr="008B4012">
        <w:t xml:space="preserve"> </w:t>
      </w:r>
      <w:r>
        <w:t xml:space="preserve">№ </w:t>
      </w:r>
      <w:r w:rsidRPr="008B4012">
        <w:t xml:space="preserve">7699 </w:t>
      </w:r>
      <w:r>
        <w:t xml:space="preserve">от </w:t>
      </w:r>
      <w:r w:rsidRPr="008B4012">
        <w:t>1994</w:t>
      </w:r>
      <w:r>
        <w:t xml:space="preserve"> года</w:t>
      </w:r>
      <w:r w:rsidRPr="008B4012">
        <w:t xml:space="preserve">, который </w:t>
      </w:r>
      <w:r>
        <w:t>предполагает использование в</w:t>
      </w:r>
      <w:r w:rsidRPr="0041282F">
        <w:t xml:space="preserve"> </w:t>
      </w:r>
      <w:r>
        <w:t>системах с</w:t>
      </w:r>
      <w:r w:rsidRPr="008B4012">
        <w:t xml:space="preserve">оциального </w:t>
      </w:r>
      <w:r>
        <w:t>с</w:t>
      </w:r>
      <w:r w:rsidRPr="008B4012">
        <w:t>трахования</w:t>
      </w:r>
      <w:r>
        <w:t xml:space="preserve"> схемы </w:t>
      </w:r>
      <w:r w:rsidRPr="008B4012">
        <w:t>ограниченн</w:t>
      </w:r>
      <w:r>
        <w:t>ого права перевода или сохранения пенсионной страховки при смене места работы</w:t>
      </w:r>
      <w:r w:rsidRPr="008B4012">
        <w:t>.</w:t>
      </w:r>
    </w:p>
    <w:p w:rsidR="00AB358D" w:rsidRPr="0039615B"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РЗ</w:t>
      </w:r>
      <w:r w:rsidRPr="008B4012">
        <w:t xml:space="preserve"> </w:t>
      </w:r>
      <w:r>
        <w:t xml:space="preserve">№ </w:t>
      </w:r>
      <w:r w:rsidRPr="008B4012">
        <w:t>7877</w:t>
      </w:r>
      <w:r>
        <w:t>,</w:t>
      </w:r>
      <w:r w:rsidRPr="008B4012">
        <w:t xml:space="preserve"> или Закон </w:t>
      </w:r>
      <w:r>
        <w:t>о борьбе с сексуальными домогательствами 1995 года.</w:t>
      </w:r>
    </w:p>
    <w:p w:rsidR="00AB358D" w:rsidRPr="0039615B"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rsidRPr="008B4012">
        <w:t>Р</w:t>
      </w:r>
      <w:r>
        <w:t>З</w:t>
      </w:r>
      <w:r w:rsidRPr="008B4012">
        <w:t xml:space="preserve"> </w:t>
      </w:r>
      <w:r>
        <w:t xml:space="preserve">№ </w:t>
      </w:r>
      <w:r w:rsidRPr="008B4012">
        <w:t>7875</w:t>
      </w:r>
      <w:r>
        <w:t>,</w:t>
      </w:r>
      <w:r w:rsidRPr="008B4012">
        <w:t xml:space="preserve"> или </w:t>
      </w:r>
      <w:r>
        <w:t xml:space="preserve">Закон о </w:t>
      </w:r>
      <w:r w:rsidRPr="008B4012">
        <w:t>национальн</w:t>
      </w:r>
      <w:r>
        <w:t>о</w:t>
      </w:r>
      <w:r w:rsidRPr="008B4012">
        <w:t xml:space="preserve">й </w:t>
      </w:r>
      <w:r>
        <w:t>системе с</w:t>
      </w:r>
      <w:r w:rsidRPr="008B4012">
        <w:t>трахования</w:t>
      </w:r>
      <w:r>
        <w:t xml:space="preserve"> 1995 года.</w:t>
      </w:r>
    </w:p>
    <w:p w:rsidR="00AB358D" w:rsidRPr="0039615B"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Распоряжение министерства</w:t>
      </w:r>
      <w:r w:rsidRPr="008B4012">
        <w:t xml:space="preserve"> </w:t>
      </w:r>
      <w:r>
        <w:t xml:space="preserve">№ </w:t>
      </w:r>
      <w:r w:rsidRPr="008B4012">
        <w:t xml:space="preserve">26 </w:t>
      </w:r>
      <w:r>
        <w:t xml:space="preserve">серии </w:t>
      </w:r>
      <w:r w:rsidRPr="008B4012">
        <w:t>1995</w:t>
      </w:r>
      <w:r>
        <w:t xml:space="preserve"> года</w:t>
      </w:r>
      <w:r w:rsidRPr="008B4012">
        <w:t>, котор</w:t>
      </w:r>
      <w:r>
        <w:t>ое</w:t>
      </w:r>
      <w:r w:rsidRPr="008B4012">
        <w:t xml:space="preserve"> </w:t>
      </w:r>
      <w:r>
        <w:t xml:space="preserve">содержит всеобъемлющие </w:t>
      </w:r>
      <w:r w:rsidRPr="008B4012">
        <w:t xml:space="preserve">руководящие принципы </w:t>
      </w:r>
      <w:r>
        <w:t>оценки</w:t>
      </w:r>
      <w:r w:rsidRPr="008B4012">
        <w:t xml:space="preserve"> фонд</w:t>
      </w:r>
      <w:r>
        <w:t>ов</w:t>
      </w:r>
      <w:r w:rsidRPr="008B4012">
        <w:t xml:space="preserve"> </w:t>
      </w:r>
      <w:r>
        <w:t>организаций трудящихся и программ развития.</w:t>
      </w:r>
    </w:p>
    <w:p w:rsidR="00AB358D" w:rsidRPr="0039615B"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rsidRPr="008B4012">
        <w:t>Р</w:t>
      </w:r>
      <w:r>
        <w:t>З</w:t>
      </w:r>
      <w:r w:rsidRPr="008B4012">
        <w:t xml:space="preserve"> </w:t>
      </w:r>
      <w:r>
        <w:t xml:space="preserve">№ </w:t>
      </w:r>
      <w:r w:rsidRPr="008B4012">
        <w:t>8187</w:t>
      </w:r>
      <w:r>
        <w:t>,</w:t>
      </w:r>
      <w:r w:rsidRPr="008B4012">
        <w:t xml:space="preserve"> или  </w:t>
      </w:r>
      <w:r>
        <w:t>Закон о</w:t>
      </w:r>
      <w:r w:rsidRPr="008B4012">
        <w:t xml:space="preserve"> </w:t>
      </w:r>
      <w:r>
        <w:t>предоставлении о</w:t>
      </w:r>
      <w:r w:rsidRPr="008B4012">
        <w:t>тпуск</w:t>
      </w:r>
      <w:r>
        <w:t>а</w:t>
      </w:r>
      <w:r w:rsidRPr="008B4012">
        <w:t xml:space="preserve"> </w:t>
      </w:r>
      <w:r>
        <w:t>о</w:t>
      </w:r>
      <w:r w:rsidRPr="008B4012">
        <w:t>тц</w:t>
      </w:r>
      <w:r>
        <w:t>ам 1996 года.</w:t>
      </w:r>
    </w:p>
    <w:p w:rsidR="00AB358D" w:rsidRPr="0039615B"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РЗ</w:t>
      </w:r>
      <w:r w:rsidRPr="008B4012">
        <w:t xml:space="preserve"> </w:t>
      </w:r>
      <w:r>
        <w:t>№ 8291,</w:t>
      </w:r>
      <w:r w:rsidRPr="008B4012">
        <w:t xml:space="preserve"> или Новый </w:t>
      </w:r>
      <w:r>
        <w:t>закон о с</w:t>
      </w:r>
      <w:r w:rsidRPr="008B4012">
        <w:t>истем</w:t>
      </w:r>
      <w:r>
        <w:t>е</w:t>
      </w:r>
      <w:r w:rsidRPr="008B4012">
        <w:t xml:space="preserve"> </w:t>
      </w:r>
      <w:r>
        <w:t>с</w:t>
      </w:r>
      <w:r w:rsidRPr="008B4012">
        <w:t xml:space="preserve">трахования </w:t>
      </w:r>
      <w:r>
        <w:t>государственных служащих 1997 года.</w:t>
      </w:r>
    </w:p>
    <w:p w:rsidR="00AB358D" w:rsidRPr="0039615B" w:rsidRDefault="00AB358D" w:rsidP="00AB358D">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РЗ</w:t>
      </w:r>
      <w:r w:rsidRPr="008B4012">
        <w:t xml:space="preserve"> </w:t>
      </w:r>
      <w:r>
        <w:t xml:space="preserve">№ </w:t>
      </w:r>
      <w:r w:rsidRPr="008B4012">
        <w:t>8282</w:t>
      </w:r>
      <w:r>
        <w:t>,</w:t>
      </w:r>
      <w:r w:rsidRPr="008B4012">
        <w:t xml:space="preserve"> или Новый </w:t>
      </w:r>
      <w:r>
        <w:t>закон о</w:t>
      </w:r>
      <w:r w:rsidRPr="008B4012">
        <w:t xml:space="preserve"> </w:t>
      </w:r>
      <w:r>
        <w:t>с</w:t>
      </w:r>
      <w:r w:rsidRPr="008B4012">
        <w:t>оциально</w:t>
      </w:r>
      <w:r>
        <w:t>м</w:t>
      </w:r>
      <w:r w:rsidRPr="008B4012">
        <w:t xml:space="preserve"> обеспечени</w:t>
      </w:r>
      <w:r w:rsidR="0039615B">
        <w:t>и 1997 года.</w:t>
      </w:r>
    </w:p>
    <w:p w:rsidR="00AB358D" w:rsidRPr="0039615B" w:rsidRDefault="00AB358D" w:rsidP="0039615B">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rsidRPr="008B4012">
        <w:t>Р</w:t>
      </w:r>
      <w:r>
        <w:t>З</w:t>
      </w:r>
      <w:r w:rsidRPr="008B4012">
        <w:t xml:space="preserve"> </w:t>
      </w:r>
      <w:r>
        <w:t xml:space="preserve">№ </w:t>
      </w:r>
      <w:r w:rsidRPr="008B4012">
        <w:t>8972</w:t>
      </w:r>
      <w:r>
        <w:t>, или Закон о</w:t>
      </w:r>
      <w:r w:rsidRPr="008B4012">
        <w:t xml:space="preserve"> </w:t>
      </w:r>
      <w:r>
        <w:t>б</w:t>
      </w:r>
      <w:r w:rsidRPr="008B4012">
        <w:t>лагосостояни</w:t>
      </w:r>
      <w:r>
        <w:t>и</w:t>
      </w:r>
      <w:r w:rsidRPr="008B4012">
        <w:t xml:space="preserve"> </w:t>
      </w:r>
      <w:r>
        <w:t>р</w:t>
      </w:r>
      <w:r w:rsidRPr="008B4012">
        <w:t>одителей</w:t>
      </w:r>
      <w:r>
        <w:t>-одиночек</w:t>
      </w:r>
      <w:r w:rsidRPr="008B4012">
        <w:t xml:space="preserve"> </w:t>
      </w:r>
      <w:r>
        <w:t>2000 года.</w:t>
      </w:r>
    </w:p>
    <w:p w:rsidR="00AB358D" w:rsidRPr="0039615B" w:rsidRDefault="00AB358D" w:rsidP="0039615B">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РЗ</w:t>
      </w:r>
      <w:r w:rsidRPr="008B4012">
        <w:t xml:space="preserve"> </w:t>
      </w:r>
      <w:r>
        <w:t xml:space="preserve">№ </w:t>
      </w:r>
      <w:r w:rsidRPr="008B4012">
        <w:t>9231</w:t>
      </w:r>
      <w:r>
        <w:t>,</w:t>
      </w:r>
      <w:r w:rsidRPr="008B4012">
        <w:t xml:space="preserve"> или </w:t>
      </w:r>
      <w:r>
        <w:t>Закон об искоренении наих</w:t>
      </w:r>
      <w:r w:rsidRPr="008B4012">
        <w:t xml:space="preserve">удших </w:t>
      </w:r>
      <w:r>
        <w:t>ф</w:t>
      </w:r>
      <w:r w:rsidRPr="008B4012">
        <w:t xml:space="preserve">орм </w:t>
      </w:r>
      <w:r>
        <w:t>д</w:t>
      </w:r>
      <w:r w:rsidRPr="008B4012">
        <w:t>етско</w:t>
      </w:r>
      <w:r>
        <w:t>го труда</w:t>
      </w:r>
      <w:r w:rsidRPr="008B4012">
        <w:t xml:space="preserve"> и </w:t>
      </w:r>
      <w:r>
        <w:t>обеспечении более эффективной защиты трудящихся детей, с внесенными в него поправками.</w:t>
      </w:r>
    </w:p>
    <w:p w:rsidR="00AB358D" w:rsidRPr="0039615B" w:rsidRDefault="00AB358D" w:rsidP="0039615B">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rsidRPr="008B4012">
        <w:t>Р</w:t>
      </w:r>
      <w:r>
        <w:t>З</w:t>
      </w:r>
      <w:r w:rsidRPr="008B4012">
        <w:t xml:space="preserve"> </w:t>
      </w:r>
      <w:r>
        <w:t>№ 7610</w:t>
      </w:r>
      <w:r w:rsidRPr="008B4012">
        <w:t xml:space="preserve"> </w:t>
      </w:r>
      <w:r>
        <w:t xml:space="preserve">с внесенными в него </w:t>
      </w:r>
      <w:r w:rsidRPr="008B4012">
        <w:t>исправлен</w:t>
      </w:r>
      <w:r>
        <w:t>иями</w:t>
      </w:r>
      <w:r w:rsidRPr="008B4012">
        <w:t xml:space="preserve">, иначе известный как </w:t>
      </w:r>
      <w:r>
        <w:t xml:space="preserve">Закон </w:t>
      </w:r>
      <w:r w:rsidRPr="008B4012">
        <w:t>"</w:t>
      </w:r>
      <w:r>
        <w:t>Об особой защите д</w:t>
      </w:r>
      <w:r w:rsidRPr="008B4012">
        <w:t>ет</w:t>
      </w:r>
      <w:r>
        <w:t>ей</w:t>
      </w:r>
      <w:r w:rsidRPr="008B4012">
        <w:t xml:space="preserve"> </w:t>
      </w:r>
      <w:r>
        <w:t>от нарушений их прав</w:t>
      </w:r>
      <w:r w:rsidRPr="008B4012">
        <w:t xml:space="preserve">, </w:t>
      </w:r>
      <w:r>
        <w:t>э</w:t>
      </w:r>
      <w:r w:rsidRPr="008B4012">
        <w:t xml:space="preserve">ксплуатации и </w:t>
      </w:r>
      <w:r>
        <w:t>д</w:t>
      </w:r>
      <w:r w:rsidRPr="008B4012">
        <w:t>искриминации</w:t>
      </w:r>
      <w:r>
        <w:t>".</w:t>
      </w:r>
    </w:p>
    <w:p w:rsidR="00AB358D" w:rsidRPr="0039615B" w:rsidRDefault="00AB358D" w:rsidP="0039615B">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t>РЗ</w:t>
      </w:r>
      <w:r w:rsidRPr="008B4012">
        <w:t xml:space="preserve"> </w:t>
      </w:r>
      <w:r>
        <w:t xml:space="preserve">№ </w:t>
      </w:r>
      <w:r w:rsidRPr="008B4012">
        <w:t xml:space="preserve">9178 </w:t>
      </w:r>
      <w:r>
        <w:t xml:space="preserve">Закон о создании микропредприятий в барангаях </w:t>
      </w:r>
      <w:r w:rsidRPr="008B4012">
        <w:t>(</w:t>
      </w:r>
      <w:r>
        <w:t>ЗСПМББ</w:t>
      </w:r>
      <w:r w:rsidRPr="008B4012">
        <w:t xml:space="preserve">) </w:t>
      </w:r>
      <w:r>
        <w:t>2002 года.</w:t>
      </w:r>
    </w:p>
    <w:p w:rsidR="00AB358D" w:rsidRPr="0039615B" w:rsidRDefault="00AB358D" w:rsidP="0039615B">
      <w:pPr>
        <w:widowControl w:val="0"/>
        <w:tabs>
          <w:tab w:val="clear" w:pos="567"/>
          <w:tab w:val="clear" w:pos="1134"/>
          <w:tab w:val="clear" w:pos="1701"/>
          <w:tab w:val="clear" w:pos="2268"/>
          <w:tab w:val="clear" w:pos="6237"/>
        </w:tabs>
        <w:autoSpaceDE w:val="0"/>
        <w:autoSpaceDN w:val="0"/>
        <w:adjustRightInd w:val="0"/>
        <w:rPr>
          <w:sz w:val="20"/>
        </w:rPr>
      </w:pPr>
    </w:p>
    <w:p w:rsidR="00AB358D" w:rsidRDefault="00AB358D" w:rsidP="00AB358D">
      <w:pPr>
        <w:widowControl w:val="0"/>
        <w:numPr>
          <w:ilvl w:val="0"/>
          <w:numId w:val="12"/>
        </w:numPr>
        <w:tabs>
          <w:tab w:val="clear" w:pos="567"/>
          <w:tab w:val="clear" w:pos="1701"/>
          <w:tab w:val="clear" w:pos="2268"/>
          <w:tab w:val="clear" w:pos="6237"/>
        </w:tabs>
        <w:autoSpaceDE w:val="0"/>
        <w:autoSpaceDN w:val="0"/>
        <w:adjustRightInd w:val="0"/>
      </w:pPr>
      <w:r w:rsidRPr="008B4012">
        <w:t>Р</w:t>
      </w:r>
      <w:r>
        <w:t>З</w:t>
      </w:r>
      <w:r w:rsidRPr="008B4012">
        <w:t xml:space="preserve"> </w:t>
      </w:r>
      <w:r>
        <w:t>№ 9257,</w:t>
      </w:r>
      <w:r w:rsidRPr="008B4012">
        <w:t xml:space="preserve"> или </w:t>
      </w:r>
      <w:r>
        <w:t>"</w:t>
      </w:r>
      <w:r w:rsidRPr="008B4012">
        <w:t xml:space="preserve">Расширенный </w:t>
      </w:r>
      <w:r>
        <w:t>закон о пожилых лицах 2003 года".</w:t>
      </w:r>
    </w:p>
    <w:p w:rsidR="00AB358D" w:rsidRDefault="00AB358D" w:rsidP="00AB358D">
      <w:r>
        <w:t>185.</w:t>
      </w:r>
      <w:r>
        <w:tab/>
      </w:r>
      <w:r w:rsidRPr="008B4012">
        <w:t>Исполнительн</w:t>
      </w:r>
      <w:r>
        <w:t>ые</w:t>
      </w:r>
      <w:r w:rsidRPr="008B4012">
        <w:t xml:space="preserve"> </w:t>
      </w:r>
      <w:r>
        <w:t xml:space="preserve">органы </w:t>
      </w:r>
      <w:r w:rsidRPr="008B4012">
        <w:t>власт</w:t>
      </w:r>
      <w:r>
        <w:t>и</w:t>
      </w:r>
      <w:r w:rsidRPr="008B4012">
        <w:t xml:space="preserve"> также </w:t>
      </w:r>
      <w:r>
        <w:t>издали</w:t>
      </w:r>
      <w:r w:rsidRPr="008B4012">
        <w:t xml:space="preserve"> </w:t>
      </w:r>
      <w:r>
        <w:t>правила</w:t>
      </w:r>
      <w:r w:rsidRPr="008B4012">
        <w:t xml:space="preserve"> и руководящие принципы</w:t>
      </w:r>
      <w:r>
        <w:t xml:space="preserve">, касающиеся осуществления вышеуказанных </w:t>
      </w:r>
      <w:r w:rsidRPr="008B4012">
        <w:t>закон</w:t>
      </w:r>
      <w:r>
        <w:t>ов.  Наиболее важными среди них являются изданные МТЗ следующие правила</w:t>
      </w:r>
      <w:r w:rsidRPr="008B4012">
        <w:t xml:space="preserve"> и руководящие принципы </w:t>
      </w:r>
      <w:r>
        <w:t xml:space="preserve">регулирования </w:t>
      </w:r>
      <w:r w:rsidRPr="008B4012">
        <w:t>отношений предпринимателями и рабочими</w:t>
      </w:r>
      <w:r>
        <w:t xml:space="preserve">: </w:t>
      </w:r>
    </w:p>
    <w:p w:rsidR="00AB358D" w:rsidRDefault="00AB358D" w:rsidP="00AB358D"/>
    <w:p w:rsidR="00AB358D" w:rsidRDefault="00AB358D" w:rsidP="00AB358D">
      <w:pPr>
        <w:widowControl w:val="0"/>
        <w:numPr>
          <w:ilvl w:val="0"/>
          <w:numId w:val="4"/>
        </w:numPr>
        <w:tabs>
          <w:tab w:val="clear" w:pos="567"/>
          <w:tab w:val="clear" w:pos="1134"/>
          <w:tab w:val="clear" w:pos="1701"/>
          <w:tab w:val="clear" w:pos="2268"/>
          <w:tab w:val="clear" w:pos="6237"/>
        </w:tabs>
        <w:autoSpaceDE w:val="0"/>
        <w:autoSpaceDN w:val="0"/>
        <w:adjustRightInd w:val="0"/>
        <w:ind w:left="1134" w:hanging="573"/>
      </w:pPr>
      <w:r>
        <w:t xml:space="preserve">ПР № </w:t>
      </w:r>
      <w:r w:rsidRPr="008B4012">
        <w:t>330</w:t>
      </w:r>
      <w:r>
        <w:t xml:space="preserve"> серии</w:t>
      </w:r>
      <w:r w:rsidRPr="008B4012">
        <w:t xml:space="preserve"> 1994</w:t>
      </w:r>
      <w:r>
        <w:t xml:space="preserve"> года об утверждении </w:t>
      </w:r>
      <w:r w:rsidRPr="008B4012">
        <w:t>расширенн</w:t>
      </w:r>
      <w:r>
        <w:t>ой</w:t>
      </w:r>
      <w:r w:rsidRPr="008B4012">
        <w:t xml:space="preserve"> программ</w:t>
      </w:r>
      <w:r>
        <w:t>ы</w:t>
      </w:r>
      <w:r w:rsidRPr="008B4012">
        <w:t xml:space="preserve"> </w:t>
      </w:r>
      <w:r>
        <w:t>обеспечения</w:t>
      </w:r>
      <w:r w:rsidRPr="008B4012">
        <w:t xml:space="preserve"> </w:t>
      </w:r>
      <w:r>
        <w:t>равнозначности</w:t>
      </w:r>
      <w:r w:rsidRPr="008B4012">
        <w:t xml:space="preserve"> высшего образования</w:t>
      </w:r>
      <w:r>
        <w:t>.</w:t>
      </w:r>
    </w:p>
    <w:p w:rsidR="00AB358D" w:rsidRPr="008B4012" w:rsidRDefault="00AB358D" w:rsidP="00AB358D">
      <w:pPr>
        <w:widowControl w:val="0"/>
        <w:tabs>
          <w:tab w:val="clear" w:pos="567"/>
          <w:tab w:val="clear" w:pos="1134"/>
          <w:tab w:val="clear" w:pos="1701"/>
          <w:tab w:val="clear" w:pos="2268"/>
          <w:tab w:val="clear" w:pos="6237"/>
        </w:tabs>
        <w:autoSpaceDE w:val="0"/>
        <w:autoSpaceDN w:val="0"/>
        <w:adjustRightInd w:val="0"/>
      </w:pPr>
    </w:p>
    <w:p w:rsidR="00AB358D" w:rsidRDefault="00AB358D" w:rsidP="00AB358D">
      <w:pPr>
        <w:widowControl w:val="0"/>
        <w:numPr>
          <w:ilvl w:val="0"/>
          <w:numId w:val="4"/>
        </w:numPr>
        <w:tabs>
          <w:tab w:val="clear" w:pos="567"/>
          <w:tab w:val="clear" w:pos="1134"/>
          <w:tab w:val="clear" w:pos="1701"/>
          <w:tab w:val="clear" w:pos="2268"/>
          <w:tab w:val="clear" w:pos="6237"/>
        </w:tabs>
        <w:autoSpaceDE w:val="0"/>
        <w:autoSpaceDN w:val="0"/>
        <w:adjustRightInd w:val="0"/>
        <w:ind w:left="1134" w:hanging="573"/>
      </w:pPr>
      <w:r>
        <w:t>Распоряжение министерства</w:t>
      </w:r>
      <w:r w:rsidRPr="008B4012">
        <w:t xml:space="preserve"> </w:t>
      </w:r>
      <w:r>
        <w:t>№</w:t>
      </w:r>
      <w:r w:rsidRPr="008B4012">
        <w:t xml:space="preserve"> 18 </w:t>
      </w:r>
      <w:r>
        <w:t xml:space="preserve">серии </w:t>
      </w:r>
      <w:r w:rsidRPr="008B4012">
        <w:t>1995</w:t>
      </w:r>
      <w:r>
        <w:t xml:space="preserve"> года</w:t>
      </w:r>
      <w:r w:rsidRPr="008B4012">
        <w:t>, касающ</w:t>
      </w:r>
      <w:r>
        <w:t>ееся профессионального обучения, тестирования</w:t>
      </w:r>
      <w:r w:rsidRPr="008B4012">
        <w:t xml:space="preserve">, </w:t>
      </w:r>
      <w:r>
        <w:t xml:space="preserve">сертификации и </w:t>
      </w:r>
      <w:r w:rsidRPr="008B4012">
        <w:t xml:space="preserve">регистрации </w:t>
      </w:r>
      <w:r>
        <w:t>уязвимых трудящихся.</w:t>
      </w:r>
    </w:p>
    <w:p w:rsidR="00AB358D" w:rsidRPr="008B4012" w:rsidRDefault="00AB358D" w:rsidP="00AB358D">
      <w:pPr>
        <w:widowControl w:val="0"/>
        <w:tabs>
          <w:tab w:val="clear" w:pos="567"/>
          <w:tab w:val="clear" w:pos="1134"/>
          <w:tab w:val="clear" w:pos="1701"/>
          <w:tab w:val="clear" w:pos="2268"/>
          <w:tab w:val="clear" w:pos="6237"/>
        </w:tabs>
        <w:autoSpaceDE w:val="0"/>
        <w:autoSpaceDN w:val="0"/>
        <w:adjustRightInd w:val="0"/>
      </w:pPr>
    </w:p>
    <w:p w:rsidR="00AB358D" w:rsidRDefault="00AB358D" w:rsidP="00AB358D">
      <w:pPr>
        <w:widowControl w:val="0"/>
        <w:numPr>
          <w:ilvl w:val="0"/>
          <w:numId w:val="4"/>
        </w:numPr>
        <w:tabs>
          <w:tab w:val="clear" w:pos="567"/>
          <w:tab w:val="clear" w:pos="1134"/>
          <w:tab w:val="clear" w:pos="1701"/>
          <w:tab w:val="clear" w:pos="2268"/>
          <w:tab w:val="clear" w:pos="6237"/>
        </w:tabs>
        <w:autoSpaceDE w:val="0"/>
        <w:autoSpaceDN w:val="0"/>
        <w:adjustRightInd w:val="0"/>
        <w:ind w:left="1134" w:hanging="573"/>
      </w:pPr>
      <w:r>
        <w:t>Распоряжение министерства</w:t>
      </w:r>
      <w:r w:rsidRPr="008B4012">
        <w:t xml:space="preserve"> </w:t>
      </w:r>
      <w:r>
        <w:t>№</w:t>
      </w:r>
      <w:r w:rsidRPr="008B4012">
        <w:t xml:space="preserve"> 21-95 и </w:t>
      </w:r>
      <w:r>
        <w:t>Распоряжение министерства</w:t>
      </w:r>
      <w:r w:rsidRPr="008B4012">
        <w:t xml:space="preserve"> </w:t>
      </w:r>
      <w:r>
        <w:t>№</w:t>
      </w:r>
      <w:r w:rsidRPr="008B4012">
        <w:t xml:space="preserve"> 18 </w:t>
      </w:r>
      <w:r>
        <w:t xml:space="preserve">серии </w:t>
      </w:r>
      <w:r w:rsidRPr="008B4012">
        <w:t>1995</w:t>
      </w:r>
      <w:r>
        <w:t xml:space="preserve"> года о совершенствовании</w:t>
      </w:r>
      <w:r w:rsidRPr="008B4012">
        <w:t xml:space="preserve"> услови</w:t>
      </w:r>
      <w:r>
        <w:t xml:space="preserve">й, </w:t>
      </w:r>
      <w:r w:rsidRPr="008B4012">
        <w:t>требовани</w:t>
      </w:r>
      <w:r>
        <w:t>й</w:t>
      </w:r>
      <w:r w:rsidRPr="008B4012">
        <w:t xml:space="preserve"> и процедур для </w:t>
      </w:r>
      <w:r>
        <w:t>направления на работу лиц творческих профессий.</w:t>
      </w:r>
      <w:r w:rsidRPr="008B4012">
        <w:t xml:space="preserve"> </w:t>
      </w:r>
    </w:p>
    <w:p w:rsidR="00AB358D" w:rsidRPr="008B4012" w:rsidRDefault="00AB358D" w:rsidP="00AB358D">
      <w:pPr>
        <w:widowControl w:val="0"/>
        <w:tabs>
          <w:tab w:val="clear" w:pos="567"/>
          <w:tab w:val="clear" w:pos="1134"/>
          <w:tab w:val="clear" w:pos="1701"/>
          <w:tab w:val="clear" w:pos="2268"/>
          <w:tab w:val="clear" w:pos="6237"/>
        </w:tabs>
        <w:autoSpaceDE w:val="0"/>
        <w:autoSpaceDN w:val="0"/>
        <w:adjustRightInd w:val="0"/>
      </w:pPr>
    </w:p>
    <w:p w:rsidR="00AB358D" w:rsidRDefault="00AB358D" w:rsidP="00AB358D">
      <w:pPr>
        <w:widowControl w:val="0"/>
        <w:numPr>
          <w:ilvl w:val="0"/>
          <w:numId w:val="4"/>
        </w:numPr>
        <w:tabs>
          <w:tab w:val="clear" w:pos="567"/>
          <w:tab w:val="clear" w:pos="1134"/>
          <w:tab w:val="clear" w:pos="1701"/>
          <w:tab w:val="clear" w:pos="2268"/>
          <w:tab w:val="clear" w:pos="6237"/>
        </w:tabs>
        <w:autoSpaceDE w:val="0"/>
        <w:autoSpaceDN w:val="0"/>
        <w:adjustRightInd w:val="0"/>
        <w:ind w:left="1134" w:hanging="573"/>
      </w:pPr>
      <w:r>
        <w:t>Распоряжение министерства</w:t>
      </w:r>
      <w:r w:rsidRPr="008B4012">
        <w:t xml:space="preserve"> </w:t>
      </w:r>
      <w:r>
        <w:t>№</w:t>
      </w:r>
      <w:r w:rsidRPr="008B4012">
        <w:t xml:space="preserve"> 09 </w:t>
      </w:r>
      <w:r>
        <w:t>серии</w:t>
      </w:r>
      <w:r w:rsidRPr="008B4012">
        <w:t xml:space="preserve"> 1997</w:t>
      </w:r>
      <w:r>
        <w:t xml:space="preserve"> года о либерализации</w:t>
      </w:r>
      <w:r w:rsidRPr="008B4012">
        <w:t xml:space="preserve"> регистраци</w:t>
      </w:r>
      <w:r>
        <w:t>и</w:t>
      </w:r>
      <w:r w:rsidRPr="008B4012">
        <w:t xml:space="preserve"> </w:t>
      </w:r>
      <w:r>
        <w:t>проф</w:t>
      </w:r>
      <w:r w:rsidRPr="008B4012">
        <w:t xml:space="preserve">союзов и других форм организаций </w:t>
      </w:r>
      <w:r>
        <w:t>трудящихся.</w:t>
      </w:r>
    </w:p>
    <w:p w:rsidR="00AB358D" w:rsidRPr="008B4012" w:rsidRDefault="00AB358D" w:rsidP="00AB358D">
      <w:pPr>
        <w:widowControl w:val="0"/>
        <w:tabs>
          <w:tab w:val="clear" w:pos="567"/>
          <w:tab w:val="clear" w:pos="1134"/>
          <w:tab w:val="clear" w:pos="1701"/>
          <w:tab w:val="clear" w:pos="2268"/>
          <w:tab w:val="clear" w:pos="6237"/>
        </w:tabs>
        <w:autoSpaceDE w:val="0"/>
        <w:autoSpaceDN w:val="0"/>
        <w:adjustRightInd w:val="0"/>
      </w:pPr>
    </w:p>
    <w:p w:rsidR="00AB358D" w:rsidRDefault="00AB358D" w:rsidP="00AB358D">
      <w:pPr>
        <w:widowControl w:val="0"/>
        <w:numPr>
          <w:ilvl w:val="0"/>
          <w:numId w:val="4"/>
        </w:numPr>
        <w:tabs>
          <w:tab w:val="clear" w:pos="567"/>
          <w:tab w:val="clear" w:pos="1134"/>
          <w:tab w:val="clear" w:pos="1701"/>
          <w:tab w:val="clear" w:pos="2268"/>
          <w:tab w:val="clear" w:pos="6237"/>
        </w:tabs>
        <w:autoSpaceDE w:val="0"/>
        <w:autoSpaceDN w:val="0"/>
        <w:adjustRightInd w:val="0"/>
        <w:ind w:left="1134" w:hanging="573"/>
      </w:pPr>
      <w:r>
        <w:t>Распоряжение министерства</w:t>
      </w:r>
      <w:r w:rsidRPr="008B4012">
        <w:t xml:space="preserve"> </w:t>
      </w:r>
      <w:r>
        <w:t>№</w:t>
      </w:r>
      <w:r w:rsidRPr="008B4012">
        <w:t xml:space="preserve"> 18 </w:t>
      </w:r>
      <w:r>
        <w:t xml:space="preserve">серии 2002 года о </w:t>
      </w:r>
      <w:r w:rsidRPr="008B4012">
        <w:t>новых правил</w:t>
      </w:r>
      <w:r>
        <w:t>ах заключения субподрядных договоров.</w:t>
      </w:r>
    </w:p>
    <w:p w:rsidR="00AB358D" w:rsidRPr="008B4012" w:rsidRDefault="00AB358D" w:rsidP="00AB358D">
      <w:pPr>
        <w:widowControl w:val="0"/>
        <w:tabs>
          <w:tab w:val="clear" w:pos="567"/>
          <w:tab w:val="clear" w:pos="1134"/>
          <w:tab w:val="clear" w:pos="1701"/>
          <w:tab w:val="clear" w:pos="2268"/>
          <w:tab w:val="clear" w:pos="6237"/>
        </w:tabs>
        <w:autoSpaceDE w:val="0"/>
        <w:autoSpaceDN w:val="0"/>
        <w:adjustRightInd w:val="0"/>
      </w:pPr>
    </w:p>
    <w:p w:rsidR="00AB358D" w:rsidRDefault="00AB358D" w:rsidP="00AB358D">
      <w:pPr>
        <w:widowControl w:val="0"/>
        <w:numPr>
          <w:ilvl w:val="0"/>
          <w:numId w:val="4"/>
        </w:numPr>
        <w:tabs>
          <w:tab w:val="clear" w:pos="567"/>
          <w:tab w:val="clear" w:pos="1134"/>
          <w:tab w:val="clear" w:pos="1701"/>
          <w:tab w:val="clear" w:pos="2268"/>
          <w:tab w:val="clear" w:pos="6237"/>
        </w:tabs>
        <w:autoSpaceDE w:val="0"/>
        <w:autoSpaceDN w:val="0"/>
        <w:adjustRightInd w:val="0"/>
        <w:ind w:left="1134" w:hanging="573"/>
      </w:pPr>
      <w:r>
        <w:t>Распоряжение министерства</w:t>
      </w:r>
      <w:r w:rsidRPr="008B4012">
        <w:t xml:space="preserve"> </w:t>
      </w:r>
      <w:r>
        <w:t>№ 10</w:t>
      </w:r>
      <w:r w:rsidRPr="008B4012">
        <w:t xml:space="preserve"> </w:t>
      </w:r>
      <w:r>
        <w:t xml:space="preserve">серии </w:t>
      </w:r>
      <w:r w:rsidRPr="008B4012">
        <w:t>199</w:t>
      </w:r>
      <w:r>
        <w:t>7 года</w:t>
      </w:r>
      <w:r w:rsidRPr="008B4012">
        <w:t xml:space="preserve"> </w:t>
      </w:r>
      <w:r>
        <w:t>о</w:t>
      </w:r>
      <w:r w:rsidRPr="008B4012">
        <w:t xml:space="preserve"> новых правилах </w:t>
      </w:r>
      <w:r>
        <w:t>заключения субподрядных договоров.</w:t>
      </w:r>
    </w:p>
    <w:p w:rsidR="00AB358D" w:rsidRPr="008B4012" w:rsidRDefault="00AB358D" w:rsidP="00AB358D">
      <w:pPr>
        <w:widowControl w:val="0"/>
        <w:tabs>
          <w:tab w:val="clear" w:pos="567"/>
          <w:tab w:val="clear" w:pos="1134"/>
          <w:tab w:val="clear" w:pos="1701"/>
          <w:tab w:val="clear" w:pos="2268"/>
          <w:tab w:val="clear" w:pos="6237"/>
        </w:tabs>
        <w:autoSpaceDE w:val="0"/>
        <w:autoSpaceDN w:val="0"/>
        <w:adjustRightInd w:val="0"/>
      </w:pPr>
    </w:p>
    <w:p w:rsidR="00AB358D" w:rsidRDefault="00AB358D" w:rsidP="00AB358D">
      <w:pPr>
        <w:widowControl w:val="0"/>
        <w:numPr>
          <w:ilvl w:val="0"/>
          <w:numId w:val="4"/>
        </w:numPr>
        <w:tabs>
          <w:tab w:val="clear" w:pos="567"/>
          <w:tab w:val="clear" w:pos="1134"/>
          <w:tab w:val="clear" w:pos="1701"/>
          <w:tab w:val="clear" w:pos="2268"/>
          <w:tab w:val="clear" w:pos="6237"/>
        </w:tabs>
        <w:autoSpaceDE w:val="0"/>
        <w:autoSpaceDN w:val="0"/>
        <w:adjustRightInd w:val="0"/>
        <w:ind w:left="1134" w:hanging="573"/>
      </w:pPr>
      <w:r>
        <w:t>Распоряжение министерства</w:t>
      </w:r>
      <w:r w:rsidRPr="008B4012">
        <w:t xml:space="preserve"> </w:t>
      </w:r>
      <w:r>
        <w:t>№ 19</w:t>
      </w:r>
      <w:r w:rsidRPr="008B4012">
        <w:t xml:space="preserve"> и </w:t>
      </w:r>
      <w:r>
        <w:t>М</w:t>
      </w:r>
      <w:r w:rsidRPr="008B4012">
        <w:t>еморандум</w:t>
      </w:r>
      <w:r>
        <w:t>-циркуляр</w:t>
      </w:r>
      <w:r w:rsidRPr="008B4012">
        <w:t xml:space="preserve"> </w:t>
      </w:r>
      <w:r>
        <w:t>№</w:t>
      </w:r>
      <w:r w:rsidRPr="008B4012">
        <w:t xml:space="preserve"> 19 </w:t>
      </w:r>
      <w:r>
        <w:t>серии</w:t>
      </w:r>
      <w:r w:rsidRPr="008B4012">
        <w:t xml:space="preserve"> 1997</w:t>
      </w:r>
      <w:r>
        <w:t> года</w:t>
      </w:r>
      <w:r w:rsidRPr="008B4012">
        <w:t xml:space="preserve">, </w:t>
      </w:r>
      <w:r>
        <w:t>вводящие требование в отношении</w:t>
      </w:r>
      <w:r w:rsidRPr="008B4012">
        <w:t xml:space="preserve"> </w:t>
      </w:r>
      <w:r>
        <w:t>обучения</w:t>
      </w:r>
      <w:r w:rsidRPr="008B4012">
        <w:t xml:space="preserve">, </w:t>
      </w:r>
      <w:r>
        <w:t>тестирования</w:t>
      </w:r>
      <w:r w:rsidRPr="008B4012">
        <w:t xml:space="preserve">, </w:t>
      </w:r>
      <w:r>
        <w:t>сертификации</w:t>
      </w:r>
      <w:r w:rsidRPr="008B4012">
        <w:t xml:space="preserve"> и регистрации </w:t>
      </w:r>
      <w:r>
        <w:t>местных работников</w:t>
      </w:r>
      <w:r w:rsidRPr="008B4012">
        <w:t xml:space="preserve">, </w:t>
      </w:r>
      <w:r>
        <w:t>выполняющих функции домашней прислуги</w:t>
      </w:r>
      <w:r w:rsidRPr="008B4012">
        <w:t>,</w:t>
      </w:r>
      <w:r>
        <w:t xml:space="preserve"> которых планируется </w:t>
      </w:r>
      <w:r w:rsidRPr="008B4012">
        <w:t>направ</w:t>
      </w:r>
      <w:r>
        <w:t>ить</w:t>
      </w:r>
      <w:r w:rsidRPr="008B4012">
        <w:t xml:space="preserve"> в Королевство Саудовск</w:t>
      </w:r>
      <w:r>
        <w:t>ая Аравия</w:t>
      </w:r>
      <w:r w:rsidRPr="008B4012">
        <w:t xml:space="preserve"> и </w:t>
      </w:r>
      <w:r>
        <w:t>Кувейт.</w:t>
      </w:r>
    </w:p>
    <w:p w:rsidR="00AB358D" w:rsidRPr="008B4012" w:rsidRDefault="00AB358D" w:rsidP="00AB358D">
      <w:pPr>
        <w:widowControl w:val="0"/>
        <w:tabs>
          <w:tab w:val="clear" w:pos="567"/>
          <w:tab w:val="clear" w:pos="1134"/>
          <w:tab w:val="clear" w:pos="1701"/>
          <w:tab w:val="clear" w:pos="2268"/>
          <w:tab w:val="clear" w:pos="6237"/>
        </w:tabs>
        <w:autoSpaceDE w:val="0"/>
        <w:autoSpaceDN w:val="0"/>
        <w:adjustRightInd w:val="0"/>
      </w:pPr>
    </w:p>
    <w:p w:rsidR="00AB358D" w:rsidRDefault="00AB358D" w:rsidP="00AB358D">
      <w:pPr>
        <w:widowControl w:val="0"/>
        <w:numPr>
          <w:ilvl w:val="0"/>
          <w:numId w:val="4"/>
        </w:numPr>
        <w:tabs>
          <w:tab w:val="clear" w:pos="567"/>
          <w:tab w:val="clear" w:pos="1134"/>
          <w:tab w:val="clear" w:pos="1701"/>
          <w:tab w:val="clear" w:pos="2268"/>
          <w:tab w:val="clear" w:pos="6237"/>
        </w:tabs>
        <w:autoSpaceDE w:val="0"/>
        <w:autoSpaceDN w:val="0"/>
        <w:adjustRightInd w:val="0"/>
        <w:ind w:left="1134" w:hanging="573"/>
      </w:pPr>
      <w:r>
        <w:t>Распоряжение министерства</w:t>
      </w:r>
      <w:r w:rsidRPr="008B4012">
        <w:t xml:space="preserve"> </w:t>
      </w:r>
      <w:r>
        <w:t xml:space="preserve">№ 14 серии 2001 года по рекомендациям в отношении </w:t>
      </w:r>
      <w:r w:rsidRPr="008B4012">
        <w:t>занятост</w:t>
      </w:r>
      <w:r>
        <w:t>и</w:t>
      </w:r>
      <w:r w:rsidRPr="008B4012">
        <w:t xml:space="preserve"> и услови</w:t>
      </w:r>
      <w:r>
        <w:t>й</w:t>
      </w:r>
      <w:r w:rsidRPr="008B4012">
        <w:t xml:space="preserve"> </w:t>
      </w:r>
      <w:r>
        <w:t xml:space="preserve">труда сотрудников </w:t>
      </w:r>
      <w:r w:rsidRPr="008B4012">
        <w:t>охран</w:t>
      </w:r>
      <w:r>
        <w:t>ы</w:t>
      </w:r>
      <w:r w:rsidRPr="008B4012">
        <w:t xml:space="preserve"> и </w:t>
      </w:r>
      <w:r>
        <w:t xml:space="preserve">аналогичного </w:t>
      </w:r>
      <w:r w:rsidRPr="008B4012">
        <w:t xml:space="preserve">персонала в </w:t>
      </w:r>
      <w:r>
        <w:t>секторе вневедомственной охраны.</w:t>
      </w:r>
    </w:p>
    <w:p w:rsidR="00AB358D" w:rsidRDefault="00AB358D" w:rsidP="00AB358D">
      <w:pPr>
        <w:widowControl w:val="0"/>
        <w:tabs>
          <w:tab w:val="clear" w:pos="567"/>
          <w:tab w:val="clear" w:pos="1134"/>
          <w:tab w:val="clear" w:pos="1701"/>
          <w:tab w:val="clear" w:pos="2268"/>
          <w:tab w:val="clear" w:pos="6237"/>
        </w:tabs>
        <w:autoSpaceDE w:val="0"/>
        <w:autoSpaceDN w:val="0"/>
        <w:adjustRightInd w:val="0"/>
      </w:pPr>
    </w:p>
    <w:p w:rsidR="00AB358D" w:rsidRPr="008B4012" w:rsidRDefault="00AB358D" w:rsidP="00AB358D">
      <w:pPr>
        <w:widowControl w:val="0"/>
        <w:numPr>
          <w:ilvl w:val="0"/>
          <w:numId w:val="4"/>
        </w:numPr>
        <w:tabs>
          <w:tab w:val="clear" w:pos="567"/>
          <w:tab w:val="clear" w:pos="1134"/>
          <w:tab w:val="clear" w:pos="1701"/>
          <w:tab w:val="clear" w:pos="2268"/>
          <w:tab w:val="clear" w:pos="6237"/>
        </w:tabs>
        <w:autoSpaceDE w:val="0"/>
        <w:autoSpaceDN w:val="0"/>
        <w:adjustRightInd w:val="0"/>
        <w:ind w:left="1134" w:hanging="573"/>
      </w:pPr>
      <w:r>
        <w:t>Распоряжение министерства</w:t>
      </w:r>
      <w:r w:rsidRPr="008B4012">
        <w:t xml:space="preserve"> </w:t>
      </w:r>
      <w:r>
        <w:t>№</w:t>
      </w:r>
      <w:r w:rsidRPr="008B4012">
        <w:t xml:space="preserve"> 65-04 </w:t>
      </w:r>
      <w:r>
        <w:t>о п</w:t>
      </w:r>
      <w:r w:rsidRPr="008B4012">
        <w:t xml:space="preserve">равилах и </w:t>
      </w:r>
      <w:r>
        <w:t>и</w:t>
      </w:r>
      <w:r w:rsidRPr="008B4012">
        <w:t>нструкциях</w:t>
      </w:r>
      <w:r>
        <w:t xml:space="preserve"> по</w:t>
      </w:r>
      <w:r w:rsidRPr="008B4012">
        <w:t xml:space="preserve"> осуществл</w:t>
      </w:r>
      <w:r>
        <w:t>ению</w:t>
      </w:r>
      <w:r w:rsidRPr="008B4012">
        <w:t xml:space="preserve"> Республик</w:t>
      </w:r>
      <w:r>
        <w:t>анского закона</w:t>
      </w:r>
      <w:r w:rsidRPr="008B4012">
        <w:t xml:space="preserve"> </w:t>
      </w:r>
      <w:r>
        <w:t xml:space="preserve">№ </w:t>
      </w:r>
      <w:r w:rsidRPr="008B4012">
        <w:t>9321</w:t>
      </w:r>
      <w:r>
        <w:t>, вносящего поправки</w:t>
      </w:r>
      <w:r w:rsidRPr="008B4012">
        <w:t xml:space="preserve"> </w:t>
      </w:r>
      <w:r>
        <w:t>в РЗ № </w:t>
      </w:r>
      <w:r w:rsidRPr="008B4012">
        <w:t xml:space="preserve">7610, </w:t>
      </w:r>
      <w:r>
        <w:t>с внесенными в него изменениями</w:t>
      </w:r>
      <w:r w:rsidRPr="008B4012">
        <w:t>.</w:t>
      </w:r>
    </w:p>
    <w:p w:rsidR="00DF1F0B" w:rsidRDefault="00DF1F0B" w:rsidP="00DF1F0B"/>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pPr>
      <w:r>
        <w:t>186.</w:t>
      </w:r>
      <w:r>
        <w:tab/>
        <w:t xml:space="preserve">Направленность </w:t>
      </w:r>
      <w:r w:rsidRPr="008B4012">
        <w:t>интерпретиру</w:t>
      </w:r>
      <w:r>
        <w:t>ющих</w:t>
      </w:r>
      <w:r w:rsidRPr="008B4012">
        <w:t xml:space="preserve"> эти законы и инструкции</w:t>
      </w:r>
      <w:r>
        <w:t xml:space="preserve"> судебных решений</w:t>
      </w:r>
      <w:r w:rsidRPr="008B4012">
        <w:t xml:space="preserve"> </w:t>
      </w:r>
      <w:r>
        <w:t>подтверждает</w:t>
      </w:r>
      <w:r w:rsidRPr="008B4012">
        <w:t xml:space="preserve"> </w:t>
      </w:r>
      <w:r>
        <w:t xml:space="preserve">предусмотренную в Конституции </w:t>
      </w:r>
      <w:r w:rsidRPr="008B4012">
        <w:t>политику защиты</w:t>
      </w:r>
      <w:r>
        <w:t xml:space="preserve"> трудящихся</w:t>
      </w:r>
      <w:r w:rsidRPr="008B4012">
        <w:t xml:space="preserve"> и </w:t>
      </w:r>
      <w:r>
        <w:t xml:space="preserve">право </w:t>
      </w:r>
      <w:r w:rsidRPr="008B4012">
        <w:t>полиц</w:t>
      </w:r>
      <w:r>
        <w:t>ии принимать меры</w:t>
      </w:r>
      <w:r w:rsidRPr="008B4012">
        <w:t xml:space="preserve"> в случаях, </w:t>
      </w:r>
      <w:r>
        <w:t>когда трудящимся создают условия труда, равносильные их эксплуатации</w:t>
      </w:r>
      <w:r w:rsidRPr="008B4012">
        <w:t>.</w:t>
      </w:r>
    </w:p>
    <w:p w:rsidR="00DF1F0B" w:rsidRPr="008B4012" w:rsidRDefault="00DF1F0B" w:rsidP="00DF1F0B">
      <w:pPr>
        <w:widowControl w:val="0"/>
        <w:numPr>
          <w:ilvl w:val="12"/>
          <w:numId w:val="0"/>
        </w:numPr>
        <w:autoSpaceDE w:val="0"/>
        <w:autoSpaceDN w:val="0"/>
        <w:adjustRightInd w:val="0"/>
      </w:pPr>
    </w:p>
    <w:p w:rsidR="00DF1F0B" w:rsidRPr="008B4012" w:rsidRDefault="00DF1F0B" w:rsidP="0039615B">
      <w:pPr>
        <w:widowControl w:val="0"/>
        <w:numPr>
          <w:ilvl w:val="12"/>
          <w:numId w:val="0"/>
        </w:numPr>
        <w:tabs>
          <w:tab w:val="clear" w:pos="1701"/>
          <w:tab w:val="left" w:pos="1540"/>
        </w:tabs>
        <w:autoSpaceDE w:val="0"/>
        <w:autoSpaceDN w:val="0"/>
        <w:adjustRightInd w:val="0"/>
        <w:rPr>
          <w:b/>
          <w:bCs/>
        </w:rPr>
      </w:pPr>
      <w:r w:rsidRPr="008B4012">
        <w:rPr>
          <w:b/>
          <w:bCs/>
        </w:rPr>
        <w:t xml:space="preserve">Вопрос </w:t>
      </w:r>
      <w:r>
        <w:rPr>
          <w:b/>
          <w:bCs/>
        </w:rPr>
        <w:t>№</w:t>
      </w:r>
      <w:r w:rsidRPr="008B4012">
        <w:rPr>
          <w:b/>
          <w:bCs/>
        </w:rPr>
        <w:t xml:space="preserve"> 6</w:t>
      </w:r>
      <w:r w:rsidR="0039615B">
        <w:rPr>
          <w:b/>
          <w:bCs/>
        </w:rPr>
        <w:t>.</w:t>
      </w:r>
      <w:r w:rsidR="0039615B">
        <w:rPr>
          <w:b/>
          <w:bCs/>
        </w:rPr>
        <w:tab/>
      </w:r>
      <w:r w:rsidRPr="008B4012">
        <w:rPr>
          <w:b/>
          <w:bCs/>
        </w:rPr>
        <w:t xml:space="preserve">Международная помощь в </w:t>
      </w:r>
      <w:r>
        <w:rPr>
          <w:b/>
          <w:bCs/>
        </w:rPr>
        <w:t xml:space="preserve">целях </w:t>
      </w:r>
      <w:r w:rsidRPr="008B4012">
        <w:rPr>
          <w:b/>
          <w:bCs/>
        </w:rPr>
        <w:t>полно</w:t>
      </w:r>
      <w:r>
        <w:rPr>
          <w:b/>
          <w:bCs/>
        </w:rPr>
        <w:t>го осуществления</w:t>
      </w:r>
      <w:r w:rsidRPr="008B4012">
        <w:rPr>
          <w:b/>
          <w:bCs/>
        </w:rPr>
        <w:t xml:space="preserve"> права</w:t>
      </w:r>
      <w:r>
        <w:rPr>
          <w:b/>
          <w:bCs/>
        </w:rPr>
        <w:t xml:space="preserve"> на</w:t>
      </w:r>
      <w:r w:rsidRPr="008B4012">
        <w:rPr>
          <w:b/>
          <w:bCs/>
        </w:rPr>
        <w:t xml:space="preserve"> </w:t>
      </w:r>
      <w:r>
        <w:rPr>
          <w:b/>
          <w:bCs/>
        </w:rPr>
        <w:t>труд</w:t>
      </w:r>
    </w:p>
    <w:p w:rsidR="00DF1F0B" w:rsidRPr="008B4012" w:rsidRDefault="00DF1F0B" w:rsidP="00DF1F0B">
      <w:pPr>
        <w:widowControl w:val="0"/>
        <w:numPr>
          <w:ilvl w:val="12"/>
          <w:numId w:val="0"/>
        </w:numPr>
        <w:autoSpaceDE w:val="0"/>
        <w:autoSpaceDN w:val="0"/>
        <w:adjustRightInd w:val="0"/>
        <w:rPr>
          <w:b/>
          <w:bCs/>
        </w:rPr>
      </w:pPr>
    </w:p>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pPr>
      <w:r>
        <w:t>187.</w:t>
      </w:r>
      <w:r>
        <w:tab/>
        <w:t>Всем</w:t>
      </w:r>
      <w:r w:rsidRPr="008B4012">
        <w:t>ир</w:t>
      </w:r>
      <w:r>
        <w:t>ный</w:t>
      </w:r>
      <w:r w:rsidRPr="008B4012">
        <w:t xml:space="preserve"> </w:t>
      </w:r>
      <w:r>
        <w:t>б</w:t>
      </w:r>
      <w:r w:rsidRPr="008B4012">
        <w:t xml:space="preserve">анк </w:t>
      </w:r>
      <w:r>
        <w:t xml:space="preserve">выделил средства на </w:t>
      </w:r>
      <w:r w:rsidRPr="008B4012">
        <w:t>финансирова</w:t>
      </w:r>
      <w:r>
        <w:t>ние</w:t>
      </w:r>
      <w:r w:rsidRPr="008B4012">
        <w:t xml:space="preserve"> Проект</w:t>
      </w:r>
      <w:r>
        <w:t>а п</w:t>
      </w:r>
      <w:r w:rsidRPr="008B4012">
        <w:t>рофессионально</w:t>
      </w:r>
      <w:r>
        <w:t xml:space="preserve">-технической подготовки </w:t>
      </w:r>
      <w:r w:rsidRPr="008B4012">
        <w:t xml:space="preserve">II, </w:t>
      </w:r>
      <w:r>
        <w:t xml:space="preserve">призванного </w:t>
      </w:r>
      <w:r w:rsidRPr="008B4012">
        <w:t>поддержать усилия правительств</w:t>
      </w:r>
      <w:r>
        <w:t>а</w:t>
      </w:r>
      <w:r w:rsidRPr="008B4012">
        <w:t xml:space="preserve"> </w:t>
      </w:r>
      <w:r>
        <w:t xml:space="preserve">по </w:t>
      </w:r>
      <w:r w:rsidRPr="008B4012">
        <w:t>созда</w:t>
      </w:r>
      <w:r>
        <w:t>нию</w:t>
      </w:r>
      <w:r w:rsidRPr="008B4012">
        <w:t xml:space="preserve"> сред</w:t>
      </w:r>
      <w:r>
        <w:t>ы</w:t>
      </w:r>
      <w:r w:rsidRPr="008B4012">
        <w:t xml:space="preserve">, </w:t>
      </w:r>
      <w:r>
        <w:t xml:space="preserve">привлекательной для </w:t>
      </w:r>
      <w:r w:rsidRPr="008B4012">
        <w:t>инвестици</w:t>
      </w:r>
      <w:r>
        <w:t>й и способствующей созданию рабочих мест</w:t>
      </w:r>
      <w:r w:rsidRPr="008B4012">
        <w:t>.</w:t>
      </w:r>
    </w:p>
    <w:p w:rsidR="00DF1F0B" w:rsidRPr="008B4012" w:rsidRDefault="00DF1F0B" w:rsidP="00F53B7F">
      <w:pPr>
        <w:widowControl w:val="0"/>
        <w:numPr>
          <w:ilvl w:val="12"/>
          <w:numId w:val="0"/>
        </w:numPr>
        <w:autoSpaceDE w:val="0"/>
        <w:autoSpaceDN w:val="0"/>
        <w:adjustRightInd w:val="0"/>
        <w:spacing w:line="240" w:lineRule="auto"/>
        <w:ind w:left="1440" w:hanging="720"/>
      </w:pPr>
    </w:p>
    <w:p w:rsidR="00DF1F0B" w:rsidRPr="008B4012" w:rsidRDefault="00DF1F0B" w:rsidP="00F53B7F">
      <w:pPr>
        <w:widowControl w:val="0"/>
        <w:numPr>
          <w:ilvl w:val="12"/>
          <w:numId w:val="0"/>
        </w:numPr>
        <w:autoSpaceDE w:val="0"/>
        <w:autoSpaceDN w:val="0"/>
        <w:adjustRightInd w:val="0"/>
        <w:spacing w:line="240" w:lineRule="auto"/>
        <w:jc w:val="center"/>
        <w:rPr>
          <w:b/>
          <w:bCs/>
          <w:smallCaps/>
        </w:rPr>
      </w:pPr>
      <w:r w:rsidRPr="008B4012">
        <w:rPr>
          <w:b/>
          <w:bCs/>
        </w:rPr>
        <w:t>Статья 7</w:t>
      </w:r>
    </w:p>
    <w:p w:rsidR="00DF1F0B" w:rsidRPr="008B4012" w:rsidRDefault="00DF1F0B" w:rsidP="00F53B7F">
      <w:pPr>
        <w:widowControl w:val="0"/>
        <w:numPr>
          <w:ilvl w:val="12"/>
          <w:numId w:val="0"/>
        </w:numPr>
        <w:autoSpaceDE w:val="0"/>
        <w:autoSpaceDN w:val="0"/>
        <w:adjustRightInd w:val="0"/>
        <w:spacing w:line="240" w:lineRule="auto"/>
        <w:rPr>
          <w:smallCaps/>
        </w:rPr>
      </w:pPr>
    </w:p>
    <w:p w:rsidR="00DF1F0B" w:rsidRPr="008B4012" w:rsidRDefault="00DF1F0B" w:rsidP="0039615B">
      <w:pPr>
        <w:widowControl w:val="0"/>
        <w:numPr>
          <w:ilvl w:val="12"/>
          <w:numId w:val="0"/>
        </w:numPr>
        <w:tabs>
          <w:tab w:val="clear" w:pos="1701"/>
          <w:tab w:val="left" w:pos="1540"/>
        </w:tabs>
        <w:autoSpaceDE w:val="0"/>
        <w:autoSpaceDN w:val="0"/>
        <w:adjustRightInd w:val="0"/>
      </w:pPr>
      <w:r w:rsidRPr="008B4012">
        <w:rPr>
          <w:b/>
          <w:bCs/>
        </w:rPr>
        <w:t xml:space="preserve">Вопрос </w:t>
      </w:r>
      <w:r>
        <w:rPr>
          <w:b/>
          <w:bCs/>
        </w:rPr>
        <w:t>№</w:t>
      </w:r>
      <w:r w:rsidRPr="008B4012">
        <w:rPr>
          <w:b/>
          <w:bCs/>
        </w:rPr>
        <w:t xml:space="preserve"> 1.</w:t>
      </w:r>
      <w:r w:rsidR="0039615B">
        <w:rPr>
          <w:b/>
          <w:bCs/>
        </w:rPr>
        <w:tab/>
      </w:r>
      <w:r>
        <w:rPr>
          <w:b/>
          <w:bCs/>
        </w:rPr>
        <w:t>Конвенции МОТ</w:t>
      </w:r>
      <w:r w:rsidRPr="008B4012">
        <w:rPr>
          <w:b/>
          <w:bCs/>
        </w:rPr>
        <w:t xml:space="preserve">, </w:t>
      </w:r>
      <w:r>
        <w:rPr>
          <w:b/>
          <w:bCs/>
        </w:rPr>
        <w:t xml:space="preserve">участником </w:t>
      </w:r>
      <w:r w:rsidRPr="008B4012">
        <w:rPr>
          <w:b/>
          <w:bCs/>
        </w:rPr>
        <w:t>которы</w:t>
      </w:r>
      <w:r>
        <w:rPr>
          <w:b/>
          <w:bCs/>
        </w:rPr>
        <w:t>х</w:t>
      </w:r>
      <w:r w:rsidRPr="008B4012">
        <w:rPr>
          <w:b/>
          <w:bCs/>
        </w:rPr>
        <w:t xml:space="preserve"> </w:t>
      </w:r>
      <w:r>
        <w:rPr>
          <w:b/>
          <w:bCs/>
        </w:rPr>
        <w:t xml:space="preserve">являются </w:t>
      </w:r>
      <w:r w:rsidRPr="008B4012">
        <w:rPr>
          <w:b/>
          <w:bCs/>
        </w:rPr>
        <w:t xml:space="preserve">Филиппины </w:t>
      </w:r>
    </w:p>
    <w:p w:rsidR="00DF1F0B" w:rsidRPr="008B4012" w:rsidRDefault="00DF1F0B" w:rsidP="00DF1F0B">
      <w:pPr>
        <w:widowControl w:val="0"/>
        <w:numPr>
          <w:ilvl w:val="12"/>
          <w:numId w:val="0"/>
        </w:numPr>
        <w:autoSpaceDE w:val="0"/>
        <w:autoSpaceDN w:val="0"/>
        <w:adjustRightInd w:val="0"/>
        <w:rPr>
          <w:b/>
          <w:bCs/>
        </w:rPr>
      </w:pPr>
    </w:p>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pPr>
      <w:r>
        <w:t>188.</w:t>
      </w:r>
      <w:r>
        <w:tab/>
      </w:r>
      <w:r w:rsidRPr="008B4012">
        <w:t xml:space="preserve">Филиппины не </w:t>
      </w:r>
      <w:r>
        <w:t>являются</w:t>
      </w:r>
      <w:r w:rsidRPr="008B4012">
        <w:t xml:space="preserve"> </w:t>
      </w:r>
      <w:r>
        <w:t>государством-участником</w:t>
      </w:r>
      <w:r w:rsidRPr="008B4012">
        <w:t xml:space="preserve"> следующи</w:t>
      </w:r>
      <w:r>
        <w:t>х</w:t>
      </w:r>
      <w:r w:rsidRPr="008B4012">
        <w:t xml:space="preserve"> </w:t>
      </w:r>
      <w:r>
        <w:t>Конвенций</w:t>
      </w:r>
      <w:r w:rsidRPr="008B4012">
        <w:t>:</w:t>
      </w:r>
    </w:p>
    <w:p w:rsidR="00DF1F0B" w:rsidRPr="008B4012" w:rsidRDefault="00DF1F0B" w:rsidP="00DF1F0B">
      <w:pPr>
        <w:widowControl w:val="0"/>
        <w:autoSpaceDE w:val="0"/>
        <w:autoSpaceDN w:val="0"/>
        <w:adjustRightInd w:val="0"/>
      </w:pPr>
    </w:p>
    <w:p w:rsidR="00DF1F0B" w:rsidRPr="008B4012" w:rsidRDefault="00DF1F0B" w:rsidP="00DF1F0B">
      <w:pPr>
        <w:widowControl w:val="0"/>
        <w:numPr>
          <w:ilvl w:val="0"/>
          <w:numId w:val="4"/>
        </w:numPr>
        <w:tabs>
          <w:tab w:val="clear" w:pos="1134"/>
          <w:tab w:val="clear" w:pos="1701"/>
          <w:tab w:val="clear" w:pos="2268"/>
          <w:tab w:val="clear" w:pos="6237"/>
          <w:tab w:val="left" w:pos="567"/>
          <w:tab w:val="left" w:pos="720"/>
          <w:tab w:val="left" w:pos="1122"/>
        </w:tabs>
        <w:autoSpaceDE w:val="0"/>
        <w:autoSpaceDN w:val="0"/>
        <w:adjustRightInd w:val="0"/>
        <w:spacing w:after="120"/>
        <w:ind w:left="1122" w:hanging="561"/>
      </w:pPr>
      <w:r>
        <w:t>Конвенции</w:t>
      </w:r>
      <w:r>
        <w:rPr>
          <w:smallCaps/>
        </w:rPr>
        <w:t xml:space="preserve"> МОТ №</w:t>
      </w:r>
      <w:r w:rsidRPr="008B4012">
        <w:t xml:space="preserve"> 131 (</w:t>
      </w:r>
      <w:r>
        <w:t>Конвенция 1970 года об установлении м</w:t>
      </w:r>
      <w:r w:rsidRPr="008B4012">
        <w:t>инимальн</w:t>
      </w:r>
      <w:r>
        <w:t>ой</w:t>
      </w:r>
      <w:r w:rsidRPr="008B4012">
        <w:t xml:space="preserve"> </w:t>
      </w:r>
      <w:r>
        <w:t>заработной платы)</w:t>
      </w:r>
      <w:r w:rsidRPr="008B4012">
        <w:t>;</w:t>
      </w:r>
    </w:p>
    <w:p w:rsidR="00DF1F0B" w:rsidRPr="008B4012" w:rsidRDefault="00DF1F0B" w:rsidP="00DF1F0B">
      <w:pPr>
        <w:widowControl w:val="0"/>
        <w:numPr>
          <w:ilvl w:val="0"/>
          <w:numId w:val="4"/>
        </w:numPr>
        <w:tabs>
          <w:tab w:val="clear" w:pos="1134"/>
          <w:tab w:val="clear" w:pos="1701"/>
          <w:tab w:val="clear" w:pos="2268"/>
          <w:tab w:val="clear" w:pos="6237"/>
          <w:tab w:val="left" w:pos="567"/>
          <w:tab w:val="left" w:pos="720"/>
          <w:tab w:val="left" w:pos="1122"/>
        </w:tabs>
        <w:autoSpaceDE w:val="0"/>
        <w:autoSpaceDN w:val="0"/>
        <w:adjustRightInd w:val="0"/>
        <w:spacing w:before="120" w:after="120"/>
        <w:ind w:left="1122" w:hanging="561"/>
      </w:pPr>
      <w:r>
        <w:t>Конвенции</w:t>
      </w:r>
      <w:r>
        <w:rPr>
          <w:smallCaps/>
        </w:rPr>
        <w:t xml:space="preserve"> МОТ №</w:t>
      </w:r>
      <w:r w:rsidRPr="008B4012">
        <w:t xml:space="preserve"> 14 (</w:t>
      </w:r>
      <w:r>
        <w:t>Конвенция 1921 года о е</w:t>
      </w:r>
      <w:r w:rsidRPr="008B4012">
        <w:t>женедельно</w:t>
      </w:r>
      <w:r>
        <w:t>м о</w:t>
      </w:r>
      <w:r w:rsidRPr="008B4012">
        <w:t>тдых</w:t>
      </w:r>
      <w:r>
        <w:t>е в п</w:t>
      </w:r>
      <w:r w:rsidRPr="008B4012">
        <w:t>ромышленност</w:t>
      </w:r>
      <w:r>
        <w:t>и</w:t>
      </w:r>
      <w:r w:rsidRPr="008B4012">
        <w:t>);</w:t>
      </w:r>
    </w:p>
    <w:p w:rsidR="00DF1F0B" w:rsidRPr="008B4012" w:rsidRDefault="00DF1F0B" w:rsidP="00DF1F0B">
      <w:pPr>
        <w:widowControl w:val="0"/>
        <w:numPr>
          <w:ilvl w:val="0"/>
          <w:numId w:val="4"/>
        </w:numPr>
        <w:tabs>
          <w:tab w:val="clear" w:pos="1134"/>
          <w:tab w:val="clear" w:pos="1701"/>
          <w:tab w:val="clear" w:pos="2268"/>
          <w:tab w:val="clear" w:pos="6237"/>
          <w:tab w:val="left" w:pos="567"/>
          <w:tab w:val="left" w:pos="720"/>
          <w:tab w:val="left" w:pos="1122"/>
        </w:tabs>
        <w:autoSpaceDE w:val="0"/>
        <w:autoSpaceDN w:val="0"/>
        <w:adjustRightInd w:val="0"/>
        <w:spacing w:before="120" w:after="120"/>
        <w:ind w:left="1122" w:hanging="561"/>
      </w:pPr>
      <w:r>
        <w:t>Конвенции МОТ №</w:t>
      </w:r>
      <w:r w:rsidRPr="008B4012">
        <w:t xml:space="preserve"> 106 (</w:t>
      </w:r>
      <w:r>
        <w:t>Конвенция  1957 года о е</w:t>
      </w:r>
      <w:r w:rsidRPr="008B4012">
        <w:t>женедельно</w:t>
      </w:r>
      <w:r>
        <w:t>м о</w:t>
      </w:r>
      <w:r w:rsidRPr="008B4012">
        <w:t>тдых</w:t>
      </w:r>
      <w:r>
        <w:t>е в</w:t>
      </w:r>
      <w:r w:rsidRPr="008B4012">
        <w:t xml:space="preserve"> </w:t>
      </w:r>
      <w:r>
        <w:t>т</w:t>
      </w:r>
      <w:r w:rsidRPr="008B4012">
        <w:t>орговл</w:t>
      </w:r>
      <w:r>
        <w:t>е</w:t>
      </w:r>
      <w:r w:rsidRPr="008B4012">
        <w:t xml:space="preserve"> и </w:t>
      </w:r>
      <w:r>
        <w:t>учреждениях);</w:t>
      </w:r>
    </w:p>
    <w:p w:rsidR="00DF1F0B" w:rsidRPr="008B4012" w:rsidRDefault="00DF1F0B" w:rsidP="00DF1F0B">
      <w:pPr>
        <w:widowControl w:val="0"/>
        <w:numPr>
          <w:ilvl w:val="0"/>
          <w:numId w:val="4"/>
        </w:numPr>
        <w:tabs>
          <w:tab w:val="clear" w:pos="1134"/>
          <w:tab w:val="clear" w:pos="1701"/>
          <w:tab w:val="clear" w:pos="2268"/>
          <w:tab w:val="clear" w:pos="6237"/>
          <w:tab w:val="left" w:pos="567"/>
          <w:tab w:val="left" w:pos="720"/>
          <w:tab w:val="left" w:pos="1122"/>
        </w:tabs>
        <w:autoSpaceDE w:val="0"/>
        <w:autoSpaceDN w:val="0"/>
        <w:adjustRightInd w:val="0"/>
        <w:spacing w:before="120" w:after="120"/>
        <w:ind w:left="1122" w:hanging="561"/>
      </w:pPr>
      <w:r>
        <w:t>Конвенции</w:t>
      </w:r>
      <w:r>
        <w:rPr>
          <w:smallCaps/>
        </w:rPr>
        <w:t xml:space="preserve"> МОТ №</w:t>
      </w:r>
      <w:r w:rsidRPr="008B4012">
        <w:t xml:space="preserve"> 132 (</w:t>
      </w:r>
      <w:r>
        <w:t>Конвенция</w:t>
      </w:r>
      <w:r w:rsidRPr="008B4012">
        <w:t xml:space="preserve"> </w:t>
      </w:r>
      <w:r>
        <w:t>[п</w:t>
      </w:r>
      <w:r w:rsidRPr="008B4012">
        <w:t>ересмотренн</w:t>
      </w:r>
      <w:r>
        <w:t>ая] 1970 года об</w:t>
      </w:r>
      <w:r w:rsidRPr="008B4012">
        <w:t xml:space="preserve"> </w:t>
      </w:r>
      <w:r>
        <w:t>о</w:t>
      </w:r>
      <w:r w:rsidRPr="008B4012">
        <w:t>плачиваемы</w:t>
      </w:r>
      <w:r>
        <w:t>х</w:t>
      </w:r>
      <w:r w:rsidRPr="008B4012">
        <w:t xml:space="preserve"> отпуск</w:t>
      </w:r>
      <w:r>
        <w:t>ах</w:t>
      </w:r>
      <w:r w:rsidRPr="008B4012">
        <w:t>);</w:t>
      </w:r>
    </w:p>
    <w:p w:rsidR="00DF1F0B" w:rsidRPr="008B4012" w:rsidRDefault="00DF1F0B" w:rsidP="00DF1F0B">
      <w:pPr>
        <w:widowControl w:val="0"/>
        <w:numPr>
          <w:ilvl w:val="0"/>
          <w:numId w:val="4"/>
        </w:numPr>
        <w:tabs>
          <w:tab w:val="clear" w:pos="1134"/>
          <w:tab w:val="clear" w:pos="1701"/>
          <w:tab w:val="clear" w:pos="2268"/>
          <w:tab w:val="clear" w:pos="6237"/>
          <w:tab w:val="left" w:pos="567"/>
          <w:tab w:val="left" w:pos="720"/>
          <w:tab w:val="left" w:pos="1122"/>
        </w:tabs>
        <w:autoSpaceDE w:val="0"/>
        <w:autoSpaceDN w:val="0"/>
        <w:adjustRightInd w:val="0"/>
        <w:spacing w:before="120" w:after="120"/>
        <w:ind w:left="1122" w:hanging="561"/>
      </w:pPr>
      <w:r>
        <w:t>Конвенции</w:t>
      </w:r>
      <w:r>
        <w:rPr>
          <w:smallCaps/>
        </w:rPr>
        <w:t xml:space="preserve"> МОТ №</w:t>
      </w:r>
      <w:r w:rsidRPr="008B4012">
        <w:t xml:space="preserve"> 81  (</w:t>
      </w:r>
      <w:r>
        <w:t>Конвенция</w:t>
      </w:r>
      <w:r w:rsidRPr="008B4012">
        <w:t xml:space="preserve"> </w:t>
      </w:r>
      <w:r>
        <w:t xml:space="preserve"> 1947 года об инспекции т</w:t>
      </w:r>
      <w:r w:rsidRPr="008B4012">
        <w:t>руд</w:t>
      </w:r>
      <w:r>
        <w:t>а</w:t>
      </w:r>
      <w:r w:rsidRPr="008B4012">
        <w:t>);</w:t>
      </w:r>
    </w:p>
    <w:p w:rsidR="00DF1F0B" w:rsidRDefault="00DF1F0B" w:rsidP="00DF1F0B">
      <w:pPr>
        <w:widowControl w:val="0"/>
        <w:numPr>
          <w:ilvl w:val="0"/>
          <w:numId w:val="4"/>
        </w:numPr>
        <w:tabs>
          <w:tab w:val="clear" w:pos="1134"/>
          <w:tab w:val="clear" w:pos="1701"/>
          <w:tab w:val="clear" w:pos="2268"/>
          <w:tab w:val="clear" w:pos="6237"/>
          <w:tab w:val="left" w:pos="567"/>
          <w:tab w:val="left" w:pos="720"/>
          <w:tab w:val="left" w:pos="1122"/>
        </w:tabs>
        <w:autoSpaceDE w:val="0"/>
        <w:autoSpaceDN w:val="0"/>
        <w:adjustRightInd w:val="0"/>
        <w:spacing w:before="120" w:after="120"/>
        <w:ind w:left="1122" w:hanging="561"/>
      </w:pPr>
      <w:r>
        <w:t>Конвенции</w:t>
      </w:r>
      <w:r>
        <w:rPr>
          <w:smallCaps/>
        </w:rPr>
        <w:t xml:space="preserve"> МОТ №</w:t>
      </w:r>
      <w:r w:rsidRPr="008B4012">
        <w:t xml:space="preserve"> 129 (</w:t>
      </w:r>
      <w:r>
        <w:t>Конвенция</w:t>
      </w:r>
      <w:r w:rsidRPr="008B4012">
        <w:t xml:space="preserve"> </w:t>
      </w:r>
      <w:r>
        <w:t>1969 года об инспекции т</w:t>
      </w:r>
      <w:r w:rsidRPr="008B4012">
        <w:t>руд</w:t>
      </w:r>
      <w:r>
        <w:t>а</w:t>
      </w:r>
      <w:r>
        <w:br/>
      </w:r>
      <w:r w:rsidRPr="00A33814">
        <w:t>[</w:t>
      </w:r>
      <w:r>
        <w:t>в с</w:t>
      </w:r>
      <w:r w:rsidRPr="008B4012">
        <w:t>ельско</w:t>
      </w:r>
      <w:r>
        <w:t>м</w:t>
      </w:r>
      <w:r w:rsidRPr="008B4012">
        <w:t xml:space="preserve"> хозяйств</w:t>
      </w:r>
      <w:r>
        <w:t>е</w:t>
      </w:r>
      <w:r w:rsidRPr="00A33814">
        <w:t>]</w:t>
      </w:r>
      <w:r>
        <w:t>)</w:t>
      </w:r>
      <w:r w:rsidRPr="008B4012">
        <w:t xml:space="preserve">; </w:t>
      </w:r>
      <w:r>
        <w:t xml:space="preserve"> </w:t>
      </w:r>
      <w:r w:rsidRPr="008B4012">
        <w:t>и</w:t>
      </w:r>
    </w:p>
    <w:p w:rsidR="00DF1F0B" w:rsidRDefault="00DF1F0B" w:rsidP="00DF1F0B">
      <w:pPr>
        <w:numPr>
          <w:ilvl w:val="0"/>
          <w:numId w:val="4"/>
        </w:numPr>
        <w:tabs>
          <w:tab w:val="clear" w:pos="1134"/>
          <w:tab w:val="left" w:pos="567"/>
          <w:tab w:val="left" w:pos="1122"/>
          <w:tab w:val="left" w:pos="1701"/>
          <w:tab w:val="left" w:pos="2268"/>
          <w:tab w:val="left" w:pos="6237"/>
        </w:tabs>
        <w:spacing w:before="120"/>
        <w:ind w:left="1122" w:hanging="561"/>
      </w:pPr>
      <w:r>
        <w:t>Конвенции</w:t>
      </w:r>
      <w:r>
        <w:rPr>
          <w:smallCaps/>
        </w:rPr>
        <w:t xml:space="preserve"> МОТ №</w:t>
      </w:r>
      <w:r w:rsidRPr="008B4012">
        <w:t xml:space="preserve"> 155 (</w:t>
      </w:r>
      <w:r>
        <w:t>Конвенция</w:t>
      </w:r>
      <w:r w:rsidRPr="008B4012">
        <w:t xml:space="preserve"> </w:t>
      </w:r>
      <w:r>
        <w:t>1981 года о б</w:t>
      </w:r>
      <w:r w:rsidRPr="008B4012">
        <w:t>езопасност</w:t>
      </w:r>
      <w:r>
        <w:t>и</w:t>
      </w:r>
      <w:r w:rsidRPr="008B4012">
        <w:t xml:space="preserve"> и </w:t>
      </w:r>
      <w:r>
        <w:t>гигиене труда</w:t>
      </w:r>
      <w:r w:rsidRPr="008B4012">
        <w:t>).</w:t>
      </w:r>
    </w:p>
    <w:p w:rsidR="00DF1F0B" w:rsidRPr="00F53B7F" w:rsidRDefault="00DF1F0B" w:rsidP="00DF1F0B">
      <w:pPr>
        <w:rPr>
          <w:sz w:val="20"/>
        </w:rPr>
      </w:pPr>
    </w:p>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rPr>
          <w:smallCaps/>
        </w:rPr>
      </w:pPr>
      <w:r>
        <w:t>189.</w:t>
      </w:r>
      <w:r>
        <w:tab/>
        <w:t>Однако,</w:t>
      </w:r>
      <w:r w:rsidRPr="008B4012">
        <w:t xml:space="preserve"> как будет </w:t>
      </w:r>
      <w:r>
        <w:t>подробнее разъяснено далее</w:t>
      </w:r>
      <w:r w:rsidRPr="008B4012">
        <w:t xml:space="preserve">, Трудовой </w:t>
      </w:r>
      <w:r>
        <w:t>к</w:t>
      </w:r>
      <w:r w:rsidRPr="008B4012">
        <w:t>одекс предусматривает:</w:t>
      </w:r>
      <w:r>
        <w:t xml:space="preserve"> </w:t>
      </w:r>
      <w:r w:rsidRPr="008B4012">
        <w:t xml:space="preserve"> a) </w:t>
      </w:r>
      <w:r>
        <w:t xml:space="preserve"> </w:t>
      </w:r>
      <w:r w:rsidRPr="008B4012">
        <w:t xml:space="preserve">механизм для </w:t>
      </w:r>
      <w:r>
        <w:t xml:space="preserve">установления </w:t>
      </w:r>
      <w:r w:rsidRPr="008B4012">
        <w:t xml:space="preserve">минимальной заработной платы; </w:t>
      </w:r>
      <w:r>
        <w:t xml:space="preserve"> </w:t>
      </w:r>
      <w:r w:rsidRPr="008B4012">
        <w:t>b)</w:t>
      </w:r>
      <w:r>
        <w:t xml:space="preserve"> </w:t>
      </w:r>
      <w:r w:rsidRPr="008B4012">
        <w:t xml:space="preserve"> день отдыха по крайней мере </w:t>
      </w:r>
      <w:r>
        <w:t xml:space="preserve">в размере </w:t>
      </w:r>
      <w:r w:rsidRPr="008B4012">
        <w:t>24 час</w:t>
      </w:r>
      <w:r>
        <w:t>ов</w:t>
      </w:r>
      <w:r w:rsidRPr="008B4012">
        <w:t xml:space="preserve"> после шестидне</w:t>
      </w:r>
      <w:r>
        <w:t>вной</w:t>
      </w:r>
      <w:r w:rsidRPr="008B4012">
        <w:t xml:space="preserve"> работы; </w:t>
      </w:r>
      <w:r>
        <w:t xml:space="preserve"> </w:t>
      </w:r>
      <w:r w:rsidRPr="008B4012">
        <w:t xml:space="preserve">c) </w:t>
      </w:r>
      <w:r>
        <w:t xml:space="preserve"> </w:t>
      </w:r>
      <w:r w:rsidRPr="008B4012">
        <w:t>оплачиваемы</w:t>
      </w:r>
      <w:r>
        <w:t>е</w:t>
      </w:r>
      <w:r w:rsidRPr="008B4012">
        <w:t xml:space="preserve"> отпуск</w:t>
      </w:r>
      <w:r>
        <w:t>а</w:t>
      </w:r>
      <w:r w:rsidRPr="008B4012">
        <w:t xml:space="preserve">; </w:t>
      </w:r>
      <w:r>
        <w:t xml:space="preserve"> </w:t>
      </w:r>
      <w:r w:rsidRPr="008B4012">
        <w:t>d)</w:t>
      </w:r>
      <w:r>
        <w:t xml:space="preserve"> </w:t>
      </w:r>
      <w:r w:rsidRPr="008B4012">
        <w:t xml:space="preserve"> </w:t>
      </w:r>
      <w:r>
        <w:t>введение норм</w:t>
      </w:r>
      <w:r w:rsidRPr="008B4012">
        <w:t xml:space="preserve"> безопасност</w:t>
      </w:r>
      <w:r>
        <w:t>и</w:t>
      </w:r>
      <w:r w:rsidRPr="008B4012">
        <w:t xml:space="preserve"> и</w:t>
      </w:r>
      <w:r>
        <w:t xml:space="preserve"> гигиены труда с учетом</w:t>
      </w:r>
      <w:r w:rsidRPr="008B4012">
        <w:t xml:space="preserve"> различи</w:t>
      </w:r>
      <w:r>
        <w:t>й</w:t>
      </w:r>
      <w:r w:rsidRPr="008B4012">
        <w:t xml:space="preserve"> между опасными и неопасными </w:t>
      </w:r>
      <w:r>
        <w:t>видами деятельности</w:t>
      </w:r>
      <w:r w:rsidRPr="008B4012">
        <w:t xml:space="preserve">; </w:t>
      </w:r>
      <w:r>
        <w:t xml:space="preserve"> </w:t>
      </w:r>
      <w:r w:rsidRPr="008B4012">
        <w:t>и</w:t>
      </w:r>
      <w:r>
        <w:t xml:space="preserve"> </w:t>
      </w:r>
      <w:r w:rsidRPr="008B4012">
        <w:t xml:space="preserve"> e) </w:t>
      </w:r>
      <w:r>
        <w:t xml:space="preserve"> </w:t>
      </w:r>
      <w:r w:rsidRPr="008B4012">
        <w:t>систем</w:t>
      </w:r>
      <w:r>
        <w:t>у</w:t>
      </w:r>
      <w:r w:rsidRPr="008B4012">
        <w:t xml:space="preserve"> инспек</w:t>
      </w:r>
      <w:r>
        <w:t>ции труда, обеспечивающую соблюдение норм</w:t>
      </w:r>
      <w:r w:rsidRPr="008B4012">
        <w:t>.</w:t>
      </w:r>
    </w:p>
    <w:p w:rsidR="00DF1F0B" w:rsidRPr="008B4012" w:rsidRDefault="00DF1F0B" w:rsidP="00DF1F0B">
      <w:pPr>
        <w:widowControl w:val="0"/>
        <w:numPr>
          <w:ilvl w:val="12"/>
          <w:numId w:val="0"/>
        </w:numPr>
        <w:autoSpaceDE w:val="0"/>
        <w:autoSpaceDN w:val="0"/>
        <w:adjustRightInd w:val="0"/>
      </w:pPr>
    </w:p>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pPr>
      <w:r>
        <w:t>190.</w:t>
      </w:r>
      <w:r>
        <w:tab/>
      </w:r>
      <w:r w:rsidRPr="008B4012">
        <w:t xml:space="preserve">Филиппины </w:t>
      </w:r>
      <w:r>
        <w:t>являются участником</w:t>
      </w:r>
      <w:r w:rsidRPr="008B4012">
        <w:t xml:space="preserve"> следующи</w:t>
      </w:r>
      <w:r>
        <w:t>х</w:t>
      </w:r>
      <w:r w:rsidRPr="008B4012">
        <w:t xml:space="preserve"> </w:t>
      </w:r>
      <w:r>
        <w:t>Конвенций</w:t>
      </w:r>
      <w:r w:rsidRPr="008B4012">
        <w:t>:</w:t>
      </w:r>
    </w:p>
    <w:p w:rsidR="00DF1F0B" w:rsidRPr="008B4012" w:rsidRDefault="00DF1F0B" w:rsidP="00DF1F0B">
      <w:pPr>
        <w:widowControl w:val="0"/>
        <w:autoSpaceDE w:val="0"/>
        <w:autoSpaceDN w:val="0"/>
        <w:adjustRightInd w:val="0"/>
      </w:pPr>
    </w:p>
    <w:p w:rsidR="00DF1F0B" w:rsidRPr="008B4012" w:rsidRDefault="00DF1F0B" w:rsidP="00825BE3">
      <w:pPr>
        <w:widowControl w:val="0"/>
        <w:numPr>
          <w:ilvl w:val="0"/>
          <w:numId w:val="7"/>
        </w:numPr>
        <w:tabs>
          <w:tab w:val="clear" w:pos="1134"/>
          <w:tab w:val="clear" w:pos="1701"/>
          <w:tab w:val="clear" w:pos="2268"/>
          <w:tab w:val="clear" w:pos="6237"/>
          <w:tab w:val="left" w:pos="567"/>
          <w:tab w:val="left" w:pos="1122"/>
        </w:tabs>
        <w:autoSpaceDE w:val="0"/>
        <w:autoSpaceDN w:val="0"/>
        <w:adjustRightInd w:val="0"/>
        <w:spacing w:after="120"/>
        <w:ind w:left="1122" w:hanging="561"/>
      </w:pPr>
      <w:r>
        <w:t>Конвенции МОТ №</w:t>
      </w:r>
      <w:r w:rsidRPr="008B4012">
        <w:t xml:space="preserve"> 100 (</w:t>
      </w:r>
      <w:r>
        <w:t>Конвенция 1951 года о р</w:t>
      </w:r>
      <w:r w:rsidRPr="008B4012">
        <w:t>авно</w:t>
      </w:r>
      <w:r>
        <w:t>м в</w:t>
      </w:r>
      <w:r w:rsidRPr="008B4012">
        <w:t>ознаграждени</w:t>
      </w:r>
      <w:r>
        <w:t>и</w:t>
      </w:r>
      <w:r w:rsidRPr="008B4012">
        <w:t>);</w:t>
      </w:r>
    </w:p>
    <w:p w:rsidR="00DF1F0B" w:rsidRPr="008B4012" w:rsidRDefault="00DF1F0B" w:rsidP="00825BE3">
      <w:pPr>
        <w:widowControl w:val="0"/>
        <w:numPr>
          <w:ilvl w:val="0"/>
          <w:numId w:val="7"/>
        </w:numPr>
        <w:tabs>
          <w:tab w:val="clear" w:pos="1134"/>
          <w:tab w:val="clear" w:pos="1701"/>
          <w:tab w:val="clear" w:pos="2268"/>
          <w:tab w:val="clear" w:pos="6237"/>
          <w:tab w:val="left" w:pos="567"/>
          <w:tab w:val="left" w:pos="1122"/>
        </w:tabs>
        <w:autoSpaceDE w:val="0"/>
        <w:autoSpaceDN w:val="0"/>
        <w:adjustRightInd w:val="0"/>
        <w:spacing w:after="120"/>
        <w:ind w:left="1122" w:hanging="561"/>
      </w:pPr>
      <w:r>
        <w:t>Конвенции МОТ №</w:t>
      </w:r>
      <w:r w:rsidRPr="008B4012">
        <w:t xml:space="preserve"> 99 (</w:t>
      </w:r>
      <w:r>
        <w:t>Конвенция 1951 года</w:t>
      </w:r>
      <w:r w:rsidRPr="008B4012">
        <w:t xml:space="preserve"> </w:t>
      </w:r>
      <w:r>
        <w:t>о процедуре установления м</w:t>
      </w:r>
      <w:r w:rsidRPr="008B4012">
        <w:t>инимальн</w:t>
      </w:r>
      <w:r>
        <w:t>ой</w:t>
      </w:r>
      <w:r w:rsidRPr="008B4012">
        <w:t xml:space="preserve"> заработной платы </w:t>
      </w:r>
      <w:r>
        <w:t xml:space="preserve">в сельском </w:t>
      </w:r>
      <w:r w:rsidRPr="008B4012">
        <w:t>хозяйств</w:t>
      </w:r>
      <w:r>
        <w:t>е</w:t>
      </w:r>
      <w:r w:rsidRPr="008B4012">
        <w:t xml:space="preserve">); </w:t>
      </w:r>
      <w:r>
        <w:t xml:space="preserve"> </w:t>
      </w:r>
      <w:r w:rsidRPr="008B4012">
        <w:t>и</w:t>
      </w:r>
    </w:p>
    <w:p w:rsidR="00DF1F0B" w:rsidRPr="008B4012" w:rsidRDefault="00DF1F0B" w:rsidP="00825BE3">
      <w:pPr>
        <w:widowControl w:val="0"/>
        <w:numPr>
          <w:ilvl w:val="0"/>
          <w:numId w:val="7"/>
        </w:numPr>
        <w:tabs>
          <w:tab w:val="clear" w:pos="1134"/>
          <w:tab w:val="clear" w:pos="1701"/>
          <w:tab w:val="clear" w:pos="2268"/>
          <w:tab w:val="clear" w:pos="6237"/>
          <w:tab w:val="left" w:pos="567"/>
          <w:tab w:val="left" w:pos="1122"/>
        </w:tabs>
        <w:autoSpaceDE w:val="0"/>
        <w:autoSpaceDN w:val="0"/>
        <w:adjustRightInd w:val="0"/>
        <w:ind w:left="1122" w:hanging="561"/>
      </w:pPr>
      <w:r>
        <w:t>Конвенции МОТ №</w:t>
      </w:r>
      <w:r w:rsidRPr="008B4012">
        <w:t xml:space="preserve"> 176 (</w:t>
      </w:r>
      <w:r>
        <w:t>Конвенция 1995 года</w:t>
      </w:r>
      <w:r w:rsidRPr="008B4012">
        <w:t xml:space="preserve"> </w:t>
      </w:r>
      <w:r>
        <w:t>о б</w:t>
      </w:r>
      <w:r w:rsidRPr="008B4012">
        <w:t>езопасност</w:t>
      </w:r>
      <w:r>
        <w:t>и</w:t>
      </w:r>
      <w:r w:rsidRPr="008B4012">
        <w:t xml:space="preserve"> и </w:t>
      </w:r>
      <w:r>
        <w:t xml:space="preserve">гигиене труда </w:t>
      </w:r>
      <w:r w:rsidRPr="008B4012">
        <w:t>в</w:t>
      </w:r>
      <w:r>
        <w:t> ш</w:t>
      </w:r>
      <w:r w:rsidRPr="008B4012">
        <w:t>ахтах).</w:t>
      </w:r>
    </w:p>
    <w:p w:rsidR="00DF1F0B" w:rsidRPr="008B4012" w:rsidRDefault="00DF1F0B" w:rsidP="00DF1F0B">
      <w:pPr>
        <w:widowControl w:val="0"/>
        <w:autoSpaceDE w:val="0"/>
        <w:autoSpaceDN w:val="0"/>
        <w:adjustRightInd w:val="0"/>
      </w:pPr>
    </w:p>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pPr>
      <w:r>
        <w:t>191.</w:t>
      </w:r>
      <w:r>
        <w:tab/>
      </w:r>
      <w:r w:rsidRPr="008B4012">
        <w:t xml:space="preserve">Филиппины  представили </w:t>
      </w:r>
      <w:r>
        <w:t>свой</w:t>
      </w:r>
      <w:r w:rsidRPr="008B4012">
        <w:t xml:space="preserve"> ответ на прямой запрос </w:t>
      </w:r>
      <w:r>
        <w:t>МОТ от 1998 года в отношении соблюдения Конвенции №</w:t>
      </w:r>
      <w:r w:rsidRPr="008B4012">
        <w:t xml:space="preserve"> 99 </w:t>
      </w:r>
      <w:r>
        <w:t>о процедуре установления м</w:t>
      </w:r>
      <w:r w:rsidRPr="008B4012">
        <w:t>инимальн</w:t>
      </w:r>
      <w:r>
        <w:t>ой</w:t>
      </w:r>
      <w:r w:rsidRPr="008B4012">
        <w:t xml:space="preserve"> заработной платы </w:t>
      </w:r>
      <w:r>
        <w:t xml:space="preserve">в сельском </w:t>
      </w:r>
      <w:r w:rsidRPr="008B4012">
        <w:t>хозяйств</w:t>
      </w:r>
      <w:r>
        <w:t>е</w:t>
      </w:r>
      <w:r w:rsidRPr="008B4012">
        <w:t xml:space="preserve"> </w:t>
      </w:r>
      <w:r>
        <w:t>за</w:t>
      </w:r>
      <w:r w:rsidRPr="008B4012">
        <w:t xml:space="preserve"> период, заканчивающ</w:t>
      </w:r>
      <w:r>
        <w:t>ийся в</w:t>
      </w:r>
      <w:r w:rsidRPr="008B4012">
        <w:t xml:space="preserve"> август</w:t>
      </w:r>
      <w:r>
        <w:t>е</w:t>
      </w:r>
      <w:r w:rsidRPr="008B4012">
        <w:t xml:space="preserve"> 2002</w:t>
      </w:r>
      <w:r>
        <w:t xml:space="preserve"> года</w:t>
      </w:r>
      <w:r w:rsidRPr="008B4012">
        <w:t xml:space="preserve">. </w:t>
      </w:r>
      <w:r>
        <w:t xml:space="preserve"> В представленном МОТ докладе содержится</w:t>
      </w:r>
      <w:r w:rsidRPr="008B4012">
        <w:t xml:space="preserve"> таблиц</w:t>
      </w:r>
      <w:r>
        <w:t>а, где указаны н</w:t>
      </w:r>
      <w:r w:rsidRPr="008B4012">
        <w:t>оминальны</w:t>
      </w:r>
      <w:r>
        <w:t>е уровни</w:t>
      </w:r>
      <w:r w:rsidRPr="008B4012">
        <w:t xml:space="preserve"> </w:t>
      </w:r>
      <w:r>
        <w:t>м</w:t>
      </w:r>
      <w:r w:rsidRPr="008B4012">
        <w:t>инимальн</w:t>
      </w:r>
      <w:r>
        <w:t>ой</w:t>
      </w:r>
      <w:r w:rsidRPr="008B4012">
        <w:t xml:space="preserve"> </w:t>
      </w:r>
      <w:r>
        <w:t>з</w:t>
      </w:r>
      <w:r w:rsidRPr="008B4012">
        <w:t>аработной платы</w:t>
      </w:r>
      <w:r>
        <w:t xml:space="preserve"> с разбивкой по</w:t>
      </w:r>
      <w:r w:rsidRPr="008B4012">
        <w:t xml:space="preserve"> </w:t>
      </w:r>
      <w:r>
        <w:t>с</w:t>
      </w:r>
      <w:r w:rsidRPr="008B4012">
        <w:t>ектор</w:t>
      </w:r>
      <w:r>
        <w:t>а</w:t>
      </w:r>
      <w:r w:rsidRPr="008B4012">
        <w:t xml:space="preserve">м и </w:t>
      </w:r>
      <w:r>
        <w:t>р</w:t>
      </w:r>
      <w:r w:rsidRPr="008B4012">
        <w:t>егион</w:t>
      </w:r>
      <w:r>
        <w:t>а</w:t>
      </w:r>
      <w:r w:rsidRPr="008B4012">
        <w:t>м</w:t>
      </w:r>
      <w:r>
        <w:t xml:space="preserve">, </w:t>
      </w:r>
      <w:r w:rsidRPr="008B4012">
        <w:t>и таблиц</w:t>
      </w:r>
      <w:r>
        <w:t>а</w:t>
      </w:r>
      <w:r w:rsidRPr="008B4012">
        <w:t xml:space="preserve"> </w:t>
      </w:r>
      <w:r w:rsidR="00965C8A">
        <w:t>"</w:t>
      </w:r>
      <w:r>
        <w:t>Работники, н</w:t>
      </w:r>
      <w:r w:rsidRPr="008B4012">
        <w:t>аняты</w:t>
      </w:r>
      <w:r>
        <w:t>е</w:t>
      </w:r>
      <w:r w:rsidRPr="008B4012">
        <w:t xml:space="preserve"> </w:t>
      </w:r>
      <w:r>
        <w:t>основной промышленной группой</w:t>
      </w:r>
      <w:r w:rsidRPr="008B4012">
        <w:t xml:space="preserve">, </w:t>
      </w:r>
      <w:r>
        <w:t>категории р</w:t>
      </w:r>
      <w:r w:rsidRPr="008B4012">
        <w:t>абоч</w:t>
      </w:r>
      <w:r>
        <w:t>их</w:t>
      </w:r>
      <w:r w:rsidRPr="008B4012">
        <w:t xml:space="preserve"> и </w:t>
      </w:r>
      <w:r>
        <w:t>количество от</w:t>
      </w:r>
      <w:r w:rsidRPr="008B4012">
        <w:t>работанны</w:t>
      </w:r>
      <w:r>
        <w:t>х часов</w:t>
      </w:r>
      <w:r w:rsidR="00965C8A">
        <w:t>"</w:t>
      </w:r>
      <w:r w:rsidRPr="008B4012">
        <w:t xml:space="preserve"> (</w:t>
      </w:r>
      <w:r>
        <w:t xml:space="preserve">Справочник по вопросам труди занятости, публикация МТЗ </w:t>
      </w:r>
      <w:r w:rsidRPr="008B4012">
        <w:t>(</w:t>
      </w:r>
      <w:r>
        <w:t>по состоянию на</w:t>
      </w:r>
      <w:r w:rsidRPr="008B4012">
        <w:t xml:space="preserve"> июн</w:t>
      </w:r>
      <w:r>
        <w:t>ь</w:t>
      </w:r>
      <w:r w:rsidRPr="008B4012">
        <w:t xml:space="preserve"> 2002</w:t>
      </w:r>
      <w:r>
        <w:t xml:space="preserve"> года</w:t>
      </w:r>
      <w:r w:rsidRPr="008B4012">
        <w:t>)</w:t>
      </w:r>
      <w:r>
        <w:t>)</w:t>
      </w:r>
      <w:r w:rsidRPr="008B4012">
        <w:t>.</w:t>
      </w:r>
    </w:p>
    <w:p w:rsidR="00DF1F0B" w:rsidRPr="008B4012" w:rsidRDefault="00DF1F0B" w:rsidP="00DF1F0B">
      <w:pPr>
        <w:widowControl w:val="0"/>
        <w:numPr>
          <w:ilvl w:val="12"/>
          <w:numId w:val="0"/>
        </w:numPr>
        <w:autoSpaceDE w:val="0"/>
        <w:autoSpaceDN w:val="0"/>
        <w:adjustRightInd w:val="0"/>
      </w:pPr>
    </w:p>
    <w:p w:rsidR="00DF1F0B" w:rsidRDefault="00DF1F0B" w:rsidP="00DF1F0B">
      <w:r>
        <w:t>192.</w:t>
      </w:r>
      <w:r>
        <w:tab/>
      </w:r>
      <w:r w:rsidRPr="008B4012">
        <w:t xml:space="preserve">Кроме того, </w:t>
      </w:r>
      <w:r>
        <w:t xml:space="preserve">в представленном МОТ </w:t>
      </w:r>
      <w:r w:rsidRPr="008B4012">
        <w:t>детально</w:t>
      </w:r>
      <w:r>
        <w:t xml:space="preserve">м докладе </w:t>
      </w:r>
      <w:r w:rsidRPr="008B4012">
        <w:t>содерж</w:t>
      </w:r>
      <w:r>
        <w:t>ится обновленная информация о проведенных за последнее время мероприятиях</w:t>
      </w:r>
      <w:r w:rsidRPr="008B4012">
        <w:t xml:space="preserve"> </w:t>
      </w:r>
      <w:r>
        <w:t>по выполнению</w:t>
      </w:r>
      <w:r w:rsidRPr="008B4012">
        <w:t xml:space="preserve"> Р</w:t>
      </w:r>
      <w:r>
        <w:t>З</w:t>
      </w:r>
      <w:r w:rsidRPr="008B4012">
        <w:t xml:space="preserve"> </w:t>
      </w:r>
      <w:r>
        <w:t xml:space="preserve">№ </w:t>
      </w:r>
      <w:r w:rsidRPr="008B4012">
        <w:t xml:space="preserve">6727, </w:t>
      </w:r>
      <w:r>
        <w:t>Закона об оптимизации</w:t>
      </w:r>
      <w:r w:rsidRPr="008B4012">
        <w:t xml:space="preserve"> </w:t>
      </w:r>
      <w:r>
        <w:t>з</w:t>
      </w:r>
      <w:r w:rsidRPr="008B4012">
        <w:t xml:space="preserve">аработной платы </w:t>
      </w:r>
      <w:r>
        <w:t>с внесенными в него в соответствии с</w:t>
      </w:r>
      <w:r w:rsidR="00965C8A">
        <w:br/>
      </w:r>
      <w:r w:rsidRPr="008B4012">
        <w:t>Р</w:t>
      </w:r>
      <w:r>
        <w:t>З</w:t>
      </w:r>
      <w:r w:rsidRPr="008B4012">
        <w:t xml:space="preserve"> </w:t>
      </w:r>
      <w:r>
        <w:t xml:space="preserve">№ </w:t>
      </w:r>
      <w:r w:rsidRPr="008B4012">
        <w:t xml:space="preserve">8188 </w:t>
      </w:r>
      <w:r>
        <w:t>изменениями</w:t>
      </w:r>
      <w:r w:rsidRPr="008B4012">
        <w:t xml:space="preserve"> и </w:t>
      </w:r>
      <w:r>
        <w:t>Закона о д</w:t>
      </w:r>
      <w:r w:rsidRPr="008B4012">
        <w:t>войн</w:t>
      </w:r>
      <w:r>
        <w:t>ой</w:t>
      </w:r>
      <w:r w:rsidRPr="008B4012">
        <w:t xml:space="preserve"> </w:t>
      </w:r>
      <w:r>
        <w:t>к</w:t>
      </w:r>
      <w:r w:rsidRPr="008B4012">
        <w:t>омпенсации и други</w:t>
      </w:r>
      <w:r>
        <w:t>х</w:t>
      </w:r>
      <w:r w:rsidRPr="008B4012">
        <w:t xml:space="preserve"> </w:t>
      </w:r>
      <w:r>
        <w:t>положений</w:t>
      </w:r>
      <w:r w:rsidRPr="008B4012">
        <w:t xml:space="preserve"> Трудового </w:t>
      </w:r>
      <w:r>
        <w:t>к</w:t>
      </w:r>
      <w:r w:rsidRPr="008B4012">
        <w:t>одекса Филиппин</w:t>
      </w:r>
      <w:r>
        <w:t>, касающихся</w:t>
      </w:r>
      <w:r w:rsidRPr="008B4012">
        <w:t xml:space="preserve"> </w:t>
      </w:r>
      <w:r>
        <w:t>уровня</w:t>
      </w:r>
      <w:r w:rsidRPr="008B4012">
        <w:t xml:space="preserve"> минимальн</w:t>
      </w:r>
      <w:r>
        <w:t>ой</w:t>
      </w:r>
      <w:r w:rsidRPr="008B4012">
        <w:t xml:space="preserve"> заработной платы.</w:t>
      </w:r>
    </w:p>
    <w:p w:rsidR="00DF1F0B" w:rsidRDefault="00DF1F0B" w:rsidP="00DF1F0B"/>
    <w:p w:rsidR="00DF1F0B" w:rsidRDefault="00DF1F0B" w:rsidP="00DF1F0B">
      <w:r>
        <w:t>193.</w:t>
      </w:r>
      <w:r>
        <w:tab/>
        <w:t>В</w:t>
      </w:r>
      <w:r w:rsidRPr="008B4012">
        <w:t xml:space="preserve"> августе 2001</w:t>
      </w:r>
      <w:r>
        <w:t xml:space="preserve"> года</w:t>
      </w:r>
      <w:r w:rsidRPr="008B4012">
        <w:t xml:space="preserve"> </w:t>
      </w:r>
      <w:r>
        <w:t>ф</w:t>
      </w:r>
      <w:r w:rsidRPr="008B4012">
        <w:t>илиппинское правительство также представило</w:t>
      </w:r>
      <w:r>
        <w:t xml:space="preserve"> МОТ</w:t>
      </w:r>
      <w:r w:rsidRPr="008B4012">
        <w:t xml:space="preserve"> </w:t>
      </w:r>
      <w:r>
        <w:t>подробный доклад</w:t>
      </w:r>
      <w:r w:rsidRPr="008B4012">
        <w:t xml:space="preserve"> </w:t>
      </w:r>
      <w:r>
        <w:t>о выполнении Конвенции №</w:t>
      </w:r>
      <w:r w:rsidRPr="008B4012">
        <w:t xml:space="preserve"> 100 </w:t>
      </w:r>
      <w:r>
        <w:t>о р</w:t>
      </w:r>
      <w:r w:rsidRPr="008B4012">
        <w:t>авно</w:t>
      </w:r>
      <w:r>
        <w:t>м в</w:t>
      </w:r>
      <w:r w:rsidRPr="008B4012">
        <w:t>ознаграждени</w:t>
      </w:r>
      <w:r>
        <w:t>и</w:t>
      </w:r>
      <w:r w:rsidRPr="008B4012">
        <w:t xml:space="preserve">.  </w:t>
      </w:r>
      <w:r>
        <w:t>В этом докладе содержится последняя</w:t>
      </w:r>
      <w:r w:rsidRPr="008B4012">
        <w:t xml:space="preserve"> информаци</w:t>
      </w:r>
      <w:r>
        <w:t>я</w:t>
      </w:r>
      <w:r w:rsidRPr="008B4012">
        <w:t xml:space="preserve"> о</w:t>
      </w:r>
      <w:r>
        <w:t xml:space="preserve"> выполнении</w:t>
      </w:r>
      <w:r w:rsidRPr="008B4012">
        <w:t xml:space="preserve">  Р</w:t>
      </w:r>
      <w:r>
        <w:t>З</w:t>
      </w:r>
      <w:r w:rsidRPr="008B4012">
        <w:t xml:space="preserve"> </w:t>
      </w:r>
      <w:r>
        <w:t xml:space="preserve">№ </w:t>
      </w:r>
      <w:r w:rsidRPr="008B4012">
        <w:t xml:space="preserve">6725  и других законов и </w:t>
      </w:r>
      <w:r>
        <w:t>положений,</w:t>
      </w:r>
      <w:r w:rsidRPr="008B4012">
        <w:t xml:space="preserve"> </w:t>
      </w:r>
      <w:r>
        <w:t>касающихся Конвенции</w:t>
      </w:r>
      <w:r w:rsidRPr="008B4012">
        <w:t>.</w:t>
      </w:r>
    </w:p>
    <w:p w:rsidR="00DF1F0B" w:rsidRDefault="00DF1F0B" w:rsidP="00DF1F0B"/>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pPr>
      <w:r>
        <w:t>194.</w:t>
      </w:r>
      <w:r>
        <w:tab/>
      </w:r>
      <w:r w:rsidRPr="008B4012">
        <w:t>Филиппины 27 февраля 1998</w:t>
      </w:r>
      <w:r>
        <w:t xml:space="preserve"> года</w:t>
      </w:r>
      <w:r w:rsidRPr="008B4012">
        <w:t xml:space="preserve"> ратифицировали </w:t>
      </w:r>
      <w:r>
        <w:t>Конвенцию №</w:t>
      </w:r>
      <w:r w:rsidRPr="008B4012">
        <w:t xml:space="preserve"> 176 о безопасности и </w:t>
      </w:r>
      <w:r>
        <w:t>гигиене труда</w:t>
      </w:r>
      <w:r w:rsidRPr="008B4012">
        <w:t xml:space="preserve"> в шахтах.  В течение периода, заканчивающегося </w:t>
      </w:r>
      <w:r>
        <w:t>в</w:t>
      </w:r>
      <w:r w:rsidRPr="008B4012">
        <w:t xml:space="preserve"> август</w:t>
      </w:r>
      <w:r>
        <w:t>е</w:t>
      </w:r>
      <w:r w:rsidRPr="008B4012">
        <w:t xml:space="preserve"> 2002</w:t>
      </w:r>
      <w:r>
        <w:t xml:space="preserve"> года, филиппинское п</w:t>
      </w:r>
      <w:r w:rsidRPr="008B4012">
        <w:t>равительство представило</w:t>
      </w:r>
      <w:r>
        <w:t xml:space="preserve"> свой</w:t>
      </w:r>
      <w:r w:rsidRPr="008B4012">
        <w:t xml:space="preserve"> перв</w:t>
      </w:r>
      <w:r>
        <w:t>ый</w:t>
      </w:r>
      <w:r w:rsidRPr="008B4012">
        <w:t xml:space="preserve"> </w:t>
      </w:r>
      <w:r>
        <w:t xml:space="preserve">подробный доклад </w:t>
      </w:r>
      <w:r w:rsidRPr="008B4012">
        <w:t>Комитету.  Комитет</w:t>
      </w:r>
      <w:r>
        <w:t>у был представлен</w:t>
      </w:r>
      <w:r w:rsidRPr="008B4012">
        <w:t xml:space="preserve"> спис</w:t>
      </w:r>
      <w:r>
        <w:t>о</w:t>
      </w:r>
      <w:r w:rsidRPr="008B4012">
        <w:t xml:space="preserve">к законов, </w:t>
      </w:r>
      <w:r>
        <w:t>положений</w:t>
      </w:r>
      <w:r w:rsidRPr="008B4012">
        <w:t xml:space="preserve"> и других мер, </w:t>
      </w:r>
      <w:r>
        <w:t>принятых</w:t>
      </w:r>
      <w:r w:rsidRPr="008B4012">
        <w:t xml:space="preserve"> </w:t>
      </w:r>
      <w:r>
        <w:t>п</w:t>
      </w:r>
      <w:r w:rsidRPr="008B4012">
        <w:t xml:space="preserve">равительством в </w:t>
      </w:r>
      <w:r>
        <w:t>целях обеспечения соответствия положениям Конвенции</w:t>
      </w:r>
      <w:r w:rsidRPr="008B4012">
        <w:t>.</w:t>
      </w:r>
    </w:p>
    <w:p w:rsidR="00DF1F0B" w:rsidRPr="008B4012" w:rsidRDefault="00DF1F0B" w:rsidP="00DF1F0B">
      <w:pPr>
        <w:widowControl w:val="0"/>
        <w:numPr>
          <w:ilvl w:val="12"/>
          <w:numId w:val="0"/>
        </w:numPr>
        <w:autoSpaceDE w:val="0"/>
        <w:autoSpaceDN w:val="0"/>
        <w:adjustRightInd w:val="0"/>
      </w:pPr>
    </w:p>
    <w:p w:rsidR="00DF1F0B" w:rsidRPr="008B4012" w:rsidRDefault="00F53B7F" w:rsidP="00DF1F0B">
      <w:pPr>
        <w:widowControl w:val="0"/>
        <w:numPr>
          <w:ilvl w:val="12"/>
          <w:numId w:val="0"/>
        </w:numPr>
        <w:autoSpaceDE w:val="0"/>
        <w:autoSpaceDN w:val="0"/>
        <w:adjustRightInd w:val="0"/>
      </w:pPr>
      <w:r>
        <w:rPr>
          <w:b/>
          <w:bCs/>
        </w:rPr>
        <w:br w:type="page"/>
      </w:r>
      <w:r w:rsidR="00DF1F0B" w:rsidRPr="008B4012">
        <w:rPr>
          <w:b/>
          <w:bCs/>
        </w:rPr>
        <w:t xml:space="preserve">Вопрос </w:t>
      </w:r>
      <w:r w:rsidR="007652F2">
        <w:rPr>
          <w:b/>
          <w:bCs/>
        </w:rPr>
        <w:t xml:space="preserve">№ </w:t>
      </w:r>
      <w:r w:rsidR="00DF1F0B" w:rsidRPr="008B4012">
        <w:rPr>
          <w:b/>
          <w:bCs/>
        </w:rPr>
        <w:t>2.</w:t>
      </w:r>
      <w:r w:rsidR="00DF1F0B">
        <w:rPr>
          <w:b/>
          <w:bCs/>
        </w:rPr>
        <w:tab/>
      </w:r>
      <w:r w:rsidR="00DF1F0B" w:rsidRPr="008B4012">
        <w:rPr>
          <w:b/>
          <w:bCs/>
        </w:rPr>
        <w:t>Заработная плата</w:t>
      </w:r>
    </w:p>
    <w:p w:rsidR="00DF1F0B" w:rsidRPr="008B4012" w:rsidRDefault="00DF1F0B" w:rsidP="00DF1F0B">
      <w:pPr>
        <w:widowControl w:val="0"/>
        <w:numPr>
          <w:ilvl w:val="12"/>
          <w:numId w:val="0"/>
        </w:numPr>
        <w:autoSpaceDE w:val="0"/>
        <w:autoSpaceDN w:val="0"/>
        <w:adjustRightInd w:val="0"/>
        <w:rPr>
          <w:b/>
          <w:bCs/>
        </w:rPr>
      </w:pPr>
    </w:p>
    <w:p w:rsidR="00DF1F0B" w:rsidRPr="008B4012" w:rsidRDefault="00DF1F0B" w:rsidP="00DF1F0B">
      <w:pPr>
        <w:widowControl w:val="0"/>
        <w:numPr>
          <w:ilvl w:val="12"/>
          <w:numId w:val="0"/>
        </w:numPr>
        <w:autoSpaceDE w:val="0"/>
        <w:autoSpaceDN w:val="0"/>
        <w:adjustRightInd w:val="0"/>
        <w:rPr>
          <w:b/>
          <w:bCs/>
        </w:rPr>
      </w:pPr>
      <w:r w:rsidRPr="008B4012">
        <w:rPr>
          <w:b/>
          <w:bCs/>
        </w:rPr>
        <w:t>2.a</w:t>
      </w:r>
      <w:r>
        <w:rPr>
          <w:b/>
          <w:bCs/>
        </w:rPr>
        <w:tab/>
      </w:r>
      <w:r w:rsidRPr="008B4012">
        <w:rPr>
          <w:b/>
          <w:bCs/>
        </w:rPr>
        <w:t xml:space="preserve">Основные методы, используемые для </w:t>
      </w:r>
      <w:r>
        <w:rPr>
          <w:b/>
          <w:bCs/>
        </w:rPr>
        <w:t>устано</w:t>
      </w:r>
      <w:r w:rsidRPr="008B4012">
        <w:rPr>
          <w:b/>
          <w:bCs/>
        </w:rPr>
        <w:t>вл</w:t>
      </w:r>
      <w:r>
        <w:rPr>
          <w:b/>
          <w:bCs/>
        </w:rPr>
        <w:t>ения</w:t>
      </w:r>
      <w:r w:rsidRPr="008B4012">
        <w:rPr>
          <w:b/>
          <w:bCs/>
        </w:rPr>
        <w:t xml:space="preserve"> </w:t>
      </w:r>
      <w:r>
        <w:rPr>
          <w:b/>
          <w:bCs/>
        </w:rPr>
        <w:t xml:space="preserve">размера </w:t>
      </w:r>
      <w:r w:rsidRPr="008B4012">
        <w:rPr>
          <w:b/>
          <w:bCs/>
        </w:rPr>
        <w:t>заработн</w:t>
      </w:r>
      <w:r>
        <w:rPr>
          <w:b/>
          <w:bCs/>
        </w:rPr>
        <w:t>ой</w:t>
      </w:r>
      <w:r w:rsidRPr="008B4012">
        <w:rPr>
          <w:b/>
          <w:bCs/>
        </w:rPr>
        <w:t xml:space="preserve"> плат</w:t>
      </w:r>
      <w:r>
        <w:rPr>
          <w:b/>
          <w:bCs/>
        </w:rPr>
        <w:t>ы</w:t>
      </w:r>
    </w:p>
    <w:p w:rsidR="00DF1F0B" w:rsidRPr="008B4012" w:rsidRDefault="00DF1F0B" w:rsidP="00DF1F0B">
      <w:pPr>
        <w:widowControl w:val="0"/>
        <w:numPr>
          <w:ilvl w:val="12"/>
          <w:numId w:val="0"/>
        </w:numPr>
        <w:autoSpaceDE w:val="0"/>
        <w:autoSpaceDN w:val="0"/>
        <w:adjustRightInd w:val="0"/>
      </w:pPr>
    </w:p>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pPr>
      <w:r>
        <w:t>195.</w:t>
      </w:r>
      <w:r>
        <w:tab/>
      </w:r>
      <w:r w:rsidRPr="008B4012">
        <w:t>Основны</w:t>
      </w:r>
      <w:r>
        <w:t>ми</w:t>
      </w:r>
      <w:r w:rsidRPr="008B4012">
        <w:t xml:space="preserve"> метод</w:t>
      </w:r>
      <w:r>
        <w:t>ами</w:t>
      </w:r>
      <w:r w:rsidRPr="008B4012">
        <w:t xml:space="preserve"> устан</w:t>
      </w:r>
      <w:r>
        <w:t>о</w:t>
      </w:r>
      <w:r w:rsidRPr="008B4012">
        <w:t>вл</w:t>
      </w:r>
      <w:r>
        <w:t>ения</w:t>
      </w:r>
      <w:r w:rsidRPr="008B4012">
        <w:t xml:space="preserve"> </w:t>
      </w:r>
      <w:r>
        <w:t xml:space="preserve">размера </w:t>
      </w:r>
      <w:r w:rsidRPr="008B4012">
        <w:t>заработн</w:t>
      </w:r>
      <w:r>
        <w:t>ой</w:t>
      </w:r>
      <w:r w:rsidRPr="008B4012">
        <w:t xml:space="preserve"> плат</w:t>
      </w:r>
      <w:r>
        <w:t>ы</w:t>
      </w:r>
      <w:r w:rsidRPr="008B4012">
        <w:t xml:space="preserve"> </w:t>
      </w:r>
      <w:r>
        <w:t xml:space="preserve">являются определение размера </w:t>
      </w:r>
      <w:r w:rsidRPr="008B4012">
        <w:t>минимальн</w:t>
      </w:r>
      <w:r>
        <w:t>ой</w:t>
      </w:r>
      <w:r w:rsidRPr="008B4012">
        <w:t xml:space="preserve"> заработной платы и переговоры </w:t>
      </w:r>
      <w:r>
        <w:t xml:space="preserve">о заключении коллективного договора </w:t>
      </w:r>
      <w:r w:rsidRPr="008B4012">
        <w:t xml:space="preserve">между предпринимателями и профсоюзами. </w:t>
      </w:r>
    </w:p>
    <w:p w:rsidR="00DF1F0B" w:rsidRPr="008B4012" w:rsidRDefault="00DF1F0B" w:rsidP="00DF1F0B">
      <w:pPr>
        <w:widowControl w:val="0"/>
        <w:numPr>
          <w:ilvl w:val="12"/>
          <w:numId w:val="0"/>
        </w:numPr>
        <w:autoSpaceDE w:val="0"/>
        <w:autoSpaceDN w:val="0"/>
        <w:adjustRightInd w:val="0"/>
      </w:pPr>
    </w:p>
    <w:p w:rsidR="00DF1F0B" w:rsidRPr="008B4012" w:rsidRDefault="00DF1F0B" w:rsidP="00DF1F0B">
      <w:pPr>
        <w:widowControl w:val="0"/>
        <w:tabs>
          <w:tab w:val="clear" w:pos="1134"/>
          <w:tab w:val="clear" w:pos="1701"/>
          <w:tab w:val="clear" w:pos="2268"/>
          <w:tab w:val="clear" w:pos="6237"/>
        </w:tabs>
        <w:autoSpaceDE w:val="0"/>
        <w:autoSpaceDN w:val="0"/>
        <w:adjustRightInd w:val="0"/>
      </w:pPr>
      <w:r>
        <w:t>196.</w:t>
      </w:r>
      <w:r>
        <w:tab/>
        <w:t xml:space="preserve">Установление размера </w:t>
      </w:r>
      <w:r w:rsidRPr="008B4012">
        <w:t>минимальн</w:t>
      </w:r>
      <w:r>
        <w:t>ой</w:t>
      </w:r>
      <w:r w:rsidRPr="008B4012">
        <w:t xml:space="preserve"> заработной платы на региональном</w:t>
      </w:r>
      <w:r>
        <w:t xml:space="preserve"> уровне</w:t>
      </w:r>
      <w:r w:rsidRPr="008B4012">
        <w:t xml:space="preserve"> </w:t>
      </w:r>
      <w:r>
        <w:t>проводится</w:t>
      </w:r>
      <w:r w:rsidRPr="008B4012">
        <w:t xml:space="preserve"> с 1989</w:t>
      </w:r>
      <w:r>
        <w:t xml:space="preserve"> года</w:t>
      </w:r>
      <w:r w:rsidRPr="008B4012">
        <w:t xml:space="preserve"> 17 независим</w:t>
      </w:r>
      <w:r>
        <w:t>ыми</w:t>
      </w:r>
      <w:r w:rsidRPr="008B4012">
        <w:t xml:space="preserve"> Региональн</w:t>
      </w:r>
      <w:r>
        <w:t>ыми</w:t>
      </w:r>
      <w:r w:rsidRPr="008B4012">
        <w:t xml:space="preserve"> </w:t>
      </w:r>
      <w:r>
        <w:t>т</w:t>
      </w:r>
      <w:r w:rsidRPr="008B4012">
        <w:t>рехсторонн</w:t>
      </w:r>
      <w:r>
        <w:t>ими</w:t>
      </w:r>
      <w:r w:rsidRPr="008B4012">
        <w:t xml:space="preserve"> </w:t>
      </w:r>
      <w:r>
        <w:t>советами по вопросам</w:t>
      </w:r>
      <w:r w:rsidRPr="008B4012">
        <w:t xml:space="preserve"> </w:t>
      </w:r>
      <w:r>
        <w:t>з</w:t>
      </w:r>
      <w:r w:rsidRPr="008B4012">
        <w:t>аработной плат</w:t>
      </w:r>
      <w:r>
        <w:t>ы</w:t>
      </w:r>
      <w:r w:rsidRPr="008B4012">
        <w:t xml:space="preserve"> и </w:t>
      </w:r>
      <w:r>
        <w:t>п</w:t>
      </w:r>
      <w:r w:rsidRPr="008B4012">
        <w:t xml:space="preserve">роизводительности </w:t>
      </w:r>
      <w:r>
        <w:t xml:space="preserve">труда </w:t>
      </w:r>
      <w:r w:rsidRPr="008B4012">
        <w:t>(</w:t>
      </w:r>
      <w:r>
        <w:t>РТСЗПТ</w:t>
      </w:r>
      <w:r w:rsidRPr="008B4012">
        <w:t xml:space="preserve">). </w:t>
      </w:r>
      <w:r>
        <w:t xml:space="preserve"> Они были созданы в соответствии с</w:t>
      </w:r>
      <w:r w:rsidRPr="008B4012">
        <w:t xml:space="preserve"> </w:t>
      </w:r>
      <w:r>
        <w:t xml:space="preserve">Республиканским законом № </w:t>
      </w:r>
      <w:r w:rsidRPr="008B4012">
        <w:t>6727, иначе известны</w:t>
      </w:r>
      <w:r>
        <w:t>м</w:t>
      </w:r>
      <w:r w:rsidRPr="008B4012">
        <w:t xml:space="preserve"> как</w:t>
      </w:r>
      <w:r w:rsidRPr="008B4012">
        <w:rPr>
          <w:i/>
          <w:iCs/>
        </w:rPr>
        <w:t xml:space="preserve"> </w:t>
      </w:r>
      <w:r>
        <w:rPr>
          <w:i/>
          <w:iCs/>
        </w:rPr>
        <w:t>Закон об оптимизации з</w:t>
      </w:r>
      <w:r w:rsidRPr="008B4012">
        <w:rPr>
          <w:i/>
          <w:iCs/>
        </w:rPr>
        <w:t>аработной платы</w:t>
      </w:r>
      <w:r w:rsidRPr="008B4012">
        <w:t xml:space="preserve">, </w:t>
      </w:r>
      <w:r>
        <w:t>и согласно этому же Закону надзор за их деятельностью осуществляет МТЗ.</w:t>
      </w:r>
      <w:r w:rsidRPr="008B4012">
        <w:t xml:space="preserve"> </w:t>
      </w:r>
    </w:p>
    <w:p w:rsidR="00DF1F0B" w:rsidRPr="008B4012" w:rsidRDefault="00DF1F0B" w:rsidP="00DF1F0B">
      <w:pPr>
        <w:widowControl w:val="0"/>
        <w:numPr>
          <w:ilvl w:val="12"/>
          <w:numId w:val="0"/>
        </w:numPr>
        <w:autoSpaceDE w:val="0"/>
        <w:autoSpaceDN w:val="0"/>
        <w:adjustRightInd w:val="0"/>
      </w:pPr>
    </w:p>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pPr>
      <w:r>
        <w:t>197.</w:t>
      </w:r>
      <w:r>
        <w:tab/>
      </w:r>
      <w:r w:rsidRPr="008B4012">
        <w:t xml:space="preserve">Государство признает </w:t>
      </w:r>
      <w:r>
        <w:t xml:space="preserve">коллективные </w:t>
      </w:r>
      <w:r w:rsidRPr="008B4012">
        <w:t xml:space="preserve">переговоры </w:t>
      </w:r>
      <w:r>
        <w:t xml:space="preserve">в качестве </w:t>
      </w:r>
      <w:r w:rsidRPr="008B4012">
        <w:t>предпочтительн</w:t>
      </w:r>
      <w:r>
        <w:t>ого</w:t>
      </w:r>
      <w:r w:rsidRPr="008B4012">
        <w:t xml:space="preserve">  способ</w:t>
      </w:r>
      <w:r>
        <w:t>а</w:t>
      </w:r>
      <w:r w:rsidRPr="008B4012">
        <w:t xml:space="preserve"> </w:t>
      </w:r>
      <w:r>
        <w:t xml:space="preserve">определения </w:t>
      </w:r>
      <w:r w:rsidRPr="008B4012">
        <w:t xml:space="preserve">условий занятости, включая заработную плату.  </w:t>
      </w:r>
      <w:r>
        <w:t>Коллективные п</w:t>
      </w:r>
      <w:r w:rsidRPr="008B4012">
        <w:t xml:space="preserve">ереговоры </w:t>
      </w:r>
      <w:r>
        <w:t>главным образом регулируются положениями</w:t>
      </w:r>
      <w:r w:rsidRPr="008B4012">
        <w:t xml:space="preserve"> </w:t>
      </w:r>
      <w:r>
        <w:t xml:space="preserve">тома </w:t>
      </w:r>
      <w:r w:rsidRPr="008B4012">
        <w:t xml:space="preserve">V Трудового </w:t>
      </w:r>
      <w:r>
        <w:t>кодекса</w:t>
      </w:r>
      <w:r w:rsidRPr="008B4012">
        <w:t xml:space="preserve"> </w:t>
      </w:r>
      <w:r>
        <w:t xml:space="preserve">с внесенными в него </w:t>
      </w:r>
      <w:r w:rsidRPr="008B4012">
        <w:t>Р</w:t>
      </w:r>
      <w:r>
        <w:t>З</w:t>
      </w:r>
      <w:r w:rsidRPr="008B4012">
        <w:t xml:space="preserve"> </w:t>
      </w:r>
      <w:r>
        <w:t xml:space="preserve">№ </w:t>
      </w:r>
      <w:r w:rsidRPr="008B4012">
        <w:t>6715</w:t>
      </w:r>
      <w:r>
        <w:t xml:space="preserve"> поправками</w:t>
      </w:r>
      <w:r w:rsidRPr="008B4012">
        <w:t xml:space="preserve">.  Однако </w:t>
      </w:r>
      <w:r>
        <w:t>следует</w:t>
      </w:r>
      <w:r w:rsidRPr="008B4012">
        <w:t xml:space="preserve"> отме</w:t>
      </w:r>
      <w:r>
        <w:t>тить</w:t>
      </w:r>
      <w:r w:rsidRPr="008B4012">
        <w:t xml:space="preserve">, что </w:t>
      </w:r>
      <w:r>
        <w:t>уровни</w:t>
      </w:r>
      <w:r w:rsidRPr="008B4012">
        <w:t xml:space="preserve"> заработн</w:t>
      </w:r>
      <w:r>
        <w:t>ой</w:t>
      </w:r>
      <w:r w:rsidRPr="008B4012">
        <w:t xml:space="preserve"> плат</w:t>
      </w:r>
      <w:r>
        <w:t>ы, устанавливаемые</w:t>
      </w:r>
      <w:r w:rsidRPr="008B4012">
        <w:t xml:space="preserve"> </w:t>
      </w:r>
      <w:r>
        <w:t>посредством</w:t>
      </w:r>
      <w:r w:rsidRPr="008B4012">
        <w:t xml:space="preserve"> </w:t>
      </w:r>
      <w:r>
        <w:t xml:space="preserve">коллективных </w:t>
      </w:r>
      <w:r w:rsidRPr="008B4012">
        <w:t>переговор</w:t>
      </w:r>
      <w:r>
        <w:t>ов,</w:t>
      </w:r>
      <w:r w:rsidRPr="008B4012">
        <w:t xml:space="preserve"> </w:t>
      </w:r>
      <w:r>
        <w:t>не должны</w:t>
      </w:r>
      <w:r w:rsidRPr="008B4012">
        <w:t xml:space="preserve"> быть ниже </w:t>
      </w:r>
      <w:r>
        <w:t>применимых уровней</w:t>
      </w:r>
      <w:r w:rsidRPr="008B4012">
        <w:t xml:space="preserve"> </w:t>
      </w:r>
      <w:r>
        <w:t>м</w:t>
      </w:r>
      <w:r w:rsidRPr="008B4012">
        <w:t>инимальн</w:t>
      </w:r>
      <w:r>
        <w:t>ой</w:t>
      </w:r>
      <w:r w:rsidRPr="008B4012">
        <w:t xml:space="preserve"> заработн</w:t>
      </w:r>
      <w:r>
        <w:t>ой</w:t>
      </w:r>
      <w:r w:rsidRPr="008B4012">
        <w:t xml:space="preserve"> плат</w:t>
      </w:r>
      <w:r>
        <w:t>ы</w:t>
      </w:r>
      <w:r w:rsidRPr="008B4012">
        <w:t>, установленн</w:t>
      </w:r>
      <w:r>
        <w:t>ых</w:t>
      </w:r>
      <w:r w:rsidRPr="008B4012">
        <w:rPr>
          <w:caps/>
          <w:smallCaps/>
        </w:rPr>
        <w:t xml:space="preserve"> </w:t>
      </w:r>
      <w:r>
        <w:t>РТСЗПТ</w:t>
      </w:r>
      <w:r w:rsidRPr="008B4012">
        <w:rPr>
          <w:caps/>
          <w:smallCaps/>
        </w:rPr>
        <w:t>.</w:t>
      </w:r>
    </w:p>
    <w:p w:rsidR="00DF1F0B" w:rsidRPr="008B4012" w:rsidRDefault="00DF1F0B" w:rsidP="00DF1F0B">
      <w:pPr>
        <w:widowControl w:val="0"/>
        <w:numPr>
          <w:ilvl w:val="12"/>
          <w:numId w:val="0"/>
        </w:numPr>
        <w:autoSpaceDE w:val="0"/>
        <w:autoSpaceDN w:val="0"/>
        <w:adjustRightInd w:val="0"/>
      </w:pPr>
    </w:p>
    <w:p w:rsidR="00DF1F0B" w:rsidRPr="008B4012" w:rsidRDefault="00DF1F0B" w:rsidP="00DF1F0B">
      <w:pPr>
        <w:widowControl w:val="0"/>
        <w:tabs>
          <w:tab w:val="clear" w:pos="1134"/>
          <w:tab w:val="clear" w:pos="1701"/>
          <w:tab w:val="clear" w:pos="2268"/>
          <w:tab w:val="clear" w:pos="6237"/>
          <w:tab w:val="left" w:pos="360"/>
        </w:tabs>
        <w:autoSpaceDE w:val="0"/>
        <w:autoSpaceDN w:val="0"/>
        <w:adjustRightInd w:val="0"/>
      </w:pPr>
      <w:r>
        <w:t>198.</w:t>
      </w:r>
      <w:r>
        <w:tab/>
        <w:t>Уровень з</w:t>
      </w:r>
      <w:r w:rsidRPr="008B4012">
        <w:t>аработн</w:t>
      </w:r>
      <w:r>
        <w:t>ой</w:t>
      </w:r>
      <w:r w:rsidRPr="008B4012">
        <w:t xml:space="preserve"> плат</w:t>
      </w:r>
      <w:r>
        <w:t>ы</w:t>
      </w:r>
      <w:r w:rsidRPr="008B4012">
        <w:t xml:space="preserve"> </w:t>
      </w:r>
      <w:r>
        <w:t>в</w:t>
      </w:r>
      <w:r w:rsidRPr="008B4012">
        <w:t xml:space="preserve"> </w:t>
      </w:r>
      <w:r>
        <w:t>государственном</w:t>
      </w:r>
      <w:r w:rsidRPr="008B4012">
        <w:t xml:space="preserve"> сектор</w:t>
      </w:r>
      <w:r>
        <w:t>е</w:t>
      </w:r>
      <w:r w:rsidRPr="008B4012">
        <w:t xml:space="preserve">  </w:t>
      </w:r>
      <w:r>
        <w:t>регулируется</w:t>
      </w:r>
      <w:r w:rsidRPr="008B4012">
        <w:t xml:space="preserve"> </w:t>
      </w:r>
      <w:r>
        <w:t>положениями РЗ № 6758, иначе известного</w:t>
      </w:r>
      <w:r w:rsidRPr="008B4012">
        <w:t xml:space="preserve"> как</w:t>
      </w:r>
      <w:r w:rsidRPr="008B4012">
        <w:rPr>
          <w:i/>
          <w:iCs/>
        </w:rPr>
        <w:t xml:space="preserve"> Закон </w:t>
      </w:r>
      <w:r>
        <w:rPr>
          <w:i/>
          <w:iCs/>
        </w:rPr>
        <w:t>о с</w:t>
      </w:r>
      <w:r w:rsidRPr="008B4012">
        <w:rPr>
          <w:i/>
          <w:iCs/>
        </w:rPr>
        <w:t xml:space="preserve">тандартизации </w:t>
      </w:r>
      <w:r>
        <w:rPr>
          <w:i/>
          <w:iCs/>
        </w:rPr>
        <w:t>з</w:t>
      </w:r>
      <w:r w:rsidRPr="008B4012">
        <w:rPr>
          <w:i/>
          <w:iCs/>
        </w:rPr>
        <w:t>аработ</w:t>
      </w:r>
      <w:r>
        <w:rPr>
          <w:i/>
          <w:iCs/>
        </w:rPr>
        <w:t>ной платы</w:t>
      </w:r>
      <w:r w:rsidRPr="008B4012">
        <w:rPr>
          <w:i/>
          <w:iCs/>
        </w:rPr>
        <w:t xml:space="preserve"> 1989</w:t>
      </w:r>
      <w:r>
        <w:rPr>
          <w:i/>
          <w:iCs/>
        </w:rPr>
        <w:t xml:space="preserve"> года</w:t>
      </w:r>
      <w:r w:rsidRPr="008B4012">
        <w:t>,</w:t>
      </w:r>
      <w:r>
        <w:t xml:space="preserve"> в </w:t>
      </w:r>
      <w:r w:rsidRPr="008B4012">
        <w:t>котор</w:t>
      </w:r>
      <w:r>
        <w:t>ом</w:t>
      </w:r>
      <w:r w:rsidRPr="008B4012">
        <w:t xml:space="preserve"> предусмотре</w:t>
      </w:r>
      <w:r>
        <w:t>на</w:t>
      </w:r>
      <w:r w:rsidRPr="008B4012">
        <w:t xml:space="preserve"> </w:t>
      </w:r>
      <w:r>
        <w:t xml:space="preserve">выплата единой компенсации и создание системы </w:t>
      </w:r>
      <w:r w:rsidRPr="008B4012">
        <w:t xml:space="preserve">классификации </w:t>
      </w:r>
      <w:r>
        <w:t>должностей по всей сетке штатных должностей государственных служащих</w:t>
      </w:r>
      <w:r w:rsidRPr="008B4012">
        <w:t xml:space="preserve">, включая </w:t>
      </w:r>
      <w:r>
        <w:t>ОМС</w:t>
      </w:r>
      <w:r w:rsidRPr="008B4012">
        <w:t>, основанн</w:t>
      </w:r>
      <w:r>
        <w:t>о</w:t>
      </w:r>
      <w:r w:rsidRPr="008B4012">
        <w:t>й на принципе равно</w:t>
      </w:r>
      <w:r>
        <w:t xml:space="preserve">го вознаграждения </w:t>
      </w:r>
      <w:r w:rsidRPr="008B4012">
        <w:t>за равн</w:t>
      </w:r>
      <w:r>
        <w:t>ый</w:t>
      </w:r>
      <w:r w:rsidRPr="008B4012">
        <w:t xml:space="preserve"> </w:t>
      </w:r>
      <w:r>
        <w:t>труд</w:t>
      </w:r>
      <w:r w:rsidRPr="008B4012">
        <w:t xml:space="preserve">.  </w:t>
      </w:r>
      <w:r>
        <w:t xml:space="preserve">Уровень </w:t>
      </w:r>
      <w:r w:rsidRPr="008B4012">
        <w:t>заработ</w:t>
      </w:r>
      <w:r>
        <w:t xml:space="preserve">ной платы </w:t>
      </w:r>
      <w:r w:rsidRPr="008B4012">
        <w:t>устан</w:t>
      </w:r>
      <w:r>
        <w:t xml:space="preserve">авливается </w:t>
      </w:r>
      <w:r w:rsidRPr="008B4012">
        <w:t>законом.</w:t>
      </w:r>
    </w:p>
    <w:p w:rsidR="00DF1F0B" w:rsidRDefault="00DF1F0B" w:rsidP="00DF1F0B">
      <w:pPr>
        <w:widowControl w:val="0"/>
        <w:autoSpaceDE w:val="0"/>
        <w:autoSpaceDN w:val="0"/>
        <w:adjustRightInd w:val="0"/>
        <w:jc w:val="both"/>
        <w:rPr>
          <w:b/>
          <w:bCs/>
        </w:rPr>
      </w:pPr>
    </w:p>
    <w:p w:rsidR="00DF1F0B" w:rsidRDefault="00DF1F0B" w:rsidP="00DF1F0B">
      <w:pPr>
        <w:rPr>
          <w:bCs/>
        </w:rPr>
      </w:pPr>
      <w:r>
        <w:rPr>
          <w:bCs/>
        </w:rPr>
        <w:t>199.</w:t>
      </w:r>
      <w:r>
        <w:rPr>
          <w:bCs/>
        </w:rPr>
        <w:tab/>
        <w:t>Коллективные п</w:t>
      </w:r>
      <w:r w:rsidRPr="00B06E48">
        <w:rPr>
          <w:bCs/>
        </w:rPr>
        <w:t xml:space="preserve">ереговоры об условиях труда в </w:t>
      </w:r>
      <w:r>
        <w:rPr>
          <w:bCs/>
        </w:rPr>
        <w:t>государственном</w:t>
      </w:r>
      <w:r w:rsidRPr="00B06E48">
        <w:rPr>
          <w:bCs/>
        </w:rPr>
        <w:t xml:space="preserve"> секторе </w:t>
      </w:r>
      <w:r>
        <w:rPr>
          <w:bCs/>
        </w:rPr>
        <w:t>являются</w:t>
      </w:r>
      <w:r w:rsidRPr="00B06E48">
        <w:rPr>
          <w:bCs/>
        </w:rPr>
        <w:t xml:space="preserve"> признанны</w:t>
      </w:r>
      <w:r>
        <w:rPr>
          <w:bCs/>
        </w:rPr>
        <w:t>м</w:t>
      </w:r>
      <w:r w:rsidRPr="00B06E48">
        <w:rPr>
          <w:bCs/>
        </w:rPr>
        <w:t xml:space="preserve"> способ</w:t>
      </w:r>
      <w:r>
        <w:rPr>
          <w:bCs/>
        </w:rPr>
        <w:t xml:space="preserve">ом решения вопроса об </w:t>
      </w:r>
      <w:r w:rsidRPr="00B06E48">
        <w:rPr>
          <w:bCs/>
        </w:rPr>
        <w:t>условиях в месте работы, кроме тех, которые установлены закон</w:t>
      </w:r>
      <w:r>
        <w:rPr>
          <w:bCs/>
        </w:rPr>
        <w:t>ом</w:t>
      </w:r>
      <w:r w:rsidRPr="00B06E48">
        <w:rPr>
          <w:bCs/>
        </w:rPr>
        <w:t xml:space="preserve">, включая заработную плату. </w:t>
      </w:r>
      <w:r>
        <w:rPr>
          <w:bCs/>
        </w:rPr>
        <w:t xml:space="preserve"> По существу, в рамках коллективных переговоров могут обсуждаться вопросы</w:t>
      </w:r>
      <w:r w:rsidRPr="00B06E48">
        <w:rPr>
          <w:bCs/>
        </w:rPr>
        <w:t xml:space="preserve">, </w:t>
      </w:r>
      <w:r>
        <w:rPr>
          <w:bCs/>
        </w:rPr>
        <w:t>касающиеся социальных льгот</w:t>
      </w:r>
      <w:r w:rsidRPr="00B06E48">
        <w:rPr>
          <w:bCs/>
        </w:rPr>
        <w:t xml:space="preserve">, </w:t>
      </w:r>
      <w:r>
        <w:rPr>
          <w:bCs/>
        </w:rPr>
        <w:t xml:space="preserve">таких, как проведение </w:t>
      </w:r>
      <w:r w:rsidRPr="00B06E48">
        <w:rPr>
          <w:bCs/>
        </w:rPr>
        <w:t>ежегодн</w:t>
      </w:r>
      <w:r>
        <w:rPr>
          <w:bCs/>
        </w:rPr>
        <w:t>ых</w:t>
      </w:r>
      <w:r w:rsidRPr="00B06E48">
        <w:rPr>
          <w:bCs/>
        </w:rPr>
        <w:t xml:space="preserve"> медицински</w:t>
      </w:r>
      <w:r>
        <w:rPr>
          <w:bCs/>
        </w:rPr>
        <w:t>х обследований, определение условий работы для беременных женщин, создание удобств для инвалидов, пунктов оказания первой медицинской помощи, а также детских садов для детей сотрудников.</w:t>
      </w:r>
    </w:p>
    <w:p w:rsidR="00DF1F0B" w:rsidRDefault="00DF1F0B" w:rsidP="00DF1F0B"/>
    <w:p w:rsidR="00DF1F0B" w:rsidRDefault="00DF1F0B" w:rsidP="00F53B7F">
      <w:pPr>
        <w:keepNext/>
      </w:pPr>
      <w:r>
        <w:rPr>
          <w:b/>
        </w:rPr>
        <w:t>2.b</w:t>
      </w:r>
      <w:r>
        <w:rPr>
          <w:b/>
        </w:rPr>
        <w:tab/>
        <w:t>Установление размера минимальной заработной платы</w:t>
      </w:r>
    </w:p>
    <w:p w:rsidR="00DF1F0B" w:rsidRDefault="00DF1F0B" w:rsidP="00DF1F0B"/>
    <w:p w:rsidR="00DF1F0B" w:rsidRDefault="00DF1F0B" w:rsidP="00DF1F0B">
      <w:r>
        <w:t>200.</w:t>
      </w:r>
      <w:r>
        <w:tab/>
        <w:t>Изначально установление размера заработной платы являлось функцией законодательного органа.  В течение периода военного положения (1972-1981 годы) минимальная заработная плата устанавливалась посредством издания соответствующих президентских указов или распоряжений.  Как было сказано выше, с введением в действие РЗ № 6727 размеры заработной платы устанавливаются независимыми РТСЗПТ, в состав которых входят представители трудящихся, работодателей и государственных органов власти.</w:t>
      </w:r>
    </w:p>
    <w:p w:rsidR="00DF1F0B" w:rsidRDefault="00DF1F0B" w:rsidP="00DF1F0B"/>
    <w:p w:rsidR="009745E9" w:rsidRDefault="00DF1F0B" w:rsidP="009745E9">
      <w:r>
        <w:t>201.</w:t>
      </w:r>
      <w:r>
        <w:tab/>
        <w:t>Положения РЗ № 6727 не распространяются на домашнюю прислугу, а также лиц, оказывающих персональные услуги другому лицу, включая семейных водителей.</w:t>
      </w:r>
      <w:r w:rsidR="00A53D1B">
        <w:t xml:space="preserve">  </w:t>
      </w:r>
      <w:r w:rsidR="009745E9">
        <w:t>В соответствии с этим Законом его положения также не распространяются на предприятия розничной торговли и обслуживания, в которых на регулярной основе работает не более десяти работников.</w:t>
      </w:r>
    </w:p>
    <w:p w:rsidR="009745E9" w:rsidRDefault="009745E9" w:rsidP="009745E9"/>
    <w:p w:rsidR="009745E9" w:rsidRDefault="009745E9" w:rsidP="009745E9">
      <w:r>
        <w:t>202.</w:t>
      </w:r>
      <w:r>
        <w:tab/>
        <w:t xml:space="preserve">В РЗ № 7627 предусмотрены 11 критериев установления размера минимальной заработной платы, и еще один критерий был введен в соответствии с Правилами процедуры определения уровня минимальной заработной платы, как они были определены Национальной комиссией по вопросам заработной платы и производительности труда (НКЗПТ).  Эти критерии можно подразделить на четыре группы, а именно:  1)  </w:t>
      </w:r>
      <w:r>
        <w:rPr>
          <w:i/>
        </w:rPr>
        <w:t>потребности трудящихся и их семей</w:t>
      </w:r>
      <w:r>
        <w:t xml:space="preserve">  а)  потребность в заработной плате в размере прожиточного минимума;  b)  корректировка размера заработной платы с учетом индекса потребительских цен (ИПЦ);  с)  прожиточный минимум и его изменения;  d)  потребности трудящихся и их семей;  и  е)  повышение уровня жизни;  2)  </w:t>
      </w:r>
      <w:r w:rsidRPr="00F6152C">
        <w:rPr>
          <w:i/>
        </w:rPr>
        <w:t>спосо</w:t>
      </w:r>
      <w:r>
        <w:rPr>
          <w:i/>
        </w:rPr>
        <w:t>бность работодателей/отрасли производить выплаты</w:t>
      </w:r>
      <w:r>
        <w:t xml:space="preserve">  а)  справедливая норма прибыли на инвестированный капитал, позволяющая работодателям производить выплаты;  и b) производительность;  3)  </w:t>
      </w:r>
      <w:r>
        <w:rPr>
          <w:i/>
        </w:rPr>
        <w:t xml:space="preserve">сопоставимые уровни заработной платы </w:t>
      </w:r>
      <w:r>
        <w:t xml:space="preserve"> а) преобладающие уровни заработной платы;  и  4)  </w:t>
      </w:r>
      <w:r>
        <w:rPr>
          <w:i/>
        </w:rPr>
        <w:t xml:space="preserve">требования, касающиеся развития страны </w:t>
      </w:r>
      <w:r>
        <w:t xml:space="preserve"> а)  стимулирование отраслей к инвестированию средств в развитие сельских районов;  b)  влияние на создание рабочих мест и доходы семьи;  с)  равное распределение доходов и материальных благ для решения наиболее актуальных задач экономического развития.</w:t>
      </w:r>
    </w:p>
    <w:p w:rsidR="009745E9" w:rsidRDefault="009745E9" w:rsidP="009745E9"/>
    <w:p w:rsidR="009745E9" w:rsidRDefault="009745E9" w:rsidP="009745E9">
      <w:pPr>
        <w:tabs>
          <w:tab w:val="clear" w:pos="567"/>
          <w:tab w:val="left" w:pos="748"/>
        </w:tabs>
        <w:ind w:left="748" w:hanging="748"/>
      </w:pPr>
      <w:r>
        <w:rPr>
          <w:b/>
        </w:rPr>
        <w:t>2.b.</w:t>
      </w:r>
      <w:r>
        <w:rPr>
          <w:b/>
          <w:lang w:val="en-US"/>
        </w:rPr>
        <w:t>i</w:t>
      </w:r>
      <w:r>
        <w:rPr>
          <w:b/>
        </w:rPr>
        <w:tab/>
        <w:t>Уровень минимальной заработной платы и меры, принятые в целях недопущения его снижения</w:t>
      </w:r>
    </w:p>
    <w:p w:rsidR="009745E9" w:rsidRDefault="009745E9" w:rsidP="009745E9"/>
    <w:p w:rsidR="009745E9" w:rsidRDefault="009745E9" w:rsidP="009745E9">
      <w:r>
        <w:t>203.</w:t>
      </w:r>
      <w:r>
        <w:tab/>
        <w:t>Минимальная заработная плата имеет силу закона для всех охваченных предприятий.  Обеспечение этого гарантируется через созданную МТЗ систему инспектирования, которая осуществляет надлежащий контроль.  Проверка может проводиться в связи с жалобой, поданной заинтересованной стороной, или в рамках текущего контроля.  В целях обеспечения эффективности системы инспектирования работодатель обязан предоставлять представителю государственного органа "доступ в свои помещения в любое время дня и ночи вне зависимости от проведения там работ и право производить копирование любых документов, проводить собеседования с любым служащим или расследовать любые факты, условия или дела, которые могут быть необходимыми для определения факта нарушения… любого распоряжения о заработной плате" (статья 128</w:t>
      </w:r>
      <w:r w:rsidR="004A4062">
        <w:t xml:space="preserve"> </w:t>
      </w:r>
      <w:r>
        <w:t>а</w:t>
      </w:r>
      <w:r w:rsidR="004A4062">
        <w:t>)</w:t>
      </w:r>
      <w:r>
        <w:t xml:space="preserve"> Трудового кодекса).</w:t>
      </w:r>
    </w:p>
    <w:p w:rsidR="009745E9" w:rsidRDefault="009745E9" w:rsidP="009745E9"/>
    <w:p w:rsidR="009745E9" w:rsidRDefault="009745E9" w:rsidP="009745E9">
      <w:r>
        <w:t>204.</w:t>
      </w:r>
      <w:r>
        <w:tab/>
        <w:t>В случае выявления нарушения распоряжения о выплате заработной платы МТЗ имеет право издавать приказы о соблюдении такого распоряжения или о возмещении ущерба.  На предприятие, где были выявлены факты нарушения подобного распоряжения, возлагается обязанность выплатить компенсацию в размере суммы недоплаты</w:t>
      </w:r>
      <w:r w:rsidR="00F53B7F">
        <w:t>.</w:t>
      </w:r>
    </w:p>
    <w:p w:rsidR="009745E9" w:rsidRDefault="009745E9" w:rsidP="009745E9"/>
    <w:p w:rsidR="009745E9" w:rsidRDefault="009745E9" w:rsidP="009745E9">
      <w:r>
        <w:t>205.</w:t>
      </w:r>
      <w:r>
        <w:tab/>
        <w:t>Как было указано выше, заработная плата и пособия служащих государственного сектора определяются в законодательном порядке.  Таким образом, любые повышения заработной платы применяются повсеместно.  Учитывая, что единая система компенсации вступила в действие с 1989 года, повышение заработной платы в государственном секторе производилось в 1994, 1995, 1996 и 1997 годах (включая четырехчастное увеличение) и в 2000 году.  Нормы законодательства, касающиеся бюджета, также содержат положение о периодическом увеличении размера пособий (пособий в связи с ростом стоимости жизни, пособий на представительские расходы и транспорт начиная с  руководителей подразделений и вышестоящих должностных лиц).</w:t>
      </w:r>
    </w:p>
    <w:p w:rsidR="009745E9" w:rsidRDefault="009745E9" w:rsidP="009745E9"/>
    <w:p w:rsidR="009745E9" w:rsidRDefault="009745E9" w:rsidP="009745E9">
      <w:r>
        <w:t>206.</w:t>
      </w:r>
      <w:r>
        <w:tab/>
        <w:t>Уровни фактической заработной платы служащих ОМС, не отнесенных к категории городских, могут отличаться от уровней, предусмотренных в национальных ориентирах, основанных на их классификации и финансовой способности.  Ставки заработной платы служащих ОМС с шестого (самого низкого) разряда до второго разряда определены как процентные показатели шкалы заработной платы (в диапазоне между 75 и 95% соответствующих ставок, применяемых к национальным правительственным учреждениям и служащим ОМС первого разряда).</w:t>
      </w:r>
    </w:p>
    <w:p w:rsidR="009745E9" w:rsidRDefault="009745E9" w:rsidP="009745E9"/>
    <w:p w:rsidR="009745E9" w:rsidRDefault="009745E9" w:rsidP="009745E9">
      <w:pPr>
        <w:tabs>
          <w:tab w:val="clear" w:pos="567"/>
          <w:tab w:val="left" w:pos="748"/>
        </w:tabs>
        <w:ind w:left="748" w:hanging="748"/>
      </w:pPr>
      <w:r>
        <w:rPr>
          <w:b/>
        </w:rPr>
        <w:t>2.b.</w:t>
      </w:r>
      <w:r>
        <w:rPr>
          <w:b/>
          <w:lang w:val="en-US"/>
        </w:rPr>
        <w:t>ii</w:t>
      </w:r>
      <w:r>
        <w:rPr>
          <w:b/>
        </w:rPr>
        <w:tab/>
        <w:t>Потребности рабочих с учетом экономических факторов</w:t>
      </w:r>
    </w:p>
    <w:p w:rsidR="009745E9" w:rsidRDefault="009745E9" w:rsidP="009745E9"/>
    <w:p w:rsidR="009745E9" w:rsidRDefault="009745E9" w:rsidP="009745E9">
      <w:r>
        <w:t>207.</w:t>
      </w:r>
      <w:r>
        <w:tab/>
        <w:t xml:space="preserve">Статья 124 Трудового кодекса предусматривает десять ориентиров или показателей для установления размера заработной платы, а именно:  а) </w:t>
      </w:r>
      <w:r w:rsidRPr="00C43050">
        <w:t xml:space="preserve"> </w:t>
      </w:r>
      <w:r>
        <w:t xml:space="preserve">потребность в обеспечении трудового вознаграждения в размере прожиточного минимума и корректировка размера заработной платы с учетом индекса потребительских цен;  b) </w:t>
      </w:r>
      <w:r w:rsidRPr="00C43050">
        <w:t xml:space="preserve"> </w:t>
      </w:r>
      <w:r>
        <w:t>прожиточный минимум и изменения или повышения прожиточного минимума;  с)</w:t>
      </w:r>
      <w:r w:rsidRPr="00C43050">
        <w:t xml:space="preserve"> </w:t>
      </w:r>
      <w:r>
        <w:t xml:space="preserve"> потребности трудящихся и их семей;  d) </w:t>
      </w:r>
      <w:r w:rsidRPr="00C43050">
        <w:t xml:space="preserve"> </w:t>
      </w:r>
      <w:r>
        <w:t>стимулирование отраслей к инвестированию в развитие сельских районов;  е)</w:t>
      </w:r>
      <w:r>
        <w:rPr>
          <w:lang w:val="en-US"/>
        </w:rPr>
        <w:t> </w:t>
      </w:r>
      <w:r>
        <w:t xml:space="preserve"> повышение уровня жизни;  </w:t>
      </w:r>
      <w:r>
        <w:rPr>
          <w:lang w:val="en-US"/>
        </w:rPr>
        <w:t>f</w:t>
      </w:r>
      <w:r w:rsidRPr="00216267">
        <w:t>)</w:t>
      </w:r>
      <w:r w:rsidRPr="00C43050">
        <w:t xml:space="preserve"> </w:t>
      </w:r>
      <w:r w:rsidRPr="00216267">
        <w:t xml:space="preserve"> </w:t>
      </w:r>
      <w:r>
        <w:t xml:space="preserve">превалирующие уровни заработной платы; </w:t>
      </w:r>
      <w:r w:rsidRPr="00216267">
        <w:t xml:space="preserve"> </w:t>
      </w:r>
      <w:r>
        <w:rPr>
          <w:lang w:val="en-US"/>
        </w:rPr>
        <w:t>g</w:t>
      </w:r>
      <w:r w:rsidRPr="00216267">
        <w:t>)</w:t>
      </w:r>
      <w:r>
        <w:rPr>
          <w:lang w:val="en-US"/>
        </w:rPr>
        <w:t>  </w:t>
      </w:r>
      <w:r w:rsidR="004A4062">
        <w:t>справедливая</w:t>
      </w:r>
      <w:r>
        <w:t xml:space="preserve"> норма прибыли на инвестированный капитал</w:t>
      </w:r>
      <w:r w:rsidRPr="00216267">
        <w:t xml:space="preserve"> </w:t>
      </w:r>
      <w:r>
        <w:t xml:space="preserve">и способность работодателей производить выплаты;  </w:t>
      </w:r>
      <w:r>
        <w:rPr>
          <w:lang w:val="en-US"/>
        </w:rPr>
        <w:t>h</w:t>
      </w:r>
      <w:r w:rsidRPr="00216267">
        <w:t xml:space="preserve">) </w:t>
      </w:r>
      <w:r w:rsidRPr="00C43050">
        <w:t xml:space="preserve"> </w:t>
      </w:r>
      <w:r>
        <w:t>влияние на создание рабочих мест и доходы семьи;  и</w:t>
      </w:r>
      <w:r w:rsidRPr="00C43050">
        <w:t xml:space="preserve"> </w:t>
      </w:r>
      <w:r w:rsidRPr="00216267">
        <w:t xml:space="preserve"> </w:t>
      </w:r>
      <w:r>
        <w:rPr>
          <w:lang w:val="en-US"/>
        </w:rPr>
        <w:t>i</w:t>
      </w:r>
      <w:r w:rsidRPr="00216267">
        <w:t>)</w:t>
      </w:r>
      <w:r>
        <w:t xml:space="preserve"> </w:t>
      </w:r>
      <w:r w:rsidRPr="00C43050">
        <w:t xml:space="preserve"> </w:t>
      </w:r>
      <w:r>
        <w:t>равное распределение доходов и материальных благ для решения наиболее актуальных задач экономического социального развития.</w:t>
      </w:r>
    </w:p>
    <w:p w:rsidR="009745E9" w:rsidRDefault="009745E9" w:rsidP="009745E9"/>
    <w:p w:rsidR="009745E9" w:rsidRDefault="009745E9" w:rsidP="009745E9">
      <w:r>
        <w:t>208.</w:t>
      </w:r>
      <w:r>
        <w:tab/>
        <w:t>Цель обеспечения для трудящихся и их иждивенцев минимально необходимого уровня жизни соизмеряется с целями создания рабочих мест, стимулирования инвестиций и поощрения общей конкурентоспособности.  При оценке возможного корректирования минимального уровня заработной платы учитывается и фактор снижения покупательной способности.  Также производится оценка влияния такой корректировки на инфляцию для определения того, удержится она в пределах намеченных показателей.  С целью определения или оценки возможного воздействия любого увеличения заработной платы используются эконометрические модели.</w:t>
      </w:r>
    </w:p>
    <w:p w:rsidR="009745E9" w:rsidRDefault="009745E9" w:rsidP="009745E9"/>
    <w:p w:rsidR="009745E9" w:rsidRDefault="009745E9" w:rsidP="009745E9">
      <w:r>
        <w:t>209.</w:t>
      </w:r>
      <w:r>
        <w:tab/>
        <w:t>С 1989 года корректировка минимальной заработной платы обычно производится каждый год для поддержания уровня реальной заработной платы.  Однако в период 2001</w:t>
      </w:r>
      <w:r>
        <w:noBreakHyphen/>
        <w:t>2003 годов минимальная заработная плата не корректировалась в целях сведения к минимуму потерь рабочих мест, вызванных спадом в экономике.  Также в 2005 году новые распоряжения о заработной плате были изданы менее чем через год после издания предыдущих подобных распоряжений в связи с неожиданно резким ростом цен на товары широкого потребления.</w:t>
      </w:r>
    </w:p>
    <w:p w:rsidR="009745E9" w:rsidRDefault="009745E9" w:rsidP="009745E9"/>
    <w:p w:rsidR="009745E9" w:rsidRDefault="009745E9" w:rsidP="009745E9">
      <w:pPr>
        <w:tabs>
          <w:tab w:val="clear" w:pos="567"/>
          <w:tab w:val="left" w:pos="748"/>
        </w:tabs>
        <w:ind w:left="748" w:hanging="748"/>
        <w:rPr>
          <w:b/>
        </w:rPr>
      </w:pPr>
      <w:r w:rsidRPr="00D01F7C">
        <w:rPr>
          <w:b/>
        </w:rPr>
        <w:t>2.</w:t>
      </w:r>
      <w:r w:rsidRPr="00D01F7C">
        <w:rPr>
          <w:b/>
          <w:lang w:val="en-US"/>
        </w:rPr>
        <w:t>b</w:t>
      </w:r>
      <w:r w:rsidRPr="00D01F7C">
        <w:rPr>
          <w:b/>
        </w:rPr>
        <w:t>.</w:t>
      </w:r>
      <w:r w:rsidRPr="00D40D15">
        <w:rPr>
          <w:b/>
        </w:rPr>
        <w:t>iii</w:t>
      </w:r>
      <w:r>
        <w:rPr>
          <w:b/>
        </w:rPr>
        <w:tab/>
      </w:r>
      <w:r w:rsidRPr="00D01F7C">
        <w:rPr>
          <w:b/>
        </w:rPr>
        <w:t xml:space="preserve">Механизмы установления, мониторинга и корректировки </w:t>
      </w:r>
      <w:r>
        <w:rPr>
          <w:b/>
        </w:rPr>
        <w:t xml:space="preserve">размера </w:t>
      </w:r>
      <w:r w:rsidRPr="00D01F7C">
        <w:rPr>
          <w:b/>
        </w:rPr>
        <w:t>минимальной заработной платы</w:t>
      </w:r>
    </w:p>
    <w:p w:rsidR="009745E9" w:rsidRDefault="009745E9" w:rsidP="009745E9">
      <w:pPr>
        <w:rPr>
          <w:b/>
        </w:rPr>
      </w:pPr>
    </w:p>
    <w:p w:rsidR="009745E9" w:rsidRDefault="009745E9" w:rsidP="009745E9">
      <w:r w:rsidRPr="00D01F7C">
        <w:t>210.</w:t>
      </w:r>
      <w:r>
        <w:tab/>
        <w:t xml:space="preserve">Первые две ступени в структуре органов, занимающихся установлением размера заработной платы, занимают НКЗПТ и подчиненные ей  РТСЗПТ.  НКЗПТ разрабатывает политику и руководящие принципы, касающиеся повышения заработной платы, доходов и производительности на уровне предприятия, отрасли и страны.  Она рассматривает распоряжения о заработной плате, изданные РТСЗПТ, и осуществляет технический и административный надзор за их осуществлением. </w:t>
      </w:r>
      <w:r w:rsidRPr="00C43050">
        <w:t xml:space="preserve"> </w:t>
      </w:r>
      <w:r>
        <w:t>Она также служит консультативным органом при президенте и конгрессе по вопросам, касающимся заработной платы, доходов и производительности.</w:t>
      </w:r>
    </w:p>
    <w:p w:rsidR="009745E9" w:rsidRDefault="009745E9" w:rsidP="009745E9"/>
    <w:p w:rsidR="009745E9" w:rsidRDefault="009745E9" w:rsidP="009745E9">
      <w:r>
        <w:t>211.</w:t>
      </w:r>
      <w:r>
        <w:tab/>
        <w:t>Третью позицию в структуре органов, занимающихся установлением размеров заработной платы, занимает система мониторинга и обеспечения выполнения требований нормативно-правовых документов.  Региональные бюро НТЗ, особенно система инспектирования, являются главными органами, обеспечивающими соблюдение законодательства в области заработной платы.  В случае неполной выплаты заработной платы и возникновения конфликтов между работодателями и работниками можно направить соответствующую жалобу в государственную арбитражную структуру,</w:t>
      </w:r>
      <w:r w:rsidRPr="00BF7F7F">
        <w:t xml:space="preserve"> </w:t>
      </w:r>
      <w:r>
        <w:t>Национальную комиссию по трудовым отношениям (НКТО), которая принимает обязат</w:t>
      </w:r>
      <w:r w:rsidR="008D5691">
        <w:t>ельные для выполнения решения.</w:t>
      </w:r>
    </w:p>
    <w:p w:rsidR="009745E9" w:rsidRDefault="009745E9" w:rsidP="009745E9"/>
    <w:p w:rsidR="009745E9" w:rsidRDefault="009745E9" w:rsidP="009745E9">
      <w:pPr>
        <w:tabs>
          <w:tab w:val="clear" w:pos="567"/>
          <w:tab w:val="left" w:pos="748"/>
        </w:tabs>
        <w:rPr>
          <w:b/>
        </w:rPr>
      </w:pPr>
      <w:r>
        <w:rPr>
          <w:b/>
        </w:rPr>
        <w:t>2.</w:t>
      </w:r>
      <w:r>
        <w:rPr>
          <w:b/>
          <w:lang w:val="en-US"/>
        </w:rPr>
        <w:t>b</w:t>
      </w:r>
      <w:r w:rsidRPr="00E33F91">
        <w:rPr>
          <w:b/>
        </w:rPr>
        <w:t>.</w:t>
      </w:r>
      <w:r w:rsidRPr="00D40D15">
        <w:rPr>
          <w:b/>
        </w:rPr>
        <w:t>iv</w:t>
      </w:r>
      <w:r>
        <w:rPr>
          <w:b/>
        </w:rPr>
        <w:tab/>
        <w:t>Увеличение размера средней и минимальной заработной платы</w:t>
      </w:r>
    </w:p>
    <w:p w:rsidR="009745E9" w:rsidRDefault="009745E9" w:rsidP="009745E9">
      <w:pPr>
        <w:rPr>
          <w:b/>
        </w:rPr>
      </w:pPr>
    </w:p>
    <w:p w:rsidR="009745E9" w:rsidRDefault="009745E9" w:rsidP="009745E9">
      <w:r>
        <w:t>212.</w:t>
      </w:r>
      <w:r>
        <w:tab/>
        <w:t>Согласно данным РНС, уровень минимальной заработной платы был увеличен на 189,1</w:t>
      </w:r>
      <w:r w:rsidRPr="00E33F91">
        <w:t>%</w:t>
      </w:r>
      <w:r>
        <w:t>, с 64,00 филиппинских песо в 1987 году до 185,00 филиппинских песо в 1997 году.  После недавно проведенных корректировок заработной платы в РНС размер минимальной заработной платы с 1 ноября 2000 года достиг уровня в 250,00 филиппинских песо в день.  С другой стороны, за период 1987-1997 годов индекс потребительских цен (ИПЦ) возрос на 187,6</w:t>
      </w:r>
      <w:r w:rsidRPr="00E33F91">
        <w:t>%</w:t>
      </w:r>
      <w:r>
        <w:t>.</w:t>
      </w:r>
    </w:p>
    <w:p w:rsidR="009745E9" w:rsidRDefault="009745E9" w:rsidP="009745E9"/>
    <w:p w:rsidR="009745E9" w:rsidRDefault="009745E9" w:rsidP="009745E9">
      <w:r>
        <w:t>213.</w:t>
      </w:r>
      <w:r>
        <w:tab/>
        <w:t>Минимальное ежемесячное жалование работников государственного сектора в</w:t>
      </w:r>
      <w:r w:rsidR="00CA17A0">
        <w:t> </w:t>
      </w:r>
      <w:r>
        <w:t xml:space="preserve">1987 году возросло с 1 103 филиппинских песо (603 филиппинских песо в качестве базовой ставки </w:t>
      </w:r>
      <w:r w:rsidRPr="00A75250">
        <w:t>+ 500</w:t>
      </w:r>
      <w:r>
        <w:t xml:space="preserve"> филиппинских песо в качестве пособия по прожиточному минимуму) до 5 840 филиппинских песо (4 840 филиппинских песо в качестве базовой ставки </w:t>
      </w:r>
      <w:r w:rsidRPr="00A75250">
        <w:t>+</w:t>
      </w:r>
      <w:r>
        <w:t xml:space="preserve"> 500 филиппинских песо в качестве персонального пособия в связи с неблагоприятной ситуацией в экономике </w:t>
      </w:r>
      <w:r w:rsidRPr="00820F76">
        <w:t>+</w:t>
      </w:r>
      <w:r>
        <w:t xml:space="preserve"> 500 филиппинских песо в качестве дополнительной компенсации) в 2000 году.  В 2006 году работникам государственного сектора было предоставлено дополнительное пособие (1 000,00 филиппинских песо).</w:t>
      </w:r>
    </w:p>
    <w:p w:rsidR="009745E9" w:rsidRDefault="009745E9" w:rsidP="009745E9"/>
    <w:p w:rsidR="009745E9" w:rsidRDefault="009745E9" w:rsidP="009745E9">
      <w:pPr>
        <w:tabs>
          <w:tab w:val="clear" w:pos="567"/>
          <w:tab w:val="left" w:pos="748"/>
        </w:tabs>
        <w:rPr>
          <w:b/>
        </w:rPr>
      </w:pPr>
      <w:r>
        <w:rPr>
          <w:b/>
        </w:rPr>
        <w:t>2.</w:t>
      </w:r>
      <w:r>
        <w:rPr>
          <w:b/>
          <w:lang w:val="en-US"/>
        </w:rPr>
        <w:t>b</w:t>
      </w:r>
      <w:r w:rsidRPr="00E33F91">
        <w:rPr>
          <w:b/>
        </w:rPr>
        <w:t>.</w:t>
      </w:r>
      <w:r>
        <w:rPr>
          <w:b/>
          <w:lang w:val="en-US"/>
        </w:rPr>
        <w:t>v</w:t>
      </w:r>
      <w:r>
        <w:rPr>
          <w:b/>
        </w:rPr>
        <w:tab/>
        <w:t>Меры, гарантирующие выплату минимальной заработной платы</w:t>
      </w:r>
    </w:p>
    <w:p w:rsidR="009745E9" w:rsidRDefault="009745E9" w:rsidP="009745E9">
      <w:pPr>
        <w:rPr>
          <w:b/>
        </w:rPr>
      </w:pPr>
    </w:p>
    <w:p w:rsidR="009745E9" w:rsidRDefault="009745E9" w:rsidP="009745E9">
      <w:r>
        <w:t>214.</w:t>
      </w:r>
      <w:r>
        <w:tab/>
        <w:t>Согласно данным проверок, в период 1997-2003 годов объем невыплаченной минимальной заработной платы составил примерно 21,8</w:t>
      </w:r>
      <w:r w:rsidRPr="00820F76">
        <w:t>%</w:t>
      </w:r>
      <w:r>
        <w:t>.  В настоящее время принимаются меры по привлечению внимания общественности к применяемым ставкам минимальной заработной платы во всех регионах.  В целях совершенствования системы обеспечения выплат минимальной заработной платы на постоянной основе проводится исследование по упрощению региональных структур, занимающихся выплатами минимальной заработной платы, которые сегодня различаются, среди прочего, в зависимости от провинции, типа сектора или отрасли, количества работников и суммы капитализации.</w:t>
      </w:r>
    </w:p>
    <w:p w:rsidR="009745E9" w:rsidRDefault="009745E9" w:rsidP="009745E9"/>
    <w:p w:rsidR="009745E9" w:rsidRDefault="009745E9" w:rsidP="00CA17A0">
      <w:pPr>
        <w:keepNext/>
        <w:rPr>
          <w:b/>
        </w:rPr>
      </w:pPr>
      <w:r>
        <w:rPr>
          <w:b/>
        </w:rPr>
        <w:t>2.с</w:t>
      </w:r>
      <w:r>
        <w:rPr>
          <w:b/>
        </w:rPr>
        <w:tab/>
        <w:t>Дискриминация при приеме на работу</w:t>
      </w:r>
    </w:p>
    <w:p w:rsidR="009745E9" w:rsidRDefault="009745E9" w:rsidP="00CA17A0">
      <w:pPr>
        <w:keepNext/>
        <w:rPr>
          <w:b/>
        </w:rPr>
      </w:pPr>
    </w:p>
    <w:p w:rsidR="009745E9" w:rsidRDefault="009745E9" w:rsidP="009745E9">
      <w:r>
        <w:t>215.</w:t>
      </w:r>
      <w:r>
        <w:tab/>
        <w:t>Филиппины ратифицировали Конвенцию МОТ № 100, направленную на ликвидацию дискриминации при приеме на работу исключительно по признаку пола или гендерного фактора.  Филиппины также являются государством - участником КЛДЖ.</w:t>
      </w:r>
    </w:p>
    <w:p w:rsidR="009745E9" w:rsidRDefault="009745E9" w:rsidP="009745E9"/>
    <w:p w:rsidR="009745E9" w:rsidRDefault="009745E9" w:rsidP="009745E9">
      <w:r>
        <w:t>216.</w:t>
      </w:r>
      <w:r>
        <w:tab/>
        <w:t>Равенство мужчин и женщин в том, что касается оплаты их труда, равного вознаграждения за труд равной ценности, закреплены в предусмотренной Конституцией политике</w:t>
      </w:r>
      <w:r>
        <w:rPr>
          <w:rStyle w:val="FootnoteReference"/>
        </w:rPr>
        <w:footnoteReference w:id="13"/>
      </w:r>
      <w:r>
        <w:t>.</w:t>
      </w:r>
    </w:p>
    <w:p w:rsidR="008D5691" w:rsidRDefault="008D5691" w:rsidP="008D5691"/>
    <w:p w:rsidR="008D5691" w:rsidRDefault="008D5691" w:rsidP="008D5691">
      <w:r>
        <w:t>217.</w:t>
      </w:r>
      <w:r>
        <w:tab/>
        <w:t>В целях поощрения равного обращения статья 135 Трудового кодекса запрещает работодателям проводить дискриминацию работающих у них женщин в отношении условий и характера их занятости исключительно по признаку их пола.  РЗ № 6725 криминализирует совершение определенных действий, направленных на принижение статуса работающих женщин по признаку их пола.  Статья 136 Кодекса также запрещает вносить в трудовой договор оговорки в отношении вступления в брак и запрещает предпринимателям лишать льгот или увольнять женщин по признаку их пола или в связи с беременностью.</w:t>
      </w:r>
    </w:p>
    <w:p w:rsidR="008D5691" w:rsidRDefault="008D5691" w:rsidP="008D5691"/>
    <w:p w:rsidR="008D5691" w:rsidRDefault="008D5691" w:rsidP="008D5691">
      <w:r>
        <w:t>218.</w:t>
      </w:r>
      <w:r>
        <w:tab/>
        <w:t xml:space="preserve">Также принимаются положительные меры в целях удовлетворения особых потребностей женщин на рабочих местах.  Уже давно охраняются права женщин в связи с материнством, </w:t>
      </w:r>
      <w:r>
        <w:rPr>
          <w:i/>
        </w:rPr>
        <w:t>Закон о предоставлении отпуска отцам</w:t>
      </w:r>
      <w:r>
        <w:t xml:space="preserve"> также дает мужчинам возможность получить отпуск по случаю рождения ребенка.  Статья 132 Трудового кодекса требует, чтобы предприниматели обеспечивали женщин определенными удобствами, такими, как отдельные туалетные комнаты и места для переодевания.</w:t>
      </w:r>
    </w:p>
    <w:p w:rsidR="008D5691" w:rsidRDefault="008D5691" w:rsidP="008D5691"/>
    <w:p w:rsidR="008D5691" w:rsidRDefault="008D5691" w:rsidP="008D5691">
      <w:r>
        <w:t>219.</w:t>
      </w:r>
      <w:r>
        <w:tab/>
        <w:t>С 1953 года Филиппины являются участником Конвенции МОТ № 89 (Конвенция о ночном труде женщин), которая запрещает женщинам работать в определенные периоды ночного времени.  В соответствии с принятыми Филиппинами по этой Конвенции обязательствами статья 130 Трудового кодекса запрещает женщинам работать на определенных видах работ в период с 22 час. 00 мин до 06 час. 00 мин.  Филиппины отмечают выраженные в некоторых секторах обеспокоенности по поводу того, что этот запрет может на деле привести к обратной дискриминации.  МОТ приняла к сведению эти обеспокоенности, инициировав пересмотр международных договоров, и Филиппины будут поддерживать такой пересмотр.</w:t>
      </w:r>
    </w:p>
    <w:p w:rsidR="008D5691" w:rsidRDefault="008D5691" w:rsidP="008D5691"/>
    <w:p w:rsidR="008D5691" w:rsidRDefault="008D5691" w:rsidP="008D5691">
      <w:r>
        <w:t>220.</w:t>
      </w:r>
      <w:r>
        <w:tab/>
        <w:t xml:space="preserve">В этой связи см. пункт 179 решения Верховного суда по делу </w:t>
      </w:r>
      <w:r>
        <w:rPr>
          <w:i/>
        </w:rPr>
        <w:t xml:space="preserve">Международный школьный союз педагогов против Кисумбинга </w:t>
      </w:r>
      <w:r>
        <w:t>(</w:t>
      </w:r>
      <w:r>
        <w:rPr>
          <w:lang w:val="en-US"/>
        </w:rPr>
        <w:t>G</w:t>
      </w:r>
      <w:r w:rsidRPr="006A3D30">
        <w:t>.</w:t>
      </w:r>
      <w:r>
        <w:rPr>
          <w:lang w:val="en-US"/>
        </w:rPr>
        <w:t>R</w:t>
      </w:r>
      <w:r w:rsidRPr="006A3D30">
        <w:t xml:space="preserve">. </w:t>
      </w:r>
      <w:r>
        <w:rPr>
          <w:lang w:val="en-US"/>
        </w:rPr>
        <w:t>No</w:t>
      </w:r>
      <w:r w:rsidRPr="006A3D30">
        <w:t>. 128845</w:t>
      </w:r>
      <w:r>
        <w:t>, 1 июня 2000 года).</w:t>
      </w:r>
    </w:p>
    <w:p w:rsidR="008D5691" w:rsidRDefault="008D5691" w:rsidP="008D5691"/>
    <w:p w:rsidR="008D5691" w:rsidRDefault="008D5691" w:rsidP="008D5691">
      <w:pPr>
        <w:rPr>
          <w:b/>
        </w:rPr>
      </w:pPr>
      <w:r>
        <w:rPr>
          <w:b/>
        </w:rPr>
        <w:t>2.с</w:t>
      </w:r>
      <w:r>
        <w:rPr>
          <w:b/>
        </w:rPr>
        <w:tab/>
        <w:t xml:space="preserve">Меры, принятые в целях ликвидации дискриминации </w:t>
      </w:r>
    </w:p>
    <w:p w:rsidR="008D5691" w:rsidRDefault="008D5691" w:rsidP="008D5691">
      <w:pPr>
        <w:rPr>
          <w:b/>
        </w:rPr>
      </w:pPr>
    </w:p>
    <w:p w:rsidR="008D5691" w:rsidRDefault="008D5691" w:rsidP="008D5691">
      <w:r>
        <w:t>221.</w:t>
      </w:r>
      <w:r>
        <w:tab/>
        <w:t>В целях претворения в жизнь национальных законов правительство приняло следующие меры:</w:t>
      </w:r>
    </w:p>
    <w:p w:rsidR="008D5691" w:rsidRDefault="008D5691" w:rsidP="008D5691"/>
    <w:p w:rsidR="008D5691" w:rsidRDefault="008D5691" w:rsidP="008D5691">
      <w:pPr>
        <w:numPr>
          <w:ilvl w:val="0"/>
          <w:numId w:val="8"/>
        </w:numPr>
      </w:pPr>
      <w:r>
        <w:t>Создало в 1989 году в рамках правительства Комиссию по гражданской службе (КГС), действующую при Адвокатской службе по вопросам равенства, в целях предупреждения сексуальных домогательств и дискриминации в государственном секторе.</w:t>
      </w:r>
    </w:p>
    <w:p w:rsidR="008D5691" w:rsidRDefault="008D5691" w:rsidP="008D5691"/>
    <w:p w:rsidR="008D5691" w:rsidRDefault="008D5691" w:rsidP="008D5691">
      <w:pPr>
        <w:numPr>
          <w:ilvl w:val="0"/>
          <w:numId w:val="8"/>
        </w:numPr>
        <w:tabs>
          <w:tab w:val="clear" w:pos="1080"/>
          <w:tab w:val="clear" w:pos="1134"/>
          <w:tab w:val="num" w:pos="1122"/>
        </w:tabs>
      </w:pPr>
      <w:r>
        <w:t>Включило Филиппинский план развития в интересах женщин (ФПРЖ) в Среднесрочный план развития Филиппин (ССПРФ) на 1993-1998 годы.</w:t>
      </w:r>
    </w:p>
    <w:p w:rsidR="008D5691" w:rsidRDefault="008D5691" w:rsidP="008D5691"/>
    <w:p w:rsidR="008D5691" w:rsidRDefault="008D5691" w:rsidP="008D5691">
      <w:pPr>
        <w:numPr>
          <w:ilvl w:val="0"/>
          <w:numId w:val="8"/>
        </w:numPr>
        <w:tabs>
          <w:tab w:val="clear" w:pos="1080"/>
        </w:tabs>
      </w:pPr>
      <w:r>
        <w:t>КГС разработала Программу карьерного роста женщин, работающих на государственной службе, направленную на то, чтобы расширить их возможности по преодолению стереотипа, согласно которому женщины не должны занимать руководящие посты, и обеспечить занятие со временем директивных должностей.</w:t>
      </w:r>
    </w:p>
    <w:p w:rsidR="008D5691" w:rsidRDefault="008D5691" w:rsidP="008D5691"/>
    <w:p w:rsidR="008D5691" w:rsidRDefault="008D5691" w:rsidP="008D5691">
      <w:pPr>
        <w:numPr>
          <w:ilvl w:val="0"/>
          <w:numId w:val="8"/>
        </w:numPr>
        <w:tabs>
          <w:tab w:val="clear" w:pos="1080"/>
        </w:tabs>
      </w:pPr>
      <w:r>
        <w:t>КГС также разработала концепцию политики в области гендерного равенства в соответствии с правительственным распоряжением, которое предусматривает равное представительство женщин на должностях третьего уровня правительства.</w:t>
      </w:r>
    </w:p>
    <w:p w:rsidR="008D5691" w:rsidRDefault="008D5691" w:rsidP="008D5691"/>
    <w:p w:rsidR="008D5691" w:rsidRDefault="008D5691" w:rsidP="008D5691">
      <w:pPr>
        <w:numPr>
          <w:ilvl w:val="0"/>
          <w:numId w:val="8"/>
        </w:numPr>
        <w:tabs>
          <w:tab w:val="clear" w:pos="1080"/>
        </w:tabs>
      </w:pPr>
      <w:r>
        <w:t xml:space="preserve">Обеспечило проведение лекций и семинаров по вопросу о равных возможностях в области занятости во всех регионах.  </w:t>
      </w:r>
    </w:p>
    <w:p w:rsidR="008D5691" w:rsidRDefault="008D5691" w:rsidP="008D5691"/>
    <w:p w:rsidR="008D5691" w:rsidRDefault="008D5691" w:rsidP="008D5691">
      <w:pPr>
        <w:numPr>
          <w:ilvl w:val="0"/>
          <w:numId w:val="9"/>
        </w:numPr>
      </w:pPr>
      <w:r>
        <w:t>Обеспечило учет гендерных аспектов в рамках соблюдения трудовых нормативов, особенно посредством их включения в перечень контролируемых норм.</w:t>
      </w:r>
    </w:p>
    <w:p w:rsidR="008D5691" w:rsidRDefault="008D5691" w:rsidP="008D5691">
      <w:pPr>
        <w:ind w:left="567"/>
      </w:pPr>
    </w:p>
    <w:p w:rsidR="008D5691" w:rsidRDefault="008D5691" w:rsidP="008D5691">
      <w:pPr>
        <w:numPr>
          <w:ilvl w:val="0"/>
          <w:numId w:val="10"/>
        </w:numPr>
      </w:pPr>
      <w:r>
        <w:t>Обеспечило представление статистических данных в отношении обеспечения занятости и членства в организациях трудящихся в разбивке по полу.</w:t>
      </w:r>
    </w:p>
    <w:p w:rsidR="008D5691" w:rsidRDefault="008D5691" w:rsidP="008D5691"/>
    <w:p w:rsidR="008D5691" w:rsidRDefault="008D5691" w:rsidP="008D5691">
      <w:pPr>
        <w:numPr>
          <w:ilvl w:val="0"/>
          <w:numId w:val="10"/>
        </w:numPr>
      </w:pPr>
      <w:r>
        <w:t>Стимулирует к освоению женщинами профессий и других видов работ путем создания под руководством УТОРН программ подготовки женщин по нетрадиционным профессиям.</w:t>
      </w:r>
    </w:p>
    <w:p w:rsidR="008D5691" w:rsidRDefault="008D5691" w:rsidP="008D5691"/>
    <w:p w:rsidR="008D5691" w:rsidRDefault="008D5691" w:rsidP="008D5691">
      <w:pPr>
        <w:numPr>
          <w:ilvl w:val="0"/>
          <w:numId w:val="10"/>
        </w:numPr>
      </w:pPr>
      <w:r>
        <w:t>Провело общенациональный обзор уровня заработной платы по типам профессий в несельскохозяйственных предприятиях в целях рассмотрения проблемы недооценки и ненадлежащей оплаты женского труда.</w:t>
      </w:r>
    </w:p>
    <w:p w:rsidR="008D5691" w:rsidRDefault="008D5691" w:rsidP="008D5691"/>
    <w:p w:rsidR="008D5691" w:rsidRDefault="008D5691" w:rsidP="008D5691">
      <w:pPr>
        <w:numPr>
          <w:ilvl w:val="0"/>
          <w:numId w:val="10"/>
        </w:numPr>
      </w:pPr>
      <w:r>
        <w:t>Провело исследования для создания структур, позволяющих измерить трудовой вклад мужчин и женщин в экономику страны, который не был оплачен.</w:t>
      </w:r>
    </w:p>
    <w:p w:rsidR="008D5691" w:rsidRDefault="008D5691" w:rsidP="008D5691"/>
    <w:p w:rsidR="008D5691" w:rsidRDefault="008D5691" w:rsidP="008D5691">
      <w:pPr>
        <w:tabs>
          <w:tab w:val="clear" w:pos="567"/>
          <w:tab w:val="left" w:pos="748"/>
        </w:tabs>
        <w:rPr>
          <w:b/>
        </w:rPr>
      </w:pPr>
      <w:r w:rsidRPr="00BD3A2C">
        <w:rPr>
          <w:b/>
        </w:rPr>
        <w:t>2.с.</w:t>
      </w:r>
      <w:r w:rsidRPr="00BD3A2C">
        <w:rPr>
          <w:b/>
          <w:lang w:val="en-US"/>
        </w:rPr>
        <w:t>iii</w:t>
      </w:r>
      <w:r>
        <w:rPr>
          <w:b/>
        </w:rPr>
        <w:tab/>
      </w:r>
      <w:r w:rsidRPr="00BD3A2C">
        <w:rPr>
          <w:b/>
        </w:rPr>
        <w:t>Меры по поощрению объективной оценки работы</w:t>
      </w:r>
    </w:p>
    <w:p w:rsidR="008D5691" w:rsidRDefault="008D5691" w:rsidP="008D5691">
      <w:pPr>
        <w:rPr>
          <w:b/>
        </w:rPr>
      </w:pPr>
    </w:p>
    <w:p w:rsidR="008D5691" w:rsidRDefault="008D5691" w:rsidP="008D5691">
      <w:r>
        <w:t>222.</w:t>
      </w:r>
      <w:r>
        <w:tab/>
        <w:t>Республиканский закон № 6725 предусматривает, что ко всем сотрудникам независимо от их пола должен применяться равный подход при оценке качества работы и других факторов, учитываемых в связи с продвижением по службе, при предоставлении возможностей для профессиональной подготовки, выделении грантов на обучение и образование.</w:t>
      </w:r>
    </w:p>
    <w:p w:rsidR="008D5691" w:rsidRDefault="008D5691" w:rsidP="008D5691"/>
    <w:p w:rsidR="008D5691" w:rsidRDefault="008D5691" w:rsidP="008D5691">
      <w:r>
        <w:t>223.</w:t>
      </w:r>
      <w:r>
        <w:tab/>
        <w:t>В секторе гражданской службы КГС разработала систему аттестации, которая используется в качестве стандартного инструмента для измерения показателей работы.  Однако эта система пересматривается с тем, чтобы учесть фактические различия в работе или специфичность операций в различных государственных учреждениях.</w:t>
      </w:r>
    </w:p>
    <w:p w:rsidR="008D5691" w:rsidRDefault="008D5691" w:rsidP="008D5691"/>
    <w:p w:rsidR="008D5691" w:rsidRDefault="008D5691" w:rsidP="008D5691">
      <w:r>
        <w:t>224.</w:t>
      </w:r>
      <w:r>
        <w:tab/>
        <w:t>В частном секторе Трудовой кодекс признает возможность выплаты заработной платы по сдельной ставке, затраченному времени или фактически выполненной работе.  Такое решение может приниматься только с участием государственного органа или исключительно на уровне предприятия.  В Трудовом кодексе признаются две области, в которых правительство полномочно принимать меры, </w:t>
      </w:r>
      <w:r>
        <w:noBreakHyphen/>
        <w:t xml:space="preserve"> когда ставки или формулы оплаты устанавливаются на уровне отрасли после консультаций, проведенных с министром труда и занятости, или когда предприятие обращается к МТЗ с просьбой об оказании технической помощи в проведении исследований по затратам времени на выполнение того или иного вида работы и изучению предложений, которые составят основу для объективной оценки выполненной работы.  В настоящее время только в сахарной промышленности принята формула, применяемая на всех предприятиях этой отрасли.  Однако методы оценки, как правило, разрабатываются на уровне предприятия, хотя довольно распространена практика, когда в ходе этого процесса проводится сравнение используемых в качестве эталона работ с соответствующими системами оплаты в отрасли в целом.</w:t>
      </w:r>
    </w:p>
    <w:p w:rsidR="008D5691" w:rsidRDefault="008D5691" w:rsidP="008D5691"/>
    <w:p w:rsidR="008D5691" w:rsidRDefault="008D5691" w:rsidP="008D5691">
      <w:r>
        <w:t>225.</w:t>
      </w:r>
      <w:r>
        <w:tab/>
        <w:t>Кроме того, исследователи пытаются произвести оценку стоимости домашней работы женщин в денежном выражении и определить их вклад в общий доход семьи.  Исследование, проведенное по просьбе национальной женской организации, показывает, что если представить домашнюю работу в денежном выражении, то этот показатель составил бы порядка 20% ВВП.  Обзор соответствующих законов и стратегий на предмет наличия в них дискриминационных положений показывает, что они не гарантируют равноправного статуса женщин, особенно в свете оценки их денежного вклада в ликвидацию экономической задолженности.  Однако каких-либо статистических данных, позволяющих точно определить вклад женщин в экономику в денежном выражении не имеется.</w:t>
      </w:r>
    </w:p>
    <w:p w:rsidR="008D5691" w:rsidRDefault="008D5691" w:rsidP="008D5691"/>
    <w:p w:rsidR="008D5691" w:rsidRDefault="008D5691" w:rsidP="008D5691">
      <w:pPr>
        <w:rPr>
          <w:b/>
        </w:rPr>
      </w:pPr>
      <w:r>
        <w:rPr>
          <w:b/>
        </w:rPr>
        <w:t>2.</w:t>
      </w:r>
      <w:r>
        <w:rPr>
          <w:b/>
          <w:lang w:val="en-US"/>
        </w:rPr>
        <w:t>d</w:t>
      </w:r>
      <w:r>
        <w:rPr>
          <w:b/>
        </w:rPr>
        <w:tab/>
        <w:t>Распределение доходов служащих</w:t>
      </w:r>
    </w:p>
    <w:p w:rsidR="008D5691" w:rsidRDefault="008D5691" w:rsidP="008D5691">
      <w:pPr>
        <w:rPr>
          <w:b/>
        </w:rPr>
      </w:pPr>
    </w:p>
    <w:p w:rsidR="008D5691" w:rsidRDefault="008D5691" w:rsidP="008D5691">
      <w:r>
        <w:t>226.</w:t>
      </w:r>
      <w:r>
        <w:tab/>
        <w:t>Сопоставимых данных об уровне заработной платы в государственном и частном секторах не существует.  Вместе с тем есть мнение, что служащие низшего звена государственного сектора получают больше своих коллег из частного сектора.  С другой стороны, руководители среднего и высшего звена предприятий частного сектора зарабатывают больше своих коллег из государственного сектора.  Проведенное в 1994 году Всемирным банком исследование уровней заработной платы в государственном и частном секторах показывает, что оклад директора государственного агентства составляет примерно одну четвертую оклада его коллеги-руководителя, работающего в частном секторе.</w:t>
      </w:r>
    </w:p>
    <w:p w:rsidR="008D5691" w:rsidRDefault="008D5691" w:rsidP="008D5691"/>
    <w:p w:rsidR="008D5691" w:rsidRDefault="008D5691" w:rsidP="008D5691">
      <w:r>
        <w:t>227.</w:t>
      </w:r>
      <w:r>
        <w:tab/>
        <w:t>Что касается нематериальных льгот, то основные различия между частным и государственным секторами состоят в праве на отпуск и оплачиваемый больничный, получение премий за работу в выходные дни, сверхурочную и ночную работу.  В соответствии с Законом о гражданской службе государственные служащие имеют право на ежегодный календарный отпуск и отпуск по болезни продолжительностью в 15 дней.  Кроме того, в соответствии с правилами гражданской службы государственным служащим предоставляется три календарных дня в течение года в связи с какими-либо особыми случаями (например, по случаю похорон/траура, по случаю окончания учебы, по случаю зачисления на военную службу, отпуск по случаю свадебной церемонии/годовщины и т.д.).  С другой стороны, в отсутствие коллективного договора или политики компании, предусматривающей более существенные льготы, Трудовой кодекс устанавливает право каждого работника частного сектора, проработавшего не менее одного года, на пятидневный поощрительный отпуск за счет предприятия.  Оплата за сверхурочную работу производится государственным служащим, проработавшим более установленных 40 часов за неделю, хотя ее размер не может превышать 50% от уровня регулярного оклада.  Премиальные за работу в праздничные дни или ночью не выплачиваются.</w:t>
      </w:r>
    </w:p>
    <w:p w:rsidR="00A950A1" w:rsidRDefault="00A950A1" w:rsidP="008D5691"/>
    <w:p w:rsidR="006A3A46" w:rsidRDefault="006A3A46" w:rsidP="006A3A46">
      <w:pPr>
        <w:tabs>
          <w:tab w:val="clear" w:pos="1701"/>
          <w:tab w:val="left" w:pos="1540"/>
        </w:tabs>
        <w:ind w:left="1540" w:hanging="1540"/>
        <w:rPr>
          <w:b/>
        </w:rPr>
      </w:pPr>
      <w:r>
        <w:rPr>
          <w:b/>
        </w:rPr>
        <w:t>Вопрос № 3.</w:t>
      </w:r>
      <w:r>
        <w:rPr>
          <w:b/>
        </w:rPr>
        <w:tab/>
        <w:t>Другие правовые, административные или иные положения, определяющие минимальные условия в области безопасности и гигиены труда</w:t>
      </w:r>
    </w:p>
    <w:p w:rsidR="006A3A46" w:rsidRDefault="006A3A46" w:rsidP="006A3A46">
      <w:pPr>
        <w:rPr>
          <w:b/>
        </w:rPr>
      </w:pPr>
    </w:p>
    <w:p w:rsidR="006A3A46" w:rsidRDefault="006A3A46" w:rsidP="006A3A46">
      <w:r>
        <w:t>228.</w:t>
      </w:r>
      <w:r>
        <w:tab/>
        <w:t>Права всех трудящихся на надлежащие условия труда гарантируются пунктом 3 статьи </w:t>
      </w:r>
      <w:r>
        <w:rPr>
          <w:lang w:val="en-US"/>
        </w:rPr>
        <w:t>XIII</w:t>
      </w:r>
      <w:r>
        <w:t xml:space="preserve"> Конституции.  Во исполнение этого предписания в Трудовом кодексе предусматриваются два вида норм, касающихся гигиены и безопасности труда, </w:t>
      </w:r>
      <w:r>
        <w:noBreakHyphen/>
        <w:t xml:space="preserve"> общеприменимые нормы и нормы, применяемые в конкретных случаях в зависимости от вида деятельности.  </w:t>
      </w:r>
    </w:p>
    <w:p w:rsidR="006A3A46" w:rsidRDefault="006A3A46" w:rsidP="006A3A46"/>
    <w:p w:rsidR="006A3A46" w:rsidRDefault="006A3A46" w:rsidP="006A3A46">
      <w:r>
        <w:t>229.</w:t>
      </w:r>
      <w:r>
        <w:tab/>
        <w:t xml:space="preserve">Общие требования к предприятиям содержатся в </w:t>
      </w:r>
      <w:r>
        <w:rPr>
          <w:lang w:val="en-US"/>
        </w:rPr>
        <w:t>III</w:t>
      </w:r>
      <w:r w:rsidRPr="00C9288F">
        <w:t xml:space="preserve"> </w:t>
      </w:r>
      <w:r>
        <w:t>и</w:t>
      </w:r>
      <w:r w:rsidRPr="00C9288F">
        <w:t xml:space="preserve"> </w:t>
      </w:r>
      <w:r>
        <w:rPr>
          <w:lang w:val="en-US"/>
        </w:rPr>
        <w:t>IV</w:t>
      </w:r>
      <w:r>
        <w:t xml:space="preserve"> томах Трудового кодекса, которые регулируют, среди прочего, количество рабочих часов, предоставление средств защиты и доступ к клиникам, больницам или медицинским центрам.  </w:t>
      </w:r>
    </w:p>
    <w:p w:rsidR="006A3A46" w:rsidRDefault="006A3A46" w:rsidP="006A3A46"/>
    <w:p w:rsidR="006A3A46" w:rsidRDefault="006A3A46" w:rsidP="006A3A46">
      <w:r>
        <w:t>230.</w:t>
      </w:r>
      <w:r>
        <w:tab/>
        <w:t>С учетом особенностей конкретных видов деятельности минимальные условия в области гигиены и безопасности труда отражены в Руководстве по стандартам гигиены и безопасности труда.  Эти стандарты применяются к определенным видам профессий в связи с присущими для их рабочей среды различиями и рисками.  Например, в соответствии с РЗ № 8558 в статью 287 Трудового кодекса была внесена поправка о сокращении обязательного срока выхода на пенсию шахтеров с 65 до 55 лет, учитывая вредность для здоровья работы в шахтах.</w:t>
      </w:r>
    </w:p>
    <w:p w:rsidR="006A3A46" w:rsidRDefault="006A3A46" w:rsidP="006A3A46"/>
    <w:p w:rsidR="006A3A46" w:rsidRDefault="006A3A46" w:rsidP="006A3A46">
      <w:r>
        <w:t>231.</w:t>
      </w:r>
      <w:r>
        <w:tab/>
        <w:t xml:space="preserve">МТЗ курирует и обеспечивает соблюдение безопасности и гигиены труда главным образом через вышеописанную систему инспектирования.  Министр труда и занятости уполномочен отдавать распоряжение о прекращении работы или приостановлении деятельности предприятия, если в результате несоблюдения закона или невыполнения нормативных правил и </w:t>
      </w:r>
      <w:r w:rsidR="004A4062">
        <w:t>положений</w:t>
      </w:r>
      <w:r>
        <w:t xml:space="preserve"> здоровье и безопасность работников подвергаются серьезной и неизбежной угрозе.  </w:t>
      </w:r>
    </w:p>
    <w:p w:rsidR="006A3A46" w:rsidRDefault="006A3A46" w:rsidP="006A3A46"/>
    <w:p w:rsidR="006A3A46" w:rsidRDefault="006A3A46" w:rsidP="006A3A46">
      <w:r>
        <w:t>232.</w:t>
      </w:r>
      <w:r>
        <w:tab/>
        <w:t>В статьях 162-165 Трудового кодекса подчеркивается ответственность МТЗ за обеспечение гигиены и безопасности труда трудящихся.</w:t>
      </w:r>
    </w:p>
    <w:p w:rsidR="006A3A46" w:rsidRDefault="006A3A46" w:rsidP="006A3A46"/>
    <w:p w:rsidR="006A3A46" w:rsidRDefault="006A3A46" w:rsidP="006A3A46">
      <w:pPr>
        <w:ind w:left="567" w:hanging="567"/>
        <w:rPr>
          <w:b/>
        </w:rPr>
      </w:pPr>
      <w:r>
        <w:rPr>
          <w:b/>
        </w:rPr>
        <w:t>3.а</w:t>
      </w:r>
      <w:r>
        <w:rPr>
          <w:b/>
        </w:rPr>
        <w:tab/>
        <w:t>Категории трудящихся, которые не подпадают под существующие системы гигиены и безопасности труда</w:t>
      </w:r>
    </w:p>
    <w:p w:rsidR="006A3A46" w:rsidRDefault="006A3A46" w:rsidP="006A3A46">
      <w:pPr>
        <w:rPr>
          <w:b/>
        </w:rPr>
      </w:pPr>
    </w:p>
    <w:p w:rsidR="006A3A46" w:rsidRDefault="006A3A46" w:rsidP="006A3A46">
      <w:r>
        <w:t>233.</w:t>
      </w:r>
      <w:r>
        <w:tab/>
        <w:t xml:space="preserve">Содержащиеся в Трудовом кодексе положения о безопасности и гигиене труда применяются только к рабочим, которые включены в систему взаимоотношений работодателей-служащих.  Таким образом, на трудящихся неформального сектора не распространяются положения Трудового кодекса. </w:t>
      </w:r>
    </w:p>
    <w:p w:rsidR="006A3A46" w:rsidRDefault="006A3A46" w:rsidP="006A3A46"/>
    <w:p w:rsidR="006A3A46" w:rsidRDefault="006A3A46" w:rsidP="006A3A46">
      <w:pPr>
        <w:ind w:left="567" w:hanging="567"/>
        <w:rPr>
          <w:b/>
        </w:rPr>
      </w:pPr>
      <w:r>
        <w:rPr>
          <w:b/>
        </w:rPr>
        <w:t>3.</w:t>
      </w:r>
      <w:r>
        <w:rPr>
          <w:b/>
          <w:lang w:val="en-US"/>
        </w:rPr>
        <w:t>b</w:t>
      </w:r>
      <w:r>
        <w:rPr>
          <w:b/>
        </w:rPr>
        <w:tab/>
        <w:t>Статистические данные и информация о числе, характере и частоте несчастных случаев на производстве</w:t>
      </w:r>
    </w:p>
    <w:p w:rsidR="006A3A46" w:rsidRDefault="006A3A46" w:rsidP="006A3A46">
      <w:pPr>
        <w:rPr>
          <w:b/>
        </w:rPr>
      </w:pPr>
    </w:p>
    <w:p w:rsidR="006A3A46" w:rsidRDefault="006A3A46" w:rsidP="006A3A46">
      <w:r>
        <w:t>234.</w:t>
      </w:r>
      <w:r>
        <w:tab/>
        <w:t>В соответствии с данными МТЗ с 1996 по 2000 год на 1 726 отобранных предприятиях произошло всего 27 057 несчастных случаев, т.е. в среднем 5 411 случаев за   год.  Из зарегистрированных 27 057 несчастных случаев 17 856, или 66</w:t>
      </w:r>
      <w:r w:rsidRPr="00ED2B4D">
        <w:t>%</w:t>
      </w:r>
      <w:r>
        <w:t xml:space="preserve"> являлись несчастными случаями с потерей трудоспособности, которые подразделяются следующим образом:  временная полная потеря трудоспособности - 17 608 случаев, смертельный исход - 185 случаев, временная частичная потеря трудоспособности - 65, и оставшиеся 9 201 случай, или 34</w:t>
      </w:r>
      <w:r w:rsidRPr="00ED2B4D">
        <w:t>%</w:t>
      </w:r>
      <w:r>
        <w:t xml:space="preserve"> были квалифицированы в качестве случаев, не приводящих к потере трудоспособности или требующих только оказания медицинской помощи/первичной медицинской помощи.  Общий экономический ущерб от несчастных случаев составил 56 млн. филиппинских песо. </w:t>
      </w:r>
    </w:p>
    <w:p w:rsidR="006A3A46" w:rsidRDefault="006A3A46" w:rsidP="006A3A46"/>
    <w:p w:rsidR="006A3A46" w:rsidRDefault="006A3A46" w:rsidP="006A3A46">
      <w:r>
        <w:t>235.</w:t>
      </w:r>
      <w:r>
        <w:tab/>
        <w:t xml:space="preserve">Информация, представленная в рамках резюме Ежегодной медицинской отчетности (ЕМО) за пятилетний период (1996-2000 годы):  </w:t>
      </w:r>
    </w:p>
    <w:p w:rsidR="006A3A46" w:rsidRDefault="006A3A46" w:rsidP="006A3A46"/>
    <w:p w:rsidR="006A3A46" w:rsidRDefault="006A3A46" w:rsidP="006A3A46">
      <w:pPr>
        <w:numPr>
          <w:ilvl w:val="0"/>
          <w:numId w:val="15"/>
        </w:numPr>
      </w:pPr>
      <w:r>
        <w:t>Всего отобранными предприятиями было представлено 10 716 ЕМО, причем наибольшее количество из них (4 533) приходится на сектор оптовой и розничной торговли, за которыми следует сектор обрабатывающей промышленности (1 699).</w:t>
      </w:r>
    </w:p>
    <w:p w:rsidR="006A3A46" w:rsidRDefault="006A3A46" w:rsidP="006A3A46"/>
    <w:p w:rsidR="006A3A46" w:rsidRDefault="006A3A46" w:rsidP="006A3A46">
      <w:pPr>
        <w:numPr>
          <w:ilvl w:val="0"/>
          <w:numId w:val="15"/>
        </w:numPr>
      </w:pPr>
      <w:r>
        <w:t>Различным видам профессиональных рисков подвергались в общей сложности 248 144 работника.  Большая часть работников была подвержена таким специфическим видам рисков, как воздействие бактерий, вирусов, пыли, аэрозолей и жидкостей.  Большинство работников сектора обрабатывающей промышленности возглавили список тех, кто подвергался опасностям, связанным с воздействием биологических, эргономических, химических и физических факторов.</w:t>
      </w:r>
    </w:p>
    <w:p w:rsidR="006A3A46" w:rsidRDefault="006A3A46" w:rsidP="006A3A46"/>
    <w:p w:rsidR="006A3A46" w:rsidRDefault="006A3A46" w:rsidP="006A3A46">
      <w:pPr>
        <w:numPr>
          <w:ilvl w:val="0"/>
          <w:numId w:val="15"/>
        </w:numPr>
      </w:pPr>
      <w:r>
        <w:t>В число сообщенных предприятиями 10 наиболее распространенных заболеваний/болезней входят следующие:  простуда, головная боль в связи с повышением или понижением давления, диарея, тонзиллит, фарингит и грипп.</w:t>
      </w:r>
    </w:p>
    <w:p w:rsidR="006A3A46" w:rsidRDefault="006A3A46" w:rsidP="006A3A46"/>
    <w:p w:rsidR="006A3A46" w:rsidRDefault="006A3A46" w:rsidP="006A3A46">
      <w:pPr>
        <w:tabs>
          <w:tab w:val="clear" w:pos="1701"/>
          <w:tab w:val="left" w:pos="1484"/>
        </w:tabs>
        <w:rPr>
          <w:b/>
        </w:rPr>
      </w:pPr>
      <w:r>
        <w:rPr>
          <w:b/>
        </w:rPr>
        <w:t>Вопрос № 4.</w:t>
      </w:r>
      <w:r>
        <w:rPr>
          <w:b/>
        </w:rPr>
        <w:tab/>
        <w:t xml:space="preserve">Равные возможности с точки зрения продвижения по службе </w:t>
      </w:r>
    </w:p>
    <w:p w:rsidR="006A3A46" w:rsidRDefault="006A3A46" w:rsidP="006A3A46">
      <w:pPr>
        <w:rPr>
          <w:b/>
        </w:rPr>
      </w:pPr>
    </w:p>
    <w:p w:rsidR="006A3A46" w:rsidRDefault="006A3A46" w:rsidP="006A3A46">
      <w:r>
        <w:t>236.</w:t>
      </w:r>
      <w:r>
        <w:tab/>
        <w:t>Ответ на этот вопрос аналогичен тому, который был приведен выше (см. пункты 223-226).</w:t>
      </w:r>
    </w:p>
    <w:p w:rsidR="006A3A46" w:rsidRDefault="006A3A46" w:rsidP="006A3A46"/>
    <w:p w:rsidR="006A3A46" w:rsidRDefault="006A3A46" w:rsidP="006A3A46">
      <w:pPr>
        <w:tabs>
          <w:tab w:val="clear" w:pos="1701"/>
          <w:tab w:val="left" w:pos="1540"/>
        </w:tabs>
        <w:ind w:left="1540" w:hanging="1540"/>
        <w:rPr>
          <w:b/>
        </w:rPr>
      </w:pPr>
      <w:r>
        <w:rPr>
          <w:b/>
        </w:rPr>
        <w:t>Вопрос № 5.</w:t>
      </w:r>
      <w:r>
        <w:rPr>
          <w:b/>
        </w:rPr>
        <w:tab/>
        <w:t>Законы и практика в отношении отдыха, досуга, ограничения рабочего времени, оплачиваемых периодических отпусков и оплаты за</w:t>
      </w:r>
      <w:r w:rsidR="00A950A1">
        <w:rPr>
          <w:b/>
        </w:rPr>
        <w:t> </w:t>
      </w:r>
      <w:r>
        <w:rPr>
          <w:b/>
        </w:rPr>
        <w:t>праздничные дни</w:t>
      </w:r>
    </w:p>
    <w:p w:rsidR="006A3A46" w:rsidRDefault="006A3A46" w:rsidP="006A3A46">
      <w:pPr>
        <w:rPr>
          <w:b/>
        </w:rPr>
      </w:pPr>
    </w:p>
    <w:p w:rsidR="006A3A46" w:rsidRDefault="006A3A46" w:rsidP="006A3A46">
      <w:r>
        <w:t>237.</w:t>
      </w:r>
      <w:r>
        <w:tab/>
        <w:t>Стратегии и правила, касающиеся отдыха, рабочих часов и оплаты за государственные праздники, содержатся в следующих положениях Трудового кодекса:</w:t>
      </w:r>
    </w:p>
    <w:p w:rsidR="006A3A46" w:rsidRDefault="006A3A46" w:rsidP="006A3A46"/>
    <w:p w:rsidR="006A3A46" w:rsidRDefault="006A3A46" w:rsidP="006A3A46">
      <w:pPr>
        <w:rPr>
          <w:b/>
        </w:rPr>
      </w:pPr>
      <w:r>
        <w:rPr>
          <w:b/>
        </w:rPr>
        <w:t>Рабочие часы</w:t>
      </w:r>
    </w:p>
    <w:p w:rsidR="006A3A46" w:rsidRDefault="006A3A46" w:rsidP="006A3A46">
      <w:pPr>
        <w:rPr>
          <w:b/>
        </w:rPr>
      </w:pPr>
    </w:p>
    <w:p w:rsidR="006A3A46" w:rsidRDefault="006A3A46" w:rsidP="006A3A46">
      <w:r w:rsidRPr="0036533F">
        <w:t>238.</w:t>
      </w:r>
      <w:r w:rsidRPr="0036533F">
        <w:tab/>
      </w:r>
      <w:r>
        <w:t>Статья 83 гласит, что обычные часы работы любого служащего не могут превышать восьми часов в день.</w:t>
      </w:r>
    </w:p>
    <w:p w:rsidR="006A3A46" w:rsidRDefault="006A3A46" w:rsidP="006A3A46"/>
    <w:p w:rsidR="006A3A46" w:rsidRDefault="006A3A46" w:rsidP="006A3A46">
      <w:r>
        <w:t>239.</w:t>
      </w:r>
      <w:r>
        <w:tab/>
        <w:t>Статья 84 предусматривает, что периоды краткосрочного отдыха (менее одного часа) во время рабочего дня считаются отработанными часами и должны оплачиваться.</w:t>
      </w:r>
    </w:p>
    <w:p w:rsidR="006A3A46" w:rsidRDefault="006A3A46" w:rsidP="006A3A46"/>
    <w:p w:rsidR="006A3A46" w:rsidRDefault="006A3A46" w:rsidP="006A3A46">
      <w:r>
        <w:t>240.</w:t>
      </w:r>
      <w:r>
        <w:tab/>
        <w:t>Статья 85 требует, чтобы каждый работодатель предоставлял своим служащим не менее 60 минут перерыва для приема пищи.</w:t>
      </w:r>
    </w:p>
    <w:p w:rsidR="006A3A46" w:rsidRDefault="006A3A46" w:rsidP="006A3A46"/>
    <w:p w:rsidR="006A3A46" w:rsidRDefault="006A3A46" w:rsidP="006A3A46">
      <w:r>
        <w:t>241.</w:t>
      </w:r>
      <w:r>
        <w:tab/>
        <w:t>Статья 86 определяет ночную работу в качестве работы, выполняемой с 22 час. 00 мин. до 06 час. 00 мин., и требует выплачивать надбавку в размере не менее 10</w:t>
      </w:r>
      <w:r w:rsidRPr="003628DC">
        <w:t>%</w:t>
      </w:r>
      <w:r>
        <w:t xml:space="preserve">  от регулярной заработной платы за работу, выполняемую в течение этих часов.  </w:t>
      </w:r>
    </w:p>
    <w:p w:rsidR="006A3A46" w:rsidRDefault="006A3A46" w:rsidP="006A3A46"/>
    <w:p w:rsidR="006A3A46" w:rsidRDefault="006A3A46" w:rsidP="006A3A46">
      <w:r>
        <w:t>242.</w:t>
      </w:r>
      <w:r>
        <w:tab/>
        <w:t>Статья 87 требует выплачивать надбавку в размере не менее 25</w:t>
      </w:r>
      <w:r w:rsidRPr="003628DC">
        <w:t>%</w:t>
      </w:r>
      <w:r>
        <w:t xml:space="preserve"> от регулярной заработной платы за работу, выполняемую сверх восьми часов.</w:t>
      </w:r>
    </w:p>
    <w:p w:rsidR="006A3A46" w:rsidRDefault="006A3A46" w:rsidP="006A3A46"/>
    <w:p w:rsidR="006A3A46" w:rsidRDefault="006A3A46" w:rsidP="006A3A46">
      <w:pPr>
        <w:rPr>
          <w:b/>
        </w:rPr>
      </w:pPr>
      <w:r>
        <w:rPr>
          <w:b/>
        </w:rPr>
        <w:t>Периоды отдыха и праздники</w:t>
      </w:r>
    </w:p>
    <w:p w:rsidR="006A3A46" w:rsidRDefault="006A3A46" w:rsidP="006A3A46">
      <w:pPr>
        <w:rPr>
          <w:b/>
        </w:rPr>
      </w:pPr>
    </w:p>
    <w:p w:rsidR="006A3A46" w:rsidRDefault="006A3A46" w:rsidP="006A3A46">
      <w:r>
        <w:t>243.</w:t>
      </w:r>
      <w:r>
        <w:tab/>
        <w:t>Статья 91 предусматривает предоставление 24-часового непрерывного отдыха после шести непрерывных обычных рабочих дней.  Бывают обстоятельства, требующие выполнения работы в выходной день, но тогда оплата за подобную работу должна составлять 130</w:t>
      </w:r>
      <w:r w:rsidRPr="003628DC">
        <w:t>%</w:t>
      </w:r>
      <w:r>
        <w:t xml:space="preserve"> от размера регулярной заработной платы.  </w:t>
      </w:r>
    </w:p>
    <w:p w:rsidR="006A3A46" w:rsidRDefault="006A3A46" w:rsidP="006A3A46"/>
    <w:p w:rsidR="006A3A46" w:rsidRDefault="006A3A46" w:rsidP="006A3A46">
      <w:r>
        <w:t>244.</w:t>
      </w:r>
      <w:r>
        <w:tab/>
        <w:t xml:space="preserve">В Правительственном распоряжении № 203 установлены два вида праздников - официальные и специальные.  Официальными праздниками являются Новый год, Великий четверг, Страстная пятница, 9 апреля (день Батаан и Коррегидор), 1 июня (День независимости), Последнее воскресенье августа (День памяти национальных героев), 30 ноября (День Бонифацио), 25 декабря (Рождество), 30 декабря (День памяти Ризаля).  Специальными днями являются 1 ноября (День всех святых) и 31 декабря.  Кроме того, РЗ № 9177 устанавливает в качестве официального праздника </w:t>
      </w:r>
      <w:r w:rsidRPr="00DD2E2F">
        <w:t>Ид-Уль-Фитр,</w:t>
      </w:r>
      <w:r>
        <w:t xml:space="preserve"> а РЗ № 9256 провозглашает 21 августа каждого года </w:t>
      </w:r>
      <w:r w:rsidRPr="00DD2E2F">
        <w:t>Днем памяти Ниной Акино,</w:t>
      </w:r>
      <w:r>
        <w:t xml:space="preserve"> который является специальным праздничным нерабочим днем.</w:t>
      </w:r>
    </w:p>
    <w:p w:rsidR="006A3A46" w:rsidRDefault="006A3A46" w:rsidP="006A3A46"/>
    <w:p w:rsidR="006A3A46" w:rsidRDefault="006A3A46" w:rsidP="006A3A46">
      <w:r>
        <w:t>245.</w:t>
      </w:r>
      <w:r>
        <w:tab/>
        <w:t>Выплата заработной платы за работу в праздничные дни зависит от характера  праздника.  В отношении официальных праздников существует два основных правила:  1)</w:t>
      </w:r>
      <w:r w:rsidR="007652F2">
        <w:t>  </w:t>
      </w:r>
      <w:r>
        <w:t>служащий имеет право на получение 100</w:t>
      </w:r>
      <w:r w:rsidRPr="0039768F">
        <w:t>%</w:t>
      </w:r>
      <w:r>
        <w:t xml:space="preserve"> обычной заработной платы за неотработанный в официальный праздник день при условии, что он вышел на работу в день, непосредственно предшествующий праздничному дню;  и 2)  служащий, работающий в официальные праздничные дни, получает 200</w:t>
      </w:r>
      <w:r w:rsidRPr="00F13F5E">
        <w:t>%</w:t>
      </w:r>
      <w:r>
        <w:t xml:space="preserve"> от уровня своей обычной заработной платы.  В отношении специальных дней также применяются два правила:  1)  если служащий не работает в специальный день, применяется принцип "нет работы, нет оплаты";  и 2)  служащий, работающий в специальный день, имеет право на получение 130</w:t>
      </w:r>
      <w:r w:rsidRPr="00F13F5E">
        <w:t>%</w:t>
      </w:r>
      <w:r>
        <w:t xml:space="preserve"> оплаты от уровня своей обычной заработной платы.</w:t>
      </w:r>
    </w:p>
    <w:p w:rsidR="006A3A46" w:rsidRDefault="006A3A46" w:rsidP="006A3A46"/>
    <w:p w:rsidR="006A3A46" w:rsidRDefault="006A3A46" w:rsidP="006A3A46">
      <w:r>
        <w:t>246.</w:t>
      </w:r>
      <w:r>
        <w:tab/>
        <w:t>Статья 95 предусматривает предоставление каждому проработавшему не менее одного года сотруднику пятидневный поощрительный отпуск за счет предприятия при том условии, что само предприятие или существующее коллективное соглашение не предусматривают предоставление более значительных льгот.</w:t>
      </w:r>
    </w:p>
    <w:p w:rsidR="006A3A46" w:rsidRDefault="006A3A46" w:rsidP="006A3A46"/>
    <w:p w:rsidR="006A3A46" w:rsidRDefault="006A3A46" w:rsidP="006A3A46">
      <w:pPr>
        <w:rPr>
          <w:b/>
        </w:rPr>
      </w:pPr>
      <w:r>
        <w:rPr>
          <w:b/>
        </w:rPr>
        <w:t>Часы работы в правительственных учреждениях</w:t>
      </w:r>
    </w:p>
    <w:p w:rsidR="006A3A46" w:rsidRDefault="006A3A46" w:rsidP="006A3A46">
      <w:pPr>
        <w:rPr>
          <w:b/>
        </w:rPr>
      </w:pPr>
    </w:p>
    <w:p w:rsidR="006A3A46" w:rsidRDefault="006A3A46" w:rsidP="006A3A46">
      <w:r>
        <w:t>247.</w:t>
      </w:r>
      <w:r>
        <w:tab/>
        <w:t>Раздел 1 РЗ № 1880 предусматривает, что официальные часы работы правительственных учреждений составляют восемь часов в день в течение пятидневной рабочей недели или в общей сложности 40 часов в неделю, за исключением обеденного перерыва.  Государственные учреждения могут устанавливать гибкий график работы для служащих и предоставлять им возможность отрабатывать во внеурочное время, кроме воскресений, невыход на работу или не полностью отработанные рабочие часы.</w:t>
      </w:r>
    </w:p>
    <w:p w:rsidR="00221285" w:rsidRDefault="00221285" w:rsidP="00221285"/>
    <w:p w:rsidR="00221285" w:rsidRDefault="00221285" w:rsidP="00A950A1">
      <w:pPr>
        <w:keepNext/>
        <w:rPr>
          <w:b/>
        </w:rPr>
      </w:pPr>
      <w:r>
        <w:rPr>
          <w:b/>
        </w:rPr>
        <w:t>5.а</w:t>
      </w:r>
      <w:r>
        <w:rPr>
          <w:b/>
        </w:rPr>
        <w:tab/>
        <w:t>Трудности, касающиеся осуществления этих прав</w:t>
      </w:r>
    </w:p>
    <w:p w:rsidR="00221285" w:rsidRDefault="00221285" w:rsidP="00221285">
      <w:pPr>
        <w:rPr>
          <w:b/>
        </w:rPr>
      </w:pPr>
    </w:p>
    <w:p w:rsidR="00221285" w:rsidRDefault="00221285" w:rsidP="00221285">
      <w:r>
        <w:t>248.</w:t>
      </w:r>
      <w:r>
        <w:tab/>
        <w:t>Трудности с осуществлением этих прав обусловлены принимаемыми частными компаниями внутренними и внешними мерами по флексибилизации и потребностями ориентированными на экспорт предприятий, в том чтобы их работники оказывали услуги по выходным и праздничным дням для соблюдения квот и</w:t>
      </w:r>
      <w:r w:rsidR="00A950A1">
        <w:t>ли выполнения рабочих заказов.</w:t>
      </w:r>
    </w:p>
    <w:p w:rsidR="00221285" w:rsidRDefault="00221285" w:rsidP="00221285"/>
    <w:p w:rsidR="00221285" w:rsidRDefault="00221285" w:rsidP="00221285">
      <w:r>
        <w:t>249.</w:t>
      </w:r>
      <w:r>
        <w:tab/>
        <w:t>Статья 82 Трудового кодекса предусматривает</w:t>
      </w:r>
      <w:r w:rsidRPr="00397591">
        <w:t xml:space="preserve"> </w:t>
      </w:r>
      <w:r>
        <w:t xml:space="preserve">отмену в той или иной степени действия предусмотренных в нем положений об условиях труда и периодах отдыха государственных служащих, персонала на местах, членов семьи работодателя, находящихся на его иждивении, домашней прислуги, лиц, состоящих в личном услужении у другого лица, и трудящихся, работающих сдельно.  </w:t>
      </w:r>
    </w:p>
    <w:p w:rsidR="00221285" w:rsidRDefault="00221285" w:rsidP="00221285"/>
    <w:p w:rsidR="00221285" w:rsidRDefault="00221285" w:rsidP="00221285">
      <w:pPr>
        <w:jc w:val="center"/>
        <w:rPr>
          <w:b/>
        </w:rPr>
      </w:pPr>
      <w:r>
        <w:rPr>
          <w:b/>
        </w:rPr>
        <w:t>Статья 8</w:t>
      </w:r>
    </w:p>
    <w:p w:rsidR="00221285" w:rsidRDefault="00221285" w:rsidP="00221285">
      <w:pPr>
        <w:jc w:val="center"/>
        <w:rPr>
          <w:b/>
        </w:rPr>
      </w:pPr>
    </w:p>
    <w:p w:rsidR="00221285" w:rsidRDefault="00221285" w:rsidP="00221285">
      <w:pPr>
        <w:rPr>
          <w:b/>
        </w:rPr>
      </w:pPr>
      <w:r>
        <w:rPr>
          <w:b/>
        </w:rPr>
        <w:t>8.1</w:t>
      </w:r>
      <w:r>
        <w:rPr>
          <w:b/>
        </w:rPr>
        <w:tab/>
        <w:t>Конвенции МОТ, государством-участником которых являются Филиппины</w:t>
      </w:r>
    </w:p>
    <w:p w:rsidR="00221285" w:rsidRDefault="00221285" w:rsidP="00221285">
      <w:pPr>
        <w:rPr>
          <w:b/>
        </w:rPr>
      </w:pPr>
    </w:p>
    <w:p w:rsidR="00221285" w:rsidRDefault="00221285" w:rsidP="00221285">
      <w:r>
        <w:t>250.</w:t>
      </w:r>
      <w:r>
        <w:tab/>
        <w:t>Филиппины являются участником следующих Конвенций:</w:t>
      </w:r>
    </w:p>
    <w:p w:rsidR="00221285" w:rsidRDefault="00221285" w:rsidP="00221285"/>
    <w:p w:rsidR="00221285" w:rsidRDefault="00221285" w:rsidP="00221285">
      <w:pPr>
        <w:numPr>
          <w:ilvl w:val="0"/>
          <w:numId w:val="16"/>
        </w:numPr>
        <w:spacing w:after="240"/>
        <w:ind w:hanging="2802"/>
      </w:pPr>
      <w:r>
        <w:t>Международного пакта о гражданских и политических правах;</w:t>
      </w:r>
    </w:p>
    <w:p w:rsidR="00221285" w:rsidRDefault="00221285" w:rsidP="00221285">
      <w:pPr>
        <w:numPr>
          <w:ilvl w:val="0"/>
          <w:numId w:val="16"/>
        </w:numPr>
        <w:spacing w:after="240"/>
        <w:ind w:left="1162" w:hanging="560"/>
      </w:pPr>
      <w:r>
        <w:t>Конвенции МОТ №</w:t>
      </w:r>
      <w:r w:rsidRPr="00C660F5">
        <w:t xml:space="preserve"> </w:t>
      </w:r>
      <w:r>
        <w:t>87 (Конвенции 1948 года о свободе ассоциаций и защите права на организацию);  и</w:t>
      </w:r>
    </w:p>
    <w:p w:rsidR="00221285" w:rsidRDefault="00221285" w:rsidP="00221285">
      <w:pPr>
        <w:numPr>
          <w:ilvl w:val="0"/>
          <w:numId w:val="16"/>
        </w:numPr>
        <w:spacing w:after="240"/>
        <w:ind w:left="1162" w:hanging="560"/>
      </w:pPr>
      <w:r>
        <w:t>Конвенции МОТ № 98 (Конвенции о праве на организацию и на ведение коллективных переговоров).</w:t>
      </w:r>
    </w:p>
    <w:p w:rsidR="00221285" w:rsidRDefault="00221285" w:rsidP="00221285">
      <w:pPr>
        <w:numPr>
          <w:ilvl w:val="0"/>
          <w:numId w:val="16"/>
        </w:numPr>
        <w:spacing w:after="240"/>
        <w:ind w:left="1162" w:hanging="560"/>
      </w:pPr>
      <w:r>
        <w:t>Право на создание профсоюзов закреплено в Конституции и осуществляется посредством соответствующего законодательства</w:t>
      </w:r>
      <w:r>
        <w:rPr>
          <w:rStyle w:val="FootnoteReference"/>
        </w:rPr>
        <w:footnoteReference w:id="14"/>
      </w:r>
      <w:r w:rsidRPr="00922C32">
        <w:t>.</w:t>
      </w:r>
    </w:p>
    <w:p w:rsidR="00221285" w:rsidRDefault="00221285" w:rsidP="00221285">
      <w:pPr>
        <w:tabs>
          <w:tab w:val="clear" w:pos="1701"/>
          <w:tab w:val="left" w:pos="1540"/>
        </w:tabs>
        <w:ind w:left="1540" w:hanging="1540"/>
        <w:rPr>
          <w:b/>
        </w:rPr>
      </w:pPr>
      <w:r w:rsidRPr="00922C32">
        <w:rPr>
          <w:b/>
        </w:rPr>
        <w:t>Вопрос №</w:t>
      </w:r>
      <w:r>
        <w:rPr>
          <w:b/>
          <w:lang w:val="en-US"/>
        </w:rPr>
        <w:t> </w:t>
      </w:r>
      <w:r w:rsidRPr="00922C32">
        <w:rPr>
          <w:b/>
        </w:rPr>
        <w:t>2</w:t>
      </w:r>
      <w:r>
        <w:rPr>
          <w:b/>
        </w:rPr>
        <w:t>.</w:t>
      </w:r>
      <w:r>
        <w:rPr>
          <w:b/>
        </w:rPr>
        <w:tab/>
      </w:r>
      <w:r w:rsidRPr="00922C32">
        <w:rPr>
          <w:b/>
        </w:rPr>
        <w:t xml:space="preserve">Условия для осуществления права </w:t>
      </w:r>
      <w:r>
        <w:rPr>
          <w:b/>
        </w:rPr>
        <w:t>на создание профсоюзной организации</w:t>
      </w:r>
    </w:p>
    <w:p w:rsidR="00221285" w:rsidRDefault="00221285" w:rsidP="00221285">
      <w:pPr>
        <w:rPr>
          <w:b/>
        </w:rPr>
      </w:pPr>
    </w:p>
    <w:p w:rsidR="00221285" w:rsidRDefault="00221285" w:rsidP="00221285">
      <w:pPr>
        <w:rPr>
          <w:b/>
        </w:rPr>
      </w:pPr>
      <w:r>
        <w:rPr>
          <w:b/>
        </w:rPr>
        <w:t>2.а</w:t>
      </w:r>
      <w:r>
        <w:rPr>
          <w:b/>
        </w:rPr>
        <w:tab/>
        <w:t>Правовые положения в отношении создания профессиональных союзов</w:t>
      </w:r>
    </w:p>
    <w:p w:rsidR="00221285" w:rsidRDefault="00221285" w:rsidP="00221285">
      <w:pPr>
        <w:rPr>
          <w:b/>
        </w:rPr>
      </w:pPr>
    </w:p>
    <w:p w:rsidR="00221285" w:rsidRDefault="00221285" w:rsidP="00221285">
      <w:r>
        <w:t>251.</w:t>
      </w:r>
      <w:r>
        <w:tab/>
        <w:t>В соответствии со статьей 242 Трудового кодекса профсоюзная организация, которая подает заявление о регистрации, имеет право на пользование правами и привилегиями, предоставляемыми законом созданным на законном основании профсоюзным организациям, после получения сертификата о регистрации.  Легитимность дает возможность профсоюзной организации, имеющей юридический статус, требовать предоставления ей права на выполнение представительских функций и ведение коллективных переговоров, а также права на организацию забастовок и пикетирования в рамках, установленных законом</w:t>
      </w:r>
      <w:r w:rsidRPr="00ED22EA">
        <w:t xml:space="preserve">. </w:t>
      </w:r>
      <w:r>
        <w:t xml:space="preserve"> </w:t>
      </w:r>
    </w:p>
    <w:p w:rsidR="00221285" w:rsidRDefault="00221285" w:rsidP="00221285"/>
    <w:p w:rsidR="00221285" w:rsidRDefault="00221285" w:rsidP="00221285">
      <w:r>
        <w:t>252.</w:t>
      </w:r>
      <w:r>
        <w:tab/>
        <w:t>Статья 234 предусматривает пять требований, выполнение которых необходимо для получения сертификата о регистрации, а именно:  а)  оплата регистрационного взноса;  b)  список должностных лиц профсоюза, их адресов, адрес организации, протокол учредительного собрания и список работников, присутствовавших на этом заседании;  с)  список фамилий членов профсоюза, в который должны быть включены не менее 20% всего коллектива трудящихся, интересы которых эта профсоюзная организация будет представлять при ведении коллективных переговоров;  d)  копия финансового отчета организации, если она функционирует больше одного года;  и е)  копии устава и внутренних правил профсоюзной организации, протоколы собраний о ее создании и утверждении списка членов, которые приняли это решение.  Вместе с тем федерация или национальная профсоюзная организация может создавать организации и включать в свой состав в качестве филиала местные и низовые организации без их регистрации в МТЗ.</w:t>
      </w:r>
    </w:p>
    <w:p w:rsidR="00221285" w:rsidRDefault="00221285" w:rsidP="00221285"/>
    <w:p w:rsidR="00221285" w:rsidRDefault="00221285" w:rsidP="00221285">
      <w:r>
        <w:t>253.</w:t>
      </w:r>
      <w:r>
        <w:tab/>
        <w:t xml:space="preserve">Если подавшая заявку о регистрации организация является федерацией или национальным профсоюзом, то, помимо требований, указанных выше, она обязана подтвердить то, что в ее состав входит по крайней мере десять местных организаций или филиалов, каждый из которых должен быть надлежащим образом сертифицирован в качестве структуры, имеющей право на ведение коллективных переговоров в учреждениях, где они функционируют.  </w:t>
      </w:r>
    </w:p>
    <w:p w:rsidR="00221285" w:rsidRDefault="00221285" w:rsidP="00221285"/>
    <w:p w:rsidR="00221285" w:rsidRDefault="00221285" w:rsidP="00221285">
      <w:r>
        <w:t>254.</w:t>
      </w:r>
      <w:r>
        <w:tab/>
        <w:t xml:space="preserve">После выполнения официальных требований наступает очередь МТЗ выдать организации соответствующий сертификат о регистрации.  Однако профсоюз приобретает легитимный статус с момента подачи всего пакета необходимых документов.  Местная организация, которая непосредственно присоединяется к федерации или национальной профсоюзной  организации, приобретает легитимный статус с момента представления в МТЗ своего сертификата о членстве, списка должностных лиц с их адресами, основного адреса местной организации и ее устава и внутренних правил.  </w:t>
      </w:r>
    </w:p>
    <w:p w:rsidR="00221285" w:rsidRDefault="00221285" w:rsidP="00221285"/>
    <w:p w:rsidR="00221285" w:rsidRDefault="00221285" w:rsidP="00221285">
      <w:r>
        <w:t>255.</w:t>
      </w:r>
      <w:r>
        <w:tab/>
        <w:t>С другой стороны, к регистрации объединенных местных организаций предъявляются более простые требования, предусматривающие представление следующих документов:  а)  сертификата о членстве;  b)  устава и внутренних правил;  и</w:t>
      </w:r>
      <w:r w:rsidR="00D86B80">
        <w:t>  </w:t>
      </w:r>
      <w:r>
        <w:t>с)  фамилий и имен должностных лиц и руководителя местной/низовой организации.  Такие организации не обязаны выполнять требования в отношении наличия минимального количества членов в организации или представлять вместе с заявлениями о</w:t>
      </w:r>
      <w:r w:rsidR="00D86B80">
        <w:t> </w:t>
      </w:r>
      <w:r>
        <w:t>регистрации финансовые отчеты.</w:t>
      </w:r>
    </w:p>
    <w:p w:rsidR="00221285" w:rsidRDefault="00221285" w:rsidP="00221285"/>
    <w:p w:rsidR="00221285" w:rsidRDefault="00221285" w:rsidP="00221285">
      <w:r>
        <w:t>256.</w:t>
      </w:r>
      <w:r>
        <w:tab/>
        <w:t>Профсоюзные организации, как правило, обладают неотъемлемым правом составлять правила и условия организации.  Однако дискриминационные правила в отношении членства в профсоюзной организации могут быть объявлены несправедливой рабочей практикой.</w:t>
      </w:r>
    </w:p>
    <w:p w:rsidR="00221285" w:rsidRDefault="00221285" w:rsidP="00221285"/>
    <w:p w:rsidR="00221285" w:rsidRDefault="00221285" w:rsidP="00221285">
      <w:r>
        <w:t>257.</w:t>
      </w:r>
      <w:r>
        <w:tab/>
        <w:t xml:space="preserve">Верховный суд разъяснил, что требование о регистрации не является ограничением права на собрания или ассоциацию, которые могут осуществляться при наличии указанной регистрации или без такой регистрации.  Эти требования просто являются </w:t>
      </w:r>
      <w:r w:rsidRPr="00737965">
        <w:rPr>
          <w:i/>
          <w:lang w:val="en-US"/>
        </w:rPr>
        <w:t>sine</w:t>
      </w:r>
      <w:r w:rsidRPr="00737965">
        <w:rPr>
          <w:i/>
        </w:rPr>
        <w:t xml:space="preserve"> </w:t>
      </w:r>
      <w:r w:rsidRPr="00737965">
        <w:rPr>
          <w:i/>
          <w:lang w:val="en-US"/>
        </w:rPr>
        <w:t>qua</w:t>
      </w:r>
      <w:r w:rsidRPr="00737965">
        <w:rPr>
          <w:i/>
        </w:rPr>
        <w:t xml:space="preserve"> </w:t>
      </w:r>
      <w:r w:rsidRPr="00737965">
        <w:rPr>
          <w:i/>
          <w:lang w:val="en-US"/>
        </w:rPr>
        <w:t>non</w:t>
      </w:r>
      <w:r w:rsidRPr="00E63630">
        <w:t xml:space="preserve"> </w:t>
      </w:r>
      <w:r>
        <w:t>для приобретения юридического статуса профсоюзными организациями.</w:t>
      </w:r>
    </w:p>
    <w:p w:rsidR="00221285" w:rsidRDefault="00221285" w:rsidP="00221285"/>
    <w:p w:rsidR="00221285" w:rsidRDefault="00221285" w:rsidP="00221285">
      <w:r>
        <w:t>258.</w:t>
      </w:r>
      <w:r>
        <w:tab/>
        <w:t xml:space="preserve">Требование об обязательном наличии минимального количества членов для создания независимой профсоюзной организации считается формальностью, которая не влияет на процесс создания профсоюзных организаций.  Решения и принципы Комитета МОТ по свободе объединения рекомендуют отказываться от введения требования об обязательном наличии минимального количества членов в тех случаях, когда "эта цифра явно завышена" или "если она создает существенные препятствия для образования профсоюзной организации".  </w:t>
      </w:r>
      <w:r w:rsidRPr="00A52969">
        <w:t>Показатель количества членов, представляемый при подаче заявления,</w:t>
      </w:r>
      <w:r>
        <w:t xml:space="preserve"> не считается завышенным, учитывая, что на протяжении целого ряда лет число создаваемых независимых профсоюзных организаций постоянно превосходит число создаваемых местных организаций на основе объединения.  </w:t>
      </w:r>
    </w:p>
    <w:p w:rsidR="00221285" w:rsidRDefault="00221285" w:rsidP="00221285"/>
    <w:p w:rsidR="00221285" w:rsidRDefault="00221285" w:rsidP="00221285">
      <w:r>
        <w:t>259.</w:t>
      </w:r>
      <w:r>
        <w:tab/>
        <w:t>Кроме того, в отличие от предусмотренного законодательством ряда других стран требования о наличии фиксированного или конкретного числа членов профсоюзной организации, содержащееся в законодательстве Филиппин требование о наличии минимального количества членов в независимых профсоюзных организациях базируется на процентном показателе.  А это требует проявления более гибкого подхода со стороны регистрирующего органа в том, чтобы разрешить регистрацию профсоюзной организации даже на основе поданной ошибочной совокупной численности (общее число работников в соответствующей структуре, уполномоченной вести коллективные переговоры), если при представлении таких приблизительных данных подающая заявление организация руководствовалась принципами добросовестности.</w:t>
      </w:r>
    </w:p>
    <w:p w:rsidR="00221285" w:rsidRDefault="00221285" w:rsidP="00221285"/>
    <w:p w:rsidR="00221285" w:rsidRDefault="00221285" w:rsidP="00221285">
      <w:r>
        <w:t>260.</w:t>
      </w:r>
      <w:r>
        <w:tab/>
        <w:t>Президент Корасон Акино правительственным распоряжением 111 отменила в 1986 году концепцию "одна отрасль - один профсоюз".  Поэтому вопросы единства и разнообразия в трудовом движении остаются исключительной прерогативой самих трудящихся.</w:t>
      </w:r>
    </w:p>
    <w:p w:rsidR="00221285" w:rsidRDefault="00221285" w:rsidP="00221285"/>
    <w:p w:rsidR="00221285" w:rsidRDefault="00221285" w:rsidP="00221285">
      <w:r>
        <w:t>261.</w:t>
      </w:r>
      <w:r>
        <w:tab/>
        <w:t xml:space="preserve">Имея 147 зарегистрировавшихся по состоянию на июль 2004 года федераций трудящихся, многообразное профсоюзное движение Филиппин является иллюстрацией к выраженному Комитетом по экономическим, социальным и культурным правам наблюдению о том, что "плюрализм формы (форм) профсоюзных организаций является частью понятия свободы профсоюзных прав".  </w:t>
      </w:r>
    </w:p>
    <w:p w:rsidR="00221285" w:rsidRDefault="00221285" w:rsidP="00221285"/>
    <w:p w:rsidR="00221285" w:rsidRDefault="00221285" w:rsidP="00221285">
      <w:pPr>
        <w:ind w:left="567" w:hanging="567"/>
        <w:rPr>
          <w:b/>
        </w:rPr>
      </w:pPr>
      <w:r>
        <w:rPr>
          <w:b/>
        </w:rPr>
        <w:t>2.</w:t>
      </w:r>
      <w:r>
        <w:rPr>
          <w:b/>
          <w:lang w:val="en-US"/>
        </w:rPr>
        <w:t>b</w:t>
      </w:r>
      <w:r>
        <w:rPr>
          <w:b/>
        </w:rPr>
        <w:tab/>
        <w:t>Ограничения права на вступление в профсоюзные организации и их формирование</w:t>
      </w:r>
    </w:p>
    <w:p w:rsidR="00221285" w:rsidRDefault="00221285" w:rsidP="00221285">
      <w:pPr>
        <w:rPr>
          <w:b/>
        </w:rPr>
      </w:pPr>
    </w:p>
    <w:p w:rsidR="00221285" w:rsidRDefault="00221285" w:rsidP="00221285">
      <w:r>
        <w:t>262.</w:t>
      </w:r>
      <w:r>
        <w:tab/>
        <w:t>Существует несколько критериев, наличие которых необходимо для осуществления права на создание организации.</w:t>
      </w:r>
    </w:p>
    <w:p w:rsidR="00221285" w:rsidRDefault="00221285" w:rsidP="00221285"/>
    <w:p w:rsidR="00221285" w:rsidRDefault="00221285" w:rsidP="00221285">
      <w:r>
        <w:t>263.</w:t>
      </w:r>
      <w:r>
        <w:tab/>
        <w:t>Первый из них заключается в том, охватывается ли работник системой отношений трудящийся-работодатель.  В соответствии со статьей 243 Трудового кодекса только работники могут вступать в профсоюзные организации, создавать их или оказывать им помощь для целей ведения коллективных переговоров.  Лица, не имеющие конкретных работодателей или работы, могут оказывать помощь ассоциациям/организациям, вступать в них или создавать их в целях взаимной помощи и защиты.</w:t>
      </w:r>
    </w:p>
    <w:p w:rsidR="00221285" w:rsidRDefault="00221285" w:rsidP="00221285"/>
    <w:p w:rsidR="00221285" w:rsidRDefault="00221285" w:rsidP="00221285">
      <w:r>
        <w:t>264.</w:t>
      </w:r>
      <w:r>
        <w:tab/>
        <w:t>Второй критерий заключается в том, в каком секторе - частном или государственном - занят трудящийся.  Обычно, положения Трудового кодекса применяются только к работникам частного сектора и служащим корпораций, принадлежащих государству или контролируемых государством, которые были созданы в соответствии с Кодексом о корпоративных предприятиях.  В статье 244 Кодекса признается, что деятельность всех других служащих, работающих на гражданской службе, должна регулироваться правилами и положениями о гражданской службе.</w:t>
      </w:r>
    </w:p>
    <w:p w:rsidR="00221285" w:rsidRDefault="00221285" w:rsidP="00221285"/>
    <w:p w:rsidR="00221285" w:rsidRDefault="00221285" w:rsidP="00221285">
      <w:r>
        <w:t>265.</w:t>
      </w:r>
      <w:r>
        <w:tab/>
        <w:t>Третьим критерием является классификация сотрудников на основании их должностей.  В частном секторе работники руководящего звена, в том числе сотрудники, имеющие доступ к конфиденциальной информации о трудовых отношениях, ведущейся руководством, не имеют права на формирование профсоюзных организаций.  Сотрудники старшего звена могут создавать профсоюзы вместе с работниками такого же ранга, но не могут вступать в профсоюзы, созданные рядовыми работниками.  В государственном секторе лица, занимающие высокие посты, занимающиеся разработкой политики или назначенные на посты, открывающие доступ к конфиденциальной информации, а также служащие ВСФ, ФНТ, тюремные надзиратели и пожарные не имеют права оказывать помощь профсоюзным организациям, создавать их или вступать в них.</w:t>
      </w:r>
    </w:p>
    <w:p w:rsidR="00221285" w:rsidRDefault="00221285" w:rsidP="00221285"/>
    <w:p w:rsidR="00221285" w:rsidRDefault="00221285" w:rsidP="00221285">
      <w:r>
        <w:t>266.</w:t>
      </w:r>
      <w:r>
        <w:tab/>
        <w:t>В частном секторе к категории работников, на которых распространяется действие специальных положений, относятся трудящиеся строительной промышленности.  Раздел 5 министерского распоряжения № 19 предусматривает, что в контексте признания права на создание организации и ведение коллективных переговоров трудящихся, занятых в реализации проекта, МТЗ поощряет создание профсоюзных организаций строительной промышленности при условии, что создание или деятельность признанной профсоюзной организации не будет наносить ущерба существующим структурам, ведущим коллективные переговоры и созданным в соответствии с действующим законодательством.</w:t>
      </w:r>
    </w:p>
    <w:p w:rsidR="00221285" w:rsidRDefault="00221285" w:rsidP="00221285"/>
    <w:p w:rsidR="00221285" w:rsidRDefault="00221285" w:rsidP="00221285">
      <w:r>
        <w:t>267.</w:t>
      </w:r>
      <w:r>
        <w:tab/>
        <w:t>В государственном секторе служащие, занимающие высокие директивные посты или назначенные на должности, открывающие доступ к конфиденциальной информации, не имеют права на создание профсоюзных организаций.  Как было указано выше, в интересах национальной безопасности и общественного порядка служащим ВСФ, ФНТ, тюремным надзирателям и пожарным запрещается оказывать помощь профсоюзным организациям, организовывать их или вступать в них.</w:t>
      </w:r>
    </w:p>
    <w:p w:rsidR="00221285" w:rsidRDefault="00221285" w:rsidP="00221285"/>
    <w:p w:rsidR="00221285" w:rsidRDefault="00221285" w:rsidP="00221285">
      <w:r>
        <w:t>268.</w:t>
      </w:r>
      <w:r>
        <w:tab/>
        <w:t>В-третьих, работники кооперативов могут осуществлять свое право на создание организации за исключением членов кооператива, которые считаются владельцами предприятия.</w:t>
      </w:r>
    </w:p>
    <w:p w:rsidR="00221285" w:rsidRDefault="00221285" w:rsidP="00221285"/>
    <w:p w:rsidR="00221285" w:rsidRDefault="00221285" w:rsidP="00221285">
      <w:r>
        <w:t>269.</w:t>
      </w:r>
      <w:r>
        <w:tab/>
        <w:t>Что касается иностранцев, то статья 269 Трудового кодекса разрешает им вступать в профсоюзы по своему выбору или оказывать им содействие, при условии, что они имеют действительные разрешения на работу, изданные МТЗ, и являются гражданами стран, которые предоставляют такие же или аналогичные права филиппинским трудящимся.</w:t>
      </w:r>
    </w:p>
    <w:p w:rsidR="00221285" w:rsidRDefault="00221285" w:rsidP="00D86B80">
      <w:pPr>
        <w:spacing w:line="240" w:lineRule="auto"/>
      </w:pPr>
    </w:p>
    <w:p w:rsidR="00221285" w:rsidRDefault="00221285" w:rsidP="00D86B80">
      <w:pPr>
        <w:spacing w:line="240" w:lineRule="auto"/>
        <w:rPr>
          <w:b/>
        </w:rPr>
      </w:pPr>
      <w:r>
        <w:rPr>
          <w:b/>
        </w:rPr>
        <w:t>2.</w:t>
      </w:r>
      <w:r>
        <w:rPr>
          <w:b/>
          <w:lang w:val="en-US"/>
        </w:rPr>
        <w:t>b</w:t>
      </w:r>
      <w:r>
        <w:rPr>
          <w:b/>
        </w:rPr>
        <w:tab/>
        <w:t>Меры, обеспечивающие право на создание организации</w:t>
      </w:r>
    </w:p>
    <w:p w:rsidR="00221285" w:rsidRDefault="00221285" w:rsidP="00D86B80">
      <w:pPr>
        <w:spacing w:line="240" w:lineRule="auto"/>
        <w:rPr>
          <w:b/>
        </w:rPr>
      </w:pPr>
    </w:p>
    <w:p w:rsidR="00221285" w:rsidRDefault="00221285" w:rsidP="00221285">
      <w:r>
        <w:t>270.</w:t>
      </w:r>
      <w:r>
        <w:tab/>
        <w:t>Статья 246 Трудового кодекса предусматривает, что право на создание организации не подлежит ограничениям.  Таким образом, действия любого лица, ограничивающие право трудящихся и служащих на создание профсоюзной организации, принуждающие их отказаться от такого права, дискриминирующие их в связи с таким правом либо представляющие собой неправомерное вмешательство в осуществление этого права, считаются незаконными.  В статьях 248 и 249 перечисляются и объявляются противоправными действия работодателей и профсоюзных организаций, представляющие собой несправедливую трудовую практику.  Комиссия по рассмотрению случаев несправедливой трудовой практики принимает в отношении нарушителей административные и уголовные меры.</w:t>
      </w:r>
    </w:p>
    <w:p w:rsidR="00221285" w:rsidRDefault="00221285" w:rsidP="00D86B80">
      <w:pPr>
        <w:spacing w:line="240" w:lineRule="auto"/>
      </w:pPr>
    </w:p>
    <w:p w:rsidR="00221285" w:rsidRDefault="00221285" w:rsidP="00D86B80">
      <w:pPr>
        <w:spacing w:line="240" w:lineRule="auto"/>
        <w:ind w:left="567" w:hanging="567"/>
        <w:rPr>
          <w:b/>
        </w:rPr>
      </w:pPr>
      <w:r>
        <w:rPr>
          <w:b/>
        </w:rPr>
        <w:t>2.с</w:t>
      </w:r>
      <w:r>
        <w:rPr>
          <w:b/>
        </w:rPr>
        <w:tab/>
        <w:t>Право профсоюзных организаций на создание федераций и вступление</w:t>
      </w:r>
      <w:r>
        <w:rPr>
          <w:b/>
        </w:rPr>
        <w:br/>
        <w:t>в международные профсоюзные организации</w:t>
      </w:r>
    </w:p>
    <w:p w:rsidR="00221285" w:rsidRDefault="00221285" w:rsidP="00D86B80">
      <w:pPr>
        <w:spacing w:line="240" w:lineRule="auto"/>
        <w:rPr>
          <w:b/>
        </w:rPr>
      </w:pPr>
    </w:p>
    <w:p w:rsidR="00221285" w:rsidRDefault="00221285" w:rsidP="00221285">
      <w:r>
        <w:t>271.</w:t>
      </w:r>
      <w:r>
        <w:tab/>
        <w:t>В качестве государства - участника Конвенций МОТ № 87 и 98 правительство признает право профсоюзных организаций на создание федераций и вступление в международные организации.  В этом отношении в частном секторе разработана более зрелая система по сравнению с государственным сектором.</w:t>
      </w:r>
    </w:p>
    <w:p w:rsidR="00221285" w:rsidRDefault="00221285" w:rsidP="00221285"/>
    <w:p w:rsidR="00221285" w:rsidRPr="00966384" w:rsidRDefault="00221285" w:rsidP="00221285">
      <w:pPr>
        <w:widowControl w:val="0"/>
        <w:tabs>
          <w:tab w:val="left" w:pos="360"/>
        </w:tabs>
        <w:autoSpaceDE w:val="0"/>
        <w:autoSpaceDN w:val="0"/>
        <w:adjustRightInd w:val="0"/>
      </w:pPr>
      <w:r w:rsidRPr="00966384">
        <w:t xml:space="preserve">272. </w:t>
      </w:r>
      <w:r>
        <w:tab/>
        <w:t xml:space="preserve">Каких-либо ограничений в отношении права любой </w:t>
      </w:r>
      <w:r w:rsidRPr="00966384">
        <w:t>профсоюз</w:t>
      </w:r>
      <w:r>
        <w:t xml:space="preserve">ной организации </w:t>
      </w:r>
      <w:r w:rsidRPr="00966384">
        <w:t>присоедин</w:t>
      </w:r>
      <w:r>
        <w:t>иться</w:t>
      </w:r>
      <w:r w:rsidRPr="00966384">
        <w:t xml:space="preserve"> к международным профсоюзным организациям</w:t>
      </w:r>
      <w:r>
        <w:t xml:space="preserve"> не существует</w:t>
      </w:r>
      <w:r w:rsidRPr="00966384">
        <w:t xml:space="preserve">. </w:t>
      </w:r>
      <w:r>
        <w:t>Боль</w:t>
      </w:r>
      <w:r w:rsidRPr="00966384">
        <w:t>шинств</w:t>
      </w:r>
      <w:r>
        <w:t>о</w:t>
      </w:r>
      <w:r w:rsidRPr="00966384">
        <w:t xml:space="preserve"> федераций или национальных </w:t>
      </w:r>
      <w:r>
        <w:t>проф</w:t>
      </w:r>
      <w:r w:rsidRPr="00966384">
        <w:t>союзов</w:t>
      </w:r>
      <w:r>
        <w:t>,</w:t>
      </w:r>
      <w:r w:rsidRPr="00966384">
        <w:t xml:space="preserve"> в</w:t>
      </w:r>
      <w:r>
        <w:t xml:space="preserve">ходящих в состав </w:t>
      </w:r>
      <w:r w:rsidRPr="00966384">
        <w:t xml:space="preserve"> </w:t>
      </w:r>
      <w:r>
        <w:t xml:space="preserve">организованного по территориальному признаку профсоюзного </w:t>
      </w:r>
      <w:r w:rsidRPr="00966384">
        <w:t xml:space="preserve">центра, так или иначе </w:t>
      </w:r>
      <w:r>
        <w:t xml:space="preserve">устанавливают аффилированные связи с </w:t>
      </w:r>
      <w:r w:rsidRPr="00966384">
        <w:t>международным</w:t>
      </w:r>
      <w:r>
        <w:t>и</w:t>
      </w:r>
      <w:r w:rsidRPr="00966384">
        <w:t xml:space="preserve"> </w:t>
      </w:r>
      <w:r>
        <w:t>проф</w:t>
      </w:r>
      <w:r w:rsidRPr="00966384">
        <w:t>союз</w:t>
      </w:r>
      <w:r>
        <w:t>ны</w:t>
      </w:r>
      <w:r w:rsidRPr="00966384">
        <w:t>м</w:t>
      </w:r>
      <w:r>
        <w:t>и организациями</w:t>
      </w:r>
      <w:r w:rsidRPr="00966384">
        <w:t xml:space="preserve">. </w:t>
      </w:r>
      <w:r>
        <w:t>Следует</w:t>
      </w:r>
      <w:r w:rsidRPr="00966384">
        <w:t xml:space="preserve"> подчеркнут</w:t>
      </w:r>
      <w:r>
        <w:t>ь,</w:t>
      </w:r>
      <w:r w:rsidRPr="00966384">
        <w:t xml:space="preserve"> </w:t>
      </w:r>
      <w:r>
        <w:t>ч</w:t>
      </w:r>
      <w:r w:rsidRPr="00966384">
        <w:t xml:space="preserve">то </w:t>
      </w:r>
      <w:r>
        <w:t>в с</w:t>
      </w:r>
      <w:r w:rsidRPr="00966384">
        <w:t>т</w:t>
      </w:r>
      <w:r>
        <w:t>атье</w:t>
      </w:r>
      <w:r w:rsidRPr="00966384">
        <w:t xml:space="preserve"> 270 Трудового </w:t>
      </w:r>
      <w:r>
        <w:t>к</w:t>
      </w:r>
      <w:r w:rsidRPr="00966384">
        <w:t xml:space="preserve">одекса </w:t>
      </w:r>
      <w:r>
        <w:t xml:space="preserve">была предпринята попытка </w:t>
      </w:r>
      <w:r w:rsidRPr="00966384">
        <w:t>регулировать получение иностранной помощи профсоюз</w:t>
      </w:r>
      <w:r>
        <w:t>ными организациями</w:t>
      </w:r>
      <w:r w:rsidRPr="00966384">
        <w:t xml:space="preserve">. Однако </w:t>
      </w:r>
      <w:r>
        <w:t xml:space="preserve">на практике меры по обеспечению соблюдения </w:t>
      </w:r>
      <w:r w:rsidRPr="00966384">
        <w:t>это</w:t>
      </w:r>
      <w:r>
        <w:t>го</w:t>
      </w:r>
      <w:r w:rsidRPr="00966384">
        <w:t xml:space="preserve"> </w:t>
      </w:r>
      <w:r>
        <w:t xml:space="preserve">положения </w:t>
      </w:r>
      <w:r w:rsidRPr="00966384">
        <w:t>бол</w:t>
      </w:r>
      <w:r>
        <w:t>ее</w:t>
      </w:r>
      <w:r w:rsidRPr="00966384">
        <w:t xml:space="preserve"> не </w:t>
      </w:r>
      <w:r>
        <w:t>принимаются, в связи с чем МТЗ</w:t>
      </w:r>
      <w:r w:rsidRPr="00966384">
        <w:t xml:space="preserve"> </w:t>
      </w:r>
      <w:r>
        <w:t>обратилось к</w:t>
      </w:r>
      <w:r w:rsidRPr="00966384">
        <w:t xml:space="preserve"> конгресс</w:t>
      </w:r>
      <w:r>
        <w:t xml:space="preserve">у с просьбой об </w:t>
      </w:r>
      <w:r w:rsidRPr="00966384">
        <w:t>аннулирова</w:t>
      </w:r>
      <w:r>
        <w:t>нии</w:t>
      </w:r>
      <w:r w:rsidRPr="00966384">
        <w:t xml:space="preserve"> вышеупомянуто</w:t>
      </w:r>
      <w:r>
        <w:t>го</w:t>
      </w:r>
      <w:r w:rsidRPr="00966384">
        <w:t xml:space="preserve"> </w:t>
      </w:r>
      <w:r>
        <w:t>положения</w:t>
      </w:r>
      <w:r w:rsidRPr="00966384">
        <w:t>.</w:t>
      </w:r>
    </w:p>
    <w:p w:rsidR="006B3217" w:rsidRDefault="006B3217" w:rsidP="006B3217">
      <w:pPr>
        <w:numPr>
          <w:ilvl w:val="12"/>
          <w:numId w:val="0"/>
        </w:numPr>
        <w:autoSpaceDE w:val="0"/>
        <w:autoSpaceDN w:val="0"/>
        <w:adjustRightInd w:val="0"/>
        <w:ind w:left="567" w:hanging="567"/>
        <w:rPr>
          <w:b/>
          <w:bCs/>
        </w:rPr>
      </w:pPr>
      <w:r>
        <w:rPr>
          <w:b/>
          <w:bCs/>
        </w:rPr>
        <w:t>2.d</w:t>
      </w:r>
      <w:r>
        <w:rPr>
          <w:b/>
          <w:bCs/>
        </w:rPr>
        <w:tab/>
      </w:r>
      <w:r w:rsidRPr="00966384">
        <w:rPr>
          <w:b/>
          <w:bCs/>
        </w:rPr>
        <w:t>Условия или ограничения</w:t>
      </w:r>
      <w:r w:rsidRPr="00B57CF3">
        <w:rPr>
          <w:b/>
          <w:bCs/>
        </w:rPr>
        <w:t xml:space="preserve"> </w:t>
      </w:r>
      <w:r w:rsidRPr="00966384">
        <w:rPr>
          <w:b/>
          <w:bCs/>
        </w:rPr>
        <w:t xml:space="preserve">в </w:t>
      </w:r>
      <w:r>
        <w:rPr>
          <w:b/>
          <w:bCs/>
        </w:rPr>
        <w:t xml:space="preserve">отношении деятельности </w:t>
      </w:r>
      <w:r w:rsidRPr="00966384">
        <w:rPr>
          <w:b/>
          <w:bCs/>
        </w:rPr>
        <w:t>филиппински</w:t>
      </w:r>
      <w:r>
        <w:rPr>
          <w:b/>
          <w:bCs/>
        </w:rPr>
        <w:t>х</w:t>
      </w:r>
      <w:r w:rsidRPr="00966384">
        <w:rPr>
          <w:b/>
          <w:bCs/>
        </w:rPr>
        <w:t xml:space="preserve"> профсоюз</w:t>
      </w:r>
      <w:r>
        <w:rPr>
          <w:b/>
          <w:bCs/>
        </w:rPr>
        <w:t>ов</w:t>
      </w:r>
      <w:r w:rsidRPr="00966384">
        <w:rPr>
          <w:b/>
          <w:bCs/>
        </w:rPr>
        <w:t xml:space="preserve"> и </w:t>
      </w:r>
      <w:r>
        <w:rPr>
          <w:b/>
          <w:bCs/>
        </w:rPr>
        <w:t xml:space="preserve">поощрение </w:t>
      </w:r>
      <w:r w:rsidRPr="00966384">
        <w:rPr>
          <w:b/>
          <w:bCs/>
        </w:rPr>
        <w:t xml:space="preserve">свободных </w:t>
      </w:r>
      <w:r>
        <w:rPr>
          <w:b/>
          <w:bCs/>
        </w:rPr>
        <w:t xml:space="preserve">коллективных </w:t>
      </w:r>
      <w:r w:rsidRPr="00966384">
        <w:rPr>
          <w:b/>
          <w:bCs/>
        </w:rPr>
        <w:t>переговоров</w:t>
      </w:r>
    </w:p>
    <w:p w:rsidR="006B3217" w:rsidRDefault="006B3217" w:rsidP="006B3217">
      <w:pPr>
        <w:numPr>
          <w:ilvl w:val="12"/>
          <w:numId w:val="0"/>
        </w:numPr>
        <w:autoSpaceDE w:val="0"/>
        <w:autoSpaceDN w:val="0"/>
        <w:adjustRightInd w:val="0"/>
        <w:rPr>
          <w:b/>
          <w:bCs/>
        </w:rPr>
      </w:pPr>
    </w:p>
    <w:p w:rsidR="006B3217" w:rsidRDefault="006B3217" w:rsidP="006B3217">
      <w:pPr>
        <w:tabs>
          <w:tab w:val="left" w:pos="360"/>
        </w:tabs>
        <w:autoSpaceDE w:val="0"/>
        <w:autoSpaceDN w:val="0"/>
        <w:adjustRightInd w:val="0"/>
      </w:pPr>
      <w:r>
        <w:t>273.</w:t>
      </w:r>
      <w:r>
        <w:tab/>
      </w:r>
      <w:r w:rsidRPr="00966384">
        <w:t>Филиппинские профсоюзы имеют право свободно</w:t>
      </w:r>
      <w:r>
        <w:t xml:space="preserve"> действовать</w:t>
      </w:r>
      <w:r w:rsidRPr="00966384">
        <w:t xml:space="preserve">, </w:t>
      </w:r>
      <w:r>
        <w:t xml:space="preserve">прежде всего в следующих </w:t>
      </w:r>
      <w:r w:rsidRPr="00966384">
        <w:t>трех област</w:t>
      </w:r>
      <w:r>
        <w:t>ях</w:t>
      </w:r>
      <w:r w:rsidRPr="00966384">
        <w:t>:</w:t>
      </w:r>
      <w:r>
        <w:t xml:space="preserve"> </w:t>
      </w:r>
      <w:r w:rsidRPr="00966384">
        <w:t xml:space="preserve"> a) </w:t>
      </w:r>
      <w:r>
        <w:t xml:space="preserve"> </w:t>
      </w:r>
      <w:r w:rsidRPr="00966384">
        <w:t>внутренн</w:t>
      </w:r>
      <w:r>
        <w:t>ей организации</w:t>
      </w:r>
      <w:r w:rsidRPr="00966384">
        <w:t>;</w:t>
      </w:r>
      <w:r>
        <w:t xml:space="preserve"> </w:t>
      </w:r>
      <w:r w:rsidRPr="00966384">
        <w:t xml:space="preserve"> b) </w:t>
      </w:r>
      <w:r>
        <w:t xml:space="preserve"> коллективных </w:t>
      </w:r>
      <w:r w:rsidRPr="00966384">
        <w:t>переговор</w:t>
      </w:r>
      <w:r>
        <w:t>ах</w:t>
      </w:r>
      <w:r w:rsidRPr="00966384">
        <w:t>;</w:t>
      </w:r>
      <w:r>
        <w:t xml:space="preserve"> </w:t>
      </w:r>
      <w:r w:rsidRPr="00966384">
        <w:t xml:space="preserve"> и</w:t>
      </w:r>
      <w:r w:rsidR="00D86B80">
        <w:t>  </w:t>
      </w:r>
      <w:r w:rsidRPr="00966384">
        <w:t xml:space="preserve">c) </w:t>
      </w:r>
      <w:r>
        <w:t xml:space="preserve"> </w:t>
      </w:r>
      <w:r w:rsidRPr="00966384">
        <w:t>защит</w:t>
      </w:r>
      <w:r>
        <w:t>е</w:t>
      </w:r>
      <w:r w:rsidRPr="00966384">
        <w:t xml:space="preserve"> от произвольного роспуска или приостан</w:t>
      </w:r>
      <w:r>
        <w:t>овления деятельности</w:t>
      </w:r>
      <w:r w:rsidRPr="00966384">
        <w:t>.</w:t>
      </w:r>
    </w:p>
    <w:p w:rsidR="006B3217" w:rsidRDefault="006B3217" w:rsidP="006B3217">
      <w:pPr>
        <w:tabs>
          <w:tab w:val="left" w:pos="360"/>
        </w:tabs>
        <w:autoSpaceDE w:val="0"/>
        <w:autoSpaceDN w:val="0"/>
        <w:adjustRightInd w:val="0"/>
      </w:pPr>
    </w:p>
    <w:p w:rsidR="006B3217" w:rsidRDefault="006B3217" w:rsidP="006B3217">
      <w:pPr>
        <w:numPr>
          <w:ilvl w:val="12"/>
          <w:numId w:val="0"/>
        </w:numPr>
        <w:autoSpaceDE w:val="0"/>
        <w:autoSpaceDN w:val="0"/>
        <w:adjustRightInd w:val="0"/>
        <w:rPr>
          <w:b/>
          <w:bCs/>
        </w:rPr>
      </w:pPr>
      <w:r w:rsidRPr="00966384">
        <w:rPr>
          <w:b/>
          <w:bCs/>
        </w:rPr>
        <w:t>Внутренняя Организация</w:t>
      </w:r>
    </w:p>
    <w:p w:rsidR="006B3217" w:rsidRDefault="006B3217" w:rsidP="006B3217">
      <w:pPr>
        <w:numPr>
          <w:ilvl w:val="12"/>
          <w:numId w:val="0"/>
        </w:numPr>
        <w:autoSpaceDE w:val="0"/>
        <w:autoSpaceDN w:val="0"/>
        <w:adjustRightInd w:val="0"/>
        <w:rPr>
          <w:i/>
          <w:iCs/>
          <w:u w:val="single"/>
        </w:rPr>
      </w:pPr>
    </w:p>
    <w:p w:rsidR="006B3217" w:rsidRDefault="006B3217" w:rsidP="006B3217">
      <w:pPr>
        <w:tabs>
          <w:tab w:val="left" w:pos="360"/>
        </w:tabs>
        <w:autoSpaceDE w:val="0"/>
        <w:autoSpaceDN w:val="0"/>
        <w:adjustRightInd w:val="0"/>
      </w:pPr>
      <w:r>
        <w:t>274.</w:t>
      </w:r>
      <w:r>
        <w:tab/>
      </w:r>
      <w:r w:rsidRPr="00966384">
        <w:t xml:space="preserve">Филиппинские профсоюзы имеют </w:t>
      </w:r>
      <w:r>
        <w:t>право разрабатывать свой устав</w:t>
      </w:r>
      <w:r w:rsidRPr="00966384">
        <w:t xml:space="preserve"> и правила, </w:t>
      </w:r>
      <w:r>
        <w:t>из</w:t>
      </w:r>
      <w:r w:rsidRPr="00966384">
        <w:t>б</w:t>
      </w:r>
      <w:r>
        <w:t>и</w:t>
      </w:r>
      <w:r w:rsidRPr="00966384">
        <w:t xml:space="preserve">рать собственных представителей, </w:t>
      </w:r>
      <w:r>
        <w:t>создавать органы управления</w:t>
      </w:r>
      <w:r w:rsidRPr="00966384">
        <w:t xml:space="preserve"> и</w:t>
      </w:r>
      <w:r>
        <w:t xml:space="preserve"> определять стратегии</w:t>
      </w:r>
      <w:r w:rsidRPr="00966384">
        <w:t xml:space="preserve">. </w:t>
      </w:r>
      <w:r>
        <w:t xml:space="preserve"> </w:t>
      </w:r>
      <w:r w:rsidRPr="00966384">
        <w:t xml:space="preserve">Верховный </w:t>
      </w:r>
      <w:r>
        <w:t>с</w:t>
      </w:r>
      <w:r w:rsidRPr="00966384">
        <w:t xml:space="preserve">уд признал </w:t>
      </w:r>
      <w:r>
        <w:t>устав</w:t>
      </w:r>
      <w:r w:rsidRPr="00966384">
        <w:t xml:space="preserve"> </w:t>
      </w:r>
      <w:r>
        <w:t>и регламент проф</w:t>
      </w:r>
      <w:r w:rsidRPr="00966384">
        <w:t>союза обяз</w:t>
      </w:r>
      <w:r>
        <w:t xml:space="preserve">ательными для исполнения </w:t>
      </w:r>
      <w:r w:rsidRPr="00966384">
        <w:t>все</w:t>
      </w:r>
      <w:r>
        <w:t>ми его членами.</w:t>
      </w:r>
    </w:p>
    <w:p w:rsidR="006B3217" w:rsidRDefault="006B3217" w:rsidP="006B3217">
      <w:pPr>
        <w:tabs>
          <w:tab w:val="left" w:pos="360"/>
        </w:tabs>
        <w:autoSpaceDE w:val="0"/>
        <w:autoSpaceDN w:val="0"/>
        <w:adjustRightInd w:val="0"/>
      </w:pPr>
    </w:p>
    <w:p w:rsidR="006B3217" w:rsidRDefault="006B3217" w:rsidP="006B3217">
      <w:pPr>
        <w:tabs>
          <w:tab w:val="clear" w:pos="567"/>
          <w:tab w:val="clear" w:pos="1134"/>
          <w:tab w:val="clear" w:pos="1701"/>
          <w:tab w:val="clear" w:pos="2268"/>
          <w:tab w:val="clear" w:pos="6237"/>
          <w:tab w:val="left" w:pos="360"/>
        </w:tabs>
        <w:autoSpaceDE w:val="0"/>
        <w:autoSpaceDN w:val="0"/>
        <w:adjustRightInd w:val="0"/>
      </w:pPr>
      <w:r>
        <w:t>275.</w:t>
      </w:r>
      <w:r>
        <w:tab/>
        <w:t>В с</w:t>
      </w:r>
      <w:r w:rsidRPr="00966384">
        <w:t>тать</w:t>
      </w:r>
      <w:r>
        <w:t>е</w:t>
      </w:r>
      <w:r w:rsidRPr="00966384">
        <w:t xml:space="preserve"> 241 Трудового </w:t>
      </w:r>
      <w:r>
        <w:t>к</w:t>
      </w:r>
      <w:r w:rsidRPr="00966384">
        <w:t xml:space="preserve">одекса </w:t>
      </w:r>
      <w:r>
        <w:t>изложены</w:t>
      </w:r>
      <w:r w:rsidRPr="00966384">
        <w:t xml:space="preserve"> права и условия членства в </w:t>
      </w:r>
      <w:r>
        <w:t>проф</w:t>
      </w:r>
      <w:r w:rsidRPr="00966384">
        <w:t>союз</w:t>
      </w:r>
      <w:r>
        <w:t>ной организации</w:t>
      </w:r>
      <w:r w:rsidRPr="00966384">
        <w:t xml:space="preserve">, которые включают: </w:t>
      </w:r>
      <w:r>
        <w:t xml:space="preserve"> </w:t>
      </w:r>
      <w:r w:rsidRPr="00966384">
        <w:t xml:space="preserve">a) </w:t>
      </w:r>
      <w:r>
        <w:t xml:space="preserve"> </w:t>
      </w:r>
      <w:r w:rsidRPr="00966384">
        <w:t>финансовы</w:t>
      </w:r>
      <w:r>
        <w:t>е</w:t>
      </w:r>
      <w:r w:rsidRPr="00966384">
        <w:t xml:space="preserve"> или </w:t>
      </w:r>
      <w:r>
        <w:t xml:space="preserve">фидуциарные </w:t>
      </w:r>
      <w:r w:rsidRPr="00966384">
        <w:t>права, и</w:t>
      </w:r>
      <w:r w:rsidR="00D86B80">
        <w:t>  </w:t>
      </w:r>
      <w:r w:rsidRPr="00966384">
        <w:t>b)</w:t>
      </w:r>
      <w:r>
        <w:t>  п</w:t>
      </w:r>
      <w:r w:rsidRPr="00966384">
        <w:t>олитические права</w:t>
      </w:r>
      <w:r>
        <w:rPr>
          <w:rStyle w:val="FootnoteReference"/>
        </w:rPr>
        <w:footnoteReference w:id="15"/>
      </w:r>
      <w:r w:rsidRPr="00966384">
        <w:t xml:space="preserve">. </w:t>
      </w:r>
      <w:r>
        <w:t xml:space="preserve"> </w:t>
      </w:r>
      <w:r w:rsidRPr="00966384">
        <w:t xml:space="preserve">Нарушение любого из этих прав и условий членства дает </w:t>
      </w:r>
      <w:r>
        <w:t xml:space="preserve">право члену профсоюза, права которого были нарушены, </w:t>
      </w:r>
      <w:r w:rsidRPr="00966384">
        <w:t xml:space="preserve">подать соответствующую жалобу </w:t>
      </w:r>
      <w:r>
        <w:t>в</w:t>
      </w:r>
      <w:r w:rsidRPr="00966384">
        <w:t xml:space="preserve"> </w:t>
      </w:r>
      <w:r>
        <w:t>МТЗ</w:t>
      </w:r>
      <w:r w:rsidRPr="00966384">
        <w:t>.</w:t>
      </w:r>
      <w:r>
        <w:t xml:space="preserve"> </w:t>
      </w:r>
      <w:r w:rsidRPr="00966384">
        <w:t xml:space="preserve"> Как правило, </w:t>
      </w:r>
      <w:r>
        <w:t xml:space="preserve">государственный орган может </w:t>
      </w:r>
      <w:r w:rsidRPr="00966384">
        <w:t xml:space="preserve">вмешиваться во внутренние дела </w:t>
      </w:r>
      <w:r>
        <w:t>проф</w:t>
      </w:r>
      <w:r w:rsidRPr="00966384">
        <w:t>союза</w:t>
      </w:r>
      <w:r>
        <w:t xml:space="preserve"> только в случае получения </w:t>
      </w:r>
      <w:r w:rsidRPr="00966384">
        <w:t>так</w:t>
      </w:r>
      <w:r>
        <w:t>ой</w:t>
      </w:r>
      <w:r w:rsidRPr="00966384">
        <w:t xml:space="preserve"> жалоб</w:t>
      </w:r>
      <w:r>
        <w:t>ы</w:t>
      </w:r>
      <w:r w:rsidRPr="00966384">
        <w:t>.</w:t>
      </w:r>
    </w:p>
    <w:p w:rsidR="006B3217" w:rsidRDefault="006B3217" w:rsidP="006B3217">
      <w:pPr>
        <w:numPr>
          <w:ilvl w:val="12"/>
          <w:numId w:val="0"/>
        </w:numPr>
        <w:autoSpaceDE w:val="0"/>
        <w:autoSpaceDN w:val="0"/>
        <w:adjustRightInd w:val="0"/>
      </w:pPr>
    </w:p>
    <w:p w:rsidR="006B3217" w:rsidRDefault="006B3217" w:rsidP="006B3217">
      <w:pPr>
        <w:tabs>
          <w:tab w:val="clear" w:pos="567"/>
          <w:tab w:val="clear" w:pos="1134"/>
          <w:tab w:val="clear" w:pos="1701"/>
          <w:tab w:val="clear" w:pos="2268"/>
          <w:tab w:val="clear" w:pos="6237"/>
          <w:tab w:val="left" w:pos="360"/>
        </w:tabs>
        <w:autoSpaceDE w:val="0"/>
        <w:autoSpaceDN w:val="0"/>
        <w:adjustRightInd w:val="0"/>
      </w:pPr>
      <w:r>
        <w:t>276.</w:t>
      </w:r>
      <w:r>
        <w:tab/>
      </w:r>
      <w:r w:rsidRPr="00966384">
        <w:t>Статья 241 также треб</w:t>
      </w:r>
      <w:r>
        <w:t>у</w:t>
      </w:r>
      <w:r w:rsidRPr="00966384">
        <w:t xml:space="preserve">ет </w:t>
      </w:r>
      <w:r>
        <w:t>распространения процедуры проведения через каждые</w:t>
      </w:r>
      <w:r w:rsidRPr="00966384">
        <w:t xml:space="preserve"> пять лет прям</w:t>
      </w:r>
      <w:r>
        <w:t>ых</w:t>
      </w:r>
      <w:r w:rsidRPr="00966384">
        <w:t xml:space="preserve"> выбор</w:t>
      </w:r>
      <w:r>
        <w:t>ов</w:t>
      </w:r>
      <w:r w:rsidRPr="00966384">
        <w:t xml:space="preserve"> </w:t>
      </w:r>
      <w:r>
        <w:t xml:space="preserve">должностных лиц </w:t>
      </w:r>
      <w:r w:rsidRPr="00966384">
        <w:t>профс</w:t>
      </w:r>
      <w:r>
        <w:t>оюзных организаций, в том числе должностных лиц</w:t>
      </w:r>
      <w:r w:rsidRPr="00966384">
        <w:t xml:space="preserve"> федера</w:t>
      </w:r>
      <w:r>
        <w:t>льных или национальных</w:t>
      </w:r>
      <w:r w:rsidRPr="00966384">
        <w:t xml:space="preserve"> профсоюз</w:t>
      </w:r>
      <w:r>
        <w:t>ов</w:t>
      </w:r>
      <w:r w:rsidRPr="00966384">
        <w:t xml:space="preserve">. </w:t>
      </w:r>
      <w:r>
        <w:t xml:space="preserve"> </w:t>
      </w:r>
      <w:r w:rsidRPr="00966384">
        <w:t xml:space="preserve">Одна из </w:t>
      </w:r>
      <w:r>
        <w:t>важных</w:t>
      </w:r>
      <w:r w:rsidRPr="00966384">
        <w:t xml:space="preserve"> поправок к Трудовому </w:t>
      </w:r>
      <w:r>
        <w:t>к</w:t>
      </w:r>
      <w:r w:rsidRPr="00966384">
        <w:t>одексу</w:t>
      </w:r>
      <w:r>
        <w:t>, принятых в</w:t>
      </w:r>
      <w:r w:rsidRPr="00966384">
        <w:t xml:space="preserve"> 1989</w:t>
      </w:r>
      <w:r>
        <w:t xml:space="preserve"> году</w:t>
      </w:r>
      <w:r w:rsidRPr="00966384">
        <w:t xml:space="preserve">, </w:t>
      </w:r>
      <w:r>
        <w:t>заключалась в том, что требование о проведении "</w:t>
      </w:r>
      <w:r w:rsidRPr="00966384">
        <w:t>прям</w:t>
      </w:r>
      <w:r>
        <w:t>ых</w:t>
      </w:r>
      <w:r w:rsidRPr="00966384">
        <w:t xml:space="preserve"> выбор</w:t>
      </w:r>
      <w:r>
        <w:t>ов"</w:t>
      </w:r>
      <w:r w:rsidRPr="00966384">
        <w:t xml:space="preserve"> </w:t>
      </w:r>
      <w:r>
        <w:t>имело цель "</w:t>
      </w:r>
      <w:r w:rsidRPr="00966384">
        <w:t xml:space="preserve">подчеркнуть </w:t>
      </w:r>
      <w:r>
        <w:t xml:space="preserve">важность </w:t>
      </w:r>
      <w:r w:rsidRPr="00966384">
        <w:t>демократи</w:t>
      </w:r>
      <w:r>
        <w:t>и</w:t>
      </w:r>
      <w:r w:rsidRPr="00966384">
        <w:t xml:space="preserve"> как необходим</w:t>
      </w:r>
      <w:r>
        <w:t>ого</w:t>
      </w:r>
      <w:r w:rsidRPr="00966384">
        <w:t xml:space="preserve"> элемент</w:t>
      </w:r>
      <w:r>
        <w:t>а профсоюзного движения".</w:t>
      </w:r>
    </w:p>
    <w:p w:rsidR="006B3217" w:rsidRDefault="006B3217" w:rsidP="006B3217">
      <w:pPr>
        <w:numPr>
          <w:ilvl w:val="12"/>
          <w:numId w:val="0"/>
        </w:numPr>
        <w:autoSpaceDE w:val="0"/>
        <w:autoSpaceDN w:val="0"/>
        <w:adjustRightInd w:val="0"/>
      </w:pPr>
    </w:p>
    <w:p w:rsidR="006B3217" w:rsidRDefault="006B3217" w:rsidP="006B3217">
      <w:pPr>
        <w:tabs>
          <w:tab w:val="clear" w:pos="567"/>
          <w:tab w:val="clear" w:pos="1134"/>
          <w:tab w:val="clear" w:pos="1701"/>
          <w:tab w:val="clear" w:pos="2268"/>
          <w:tab w:val="clear" w:pos="6237"/>
        </w:tabs>
        <w:autoSpaceDE w:val="0"/>
        <w:autoSpaceDN w:val="0"/>
        <w:adjustRightInd w:val="0"/>
      </w:pPr>
      <w:r>
        <w:rPr>
          <w:rFonts w:eastAsia="SimSun"/>
          <w:b/>
          <w:szCs w:val="24"/>
          <w:lang w:eastAsia="zh-CN"/>
        </w:rPr>
        <w:t>Содействие</w:t>
      </w:r>
      <w:r w:rsidRPr="00515F3E">
        <w:rPr>
          <w:rFonts w:eastAsia="SimSun"/>
          <w:b/>
          <w:szCs w:val="24"/>
          <w:lang w:eastAsia="zh-CN"/>
        </w:rPr>
        <w:t xml:space="preserve"> свободному обсуждению</w:t>
      </w:r>
      <w:r>
        <w:rPr>
          <w:rFonts w:eastAsia="SimSun"/>
          <w:b/>
          <w:szCs w:val="24"/>
          <w:lang w:eastAsia="zh-CN"/>
        </w:rPr>
        <w:t xml:space="preserve"> </w:t>
      </w:r>
      <w:r w:rsidRPr="00515F3E">
        <w:rPr>
          <w:rFonts w:eastAsia="SimSun"/>
          <w:b/>
          <w:szCs w:val="24"/>
          <w:lang w:eastAsia="zh-CN"/>
        </w:rPr>
        <w:t>условий коллективного договора</w:t>
      </w:r>
    </w:p>
    <w:p w:rsidR="006B3217" w:rsidRDefault="006B3217" w:rsidP="006B3217">
      <w:pPr>
        <w:numPr>
          <w:ilvl w:val="12"/>
          <w:numId w:val="0"/>
        </w:numPr>
        <w:autoSpaceDE w:val="0"/>
        <w:autoSpaceDN w:val="0"/>
        <w:adjustRightInd w:val="0"/>
        <w:rPr>
          <w:b/>
          <w:bCs/>
        </w:rPr>
      </w:pPr>
    </w:p>
    <w:p w:rsidR="006B3217" w:rsidRDefault="006B3217" w:rsidP="006B3217">
      <w:pPr>
        <w:tabs>
          <w:tab w:val="clear" w:pos="567"/>
          <w:tab w:val="clear" w:pos="1134"/>
          <w:tab w:val="clear" w:pos="1701"/>
          <w:tab w:val="clear" w:pos="2268"/>
          <w:tab w:val="clear" w:pos="6237"/>
          <w:tab w:val="left" w:pos="360"/>
        </w:tabs>
        <w:autoSpaceDE w:val="0"/>
        <w:autoSpaceDN w:val="0"/>
        <w:adjustRightInd w:val="0"/>
      </w:pPr>
      <w:r>
        <w:t>277.</w:t>
      </w:r>
      <w:r>
        <w:tab/>
        <w:t>Коллективные п</w:t>
      </w:r>
      <w:r w:rsidRPr="00966384">
        <w:t xml:space="preserve">ереговоры или переговоры </w:t>
      </w:r>
      <w:r>
        <w:t>в целях подписания</w:t>
      </w:r>
      <w:r w:rsidRPr="00966384">
        <w:t xml:space="preserve"> коллективно</w:t>
      </w:r>
      <w:r>
        <w:t>го</w:t>
      </w:r>
      <w:r w:rsidRPr="00966384">
        <w:t xml:space="preserve"> </w:t>
      </w:r>
      <w:r>
        <w:t>договора</w:t>
      </w:r>
      <w:r w:rsidRPr="00966384">
        <w:t xml:space="preserve"> </w:t>
      </w:r>
      <w:r>
        <w:t xml:space="preserve">представляют собой предусмотренный Трудовым кодексом </w:t>
      </w:r>
      <w:r w:rsidRPr="00966384">
        <w:t>демократическ</w:t>
      </w:r>
      <w:r>
        <w:t xml:space="preserve">ий механизм, направленный на </w:t>
      </w:r>
      <w:r w:rsidRPr="00966384">
        <w:t>стабилиз</w:t>
      </w:r>
      <w:r>
        <w:t>ацию</w:t>
      </w:r>
      <w:r w:rsidRPr="00966384">
        <w:t xml:space="preserve"> отношени</w:t>
      </w:r>
      <w:r>
        <w:t>й</w:t>
      </w:r>
      <w:r w:rsidRPr="00966384">
        <w:t xml:space="preserve"> между </w:t>
      </w:r>
      <w:r>
        <w:t>трудящимися</w:t>
      </w:r>
      <w:r w:rsidRPr="00966384">
        <w:t xml:space="preserve"> и </w:t>
      </w:r>
      <w:r>
        <w:t>руководителями</w:t>
      </w:r>
      <w:r w:rsidRPr="00966384">
        <w:t>, созда</w:t>
      </w:r>
      <w:r>
        <w:t xml:space="preserve">ние атмосферы прочного </w:t>
      </w:r>
      <w:r w:rsidRPr="00966384">
        <w:t xml:space="preserve">и </w:t>
      </w:r>
      <w:r>
        <w:t>стабильного</w:t>
      </w:r>
      <w:r w:rsidRPr="00966384">
        <w:t xml:space="preserve"> индустриального мира. </w:t>
      </w:r>
      <w:r>
        <w:t xml:space="preserve"> </w:t>
      </w:r>
      <w:r w:rsidRPr="00966384">
        <w:t xml:space="preserve">Хотя </w:t>
      </w:r>
      <w:r>
        <w:t>вести переговоры о</w:t>
      </w:r>
      <w:r w:rsidRPr="00966384">
        <w:t>бяза</w:t>
      </w:r>
      <w:r>
        <w:t>ны и</w:t>
      </w:r>
      <w:r w:rsidRPr="00966384">
        <w:t xml:space="preserve"> предпринимател</w:t>
      </w:r>
      <w:r>
        <w:t>и,</w:t>
      </w:r>
      <w:r w:rsidRPr="00966384">
        <w:t xml:space="preserve"> и </w:t>
      </w:r>
      <w:r>
        <w:t>работники</w:t>
      </w:r>
      <w:r w:rsidRPr="00966384">
        <w:t xml:space="preserve">, </w:t>
      </w:r>
      <w:r>
        <w:t xml:space="preserve">этот </w:t>
      </w:r>
      <w:r w:rsidRPr="00966384">
        <w:t>механи</w:t>
      </w:r>
      <w:r>
        <w:t>зм</w:t>
      </w:r>
      <w:r w:rsidRPr="00966384">
        <w:t xml:space="preserve"> </w:t>
      </w:r>
      <w:r>
        <w:t>действует</w:t>
      </w:r>
      <w:r w:rsidRPr="00966384">
        <w:t xml:space="preserve"> только</w:t>
      </w:r>
      <w:r>
        <w:t xml:space="preserve"> при наличии</w:t>
      </w:r>
      <w:r w:rsidRPr="00966384">
        <w:t xml:space="preserve"> следующи</w:t>
      </w:r>
      <w:r>
        <w:t xml:space="preserve">х </w:t>
      </w:r>
      <w:r w:rsidRPr="00966384">
        <w:t>предварительны</w:t>
      </w:r>
      <w:r>
        <w:t>х юридических условий</w:t>
      </w:r>
      <w:r w:rsidRPr="00966384">
        <w:t xml:space="preserve">: </w:t>
      </w:r>
      <w:r>
        <w:t xml:space="preserve"> </w:t>
      </w:r>
      <w:r>
        <w:br/>
      </w:r>
      <w:r w:rsidRPr="00966384">
        <w:t xml:space="preserve">a) </w:t>
      </w:r>
      <w:r>
        <w:t xml:space="preserve"> наличие</w:t>
      </w:r>
      <w:r w:rsidRPr="00966384">
        <w:t xml:space="preserve"> </w:t>
      </w:r>
      <w:r>
        <w:t>у представителя</w:t>
      </w:r>
      <w:r w:rsidRPr="00966384">
        <w:t xml:space="preserve"> </w:t>
      </w:r>
      <w:r>
        <w:t>работников</w:t>
      </w:r>
      <w:r w:rsidRPr="00966384">
        <w:t xml:space="preserve"> </w:t>
      </w:r>
      <w:r>
        <w:t>права</w:t>
      </w:r>
      <w:r w:rsidRPr="00966384">
        <w:t xml:space="preserve"> </w:t>
      </w:r>
      <w:r>
        <w:t>представлять большинство коллектива, которое было получено</w:t>
      </w:r>
      <w:r w:rsidRPr="00966384">
        <w:t xml:space="preserve"> в соответствии с любым из предусмотренн</w:t>
      </w:r>
      <w:r>
        <w:t>ых</w:t>
      </w:r>
      <w:r w:rsidRPr="00966384">
        <w:t xml:space="preserve"> закон</w:t>
      </w:r>
      <w:r>
        <w:t>ом</w:t>
      </w:r>
      <w:r w:rsidRPr="00966384">
        <w:t xml:space="preserve"> </w:t>
      </w:r>
      <w:r>
        <w:t>способов</w:t>
      </w:r>
      <w:r w:rsidRPr="00966384">
        <w:t xml:space="preserve"> выбора или </w:t>
      </w:r>
      <w:r>
        <w:t>назначения</w:t>
      </w:r>
      <w:r w:rsidRPr="00966384">
        <w:t>;</w:t>
      </w:r>
      <w:r>
        <w:t xml:space="preserve"> </w:t>
      </w:r>
      <w:r w:rsidRPr="00966384">
        <w:t xml:space="preserve"> b) </w:t>
      </w:r>
      <w:r>
        <w:t xml:space="preserve"> наличие у </w:t>
      </w:r>
      <w:r w:rsidRPr="00966384">
        <w:t xml:space="preserve">профсоюза, выбранного </w:t>
      </w:r>
      <w:r>
        <w:t>работниками</w:t>
      </w:r>
      <w:r w:rsidRPr="00966384">
        <w:t xml:space="preserve"> </w:t>
      </w:r>
      <w:r>
        <w:t xml:space="preserve">для ведения от их имени коллективных переговоров, доказательства того, что он представляет большинство коллектива; </w:t>
      </w:r>
      <w:r w:rsidRPr="00966384">
        <w:t xml:space="preserve"> c)</w:t>
      </w:r>
      <w:r>
        <w:t xml:space="preserve">  наличие просьбы вести коллективные переговоры </w:t>
      </w:r>
      <w:r w:rsidRPr="00966384">
        <w:t>с</w:t>
      </w:r>
      <w:r>
        <w:t xml:space="preserve"> работодателем, обращенной к уполномоченному для этого органу</w:t>
      </w:r>
      <w:r w:rsidRPr="00966384">
        <w:t>.</w:t>
      </w:r>
    </w:p>
    <w:p w:rsidR="006B3217" w:rsidRDefault="006B3217" w:rsidP="006B3217">
      <w:pPr>
        <w:tabs>
          <w:tab w:val="clear" w:pos="567"/>
          <w:tab w:val="clear" w:pos="1134"/>
          <w:tab w:val="clear" w:pos="1701"/>
          <w:tab w:val="clear" w:pos="2268"/>
          <w:tab w:val="clear" w:pos="6237"/>
          <w:tab w:val="left" w:pos="360"/>
        </w:tabs>
        <w:autoSpaceDE w:val="0"/>
        <w:autoSpaceDN w:val="0"/>
        <w:adjustRightInd w:val="0"/>
      </w:pPr>
    </w:p>
    <w:p w:rsidR="006B3217" w:rsidRDefault="006B3217" w:rsidP="006B3217">
      <w:pPr>
        <w:tabs>
          <w:tab w:val="clear" w:pos="567"/>
          <w:tab w:val="clear" w:pos="1134"/>
          <w:tab w:val="clear" w:pos="1701"/>
          <w:tab w:val="clear" w:pos="2268"/>
          <w:tab w:val="clear" w:pos="6237"/>
          <w:tab w:val="left" w:pos="360"/>
        </w:tabs>
        <w:autoSpaceDE w:val="0"/>
        <w:autoSpaceDN w:val="0"/>
        <w:adjustRightInd w:val="0"/>
      </w:pPr>
      <w:r>
        <w:t>278.</w:t>
      </w:r>
      <w:r>
        <w:tab/>
      </w:r>
      <w:r w:rsidRPr="00966384">
        <w:t>Обязанность</w:t>
      </w:r>
      <w:r>
        <w:t xml:space="preserve"> вести коллективные переговоры подразумевает необходимость со</w:t>
      </w:r>
      <w:r w:rsidRPr="00966384">
        <w:t>вмест</w:t>
      </w:r>
      <w:r>
        <w:t>ного</w:t>
      </w:r>
      <w:r w:rsidRPr="00966384">
        <w:t xml:space="preserve"> выполнени</w:t>
      </w:r>
      <w:r>
        <w:t>я</w:t>
      </w:r>
      <w:r w:rsidRPr="00966384">
        <w:t xml:space="preserve"> </w:t>
      </w:r>
      <w:r>
        <w:t xml:space="preserve">сторонами </w:t>
      </w:r>
      <w:r w:rsidRPr="00966384">
        <w:t xml:space="preserve">взаимного обязательства </w:t>
      </w:r>
      <w:r>
        <w:t xml:space="preserve">о безотлагательном проведении в духе доброй воли </w:t>
      </w:r>
      <w:r w:rsidRPr="00966384">
        <w:t>переговоров</w:t>
      </w:r>
      <w:r>
        <w:t xml:space="preserve"> в целях </w:t>
      </w:r>
      <w:r w:rsidRPr="00966384">
        <w:t xml:space="preserve">заключения </w:t>
      </w:r>
      <w:r>
        <w:t>договора о</w:t>
      </w:r>
      <w:r w:rsidRPr="00966384">
        <w:t xml:space="preserve"> заработной плат</w:t>
      </w:r>
      <w:r>
        <w:t>е, количестве рабочих часов</w:t>
      </w:r>
      <w:r w:rsidRPr="00966384">
        <w:t xml:space="preserve"> и все</w:t>
      </w:r>
      <w:r>
        <w:t>х</w:t>
      </w:r>
      <w:r w:rsidRPr="00966384">
        <w:t xml:space="preserve"> други</w:t>
      </w:r>
      <w:r>
        <w:t>х</w:t>
      </w:r>
      <w:r w:rsidRPr="00966384">
        <w:t xml:space="preserve"> услови</w:t>
      </w:r>
      <w:r>
        <w:t>й занятости.</w:t>
      </w:r>
    </w:p>
    <w:p w:rsidR="006B3217" w:rsidRDefault="006B3217" w:rsidP="006B3217">
      <w:pPr>
        <w:numPr>
          <w:ilvl w:val="12"/>
          <w:numId w:val="0"/>
        </w:numPr>
        <w:autoSpaceDE w:val="0"/>
        <w:autoSpaceDN w:val="0"/>
        <w:adjustRightInd w:val="0"/>
      </w:pPr>
    </w:p>
    <w:p w:rsidR="006B3217" w:rsidRDefault="006B3217" w:rsidP="006B3217">
      <w:pPr>
        <w:tabs>
          <w:tab w:val="clear" w:pos="567"/>
          <w:tab w:val="clear" w:pos="1134"/>
          <w:tab w:val="clear" w:pos="1701"/>
          <w:tab w:val="clear" w:pos="2268"/>
          <w:tab w:val="clear" w:pos="6237"/>
          <w:tab w:val="left" w:pos="360"/>
        </w:tabs>
        <w:autoSpaceDE w:val="0"/>
        <w:autoSpaceDN w:val="0"/>
        <w:adjustRightInd w:val="0"/>
      </w:pPr>
      <w:r>
        <w:t>279.</w:t>
      </w:r>
      <w:r>
        <w:tab/>
      </w:r>
      <w:r w:rsidRPr="00966384">
        <w:t xml:space="preserve">Верховный </w:t>
      </w:r>
      <w:r>
        <w:t>с</w:t>
      </w:r>
      <w:r w:rsidRPr="00966384">
        <w:t xml:space="preserve">уд </w:t>
      </w:r>
      <w:r>
        <w:t>неоднократно заявлял</w:t>
      </w:r>
      <w:r w:rsidRPr="00966384">
        <w:t xml:space="preserve">, что </w:t>
      </w:r>
      <w:r>
        <w:t>как таковой проверки факта проведения переговоров в духе доброй воли не существует</w:t>
      </w:r>
      <w:r w:rsidRPr="00966384">
        <w:t xml:space="preserve">. </w:t>
      </w:r>
      <w:r>
        <w:t xml:space="preserve"> Критерий наличия</w:t>
      </w:r>
      <w:r w:rsidRPr="00966384">
        <w:t xml:space="preserve"> </w:t>
      </w:r>
      <w:r>
        <w:t xml:space="preserve">справедливости </w:t>
      </w:r>
      <w:r w:rsidRPr="00966384">
        <w:t xml:space="preserve">в </w:t>
      </w:r>
      <w:r>
        <w:t xml:space="preserve">коллективных </w:t>
      </w:r>
      <w:r w:rsidRPr="00966384">
        <w:t xml:space="preserve">переговорах требует, чтобы </w:t>
      </w:r>
      <w:r>
        <w:t xml:space="preserve">участвующие в них </w:t>
      </w:r>
      <w:r w:rsidRPr="00966384">
        <w:t xml:space="preserve">стороны </w:t>
      </w:r>
      <w:r>
        <w:t xml:space="preserve">действовали открыто и честно </w:t>
      </w:r>
      <w:r w:rsidRPr="00966384">
        <w:t xml:space="preserve">и  искренне </w:t>
      </w:r>
      <w:r>
        <w:t xml:space="preserve">стремились </w:t>
      </w:r>
      <w:r w:rsidRPr="00966384">
        <w:t xml:space="preserve">преодолеть существующие между ними </w:t>
      </w:r>
      <w:r>
        <w:t>разногласия</w:t>
      </w:r>
      <w:r w:rsidRPr="00966384">
        <w:t xml:space="preserve"> или </w:t>
      </w:r>
      <w:r>
        <w:t>препятствия</w:t>
      </w:r>
      <w:r w:rsidRPr="00966384">
        <w:t xml:space="preserve"> </w:t>
      </w:r>
      <w:r>
        <w:t xml:space="preserve">в целях установления трудовых </w:t>
      </w:r>
      <w:r w:rsidRPr="00966384">
        <w:t>отношени</w:t>
      </w:r>
      <w:r>
        <w:t>й</w:t>
      </w:r>
      <w:r w:rsidRPr="00966384">
        <w:t>.</w:t>
      </w:r>
      <w:r>
        <w:t xml:space="preserve"> </w:t>
      </w:r>
      <w:r w:rsidRPr="00966384">
        <w:t xml:space="preserve"> </w:t>
      </w:r>
      <w:r>
        <w:t>Наличие доброй воли</w:t>
      </w:r>
      <w:r w:rsidRPr="00966384">
        <w:t xml:space="preserve"> </w:t>
      </w:r>
      <w:r>
        <w:t xml:space="preserve">или ее отсутствие можно установить лишь на основании </w:t>
      </w:r>
      <w:r w:rsidRPr="00966384">
        <w:t>фактов</w:t>
      </w:r>
      <w:r>
        <w:t>,</w:t>
      </w:r>
      <w:r w:rsidRPr="00966384">
        <w:t xml:space="preserve"> и </w:t>
      </w:r>
      <w:r>
        <w:t>подобный вопрос относится к компетенции полномочного государственного учреждения</w:t>
      </w:r>
      <w:r w:rsidRPr="00966384">
        <w:t>.</w:t>
      </w:r>
      <w:r>
        <w:t xml:space="preserve">  Решение</w:t>
      </w:r>
      <w:r w:rsidRPr="00966384">
        <w:t xml:space="preserve"> </w:t>
      </w:r>
      <w:r>
        <w:t>о наличии доброй воли или отсутствии таковой в переговорах должно основываться не на том, что соответствующее компетентное учреждение считает определенное положение договора обоснованным или необоснованным</w:t>
      </w:r>
      <w:r w:rsidRPr="00966384">
        <w:t xml:space="preserve"> или </w:t>
      </w:r>
      <w:r>
        <w:t>что, по ее мнению, то или иное положение</w:t>
      </w:r>
      <w:r w:rsidRPr="00966384">
        <w:t xml:space="preserve"> </w:t>
      </w:r>
      <w:r>
        <w:t>подлежит</w:t>
      </w:r>
      <w:r w:rsidRPr="00966384">
        <w:t xml:space="preserve"> согласован</w:t>
      </w:r>
      <w:r>
        <w:t>ию</w:t>
      </w:r>
      <w:r w:rsidRPr="00966384">
        <w:t xml:space="preserve">, </w:t>
      </w:r>
      <w:r>
        <w:t xml:space="preserve">а </w:t>
      </w:r>
      <w:r w:rsidRPr="00966384">
        <w:t>н</w:t>
      </w:r>
      <w:r>
        <w:t>а</w:t>
      </w:r>
      <w:r w:rsidRPr="00966384">
        <w:t xml:space="preserve"> </w:t>
      </w:r>
      <w:r>
        <w:t>рассмотрении всего процесса переговоров в целом.  Аналогичным образом</w:t>
      </w:r>
      <w:r w:rsidRPr="00966384">
        <w:t>,</w:t>
      </w:r>
      <w:r>
        <w:t xml:space="preserve"> эффект одних лишь </w:t>
      </w:r>
      <w:r w:rsidRPr="00966384">
        <w:t>действи</w:t>
      </w:r>
      <w:r>
        <w:t>й</w:t>
      </w:r>
      <w:r w:rsidRPr="00966384">
        <w:t xml:space="preserve"> </w:t>
      </w:r>
      <w:r>
        <w:t>работодателя</w:t>
      </w:r>
      <w:r w:rsidRPr="00966384">
        <w:t xml:space="preserve"> не</w:t>
      </w:r>
      <w:r>
        <w:t>достаточен для определения того, проводились ли переговоры в духе доброй воли</w:t>
      </w:r>
      <w:r w:rsidRPr="00966384">
        <w:t xml:space="preserve">, </w:t>
      </w:r>
      <w:r>
        <w:t>а вот</w:t>
      </w:r>
      <w:r w:rsidRPr="00966384">
        <w:t xml:space="preserve"> </w:t>
      </w:r>
      <w:r>
        <w:t>анализ воздействия всего комплекса</w:t>
      </w:r>
      <w:r w:rsidRPr="00966384">
        <w:t xml:space="preserve"> таких </w:t>
      </w:r>
      <w:r>
        <w:t>акций</w:t>
      </w:r>
      <w:r w:rsidRPr="00966384">
        <w:t xml:space="preserve"> или действий и </w:t>
      </w:r>
      <w:r>
        <w:t xml:space="preserve">сделанные на его основании справедливые коллективные </w:t>
      </w:r>
      <w:r w:rsidRPr="00966384">
        <w:t>вывод</w:t>
      </w:r>
      <w:r>
        <w:t>ы вполне</w:t>
      </w:r>
      <w:r w:rsidRPr="00966384">
        <w:t xml:space="preserve"> мо</w:t>
      </w:r>
      <w:r>
        <w:t>гут</w:t>
      </w:r>
      <w:r w:rsidRPr="00966384">
        <w:t xml:space="preserve"> </w:t>
      </w:r>
      <w:r>
        <w:t xml:space="preserve">послужить </w:t>
      </w:r>
      <w:r w:rsidRPr="00966384">
        <w:t>основ</w:t>
      </w:r>
      <w:r>
        <w:t>ой</w:t>
      </w:r>
      <w:r w:rsidRPr="00966384">
        <w:t xml:space="preserve"> для </w:t>
      </w:r>
      <w:r>
        <w:t>решений государственного учреждения</w:t>
      </w:r>
      <w:r w:rsidRPr="00966384">
        <w:t>, надел</w:t>
      </w:r>
      <w:r>
        <w:t>енного</w:t>
      </w:r>
      <w:r w:rsidRPr="00966384">
        <w:t xml:space="preserve"> юрисдикцией </w:t>
      </w:r>
      <w:r>
        <w:t>для</w:t>
      </w:r>
      <w:r w:rsidRPr="00966384">
        <w:t xml:space="preserve"> </w:t>
      </w:r>
      <w:r>
        <w:t xml:space="preserve">рассмотрения таких </w:t>
      </w:r>
      <w:r w:rsidRPr="00966384">
        <w:t>вопрос</w:t>
      </w:r>
      <w:r>
        <w:t>ов</w:t>
      </w:r>
      <w:r w:rsidRPr="00966384">
        <w:t>.</w:t>
      </w:r>
    </w:p>
    <w:p w:rsidR="006B3217" w:rsidRDefault="006B3217" w:rsidP="006B3217">
      <w:pPr>
        <w:tabs>
          <w:tab w:val="clear" w:pos="567"/>
          <w:tab w:val="clear" w:pos="1134"/>
          <w:tab w:val="clear" w:pos="1701"/>
          <w:tab w:val="clear" w:pos="2268"/>
          <w:tab w:val="clear" w:pos="6237"/>
          <w:tab w:val="left" w:pos="360"/>
        </w:tabs>
        <w:autoSpaceDE w:val="0"/>
        <w:autoSpaceDN w:val="0"/>
        <w:adjustRightInd w:val="0"/>
      </w:pPr>
    </w:p>
    <w:p w:rsidR="006B3217" w:rsidRDefault="006B3217" w:rsidP="006B3217">
      <w:pPr>
        <w:tabs>
          <w:tab w:val="clear" w:pos="567"/>
          <w:tab w:val="clear" w:pos="1134"/>
          <w:tab w:val="clear" w:pos="1701"/>
          <w:tab w:val="clear" w:pos="2268"/>
          <w:tab w:val="clear" w:pos="6237"/>
          <w:tab w:val="left" w:pos="360"/>
        </w:tabs>
        <w:autoSpaceDE w:val="0"/>
        <w:autoSpaceDN w:val="0"/>
        <w:adjustRightInd w:val="0"/>
      </w:pPr>
      <w:r>
        <w:t>280.</w:t>
      </w:r>
      <w:r>
        <w:tab/>
      </w:r>
      <w:r w:rsidRPr="00966384">
        <w:t>В 2003</w:t>
      </w:r>
      <w:r>
        <w:t xml:space="preserve"> году</w:t>
      </w:r>
      <w:r w:rsidRPr="00966384">
        <w:t xml:space="preserve"> </w:t>
      </w:r>
      <w:r>
        <w:t>МТЗ</w:t>
      </w:r>
      <w:r w:rsidRPr="00966384">
        <w:t xml:space="preserve"> </w:t>
      </w:r>
      <w:r>
        <w:t>издало</w:t>
      </w:r>
      <w:r w:rsidRPr="00966384">
        <w:t xml:space="preserve"> ряд административных инструкций, предусм</w:t>
      </w:r>
      <w:r>
        <w:t>атривающих</w:t>
      </w:r>
      <w:r w:rsidRPr="00966384">
        <w:t xml:space="preserve"> создание добровольной системы</w:t>
      </w:r>
      <w:r>
        <w:t xml:space="preserve"> ведения коллективных переговоров с несколькими работодателями</w:t>
      </w:r>
      <w:r>
        <w:rPr>
          <w:rStyle w:val="FootnoteReference"/>
        </w:rPr>
        <w:footnoteReference w:id="16"/>
      </w:r>
      <w:r w:rsidRPr="00966384">
        <w:t>.</w:t>
      </w:r>
      <w:r>
        <w:t xml:space="preserve">  Были также разработаны у</w:t>
      </w:r>
      <w:r w:rsidRPr="00966384">
        <w:t>п</w:t>
      </w:r>
      <w:r>
        <w:t xml:space="preserve">рощенные процедуры регистрации коллективных договоров, предусматривающие подачу лишь </w:t>
      </w:r>
      <w:r w:rsidRPr="00966384">
        <w:t>дв</w:t>
      </w:r>
      <w:r>
        <w:t>ух заявлений</w:t>
      </w:r>
      <w:r w:rsidRPr="00966384">
        <w:t xml:space="preserve"> о регистрации и ратификации, </w:t>
      </w:r>
      <w:r>
        <w:t xml:space="preserve">а </w:t>
      </w:r>
      <w:r w:rsidRPr="00966384">
        <w:t>также оплат</w:t>
      </w:r>
      <w:r>
        <w:t>у</w:t>
      </w:r>
      <w:r w:rsidRPr="00966384">
        <w:t xml:space="preserve"> минимально</w:t>
      </w:r>
      <w:r>
        <w:t>го комиссионного сбора для получения</w:t>
      </w:r>
      <w:r w:rsidRPr="00966384">
        <w:t xml:space="preserve"> свидетельств</w:t>
      </w:r>
      <w:r>
        <w:t>а</w:t>
      </w:r>
      <w:r w:rsidRPr="00966384">
        <w:t xml:space="preserve"> в </w:t>
      </w:r>
      <w:r>
        <w:t>течение</w:t>
      </w:r>
      <w:r w:rsidRPr="00966384">
        <w:t xml:space="preserve"> </w:t>
      </w:r>
      <w:r>
        <w:t xml:space="preserve">установленных для процедуры </w:t>
      </w:r>
      <w:r w:rsidRPr="00966384">
        <w:t>регистрации</w:t>
      </w:r>
      <w:r>
        <w:t xml:space="preserve"> </w:t>
      </w:r>
      <w:r w:rsidRPr="00966384">
        <w:t>пяти</w:t>
      </w:r>
      <w:r>
        <w:t xml:space="preserve"> </w:t>
      </w:r>
      <w:r w:rsidRPr="00966384">
        <w:t>дне</w:t>
      </w:r>
      <w:r>
        <w:t>й</w:t>
      </w:r>
      <w:r w:rsidRPr="00966384">
        <w:t>.</w:t>
      </w:r>
    </w:p>
    <w:p w:rsidR="006B3217" w:rsidRDefault="006B3217" w:rsidP="006B3217">
      <w:pPr>
        <w:numPr>
          <w:ilvl w:val="12"/>
          <w:numId w:val="0"/>
        </w:numPr>
        <w:autoSpaceDE w:val="0"/>
        <w:autoSpaceDN w:val="0"/>
        <w:adjustRightInd w:val="0"/>
        <w:rPr>
          <w:b/>
          <w:bCs/>
        </w:rPr>
      </w:pPr>
    </w:p>
    <w:p w:rsidR="006B3217" w:rsidRDefault="006B3217" w:rsidP="006B3217">
      <w:pPr>
        <w:numPr>
          <w:ilvl w:val="12"/>
          <w:numId w:val="0"/>
        </w:numPr>
        <w:autoSpaceDE w:val="0"/>
        <w:autoSpaceDN w:val="0"/>
        <w:adjustRightInd w:val="0"/>
      </w:pPr>
      <w:r w:rsidRPr="00966384">
        <w:rPr>
          <w:b/>
          <w:bCs/>
        </w:rPr>
        <w:t xml:space="preserve">Защита от </w:t>
      </w:r>
      <w:r>
        <w:rPr>
          <w:b/>
          <w:bCs/>
        </w:rPr>
        <w:t>роспуска или п</w:t>
      </w:r>
      <w:r w:rsidRPr="00966384">
        <w:rPr>
          <w:b/>
          <w:bCs/>
        </w:rPr>
        <w:t>риостанов</w:t>
      </w:r>
      <w:r>
        <w:rPr>
          <w:b/>
          <w:bCs/>
        </w:rPr>
        <w:t>ления деятельности</w:t>
      </w:r>
    </w:p>
    <w:p w:rsidR="006B3217" w:rsidRDefault="006B3217" w:rsidP="006B3217">
      <w:pPr>
        <w:numPr>
          <w:ilvl w:val="12"/>
          <w:numId w:val="0"/>
        </w:numPr>
        <w:autoSpaceDE w:val="0"/>
        <w:autoSpaceDN w:val="0"/>
        <w:adjustRightInd w:val="0"/>
        <w:rPr>
          <w:b/>
          <w:bCs/>
        </w:rPr>
      </w:pPr>
    </w:p>
    <w:p w:rsidR="006B3217" w:rsidRDefault="006B3217" w:rsidP="006B3217">
      <w:pPr>
        <w:tabs>
          <w:tab w:val="clear" w:pos="567"/>
          <w:tab w:val="clear" w:pos="1134"/>
          <w:tab w:val="clear" w:pos="1701"/>
          <w:tab w:val="clear" w:pos="2268"/>
          <w:tab w:val="clear" w:pos="6237"/>
          <w:tab w:val="left" w:pos="360"/>
        </w:tabs>
        <w:autoSpaceDE w:val="0"/>
        <w:autoSpaceDN w:val="0"/>
        <w:adjustRightInd w:val="0"/>
      </w:pPr>
      <w:r>
        <w:t>281.</w:t>
      </w:r>
      <w:r>
        <w:tab/>
        <w:t>Статья</w:t>
      </w:r>
      <w:r w:rsidRPr="00966384">
        <w:t xml:space="preserve"> 238 Трудового </w:t>
      </w:r>
      <w:r>
        <w:t>к</w:t>
      </w:r>
      <w:r w:rsidRPr="00966384">
        <w:t xml:space="preserve">одекса </w:t>
      </w:r>
      <w:r>
        <w:t xml:space="preserve">предоставляет МТЗ право издавать распоряжение об отмене </w:t>
      </w:r>
      <w:r w:rsidRPr="00966384">
        <w:t xml:space="preserve">регистрации </w:t>
      </w:r>
      <w:r>
        <w:t>легитимной профсоюзной</w:t>
      </w:r>
      <w:r w:rsidRPr="00966384">
        <w:t xml:space="preserve"> организации. </w:t>
      </w:r>
      <w:r>
        <w:t xml:space="preserve"> В статье</w:t>
      </w:r>
      <w:r w:rsidRPr="00966384">
        <w:t xml:space="preserve"> 23</w:t>
      </w:r>
      <w:r>
        <w:t xml:space="preserve">9 перечислены </w:t>
      </w:r>
      <w:r w:rsidRPr="00966384">
        <w:t xml:space="preserve">основания </w:t>
      </w:r>
      <w:r>
        <w:t xml:space="preserve">для такой </w:t>
      </w:r>
      <w:r w:rsidRPr="00966384">
        <w:t>отмен</w:t>
      </w:r>
      <w:r>
        <w:t>ы</w:t>
      </w:r>
      <w:r w:rsidRPr="00966384">
        <w:t xml:space="preserve">. </w:t>
      </w:r>
      <w:r>
        <w:t xml:space="preserve"> Для решения об отмене регистрации или роспуске у МТЗ</w:t>
      </w:r>
      <w:r w:rsidRPr="00966384">
        <w:t xml:space="preserve"> </w:t>
      </w:r>
      <w:r>
        <w:t>должны быть серьезные мотивы</w:t>
      </w:r>
      <w:r w:rsidRPr="00966384">
        <w:t xml:space="preserve">. </w:t>
      </w:r>
      <w:r>
        <w:t xml:space="preserve"> </w:t>
      </w:r>
      <w:r w:rsidRPr="00966384">
        <w:t xml:space="preserve">Как правило, </w:t>
      </w:r>
      <w:r>
        <w:t xml:space="preserve">причиной для </w:t>
      </w:r>
      <w:r w:rsidRPr="00966384">
        <w:t>отмен</w:t>
      </w:r>
      <w:r>
        <w:t>ы</w:t>
      </w:r>
      <w:r w:rsidRPr="00966384">
        <w:t xml:space="preserve"> регистрации </w:t>
      </w:r>
      <w:r>
        <w:t>проф</w:t>
      </w:r>
      <w:r w:rsidRPr="00966384">
        <w:t xml:space="preserve">союза </w:t>
      </w:r>
      <w:r>
        <w:t xml:space="preserve">являются представление </w:t>
      </w:r>
      <w:r w:rsidRPr="00966384">
        <w:t>искажен</w:t>
      </w:r>
      <w:r>
        <w:t>ных данных</w:t>
      </w:r>
      <w:r w:rsidRPr="00966384">
        <w:t>, мошенничество</w:t>
      </w:r>
      <w:r>
        <w:t xml:space="preserve"> или принуждение,</w:t>
      </w:r>
      <w:r w:rsidRPr="00966384">
        <w:t xml:space="preserve"> </w:t>
      </w:r>
      <w:r>
        <w:t>предположительно имевшие место в</w:t>
      </w:r>
      <w:r w:rsidRPr="00966384">
        <w:t xml:space="preserve"> связ</w:t>
      </w:r>
      <w:r>
        <w:t>и</w:t>
      </w:r>
      <w:r w:rsidRPr="00966384">
        <w:t xml:space="preserve"> с </w:t>
      </w:r>
      <w:r>
        <w:t>созданием профс</w:t>
      </w:r>
      <w:r w:rsidRPr="00966384">
        <w:t>оюза</w:t>
      </w:r>
      <w:r>
        <w:t xml:space="preserve">, которые </w:t>
      </w:r>
      <w:r w:rsidRPr="00966384">
        <w:t>затронули большинство членов профсоюза.</w:t>
      </w:r>
      <w:r>
        <w:t xml:space="preserve"> </w:t>
      </w:r>
      <w:r w:rsidRPr="00966384">
        <w:t xml:space="preserve"> Если </w:t>
      </w:r>
      <w:r>
        <w:t>х</w:t>
      </w:r>
      <w:r w:rsidRPr="00966384">
        <w:t xml:space="preserve">одатайство </w:t>
      </w:r>
      <w:r>
        <w:t>об</w:t>
      </w:r>
      <w:r w:rsidRPr="00966384">
        <w:t xml:space="preserve"> отмен</w:t>
      </w:r>
      <w:r>
        <w:t>е</w:t>
      </w:r>
      <w:r w:rsidRPr="00966384">
        <w:t xml:space="preserve"> </w:t>
      </w:r>
      <w:r>
        <w:t>регистрации совпадает с ожидаемым рассмотрением вопроса о сертификации процедуры выборов</w:t>
      </w:r>
      <w:r w:rsidRPr="00966384">
        <w:t xml:space="preserve">, членам соответствующей </w:t>
      </w:r>
      <w:r>
        <w:t>структуры, уполномоченной вести коллективные переговоры, предоставляется</w:t>
      </w:r>
      <w:r w:rsidRPr="00966384">
        <w:t xml:space="preserve"> возможность подтвердить или </w:t>
      </w:r>
      <w:r>
        <w:t>не подтвердить</w:t>
      </w:r>
      <w:r w:rsidRPr="00966384">
        <w:t xml:space="preserve"> </w:t>
      </w:r>
      <w:r>
        <w:t>легитимность такого профсоюза</w:t>
      </w:r>
      <w:r w:rsidRPr="00966384">
        <w:t xml:space="preserve"> </w:t>
      </w:r>
      <w:r>
        <w:t>путем голосования при сертификации выборов</w:t>
      </w:r>
      <w:r w:rsidRPr="00966384">
        <w:t xml:space="preserve">. </w:t>
      </w:r>
      <w:r>
        <w:t xml:space="preserve"> </w:t>
      </w:r>
      <w:r w:rsidRPr="00966384">
        <w:t xml:space="preserve">Кроме того, </w:t>
      </w:r>
      <w:r>
        <w:t>распоряжение об отмене регистрации</w:t>
      </w:r>
      <w:r w:rsidRPr="00966384">
        <w:t xml:space="preserve"> </w:t>
      </w:r>
      <w:r>
        <w:t>может быть издано только после того, как соответствующему проф</w:t>
      </w:r>
      <w:r w:rsidRPr="00966384">
        <w:t>союз</w:t>
      </w:r>
      <w:r>
        <w:t>у</w:t>
      </w:r>
      <w:r w:rsidRPr="00966384">
        <w:t xml:space="preserve"> </w:t>
      </w:r>
      <w:r>
        <w:t xml:space="preserve">будет </w:t>
      </w:r>
      <w:r w:rsidRPr="00966384">
        <w:t>предоставлен</w:t>
      </w:r>
      <w:r>
        <w:t>о</w:t>
      </w:r>
      <w:r w:rsidRPr="00966384">
        <w:t xml:space="preserve"> право </w:t>
      </w:r>
      <w:r>
        <w:t>быть заслушанным.</w:t>
      </w:r>
    </w:p>
    <w:p w:rsidR="00221285" w:rsidRDefault="00221285" w:rsidP="00221285"/>
    <w:p w:rsidR="00A25C5B" w:rsidRPr="00966384" w:rsidRDefault="00A25C5B" w:rsidP="00A25C5B">
      <w:pPr>
        <w:widowControl w:val="0"/>
        <w:numPr>
          <w:ilvl w:val="12"/>
          <w:numId w:val="0"/>
        </w:numPr>
        <w:autoSpaceDE w:val="0"/>
        <w:autoSpaceDN w:val="0"/>
        <w:adjustRightInd w:val="0"/>
        <w:rPr>
          <w:b/>
          <w:bCs/>
        </w:rPr>
      </w:pPr>
      <w:r w:rsidRPr="00966384">
        <w:rPr>
          <w:b/>
          <w:bCs/>
        </w:rPr>
        <w:t>2.e</w:t>
      </w:r>
      <w:r>
        <w:rPr>
          <w:b/>
          <w:bCs/>
        </w:rPr>
        <w:tab/>
      </w:r>
      <w:r w:rsidRPr="00966384">
        <w:rPr>
          <w:b/>
          <w:bCs/>
        </w:rPr>
        <w:t>Числ</w:t>
      </w:r>
      <w:r>
        <w:rPr>
          <w:b/>
          <w:bCs/>
        </w:rPr>
        <w:t>енность</w:t>
      </w:r>
      <w:r w:rsidRPr="00966384">
        <w:rPr>
          <w:b/>
          <w:bCs/>
        </w:rPr>
        <w:t xml:space="preserve"> и структура профсоюзов</w:t>
      </w:r>
    </w:p>
    <w:p w:rsidR="00A25C5B" w:rsidRPr="00966384" w:rsidRDefault="00A25C5B" w:rsidP="00A25C5B">
      <w:pPr>
        <w:widowControl w:val="0"/>
        <w:numPr>
          <w:ilvl w:val="12"/>
          <w:numId w:val="0"/>
        </w:numPr>
        <w:autoSpaceDE w:val="0"/>
        <w:autoSpaceDN w:val="0"/>
        <w:adjustRightInd w:val="0"/>
        <w:rPr>
          <w:b/>
          <w:bCs/>
        </w:rPr>
      </w:pPr>
    </w:p>
    <w:p w:rsidR="00A25C5B" w:rsidRPr="00AE15B4" w:rsidRDefault="00A25C5B" w:rsidP="00A25C5B">
      <w:pPr>
        <w:widowControl w:val="0"/>
        <w:tabs>
          <w:tab w:val="clear" w:pos="567"/>
          <w:tab w:val="clear" w:pos="1134"/>
          <w:tab w:val="clear" w:pos="1701"/>
          <w:tab w:val="clear" w:pos="2268"/>
          <w:tab w:val="clear" w:pos="6237"/>
          <w:tab w:val="left" w:pos="360"/>
        </w:tabs>
        <w:autoSpaceDE w:val="0"/>
        <w:autoSpaceDN w:val="0"/>
        <w:adjustRightInd w:val="0"/>
      </w:pPr>
      <w:r>
        <w:t>282.</w:t>
      </w:r>
      <w:r>
        <w:tab/>
        <w:t xml:space="preserve">В </w:t>
      </w:r>
      <w:r w:rsidRPr="00966384">
        <w:t>таблиц</w:t>
      </w:r>
      <w:r>
        <w:t>е ниже</w:t>
      </w:r>
      <w:r w:rsidRPr="00966384">
        <w:t xml:space="preserve"> </w:t>
      </w:r>
      <w:r>
        <w:t>приводится резюме данных</w:t>
      </w:r>
      <w:r w:rsidRPr="00966384">
        <w:t xml:space="preserve"> (</w:t>
      </w:r>
      <w:r>
        <w:t xml:space="preserve">за </w:t>
      </w:r>
      <w:r w:rsidRPr="00966384">
        <w:t>июль 2004</w:t>
      </w:r>
      <w:r>
        <w:t> года</w:t>
      </w:r>
      <w:r w:rsidRPr="00966384">
        <w:t xml:space="preserve">) </w:t>
      </w:r>
      <w:r>
        <w:t>о</w:t>
      </w:r>
      <w:r w:rsidRPr="00966384">
        <w:t xml:space="preserve"> регистрации </w:t>
      </w:r>
      <w:r>
        <w:t>проф</w:t>
      </w:r>
      <w:r w:rsidRPr="00966384">
        <w:t>союз</w:t>
      </w:r>
      <w:r>
        <w:t>ов</w:t>
      </w:r>
      <w:r w:rsidRPr="00966384">
        <w:t xml:space="preserve"> и </w:t>
      </w:r>
      <w:r>
        <w:t xml:space="preserve">количестве их </w:t>
      </w:r>
      <w:r w:rsidRPr="00966384">
        <w:t>член</w:t>
      </w:r>
      <w:r>
        <w:t>ов</w:t>
      </w:r>
      <w:r w:rsidRPr="00966384">
        <w:t>.</w:t>
      </w:r>
    </w:p>
    <w:p w:rsidR="00A25C5B" w:rsidRPr="00AE15B4" w:rsidRDefault="00A25C5B" w:rsidP="00A25C5B">
      <w:pPr>
        <w:widowControl w:val="0"/>
        <w:tabs>
          <w:tab w:val="clear" w:pos="567"/>
          <w:tab w:val="clear" w:pos="1134"/>
          <w:tab w:val="clear" w:pos="1701"/>
          <w:tab w:val="clear" w:pos="2268"/>
          <w:tab w:val="clear" w:pos="6237"/>
          <w:tab w:val="left" w:pos="360"/>
        </w:tabs>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4"/>
        <w:gridCol w:w="1525"/>
        <w:gridCol w:w="2211"/>
      </w:tblGrid>
      <w:tr w:rsidR="00A25C5B" w:rsidRPr="00966384" w:rsidTr="00653168">
        <w:tblPrEx>
          <w:tblCellMar>
            <w:top w:w="0" w:type="dxa"/>
            <w:bottom w:w="0" w:type="dxa"/>
          </w:tblCellMar>
        </w:tblPrEx>
        <w:tc>
          <w:tcPr>
            <w:tcW w:w="5614" w:type="dxa"/>
            <w:tcBorders>
              <w:top w:val="single" w:sz="6" w:space="0" w:color="auto"/>
              <w:left w:val="single" w:sz="6" w:space="0" w:color="auto"/>
              <w:bottom w:val="single" w:sz="6" w:space="0" w:color="auto"/>
              <w:right w:val="single" w:sz="6" w:space="0" w:color="auto"/>
            </w:tcBorders>
          </w:tcPr>
          <w:p w:rsidR="00A25C5B" w:rsidRPr="00ED31C8" w:rsidRDefault="00A25C5B" w:rsidP="0033276A">
            <w:pPr>
              <w:widowControl w:val="0"/>
              <w:autoSpaceDE w:val="0"/>
              <w:autoSpaceDN w:val="0"/>
              <w:adjustRightInd w:val="0"/>
              <w:spacing w:line="264" w:lineRule="auto"/>
              <w:jc w:val="center"/>
            </w:pPr>
            <w:r w:rsidRPr="00ED31C8">
              <w:rPr>
                <w:bCs/>
              </w:rPr>
              <w:t>Т</w:t>
            </w:r>
            <w:r w:rsidR="00ED31C8" w:rsidRPr="00ED31C8">
              <w:rPr>
                <w:bCs/>
              </w:rPr>
              <w:t>ип профсоюза</w:t>
            </w:r>
          </w:p>
        </w:tc>
        <w:tc>
          <w:tcPr>
            <w:tcW w:w="1525" w:type="dxa"/>
            <w:tcBorders>
              <w:top w:val="single" w:sz="6" w:space="0" w:color="auto"/>
              <w:left w:val="single" w:sz="6" w:space="0" w:color="auto"/>
              <w:bottom w:val="single" w:sz="6" w:space="0" w:color="auto"/>
              <w:right w:val="single" w:sz="6" w:space="0" w:color="auto"/>
            </w:tcBorders>
          </w:tcPr>
          <w:p w:rsidR="00A25C5B" w:rsidRPr="00653168" w:rsidRDefault="00A25C5B" w:rsidP="0033276A">
            <w:pPr>
              <w:widowControl w:val="0"/>
              <w:autoSpaceDE w:val="0"/>
              <w:autoSpaceDN w:val="0"/>
              <w:adjustRightInd w:val="0"/>
              <w:spacing w:line="264" w:lineRule="auto"/>
              <w:jc w:val="center"/>
              <w:rPr>
                <w:bCs/>
                <w:smallCaps/>
              </w:rPr>
            </w:pPr>
            <w:r w:rsidRPr="00653168">
              <w:rPr>
                <w:bCs/>
              </w:rPr>
              <w:t>Р</w:t>
            </w:r>
            <w:r w:rsidR="00653168" w:rsidRPr="00653168">
              <w:rPr>
                <w:bCs/>
              </w:rPr>
              <w:t>егистрация</w:t>
            </w:r>
          </w:p>
        </w:tc>
        <w:tc>
          <w:tcPr>
            <w:tcW w:w="2211" w:type="dxa"/>
            <w:tcBorders>
              <w:top w:val="single" w:sz="6" w:space="0" w:color="auto"/>
              <w:left w:val="single" w:sz="6" w:space="0" w:color="auto"/>
              <w:bottom w:val="single" w:sz="6" w:space="0" w:color="auto"/>
              <w:right w:val="single" w:sz="6" w:space="0" w:color="auto"/>
            </w:tcBorders>
          </w:tcPr>
          <w:p w:rsidR="00A25C5B" w:rsidRPr="00653168" w:rsidRDefault="00A25C5B" w:rsidP="0033276A">
            <w:pPr>
              <w:widowControl w:val="0"/>
              <w:autoSpaceDE w:val="0"/>
              <w:autoSpaceDN w:val="0"/>
              <w:adjustRightInd w:val="0"/>
              <w:spacing w:line="264" w:lineRule="auto"/>
              <w:jc w:val="center"/>
              <w:rPr>
                <w:bCs/>
              </w:rPr>
            </w:pPr>
            <w:r w:rsidRPr="00653168">
              <w:rPr>
                <w:bCs/>
              </w:rPr>
              <w:t>К</w:t>
            </w:r>
            <w:r w:rsidR="00653168" w:rsidRPr="00653168">
              <w:rPr>
                <w:bCs/>
              </w:rPr>
              <w:t>оличество членов</w:t>
            </w:r>
          </w:p>
        </w:tc>
      </w:tr>
      <w:tr w:rsidR="00A25C5B" w:rsidRPr="00966384" w:rsidTr="00653168">
        <w:tblPrEx>
          <w:tblCellMar>
            <w:top w:w="0" w:type="dxa"/>
            <w:bottom w:w="0" w:type="dxa"/>
          </w:tblCellMar>
        </w:tblPrEx>
        <w:tc>
          <w:tcPr>
            <w:tcW w:w="5614" w:type="dxa"/>
            <w:tcBorders>
              <w:top w:val="single" w:sz="6" w:space="0" w:color="auto"/>
              <w:left w:val="single" w:sz="6" w:space="0" w:color="auto"/>
              <w:bottom w:val="single" w:sz="6" w:space="0" w:color="auto"/>
              <w:right w:val="single" w:sz="6" w:space="0" w:color="auto"/>
            </w:tcBorders>
          </w:tcPr>
          <w:p w:rsidR="00A25C5B" w:rsidRPr="00653168" w:rsidRDefault="00A25C5B" w:rsidP="0033276A">
            <w:pPr>
              <w:widowControl w:val="0"/>
              <w:autoSpaceDE w:val="0"/>
              <w:autoSpaceDN w:val="0"/>
              <w:adjustRightInd w:val="0"/>
              <w:spacing w:line="264" w:lineRule="auto"/>
              <w:rPr>
                <w:b/>
                <w:bCs/>
                <w:spacing w:val="-4"/>
              </w:rPr>
            </w:pPr>
            <w:r w:rsidRPr="00653168">
              <w:rPr>
                <w:spacing w:val="-4"/>
              </w:rPr>
              <w:t>Федерации/Национальные профсоюзные организации</w:t>
            </w:r>
          </w:p>
        </w:tc>
        <w:tc>
          <w:tcPr>
            <w:tcW w:w="1525" w:type="dxa"/>
            <w:tcBorders>
              <w:top w:val="single" w:sz="6" w:space="0" w:color="auto"/>
              <w:left w:val="single" w:sz="6" w:space="0" w:color="auto"/>
              <w:bottom w:val="single" w:sz="6" w:space="0" w:color="auto"/>
              <w:right w:val="single" w:sz="6" w:space="0" w:color="auto"/>
            </w:tcBorders>
          </w:tcPr>
          <w:p w:rsidR="00A25C5B" w:rsidRPr="00966384" w:rsidRDefault="00A25C5B" w:rsidP="00653168">
            <w:pPr>
              <w:widowControl w:val="0"/>
              <w:tabs>
                <w:tab w:val="clear" w:pos="567"/>
              </w:tabs>
              <w:autoSpaceDE w:val="0"/>
              <w:autoSpaceDN w:val="0"/>
              <w:adjustRightInd w:val="0"/>
              <w:spacing w:line="264" w:lineRule="auto"/>
              <w:ind w:right="410"/>
              <w:jc w:val="right"/>
            </w:pPr>
            <w:r w:rsidRPr="00966384">
              <w:t>147</w:t>
            </w:r>
          </w:p>
        </w:tc>
        <w:tc>
          <w:tcPr>
            <w:tcW w:w="2211" w:type="dxa"/>
            <w:tcBorders>
              <w:top w:val="single" w:sz="6" w:space="0" w:color="auto"/>
              <w:left w:val="single" w:sz="6" w:space="0" w:color="auto"/>
              <w:bottom w:val="single" w:sz="6" w:space="0" w:color="auto"/>
              <w:right w:val="single" w:sz="6" w:space="0" w:color="auto"/>
            </w:tcBorders>
          </w:tcPr>
          <w:p w:rsidR="00A25C5B" w:rsidRPr="00966384" w:rsidRDefault="00A25C5B" w:rsidP="0033276A">
            <w:pPr>
              <w:widowControl w:val="0"/>
              <w:autoSpaceDE w:val="0"/>
              <w:autoSpaceDN w:val="0"/>
              <w:adjustRightInd w:val="0"/>
              <w:spacing w:line="264" w:lineRule="auto"/>
              <w:ind w:right="737"/>
              <w:jc w:val="right"/>
            </w:pPr>
            <w:r w:rsidRPr="00966384">
              <w:t>519</w:t>
            </w:r>
            <w:r>
              <w:t xml:space="preserve"> </w:t>
            </w:r>
            <w:r w:rsidRPr="00966384">
              <w:t>892</w:t>
            </w:r>
          </w:p>
        </w:tc>
      </w:tr>
      <w:tr w:rsidR="00A25C5B" w:rsidRPr="00966384" w:rsidTr="00653168">
        <w:tblPrEx>
          <w:tblCellMar>
            <w:top w:w="0" w:type="dxa"/>
            <w:bottom w:w="0" w:type="dxa"/>
          </w:tblCellMar>
        </w:tblPrEx>
        <w:tc>
          <w:tcPr>
            <w:tcW w:w="5614" w:type="dxa"/>
            <w:tcBorders>
              <w:top w:val="single" w:sz="6" w:space="0" w:color="auto"/>
              <w:left w:val="single" w:sz="6" w:space="0" w:color="auto"/>
              <w:bottom w:val="single" w:sz="6" w:space="0" w:color="auto"/>
              <w:right w:val="single" w:sz="6" w:space="0" w:color="auto"/>
            </w:tcBorders>
          </w:tcPr>
          <w:p w:rsidR="00A25C5B" w:rsidRPr="00966384" w:rsidRDefault="00A25C5B" w:rsidP="0033276A">
            <w:pPr>
              <w:widowControl w:val="0"/>
              <w:autoSpaceDE w:val="0"/>
              <w:autoSpaceDN w:val="0"/>
              <w:adjustRightInd w:val="0"/>
              <w:spacing w:line="264" w:lineRule="auto"/>
            </w:pPr>
            <w:r w:rsidRPr="00966384">
              <w:t>Независимы</w:t>
            </w:r>
            <w:r>
              <w:t>е</w:t>
            </w:r>
            <w:r w:rsidRPr="00966384">
              <w:t xml:space="preserve"> (</w:t>
            </w:r>
            <w:r w:rsidR="00653168">
              <w:t>п</w:t>
            </w:r>
            <w:r w:rsidRPr="00966384">
              <w:t>редприятие)</w:t>
            </w:r>
          </w:p>
        </w:tc>
        <w:tc>
          <w:tcPr>
            <w:tcW w:w="1525" w:type="dxa"/>
            <w:tcBorders>
              <w:top w:val="single" w:sz="6" w:space="0" w:color="auto"/>
              <w:left w:val="single" w:sz="6" w:space="0" w:color="auto"/>
              <w:bottom w:val="single" w:sz="6" w:space="0" w:color="auto"/>
              <w:right w:val="single" w:sz="6" w:space="0" w:color="auto"/>
            </w:tcBorders>
          </w:tcPr>
          <w:p w:rsidR="00A25C5B" w:rsidRPr="00966384" w:rsidRDefault="00A25C5B" w:rsidP="00653168">
            <w:pPr>
              <w:widowControl w:val="0"/>
              <w:tabs>
                <w:tab w:val="clear" w:pos="567"/>
              </w:tabs>
              <w:autoSpaceDE w:val="0"/>
              <w:autoSpaceDN w:val="0"/>
              <w:adjustRightInd w:val="0"/>
              <w:spacing w:line="264" w:lineRule="auto"/>
              <w:ind w:right="410"/>
              <w:jc w:val="right"/>
            </w:pPr>
            <w:r w:rsidRPr="00966384">
              <w:t>7</w:t>
            </w:r>
            <w:r>
              <w:t xml:space="preserve"> </w:t>
            </w:r>
            <w:r w:rsidRPr="00966384">
              <w:t>688</w:t>
            </w:r>
          </w:p>
        </w:tc>
        <w:tc>
          <w:tcPr>
            <w:tcW w:w="2211" w:type="dxa"/>
            <w:tcBorders>
              <w:top w:val="single" w:sz="6" w:space="0" w:color="auto"/>
              <w:left w:val="single" w:sz="6" w:space="0" w:color="auto"/>
              <w:bottom w:val="single" w:sz="6" w:space="0" w:color="auto"/>
              <w:right w:val="single" w:sz="6" w:space="0" w:color="auto"/>
            </w:tcBorders>
          </w:tcPr>
          <w:p w:rsidR="00A25C5B" w:rsidRPr="00966384" w:rsidRDefault="00A25C5B" w:rsidP="0033276A">
            <w:pPr>
              <w:widowControl w:val="0"/>
              <w:autoSpaceDE w:val="0"/>
              <w:autoSpaceDN w:val="0"/>
              <w:adjustRightInd w:val="0"/>
              <w:spacing w:line="264" w:lineRule="auto"/>
              <w:ind w:right="737"/>
              <w:jc w:val="right"/>
            </w:pPr>
            <w:r w:rsidRPr="00966384">
              <w:t>918</w:t>
            </w:r>
            <w:r>
              <w:t xml:space="preserve"> </w:t>
            </w:r>
            <w:r w:rsidRPr="00966384">
              <w:t>853</w:t>
            </w:r>
          </w:p>
        </w:tc>
      </w:tr>
      <w:tr w:rsidR="00A25C5B" w:rsidRPr="00966384" w:rsidTr="00653168">
        <w:tblPrEx>
          <w:tblCellMar>
            <w:top w:w="0" w:type="dxa"/>
            <w:bottom w:w="0" w:type="dxa"/>
          </w:tblCellMar>
        </w:tblPrEx>
        <w:tc>
          <w:tcPr>
            <w:tcW w:w="5614" w:type="dxa"/>
            <w:tcBorders>
              <w:top w:val="single" w:sz="6" w:space="0" w:color="auto"/>
              <w:left w:val="single" w:sz="6" w:space="0" w:color="auto"/>
              <w:bottom w:val="single" w:sz="6" w:space="0" w:color="auto"/>
              <w:right w:val="single" w:sz="6" w:space="0" w:color="auto"/>
            </w:tcBorders>
          </w:tcPr>
          <w:p w:rsidR="00A25C5B" w:rsidRPr="00966384" w:rsidRDefault="00A25C5B" w:rsidP="0033276A">
            <w:pPr>
              <w:widowControl w:val="0"/>
              <w:autoSpaceDE w:val="0"/>
              <w:autoSpaceDN w:val="0"/>
              <w:adjustRightInd w:val="0"/>
              <w:spacing w:line="264" w:lineRule="auto"/>
            </w:pPr>
            <w:r>
              <w:t>Присоединенные м</w:t>
            </w:r>
            <w:r w:rsidRPr="00966384">
              <w:t>естны</w:t>
            </w:r>
            <w:r>
              <w:t>е</w:t>
            </w:r>
            <w:r w:rsidRPr="00966384">
              <w:t xml:space="preserve"> (</w:t>
            </w:r>
            <w:r w:rsidR="00653168">
              <w:t>п</w:t>
            </w:r>
            <w:r w:rsidRPr="00966384">
              <w:t>редприятие)</w:t>
            </w:r>
          </w:p>
        </w:tc>
        <w:tc>
          <w:tcPr>
            <w:tcW w:w="1525" w:type="dxa"/>
            <w:tcBorders>
              <w:top w:val="single" w:sz="6" w:space="0" w:color="auto"/>
              <w:left w:val="single" w:sz="6" w:space="0" w:color="auto"/>
              <w:bottom w:val="single" w:sz="6" w:space="0" w:color="auto"/>
              <w:right w:val="single" w:sz="6" w:space="0" w:color="auto"/>
            </w:tcBorders>
          </w:tcPr>
          <w:p w:rsidR="00A25C5B" w:rsidRPr="00966384" w:rsidRDefault="00A25C5B" w:rsidP="00653168">
            <w:pPr>
              <w:widowControl w:val="0"/>
              <w:tabs>
                <w:tab w:val="clear" w:pos="567"/>
              </w:tabs>
              <w:autoSpaceDE w:val="0"/>
              <w:autoSpaceDN w:val="0"/>
              <w:adjustRightInd w:val="0"/>
              <w:spacing w:line="264" w:lineRule="auto"/>
              <w:ind w:right="410"/>
              <w:jc w:val="right"/>
            </w:pPr>
            <w:r w:rsidRPr="00966384">
              <w:t>7</w:t>
            </w:r>
            <w:r>
              <w:t xml:space="preserve"> </w:t>
            </w:r>
            <w:r w:rsidRPr="00966384">
              <w:t>206</w:t>
            </w:r>
          </w:p>
        </w:tc>
        <w:tc>
          <w:tcPr>
            <w:tcW w:w="2211" w:type="dxa"/>
            <w:tcBorders>
              <w:top w:val="single" w:sz="6" w:space="0" w:color="auto"/>
              <w:left w:val="single" w:sz="6" w:space="0" w:color="auto"/>
              <w:bottom w:val="single" w:sz="6" w:space="0" w:color="auto"/>
              <w:right w:val="single" w:sz="6" w:space="0" w:color="auto"/>
            </w:tcBorders>
          </w:tcPr>
          <w:p w:rsidR="00A25C5B" w:rsidRPr="00966384" w:rsidRDefault="00A25C5B" w:rsidP="0033276A">
            <w:pPr>
              <w:widowControl w:val="0"/>
              <w:autoSpaceDE w:val="0"/>
              <w:autoSpaceDN w:val="0"/>
              <w:adjustRightInd w:val="0"/>
              <w:spacing w:line="264" w:lineRule="auto"/>
              <w:ind w:right="737"/>
              <w:jc w:val="right"/>
            </w:pPr>
            <w:r w:rsidRPr="00966384">
              <w:t>364</w:t>
            </w:r>
            <w:r>
              <w:t xml:space="preserve"> </w:t>
            </w:r>
            <w:r w:rsidRPr="00966384">
              <w:t>935</w:t>
            </w:r>
          </w:p>
        </w:tc>
      </w:tr>
      <w:tr w:rsidR="00A25C5B" w:rsidRPr="00966384" w:rsidTr="00653168">
        <w:tblPrEx>
          <w:tblCellMar>
            <w:top w:w="0" w:type="dxa"/>
            <w:bottom w:w="0" w:type="dxa"/>
          </w:tblCellMar>
        </w:tblPrEx>
        <w:tc>
          <w:tcPr>
            <w:tcW w:w="5614" w:type="dxa"/>
            <w:tcBorders>
              <w:top w:val="single" w:sz="6" w:space="0" w:color="auto"/>
              <w:left w:val="single" w:sz="6" w:space="0" w:color="auto"/>
              <w:bottom w:val="single" w:sz="6" w:space="0" w:color="auto"/>
              <w:right w:val="single" w:sz="6" w:space="0" w:color="auto"/>
            </w:tcBorders>
          </w:tcPr>
          <w:p w:rsidR="00A25C5B" w:rsidRPr="00966384" w:rsidRDefault="00A25C5B" w:rsidP="0033276A">
            <w:pPr>
              <w:widowControl w:val="0"/>
              <w:autoSpaceDE w:val="0"/>
              <w:autoSpaceDN w:val="0"/>
              <w:adjustRightInd w:val="0"/>
              <w:spacing w:line="264" w:lineRule="auto"/>
            </w:pPr>
            <w:r>
              <w:t xml:space="preserve">Профсоюзы государственного </w:t>
            </w:r>
            <w:r w:rsidRPr="00966384">
              <w:t>сектора</w:t>
            </w:r>
          </w:p>
        </w:tc>
        <w:tc>
          <w:tcPr>
            <w:tcW w:w="1525" w:type="dxa"/>
            <w:tcBorders>
              <w:top w:val="single" w:sz="6" w:space="0" w:color="auto"/>
              <w:left w:val="single" w:sz="6" w:space="0" w:color="auto"/>
              <w:bottom w:val="single" w:sz="6" w:space="0" w:color="auto"/>
              <w:right w:val="single" w:sz="6" w:space="0" w:color="auto"/>
            </w:tcBorders>
          </w:tcPr>
          <w:p w:rsidR="00A25C5B" w:rsidRPr="00966384" w:rsidRDefault="00A25C5B" w:rsidP="00653168">
            <w:pPr>
              <w:widowControl w:val="0"/>
              <w:tabs>
                <w:tab w:val="clear" w:pos="567"/>
              </w:tabs>
              <w:autoSpaceDE w:val="0"/>
              <w:autoSpaceDN w:val="0"/>
              <w:adjustRightInd w:val="0"/>
              <w:spacing w:line="264" w:lineRule="auto"/>
              <w:ind w:right="410"/>
              <w:jc w:val="right"/>
            </w:pPr>
            <w:r w:rsidRPr="00966384">
              <w:t>1</w:t>
            </w:r>
            <w:r>
              <w:t xml:space="preserve"> </w:t>
            </w:r>
            <w:r w:rsidRPr="00966384">
              <w:t>339</w:t>
            </w:r>
          </w:p>
        </w:tc>
        <w:tc>
          <w:tcPr>
            <w:tcW w:w="2211" w:type="dxa"/>
            <w:tcBorders>
              <w:top w:val="single" w:sz="6" w:space="0" w:color="auto"/>
              <w:left w:val="single" w:sz="6" w:space="0" w:color="auto"/>
              <w:bottom w:val="single" w:sz="6" w:space="0" w:color="auto"/>
              <w:right w:val="single" w:sz="6" w:space="0" w:color="auto"/>
            </w:tcBorders>
          </w:tcPr>
          <w:p w:rsidR="00A25C5B" w:rsidRPr="00966384" w:rsidRDefault="00A25C5B" w:rsidP="0033276A">
            <w:pPr>
              <w:widowControl w:val="0"/>
              <w:autoSpaceDE w:val="0"/>
              <w:autoSpaceDN w:val="0"/>
              <w:adjustRightInd w:val="0"/>
              <w:spacing w:line="264" w:lineRule="auto"/>
              <w:ind w:right="737"/>
              <w:jc w:val="right"/>
            </w:pPr>
            <w:r w:rsidRPr="00966384">
              <w:t>262</w:t>
            </w:r>
            <w:r>
              <w:t xml:space="preserve"> </w:t>
            </w:r>
            <w:r w:rsidRPr="00966384">
              <w:t>454</w:t>
            </w:r>
          </w:p>
        </w:tc>
      </w:tr>
      <w:tr w:rsidR="00A25C5B" w:rsidRPr="00966384" w:rsidTr="00653168">
        <w:tblPrEx>
          <w:tblCellMar>
            <w:top w:w="0" w:type="dxa"/>
            <w:bottom w:w="0" w:type="dxa"/>
          </w:tblCellMar>
        </w:tblPrEx>
        <w:tc>
          <w:tcPr>
            <w:tcW w:w="5614" w:type="dxa"/>
            <w:tcBorders>
              <w:top w:val="single" w:sz="6" w:space="0" w:color="auto"/>
              <w:left w:val="single" w:sz="6" w:space="0" w:color="auto"/>
              <w:bottom w:val="single" w:sz="6" w:space="0" w:color="auto"/>
              <w:right w:val="single" w:sz="6" w:space="0" w:color="auto"/>
            </w:tcBorders>
          </w:tcPr>
          <w:p w:rsidR="00A25C5B" w:rsidRPr="00966384" w:rsidRDefault="00A25C5B" w:rsidP="0033276A">
            <w:pPr>
              <w:widowControl w:val="0"/>
              <w:autoSpaceDE w:val="0"/>
              <w:autoSpaceDN w:val="0"/>
              <w:adjustRightInd w:val="0"/>
              <w:spacing w:line="264" w:lineRule="auto"/>
            </w:pPr>
            <w:r w:rsidRPr="00966384">
              <w:t xml:space="preserve">Ассоциации </w:t>
            </w:r>
            <w:r>
              <w:t>трудящихся</w:t>
            </w:r>
          </w:p>
        </w:tc>
        <w:tc>
          <w:tcPr>
            <w:tcW w:w="1525" w:type="dxa"/>
            <w:tcBorders>
              <w:top w:val="single" w:sz="6" w:space="0" w:color="auto"/>
              <w:left w:val="single" w:sz="6" w:space="0" w:color="auto"/>
              <w:bottom w:val="single" w:sz="6" w:space="0" w:color="auto"/>
              <w:right w:val="single" w:sz="6" w:space="0" w:color="auto"/>
            </w:tcBorders>
          </w:tcPr>
          <w:p w:rsidR="00A25C5B" w:rsidRPr="00966384" w:rsidRDefault="00A25C5B" w:rsidP="00653168">
            <w:pPr>
              <w:widowControl w:val="0"/>
              <w:tabs>
                <w:tab w:val="clear" w:pos="567"/>
              </w:tabs>
              <w:autoSpaceDE w:val="0"/>
              <w:autoSpaceDN w:val="0"/>
              <w:adjustRightInd w:val="0"/>
              <w:spacing w:line="264" w:lineRule="auto"/>
              <w:ind w:right="410"/>
              <w:jc w:val="right"/>
            </w:pPr>
            <w:r w:rsidRPr="00966384">
              <w:t>7</w:t>
            </w:r>
            <w:r>
              <w:t xml:space="preserve"> </w:t>
            </w:r>
            <w:r w:rsidRPr="00966384">
              <w:t>000</w:t>
            </w:r>
          </w:p>
        </w:tc>
        <w:tc>
          <w:tcPr>
            <w:tcW w:w="2211" w:type="dxa"/>
            <w:tcBorders>
              <w:top w:val="single" w:sz="6" w:space="0" w:color="auto"/>
              <w:left w:val="single" w:sz="6" w:space="0" w:color="auto"/>
              <w:bottom w:val="single" w:sz="6" w:space="0" w:color="auto"/>
              <w:right w:val="single" w:sz="6" w:space="0" w:color="auto"/>
            </w:tcBorders>
          </w:tcPr>
          <w:p w:rsidR="00A25C5B" w:rsidRPr="00966384" w:rsidRDefault="00A25C5B" w:rsidP="0033276A">
            <w:pPr>
              <w:widowControl w:val="0"/>
              <w:autoSpaceDE w:val="0"/>
              <w:autoSpaceDN w:val="0"/>
              <w:adjustRightInd w:val="0"/>
              <w:spacing w:line="264" w:lineRule="auto"/>
              <w:ind w:right="737"/>
              <w:jc w:val="right"/>
            </w:pPr>
            <w:r w:rsidRPr="00966384">
              <w:t>249</w:t>
            </w:r>
            <w:r>
              <w:t xml:space="preserve"> </w:t>
            </w:r>
            <w:r w:rsidRPr="00966384">
              <w:t>551</w:t>
            </w:r>
          </w:p>
        </w:tc>
      </w:tr>
    </w:tbl>
    <w:p w:rsidR="00A25C5B" w:rsidRPr="00966384" w:rsidRDefault="00A25C5B" w:rsidP="00A25C5B">
      <w:pPr>
        <w:widowControl w:val="0"/>
        <w:numPr>
          <w:ilvl w:val="12"/>
          <w:numId w:val="0"/>
        </w:numPr>
        <w:autoSpaceDE w:val="0"/>
        <w:autoSpaceDN w:val="0"/>
        <w:adjustRightInd w:val="0"/>
      </w:pPr>
    </w:p>
    <w:p w:rsidR="00A25C5B" w:rsidRPr="00966384" w:rsidRDefault="00A25C5B" w:rsidP="00A25C5B">
      <w:pPr>
        <w:widowControl w:val="0"/>
        <w:tabs>
          <w:tab w:val="clear" w:pos="1134"/>
          <w:tab w:val="clear" w:pos="1701"/>
          <w:tab w:val="clear" w:pos="2268"/>
          <w:tab w:val="clear" w:pos="6237"/>
          <w:tab w:val="left" w:pos="360"/>
        </w:tabs>
        <w:autoSpaceDE w:val="0"/>
        <w:autoSpaceDN w:val="0"/>
        <w:adjustRightInd w:val="0"/>
      </w:pPr>
      <w:r>
        <w:t>283.</w:t>
      </w:r>
      <w:r>
        <w:tab/>
      </w:r>
      <w:r w:rsidRPr="00966384">
        <w:t>В настоящее время</w:t>
      </w:r>
      <w:r>
        <w:t xml:space="preserve"> существует</w:t>
      </w:r>
      <w:r w:rsidRPr="00966384">
        <w:t xml:space="preserve"> 10 зарегистрированных </w:t>
      </w:r>
      <w:r>
        <w:t xml:space="preserve">профсоюзных </w:t>
      </w:r>
      <w:r w:rsidRPr="00966384">
        <w:t>центров и</w:t>
      </w:r>
      <w:r>
        <w:t>ли</w:t>
      </w:r>
      <w:r w:rsidRPr="00966384">
        <w:t xml:space="preserve"> групп зарегистрированных федераций или национальных </w:t>
      </w:r>
      <w:r>
        <w:t>проф</w:t>
      </w:r>
      <w:r w:rsidRPr="00966384">
        <w:t>союзов.</w:t>
      </w:r>
    </w:p>
    <w:p w:rsidR="00A25C5B" w:rsidRPr="00966384" w:rsidRDefault="00A25C5B" w:rsidP="00A25C5B">
      <w:pPr>
        <w:widowControl w:val="0"/>
        <w:numPr>
          <w:ilvl w:val="12"/>
          <w:numId w:val="0"/>
        </w:numPr>
        <w:autoSpaceDE w:val="0"/>
        <w:autoSpaceDN w:val="0"/>
        <w:adjustRightInd w:val="0"/>
      </w:pPr>
    </w:p>
    <w:p w:rsidR="00A25C5B" w:rsidRDefault="00A25C5B" w:rsidP="00A25C5B">
      <w:pPr>
        <w:widowControl w:val="0"/>
        <w:tabs>
          <w:tab w:val="clear" w:pos="1134"/>
          <w:tab w:val="clear" w:pos="1701"/>
          <w:tab w:val="clear" w:pos="2268"/>
          <w:tab w:val="clear" w:pos="6237"/>
          <w:tab w:val="left" w:pos="360"/>
        </w:tabs>
        <w:autoSpaceDE w:val="0"/>
        <w:autoSpaceDN w:val="0"/>
        <w:adjustRightInd w:val="0"/>
      </w:pPr>
      <w:r>
        <w:t>284.</w:t>
      </w:r>
      <w:r>
        <w:tab/>
        <w:t>Ассоциации</w:t>
      </w:r>
      <w:r w:rsidRPr="00966384">
        <w:t xml:space="preserve"> </w:t>
      </w:r>
      <w:r>
        <w:t>трудящихся</w:t>
      </w:r>
      <w:r w:rsidRPr="00966384">
        <w:t xml:space="preserve"> - группы, организованные </w:t>
      </w:r>
      <w:r>
        <w:t>для</w:t>
      </w:r>
      <w:r w:rsidRPr="00966384">
        <w:t xml:space="preserve"> </w:t>
      </w:r>
      <w:r>
        <w:t xml:space="preserve">оказания </w:t>
      </w:r>
      <w:r w:rsidRPr="00966384">
        <w:t xml:space="preserve">взаимопомощи и защиты </w:t>
      </w:r>
      <w:r>
        <w:t>их</w:t>
      </w:r>
      <w:r w:rsidRPr="00966384">
        <w:t xml:space="preserve"> членов или для люб</w:t>
      </w:r>
      <w:r>
        <w:t>ых</w:t>
      </w:r>
      <w:r w:rsidRPr="00966384">
        <w:t xml:space="preserve"> друг</w:t>
      </w:r>
      <w:r>
        <w:t>их</w:t>
      </w:r>
      <w:r w:rsidRPr="00966384">
        <w:t xml:space="preserve"> законн</w:t>
      </w:r>
      <w:r>
        <w:t>ых</w:t>
      </w:r>
      <w:r w:rsidRPr="00966384">
        <w:t xml:space="preserve"> цел</w:t>
      </w:r>
      <w:r>
        <w:t>ей</w:t>
      </w:r>
      <w:r w:rsidRPr="00966384">
        <w:t xml:space="preserve"> кроме </w:t>
      </w:r>
      <w:r>
        <w:t xml:space="preserve">ведения коллективных </w:t>
      </w:r>
      <w:r w:rsidRPr="00966384">
        <w:t xml:space="preserve">переговоров. </w:t>
      </w:r>
      <w:r>
        <w:t xml:space="preserve"> </w:t>
      </w:r>
      <w:r w:rsidRPr="00966384">
        <w:t xml:space="preserve">Они </w:t>
      </w:r>
      <w:r>
        <w:t xml:space="preserve">создаются в основном </w:t>
      </w:r>
      <w:r w:rsidRPr="00966384">
        <w:t>в сельских районах и</w:t>
      </w:r>
      <w:r>
        <w:t>,</w:t>
      </w:r>
      <w:r w:rsidRPr="00966384">
        <w:t xml:space="preserve"> </w:t>
      </w:r>
      <w:r>
        <w:t>как правило,</w:t>
      </w:r>
      <w:r w:rsidRPr="00966384">
        <w:t xml:space="preserve"> функционир</w:t>
      </w:r>
      <w:r>
        <w:t>ую</w:t>
      </w:r>
      <w:r w:rsidRPr="00966384">
        <w:t xml:space="preserve">т </w:t>
      </w:r>
      <w:r>
        <w:t>в качестве механизма создания</w:t>
      </w:r>
      <w:r w:rsidRPr="00966384">
        <w:t xml:space="preserve"> возможностей </w:t>
      </w:r>
      <w:r>
        <w:t xml:space="preserve">для получения </w:t>
      </w:r>
      <w:r w:rsidRPr="00966384">
        <w:t>средств к существованию.</w:t>
      </w:r>
    </w:p>
    <w:p w:rsidR="00F651D6" w:rsidRPr="00966384" w:rsidRDefault="00F651D6" w:rsidP="00A25C5B">
      <w:pPr>
        <w:widowControl w:val="0"/>
        <w:tabs>
          <w:tab w:val="clear" w:pos="1134"/>
          <w:tab w:val="clear" w:pos="1701"/>
          <w:tab w:val="clear" w:pos="2268"/>
          <w:tab w:val="clear" w:pos="6237"/>
          <w:tab w:val="left" w:pos="360"/>
        </w:tabs>
        <w:autoSpaceDE w:val="0"/>
        <w:autoSpaceDN w:val="0"/>
        <w:adjustRightInd w:val="0"/>
      </w:pPr>
    </w:p>
    <w:p w:rsidR="00A25C5B" w:rsidRPr="00966384" w:rsidRDefault="00A25C5B" w:rsidP="00ED31C8">
      <w:pPr>
        <w:keepNext/>
        <w:widowControl w:val="0"/>
        <w:numPr>
          <w:ilvl w:val="12"/>
          <w:numId w:val="0"/>
        </w:numPr>
        <w:tabs>
          <w:tab w:val="clear" w:pos="1701"/>
          <w:tab w:val="left" w:pos="1496"/>
        </w:tabs>
        <w:autoSpaceDE w:val="0"/>
        <w:autoSpaceDN w:val="0"/>
        <w:adjustRightInd w:val="0"/>
        <w:rPr>
          <w:b/>
          <w:bCs/>
        </w:rPr>
      </w:pPr>
      <w:r w:rsidRPr="00966384">
        <w:rPr>
          <w:b/>
          <w:bCs/>
        </w:rPr>
        <w:t xml:space="preserve">Вопрос </w:t>
      </w:r>
      <w:r>
        <w:rPr>
          <w:b/>
          <w:bCs/>
        </w:rPr>
        <w:t>№</w:t>
      </w:r>
      <w:r w:rsidRPr="00966384">
        <w:rPr>
          <w:b/>
          <w:bCs/>
        </w:rPr>
        <w:t xml:space="preserve"> 3</w:t>
      </w:r>
      <w:r>
        <w:rPr>
          <w:b/>
          <w:bCs/>
        </w:rPr>
        <w:t>.</w:t>
      </w:r>
      <w:r>
        <w:rPr>
          <w:b/>
          <w:bCs/>
        </w:rPr>
        <w:tab/>
      </w:r>
      <w:r w:rsidRPr="00966384">
        <w:rPr>
          <w:b/>
          <w:bCs/>
        </w:rPr>
        <w:t xml:space="preserve">Право </w:t>
      </w:r>
      <w:r>
        <w:rPr>
          <w:b/>
          <w:bCs/>
        </w:rPr>
        <w:t>на забастовку</w:t>
      </w:r>
    </w:p>
    <w:p w:rsidR="00A25C5B" w:rsidRPr="0033276A" w:rsidRDefault="00A25C5B" w:rsidP="00A25C5B">
      <w:pPr>
        <w:widowControl w:val="0"/>
        <w:numPr>
          <w:ilvl w:val="12"/>
          <w:numId w:val="0"/>
        </w:numPr>
        <w:autoSpaceDE w:val="0"/>
        <w:autoSpaceDN w:val="0"/>
        <w:adjustRightInd w:val="0"/>
        <w:rPr>
          <w:sz w:val="20"/>
        </w:rPr>
      </w:pPr>
    </w:p>
    <w:p w:rsidR="00A25C5B" w:rsidRPr="00966384" w:rsidRDefault="00A25C5B" w:rsidP="00A25C5B">
      <w:pPr>
        <w:widowControl w:val="0"/>
        <w:tabs>
          <w:tab w:val="clear" w:pos="1134"/>
          <w:tab w:val="clear" w:pos="1701"/>
          <w:tab w:val="clear" w:pos="2268"/>
          <w:tab w:val="clear" w:pos="6237"/>
          <w:tab w:val="left" w:pos="360"/>
        </w:tabs>
        <w:autoSpaceDE w:val="0"/>
        <w:autoSpaceDN w:val="0"/>
        <w:adjustRightInd w:val="0"/>
      </w:pPr>
      <w:r>
        <w:t>285.</w:t>
      </w:r>
      <w:r>
        <w:tab/>
      </w:r>
      <w:r w:rsidRPr="00966384">
        <w:t xml:space="preserve">Право на забастовку всех служащих </w:t>
      </w:r>
      <w:r>
        <w:t>ч</w:t>
      </w:r>
      <w:r w:rsidRPr="00966384">
        <w:t>астно</w:t>
      </w:r>
      <w:r>
        <w:t>го сектора</w:t>
      </w:r>
      <w:r w:rsidRPr="00966384">
        <w:t xml:space="preserve"> </w:t>
      </w:r>
      <w:r>
        <w:t>предусмотрено Конституцией</w:t>
      </w:r>
      <w:r w:rsidRPr="00966384">
        <w:t xml:space="preserve"> и </w:t>
      </w:r>
      <w:r>
        <w:t>действующим законодательством</w:t>
      </w:r>
      <w:r>
        <w:rPr>
          <w:rStyle w:val="FootnoteReference"/>
        </w:rPr>
        <w:footnoteReference w:id="17"/>
      </w:r>
      <w:r w:rsidRPr="00966384">
        <w:t xml:space="preserve">. </w:t>
      </w:r>
    </w:p>
    <w:p w:rsidR="00A25C5B" w:rsidRPr="0033276A" w:rsidRDefault="00A25C5B" w:rsidP="00A25C5B">
      <w:pPr>
        <w:widowControl w:val="0"/>
        <w:numPr>
          <w:ilvl w:val="12"/>
          <w:numId w:val="0"/>
        </w:numPr>
        <w:autoSpaceDE w:val="0"/>
        <w:autoSpaceDN w:val="0"/>
        <w:adjustRightInd w:val="0"/>
        <w:rPr>
          <w:sz w:val="20"/>
        </w:rPr>
      </w:pPr>
    </w:p>
    <w:p w:rsidR="00A25C5B" w:rsidRDefault="00A25C5B" w:rsidP="00A25C5B">
      <w:pPr>
        <w:widowControl w:val="0"/>
        <w:numPr>
          <w:ilvl w:val="12"/>
          <w:numId w:val="0"/>
        </w:numPr>
        <w:autoSpaceDE w:val="0"/>
        <w:autoSpaceDN w:val="0"/>
        <w:adjustRightInd w:val="0"/>
        <w:rPr>
          <w:b/>
          <w:bCs/>
        </w:rPr>
      </w:pPr>
      <w:r>
        <w:rPr>
          <w:b/>
          <w:bCs/>
        </w:rPr>
        <w:t>3.a</w:t>
      </w:r>
      <w:r>
        <w:rPr>
          <w:b/>
          <w:bCs/>
        </w:rPr>
        <w:tab/>
        <w:t xml:space="preserve">Ограничения </w:t>
      </w:r>
      <w:r w:rsidRPr="00966384">
        <w:rPr>
          <w:b/>
          <w:bCs/>
        </w:rPr>
        <w:t>прав</w:t>
      </w:r>
      <w:r>
        <w:rPr>
          <w:b/>
          <w:bCs/>
        </w:rPr>
        <w:t>а</w:t>
      </w:r>
      <w:r w:rsidRPr="00966384">
        <w:rPr>
          <w:b/>
          <w:bCs/>
        </w:rPr>
        <w:t xml:space="preserve"> </w:t>
      </w:r>
      <w:r>
        <w:rPr>
          <w:b/>
          <w:bCs/>
        </w:rPr>
        <w:t xml:space="preserve">на забастовку </w:t>
      </w:r>
    </w:p>
    <w:p w:rsidR="00A25C5B" w:rsidRPr="0033276A" w:rsidRDefault="00A25C5B" w:rsidP="00A25C5B">
      <w:pPr>
        <w:widowControl w:val="0"/>
        <w:numPr>
          <w:ilvl w:val="12"/>
          <w:numId w:val="0"/>
        </w:numPr>
        <w:autoSpaceDE w:val="0"/>
        <w:autoSpaceDN w:val="0"/>
        <w:adjustRightInd w:val="0"/>
        <w:rPr>
          <w:sz w:val="20"/>
        </w:rPr>
      </w:pPr>
    </w:p>
    <w:p w:rsidR="00A25C5B" w:rsidRPr="00966384" w:rsidRDefault="00A25C5B" w:rsidP="00A25C5B">
      <w:pPr>
        <w:widowControl w:val="0"/>
        <w:numPr>
          <w:ilvl w:val="12"/>
          <w:numId w:val="0"/>
        </w:numPr>
        <w:autoSpaceDE w:val="0"/>
        <w:autoSpaceDN w:val="0"/>
        <w:adjustRightInd w:val="0"/>
      </w:pPr>
      <w:r>
        <w:rPr>
          <w:b/>
          <w:bCs/>
        </w:rPr>
        <w:t>Процедурные о</w:t>
      </w:r>
      <w:r w:rsidRPr="00966384">
        <w:rPr>
          <w:b/>
          <w:bCs/>
        </w:rPr>
        <w:t>граничения</w:t>
      </w:r>
    </w:p>
    <w:p w:rsidR="00A25C5B" w:rsidRPr="0033276A" w:rsidRDefault="00A25C5B" w:rsidP="0033276A">
      <w:pPr>
        <w:widowControl w:val="0"/>
        <w:numPr>
          <w:ilvl w:val="12"/>
          <w:numId w:val="0"/>
        </w:numPr>
        <w:autoSpaceDE w:val="0"/>
        <w:autoSpaceDN w:val="0"/>
        <w:adjustRightInd w:val="0"/>
        <w:rPr>
          <w:sz w:val="20"/>
        </w:rPr>
      </w:pPr>
    </w:p>
    <w:p w:rsidR="00A25C5B" w:rsidRPr="00966384" w:rsidRDefault="00A25C5B" w:rsidP="00A25C5B">
      <w:pPr>
        <w:widowControl w:val="0"/>
        <w:tabs>
          <w:tab w:val="clear" w:pos="1134"/>
          <w:tab w:val="clear" w:pos="1701"/>
          <w:tab w:val="clear" w:pos="2268"/>
          <w:tab w:val="clear" w:pos="6237"/>
          <w:tab w:val="left" w:pos="360"/>
        </w:tabs>
        <w:autoSpaceDE w:val="0"/>
        <w:autoSpaceDN w:val="0"/>
        <w:adjustRightInd w:val="0"/>
      </w:pPr>
      <w:r>
        <w:t>286.</w:t>
      </w:r>
      <w:r>
        <w:tab/>
      </w:r>
      <w:r w:rsidRPr="00966384">
        <w:t>Филиппински</w:t>
      </w:r>
      <w:r>
        <w:t>й законодательный</w:t>
      </w:r>
      <w:r w:rsidRPr="00966384">
        <w:t xml:space="preserve"> орган</w:t>
      </w:r>
      <w:r>
        <w:t xml:space="preserve"> узаконил введение</w:t>
      </w:r>
      <w:r w:rsidRPr="00966384">
        <w:t xml:space="preserve"> </w:t>
      </w:r>
      <w:r>
        <w:t>определенных</w:t>
      </w:r>
      <w:r w:rsidRPr="00966384">
        <w:t xml:space="preserve"> процедурных требований </w:t>
      </w:r>
      <w:r>
        <w:t>в отношении</w:t>
      </w:r>
      <w:r w:rsidRPr="00966384">
        <w:t xml:space="preserve"> права </w:t>
      </w:r>
      <w:r>
        <w:t xml:space="preserve">на забастовку </w:t>
      </w:r>
      <w:r w:rsidRPr="00966384">
        <w:t xml:space="preserve">в Трудовом </w:t>
      </w:r>
      <w:r>
        <w:t>к</w:t>
      </w:r>
      <w:r w:rsidRPr="00966384">
        <w:t xml:space="preserve">одексе. </w:t>
      </w:r>
      <w:r>
        <w:t xml:space="preserve"> К их числу</w:t>
      </w:r>
      <w:r w:rsidRPr="00966384">
        <w:t xml:space="preserve"> </w:t>
      </w:r>
      <w:r>
        <w:t>относятся</w:t>
      </w:r>
      <w:r w:rsidRPr="00966384">
        <w:t xml:space="preserve"> : </w:t>
      </w:r>
      <w:r>
        <w:t xml:space="preserve"> </w:t>
      </w:r>
      <w:r w:rsidRPr="00966384">
        <w:t xml:space="preserve">a) </w:t>
      </w:r>
      <w:r>
        <w:t xml:space="preserve"> направление </w:t>
      </w:r>
      <w:r w:rsidRPr="00966384">
        <w:t>уведомлени</w:t>
      </w:r>
      <w:r>
        <w:t>я</w:t>
      </w:r>
      <w:r w:rsidRPr="00966384">
        <w:t xml:space="preserve"> о </w:t>
      </w:r>
      <w:r>
        <w:t xml:space="preserve">проведении </w:t>
      </w:r>
      <w:r w:rsidRPr="00966384">
        <w:t>забастовк</w:t>
      </w:r>
      <w:r>
        <w:t>и</w:t>
      </w:r>
      <w:r w:rsidRPr="00966384">
        <w:t xml:space="preserve"> Национальн</w:t>
      </w:r>
      <w:r>
        <w:t>о</w:t>
      </w:r>
      <w:r w:rsidRPr="00966384">
        <w:t>м</w:t>
      </w:r>
      <w:r>
        <w:t>у совету по</w:t>
      </w:r>
      <w:r w:rsidRPr="00966384">
        <w:t xml:space="preserve"> примирени</w:t>
      </w:r>
      <w:r>
        <w:t>ю и</w:t>
      </w:r>
      <w:r w:rsidRPr="00966384">
        <w:t xml:space="preserve"> </w:t>
      </w:r>
      <w:r>
        <w:t>п</w:t>
      </w:r>
      <w:r w:rsidRPr="00966384">
        <w:t>осредничеств</w:t>
      </w:r>
      <w:r>
        <w:t>у</w:t>
      </w:r>
      <w:r w:rsidRPr="00966384">
        <w:t xml:space="preserve"> (</w:t>
      </w:r>
      <w:r>
        <w:t>НСПП</w:t>
      </w:r>
      <w:r w:rsidRPr="00966384">
        <w:t xml:space="preserve">); </w:t>
      </w:r>
      <w:r>
        <w:t xml:space="preserve"> </w:t>
      </w:r>
      <w:r w:rsidRPr="00966384">
        <w:t xml:space="preserve">b) </w:t>
      </w:r>
      <w:r>
        <w:t xml:space="preserve"> </w:t>
      </w:r>
      <w:r w:rsidRPr="00966384">
        <w:t xml:space="preserve">соблюдение </w:t>
      </w:r>
      <w:r>
        <w:t>периода "</w:t>
      </w:r>
      <w:r w:rsidRPr="00966384">
        <w:t xml:space="preserve">охлаждения </w:t>
      </w:r>
      <w:r>
        <w:t xml:space="preserve">страстей" начиная с </w:t>
      </w:r>
      <w:r w:rsidRPr="00966384">
        <w:t xml:space="preserve">даты </w:t>
      </w:r>
      <w:r>
        <w:t>подачи</w:t>
      </w:r>
      <w:r w:rsidRPr="00966384">
        <w:t xml:space="preserve"> уведомления; </w:t>
      </w:r>
      <w:r>
        <w:t xml:space="preserve"> </w:t>
      </w:r>
      <w:r w:rsidRPr="00966384">
        <w:t xml:space="preserve">c) </w:t>
      </w:r>
      <w:r>
        <w:t xml:space="preserve"> проведение </w:t>
      </w:r>
      <w:r w:rsidRPr="00966384">
        <w:t>член</w:t>
      </w:r>
      <w:r>
        <w:t>ами</w:t>
      </w:r>
      <w:r w:rsidRPr="00966384">
        <w:t xml:space="preserve"> профсоюза</w:t>
      </w:r>
      <w:r>
        <w:t xml:space="preserve"> голосования по вопросу</w:t>
      </w:r>
      <w:r w:rsidRPr="00966384">
        <w:t xml:space="preserve"> </w:t>
      </w:r>
      <w:r>
        <w:t>о забастовке</w:t>
      </w:r>
      <w:r w:rsidRPr="00966384">
        <w:t xml:space="preserve"> и представл</w:t>
      </w:r>
      <w:r>
        <w:t>ение его результатов</w:t>
      </w:r>
      <w:r w:rsidRPr="00966384">
        <w:t xml:space="preserve"> </w:t>
      </w:r>
      <w:r>
        <w:t>НСПП</w:t>
      </w:r>
      <w:r w:rsidRPr="00966384">
        <w:t xml:space="preserve">; </w:t>
      </w:r>
      <w:r>
        <w:t xml:space="preserve"> </w:t>
      </w:r>
      <w:r w:rsidRPr="00966384">
        <w:t xml:space="preserve">и </w:t>
      </w:r>
      <w:r>
        <w:t xml:space="preserve"> </w:t>
      </w:r>
      <w:r w:rsidRPr="00966384">
        <w:t>d)</w:t>
      </w:r>
      <w:r>
        <w:t>  </w:t>
      </w:r>
      <w:r w:rsidRPr="00966384">
        <w:t xml:space="preserve">соблюдение </w:t>
      </w:r>
      <w:r>
        <w:t xml:space="preserve">запрета на проведение </w:t>
      </w:r>
      <w:r w:rsidRPr="00966384">
        <w:t>забастовки</w:t>
      </w:r>
      <w:r>
        <w:t xml:space="preserve"> в течение семи дней</w:t>
      </w:r>
      <w:r w:rsidRPr="00966384">
        <w:t xml:space="preserve"> </w:t>
      </w:r>
      <w:r>
        <w:t xml:space="preserve">с </w:t>
      </w:r>
      <w:r w:rsidRPr="00966384">
        <w:t xml:space="preserve">даты </w:t>
      </w:r>
      <w:r>
        <w:t xml:space="preserve">представления </w:t>
      </w:r>
      <w:r w:rsidRPr="00966384">
        <w:t>результат</w:t>
      </w:r>
      <w:r>
        <w:t>ов голосования</w:t>
      </w:r>
      <w:r w:rsidRPr="00966384">
        <w:t xml:space="preserve"> </w:t>
      </w:r>
      <w:r>
        <w:t xml:space="preserve">о проведении </w:t>
      </w:r>
      <w:r w:rsidRPr="00966384">
        <w:t>забастовк</w:t>
      </w:r>
      <w:r>
        <w:t>и</w:t>
      </w:r>
      <w:r w:rsidRPr="00966384">
        <w:t>.</w:t>
      </w:r>
    </w:p>
    <w:p w:rsidR="00A25C5B" w:rsidRPr="0033276A" w:rsidRDefault="00A25C5B" w:rsidP="00A25C5B">
      <w:pPr>
        <w:widowControl w:val="0"/>
        <w:numPr>
          <w:ilvl w:val="12"/>
          <w:numId w:val="0"/>
        </w:numPr>
        <w:autoSpaceDE w:val="0"/>
        <w:autoSpaceDN w:val="0"/>
        <w:adjustRightInd w:val="0"/>
        <w:rPr>
          <w:sz w:val="20"/>
        </w:rPr>
      </w:pPr>
    </w:p>
    <w:p w:rsidR="00A25C5B" w:rsidRPr="00966384" w:rsidRDefault="00A25C5B" w:rsidP="00A25C5B">
      <w:pPr>
        <w:widowControl w:val="0"/>
        <w:tabs>
          <w:tab w:val="clear" w:pos="1134"/>
          <w:tab w:val="clear" w:pos="1701"/>
          <w:tab w:val="clear" w:pos="2268"/>
          <w:tab w:val="clear" w:pos="6237"/>
          <w:tab w:val="left" w:pos="360"/>
        </w:tabs>
        <w:autoSpaceDE w:val="0"/>
        <w:autoSpaceDN w:val="0"/>
        <w:adjustRightInd w:val="0"/>
      </w:pPr>
      <w:r>
        <w:t>287.</w:t>
      </w:r>
      <w:r>
        <w:tab/>
      </w:r>
      <w:r w:rsidRPr="00966384">
        <w:t xml:space="preserve">Цель </w:t>
      </w:r>
      <w:r>
        <w:t>периода "</w:t>
      </w:r>
      <w:r w:rsidRPr="00966384">
        <w:t xml:space="preserve">охлаждения </w:t>
      </w:r>
      <w:r>
        <w:t>страстей"</w:t>
      </w:r>
      <w:r w:rsidRPr="00966384">
        <w:t xml:space="preserve"> состоит в том, чтобы позволить </w:t>
      </w:r>
      <w:r>
        <w:t xml:space="preserve">МТЗ </w:t>
      </w:r>
      <w:r w:rsidRPr="00966384">
        <w:t>пров</w:t>
      </w:r>
      <w:r>
        <w:t>ести</w:t>
      </w:r>
      <w:r w:rsidRPr="00966384">
        <w:t xml:space="preserve"> </w:t>
      </w:r>
      <w:r>
        <w:t>через НСПП встречи в интересах обеспечения посредничества и при</w:t>
      </w:r>
      <w:r w:rsidRPr="00966384">
        <w:t>мирени</w:t>
      </w:r>
      <w:r>
        <w:t>я сторон. З</w:t>
      </w:r>
      <w:r w:rsidRPr="00966384">
        <w:t>апре</w:t>
      </w:r>
      <w:r>
        <w:t>т</w:t>
      </w:r>
      <w:r w:rsidRPr="00966384">
        <w:t xml:space="preserve"> </w:t>
      </w:r>
      <w:r>
        <w:t xml:space="preserve">на проведение </w:t>
      </w:r>
      <w:r w:rsidRPr="00966384">
        <w:t>забастовки</w:t>
      </w:r>
      <w:r>
        <w:t xml:space="preserve"> в течение семи дней</w:t>
      </w:r>
      <w:r w:rsidRPr="00966384">
        <w:t xml:space="preserve">, с другой стороны, </w:t>
      </w:r>
      <w:r>
        <w:t>дает</w:t>
      </w:r>
      <w:r w:rsidRPr="00966384">
        <w:t xml:space="preserve"> </w:t>
      </w:r>
      <w:r>
        <w:t>МТЗ</w:t>
      </w:r>
      <w:r w:rsidRPr="00966384">
        <w:t xml:space="preserve"> возможность у</w:t>
      </w:r>
      <w:r>
        <w:t xml:space="preserve">достовериться в том, что голосование по проведению </w:t>
      </w:r>
      <w:r w:rsidRPr="00966384">
        <w:t>забастовки</w:t>
      </w:r>
      <w:r>
        <w:t xml:space="preserve"> было проведено спокойно и честно</w:t>
      </w:r>
      <w:r w:rsidRPr="00966384">
        <w:t>.</w:t>
      </w:r>
      <w:r>
        <w:t xml:space="preserve"> </w:t>
      </w:r>
    </w:p>
    <w:p w:rsidR="00A25C5B" w:rsidRPr="0033276A" w:rsidRDefault="00A25C5B" w:rsidP="00A25C5B">
      <w:pPr>
        <w:widowControl w:val="0"/>
        <w:numPr>
          <w:ilvl w:val="12"/>
          <w:numId w:val="0"/>
        </w:numPr>
        <w:autoSpaceDE w:val="0"/>
        <w:autoSpaceDN w:val="0"/>
        <w:adjustRightInd w:val="0"/>
        <w:rPr>
          <w:sz w:val="20"/>
        </w:rPr>
      </w:pPr>
    </w:p>
    <w:p w:rsidR="00A25C5B" w:rsidRDefault="00A25C5B" w:rsidP="00A25C5B">
      <w:pPr>
        <w:widowControl w:val="0"/>
        <w:tabs>
          <w:tab w:val="clear" w:pos="1134"/>
          <w:tab w:val="clear" w:pos="1701"/>
          <w:tab w:val="clear" w:pos="2268"/>
          <w:tab w:val="clear" w:pos="6237"/>
          <w:tab w:val="left" w:pos="360"/>
        </w:tabs>
        <w:autoSpaceDE w:val="0"/>
        <w:autoSpaceDN w:val="0"/>
        <w:adjustRightInd w:val="0"/>
      </w:pPr>
      <w:r>
        <w:t>288.</w:t>
      </w:r>
      <w:r>
        <w:tab/>
        <w:t xml:space="preserve">В случае </w:t>
      </w:r>
      <w:r w:rsidRPr="00966384">
        <w:t xml:space="preserve">несоблюдения любого из </w:t>
      </w:r>
      <w:r>
        <w:t xml:space="preserve">этих </w:t>
      </w:r>
      <w:r w:rsidRPr="00966384">
        <w:t>процедурных требований</w:t>
      </w:r>
      <w:r>
        <w:t xml:space="preserve"> Верховный суд, считающий эти требования разумными и минимальными ограничениями права на забастовку, объявляет</w:t>
      </w:r>
      <w:r w:rsidRPr="00966384">
        <w:t xml:space="preserve"> </w:t>
      </w:r>
      <w:r>
        <w:t>такую забастовку не</w:t>
      </w:r>
      <w:r w:rsidRPr="00966384">
        <w:t>законн</w:t>
      </w:r>
      <w:r>
        <w:t>ой</w:t>
      </w:r>
      <w:r w:rsidRPr="00966384">
        <w:t>.</w:t>
      </w:r>
    </w:p>
    <w:p w:rsidR="00A25C5B" w:rsidRPr="0033276A" w:rsidRDefault="00A25C5B" w:rsidP="0033276A">
      <w:pPr>
        <w:widowControl w:val="0"/>
        <w:numPr>
          <w:ilvl w:val="12"/>
          <w:numId w:val="0"/>
        </w:numPr>
        <w:autoSpaceDE w:val="0"/>
        <w:autoSpaceDN w:val="0"/>
        <w:adjustRightInd w:val="0"/>
        <w:rPr>
          <w:sz w:val="20"/>
        </w:rPr>
      </w:pPr>
    </w:p>
    <w:p w:rsidR="00A25C5B" w:rsidRPr="00966384" w:rsidRDefault="00A25C5B" w:rsidP="00A25C5B">
      <w:pPr>
        <w:widowControl w:val="0"/>
        <w:numPr>
          <w:ilvl w:val="12"/>
          <w:numId w:val="0"/>
        </w:numPr>
        <w:autoSpaceDE w:val="0"/>
        <w:autoSpaceDN w:val="0"/>
        <w:adjustRightInd w:val="0"/>
        <w:rPr>
          <w:i/>
          <w:iCs/>
          <w:u w:val="single"/>
        </w:rPr>
      </w:pPr>
      <w:r>
        <w:rPr>
          <w:b/>
          <w:bCs/>
        </w:rPr>
        <w:t>Временны</w:t>
      </w:r>
      <w:r>
        <w:rPr>
          <w:rFonts w:ascii="Tahoma" w:hAnsi="Tahoma" w:cs="Tahoma"/>
          <w:b/>
          <w:bCs/>
        </w:rPr>
        <w:t></w:t>
      </w:r>
      <w:r>
        <w:rPr>
          <w:b/>
          <w:bCs/>
        </w:rPr>
        <w:t>е о</w:t>
      </w:r>
      <w:r w:rsidRPr="00966384">
        <w:rPr>
          <w:b/>
          <w:bCs/>
        </w:rPr>
        <w:t>граничения</w:t>
      </w:r>
    </w:p>
    <w:p w:rsidR="00A25C5B" w:rsidRPr="0033276A" w:rsidRDefault="00A25C5B" w:rsidP="00A25C5B">
      <w:pPr>
        <w:widowControl w:val="0"/>
        <w:numPr>
          <w:ilvl w:val="12"/>
          <w:numId w:val="0"/>
        </w:numPr>
        <w:autoSpaceDE w:val="0"/>
        <w:autoSpaceDN w:val="0"/>
        <w:adjustRightInd w:val="0"/>
        <w:rPr>
          <w:sz w:val="20"/>
        </w:rPr>
      </w:pPr>
    </w:p>
    <w:p w:rsidR="00A25C5B" w:rsidRPr="00966384" w:rsidRDefault="00A25C5B" w:rsidP="00A25C5B">
      <w:pPr>
        <w:widowControl w:val="0"/>
        <w:tabs>
          <w:tab w:val="clear" w:pos="1134"/>
          <w:tab w:val="clear" w:pos="1701"/>
          <w:tab w:val="clear" w:pos="2268"/>
          <w:tab w:val="clear" w:pos="6237"/>
          <w:tab w:val="left" w:pos="360"/>
        </w:tabs>
        <w:autoSpaceDE w:val="0"/>
        <w:autoSpaceDN w:val="0"/>
        <w:adjustRightInd w:val="0"/>
      </w:pPr>
      <w:r>
        <w:t>289.</w:t>
      </w:r>
      <w:r>
        <w:tab/>
        <w:t xml:space="preserve">Существуют </w:t>
      </w:r>
      <w:r w:rsidRPr="00966384">
        <w:t>временны</w:t>
      </w:r>
      <w:r>
        <w:rPr>
          <w:rFonts w:ascii="Tahoma" w:hAnsi="Tahoma" w:cs="Tahoma"/>
        </w:rPr>
        <w:t></w:t>
      </w:r>
      <w:r w:rsidRPr="00966384">
        <w:t>е ограничения</w:t>
      </w:r>
      <w:r>
        <w:t>, касающиеся запрета на проведение</w:t>
      </w:r>
      <w:r w:rsidRPr="00966384">
        <w:t xml:space="preserve"> забастовки </w:t>
      </w:r>
      <w:r>
        <w:t xml:space="preserve">на протяжении процедуры </w:t>
      </w:r>
      <w:r w:rsidRPr="00966384">
        <w:t>примирения и арбитраж</w:t>
      </w:r>
      <w:r>
        <w:t>а</w:t>
      </w:r>
      <w:r w:rsidRPr="00966384">
        <w:t>.</w:t>
      </w:r>
      <w:r>
        <w:t xml:space="preserve"> </w:t>
      </w:r>
      <w:r w:rsidRPr="00966384">
        <w:t xml:space="preserve"> </w:t>
      </w:r>
      <w:r>
        <w:t>В статье</w:t>
      </w:r>
      <w:r w:rsidRPr="00966384">
        <w:t xml:space="preserve"> 264 a) </w:t>
      </w:r>
      <w:r>
        <w:t>указывается</w:t>
      </w:r>
      <w:r w:rsidRPr="00966384">
        <w:t xml:space="preserve">, что </w:t>
      </w:r>
      <w:r>
        <w:t>"</w:t>
      </w:r>
      <w:r w:rsidRPr="00966384">
        <w:t>забастовк</w:t>
      </w:r>
      <w:r>
        <w:t xml:space="preserve">а </w:t>
      </w:r>
      <w:r w:rsidRPr="00966384">
        <w:t xml:space="preserve">или локаут… </w:t>
      </w:r>
      <w:r>
        <w:t xml:space="preserve">не могут быть объявлены после представления спора в обязательный или добровольный арбитраж или в период рассмотрения дела по тем же основаниям для объявления </w:t>
      </w:r>
      <w:r w:rsidRPr="00966384">
        <w:t>забастовки или локаута</w:t>
      </w:r>
      <w:r>
        <w:t>"</w:t>
      </w:r>
      <w:r w:rsidRPr="00966384">
        <w:t>.</w:t>
      </w:r>
    </w:p>
    <w:p w:rsidR="00A25C5B" w:rsidRPr="00966384" w:rsidRDefault="00A25C5B" w:rsidP="00A25C5B">
      <w:pPr>
        <w:widowControl w:val="0"/>
        <w:tabs>
          <w:tab w:val="clear" w:pos="1134"/>
          <w:tab w:val="clear" w:pos="1701"/>
          <w:tab w:val="clear" w:pos="2268"/>
          <w:tab w:val="clear" w:pos="6237"/>
          <w:tab w:val="left" w:pos="360"/>
        </w:tabs>
        <w:autoSpaceDE w:val="0"/>
        <w:autoSpaceDN w:val="0"/>
        <w:adjustRightInd w:val="0"/>
      </w:pPr>
      <w:r>
        <w:t>290.</w:t>
      </w:r>
      <w:r>
        <w:tab/>
        <w:t xml:space="preserve">Кроме того, </w:t>
      </w:r>
      <w:r w:rsidRPr="00966384">
        <w:t>широко</w:t>
      </w:r>
      <w:r>
        <w:t>е</w:t>
      </w:r>
      <w:r w:rsidRPr="00966384">
        <w:t xml:space="preserve"> </w:t>
      </w:r>
      <w:r>
        <w:t xml:space="preserve">распространение и </w:t>
      </w:r>
      <w:r w:rsidRPr="00966384">
        <w:t>поддерж</w:t>
      </w:r>
      <w:r>
        <w:t>ку</w:t>
      </w:r>
      <w:r w:rsidRPr="00966384">
        <w:t xml:space="preserve"> Верховн</w:t>
      </w:r>
      <w:r>
        <w:t>ого</w:t>
      </w:r>
      <w:r w:rsidRPr="00966384">
        <w:t xml:space="preserve"> </w:t>
      </w:r>
      <w:r>
        <w:t>с</w:t>
      </w:r>
      <w:r w:rsidRPr="00966384">
        <w:t>уд</w:t>
      </w:r>
      <w:r>
        <w:t>а</w:t>
      </w:r>
      <w:r w:rsidRPr="00966384">
        <w:t xml:space="preserve"> </w:t>
      </w:r>
      <w:r>
        <w:t>получила практика включения в коллективные договора пункта "об отказе от проведения</w:t>
      </w:r>
      <w:r w:rsidRPr="00966384">
        <w:t xml:space="preserve"> </w:t>
      </w:r>
      <w:r>
        <w:t xml:space="preserve">любых </w:t>
      </w:r>
      <w:r w:rsidRPr="00966384">
        <w:t>забастов</w:t>
      </w:r>
      <w:r>
        <w:t>о</w:t>
      </w:r>
      <w:r w:rsidRPr="00966384">
        <w:t xml:space="preserve">к </w:t>
      </w:r>
      <w:r>
        <w:t xml:space="preserve">или </w:t>
      </w:r>
      <w:r w:rsidRPr="00966384">
        <w:t>лок</w:t>
      </w:r>
      <w:r>
        <w:t>аутов"</w:t>
      </w:r>
      <w:r w:rsidRPr="00966384">
        <w:t xml:space="preserve">. </w:t>
      </w:r>
      <w:r>
        <w:t xml:space="preserve"> Однако такой зафиксированный в договоре</w:t>
      </w:r>
      <w:r w:rsidRPr="00966384">
        <w:t xml:space="preserve"> </w:t>
      </w:r>
      <w:r>
        <w:t>отказ</w:t>
      </w:r>
      <w:r w:rsidRPr="00966384">
        <w:t xml:space="preserve"> </w:t>
      </w:r>
      <w:r>
        <w:t xml:space="preserve">не может воспрепятствовать проведению </w:t>
      </w:r>
      <w:r w:rsidRPr="00966384">
        <w:t>забастовк</w:t>
      </w:r>
      <w:r>
        <w:t>и</w:t>
      </w:r>
      <w:r w:rsidRPr="00966384">
        <w:t xml:space="preserve">, </w:t>
      </w:r>
      <w:r>
        <w:t>спровоцированной несправедливой трудовой практикой</w:t>
      </w:r>
      <w:r w:rsidRPr="00966384">
        <w:t>.</w:t>
      </w:r>
    </w:p>
    <w:p w:rsidR="00A25C5B" w:rsidRPr="00966384" w:rsidRDefault="00A25C5B" w:rsidP="00A25C5B">
      <w:pPr>
        <w:widowControl w:val="0"/>
        <w:numPr>
          <w:ilvl w:val="12"/>
          <w:numId w:val="0"/>
        </w:numPr>
        <w:autoSpaceDE w:val="0"/>
        <w:autoSpaceDN w:val="0"/>
        <w:adjustRightInd w:val="0"/>
      </w:pPr>
    </w:p>
    <w:p w:rsidR="00A25C5B" w:rsidRPr="00966384" w:rsidRDefault="00A25C5B" w:rsidP="00A25C5B">
      <w:pPr>
        <w:widowControl w:val="0"/>
        <w:tabs>
          <w:tab w:val="clear" w:pos="1134"/>
          <w:tab w:val="clear" w:pos="1701"/>
          <w:tab w:val="clear" w:pos="2268"/>
          <w:tab w:val="clear" w:pos="6237"/>
          <w:tab w:val="left" w:pos="360"/>
        </w:tabs>
        <w:autoSpaceDE w:val="0"/>
        <w:autoSpaceDN w:val="0"/>
        <w:adjustRightInd w:val="0"/>
      </w:pPr>
      <w:r>
        <w:t>291.</w:t>
      </w:r>
      <w:r>
        <w:tab/>
      </w:r>
      <w:r w:rsidRPr="00966384">
        <w:t xml:space="preserve">Как </w:t>
      </w:r>
      <w:r>
        <w:t xml:space="preserve">было </w:t>
      </w:r>
      <w:r w:rsidRPr="00966384">
        <w:t>упомянуто</w:t>
      </w:r>
      <w:r>
        <w:t xml:space="preserve"> выше</w:t>
      </w:r>
      <w:r w:rsidRPr="00966384">
        <w:t xml:space="preserve">, в течение </w:t>
      </w:r>
      <w:r>
        <w:t>периода "</w:t>
      </w:r>
      <w:r w:rsidRPr="00966384">
        <w:t xml:space="preserve">охлаждения </w:t>
      </w:r>
      <w:r>
        <w:t xml:space="preserve">страстей" </w:t>
      </w:r>
      <w:r w:rsidRPr="00966384">
        <w:t xml:space="preserve">и </w:t>
      </w:r>
      <w:r>
        <w:t xml:space="preserve">периода действия </w:t>
      </w:r>
      <w:r w:rsidRPr="00966384">
        <w:t>семидневного запре</w:t>
      </w:r>
      <w:r>
        <w:t>та</w:t>
      </w:r>
      <w:r w:rsidRPr="00966384">
        <w:t xml:space="preserve"> </w:t>
      </w:r>
      <w:r>
        <w:t>забастовки, как правило, не проводятся</w:t>
      </w:r>
      <w:r w:rsidRPr="00966384">
        <w:t>.</w:t>
      </w:r>
    </w:p>
    <w:p w:rsidR="00A25C5B" w:rsidRPr="00966384" w:rsidRDefault="00A25C5B" w:rsidP="00A25C5B">
      <w:pPr>
        <w:widowControl w:val="0"/>
        <w:tabs>
          <w:tab w:val="left" w:pos="720"/>
        </w:tabs>
        <w:suppressAutoHyphens/>
        <w:autoSpaceDE w:val="0"/>
        <w:autoSpaceDN w:val="0"/>
        <w:adjustRightInd w:val="0"/>
        <w:ind w:left="720" w:right="720" w:hanging="720"/>
      </w:pPr>
    </w:p>
    <w:p w:rsidR="00A25C5B" w:rsidRPr="00F06B07" w:rsidRDefault="00A25C5B" w:rsidP="00A25C5B">
      <w:pPr>
        <w:widowControl w:val="0"/>
        <w:tabs>
          <w:tab w:val="left" w:pos="720"/>
        </w:tabs>
        <w:suppressAutoHyphens/>
        <w:autoSpaceDE w:val="0"/>
        <w:autoSpaceDN w:val="0"/>
        <w:adjustRightInd w:val="0"/>
        <w:ind w:right="720"/>
        <w:rPr>
          <w:b/>
          <w:bCs/>
          <w:u w:val="single"/>
        </w:rPr>
      </w:pPr>
      <w:r w:rsidRPr="00F06B07">
        <w:rPr>
          <w:b/>
          <w:bCs/>
        </w:rPr>
        <w:t>Случаи, касающиеся национальных интересов</w:t>
      </w:r>
    </w:p>
    <w:p w:rsidR="00A25C5B" w:rsidRPr="00F06B07" w:rsidRDefault="00A25C5B" w:rsidP="00A25C5B">
      <w:pPr>
        <w:widowControl w:val="0"/>
        <w:tabs>
          <w:tab w:val="left" w:pos="720"/>
        </w:tabs>
        <w:suppressAutoHyphens/>
        <w:autoSpaceDE w:val="0"/>
        <w:autoSpaceDN w:val="0"/>
        <w:adjustRightInd w:val="0"/>
        <w:ind w:left="720" w:right="720" w:hanging="720"/>
        <w:rPr>
          <w:bCs/>
        </w:rPr>
      </w:pPr>
    </w:p>
    <w:p w:rsidR="00A25C5B" w:rsidRPr="00F06B07" w:rsidRDefault="00A25C5B" w:rsidP="00A25C5B">
      <w:pPr>
        <w:widowControl w:val="0"/>
        <w:autoSpaceDE w:val="0"/>
        <w:autoSpaceDN w:val="0"/>
        <w:adjustRightInd w:val="0"/>
        <w:rPr>
          <w:bCs/>
        </w:rPr>
      </w:pPr>
      <w:r>
        <w:rPr>
          <w:bCs/>
        </w:rPr>
        <w:t>292.</w:t>
      </w:r>
      <w:r>
        <w:rPr>
          <w:bCs/>
        </w:rPr>
        <w:tab/>
      </w:r>
      <w:r w:rsidRPr="00F06B07">
        <w:rPr>
          <w:bCs/>
        </w:rPr>
        <w:t>В соответствии с</w:t>
      </w:r>
      <w:r>
        <w:rPr>
          <w:bCs/>
        </w:rPr>
        <w:t>о</w:t>
      </w:r>
      <w:r w:rsidRPr="00F06B07">
        <w:rPr>
          <w:bCs/>
        </w:rPr>
        <w:t xml:space="preserve"> </w:t>
      </w:r>
      <w:r>
        <w:rPr>
          <w:bCs/>
        </w:rPr>
        <w:t>с</w:t>
      </w:r>
      <w:r w:rsidRPr="00F06B07">
        <w:rPr>
          <w:bCs/>
        </w:rPr>
        <w:t>т</w:t>
      </w:r>
      <w:r>
        <w:rPr>
          <w:bCs/>
        </w:rPr>
        <w:t>атьей</w:t>
      </w:r>
      <w:r w:rsidRPr="00F06B07">
        <w:rPr>
          <w:bCs/>
        </w:rPr>
        <w:t xml:space="preserve"> 263 g) Трудового </w:t>
      </w:r>
      <w:r>
        <w:rPr>
          <w:bCs/>
        </w:rPr>
        <w:t>к</w:t>
      </w:r>
      <w:r w:rsidRPr="00F06B07">
        <w:rPr>
          <w:bCs/>
        </w:rPr>
        <w:t xml:space="preserve">одекса </w:t>
      </w:r>
      <w:r>
        <w:rPr>
          <w:bCs/>
        </w:rPr>
        <w:t>м</w:t>
      </w:r>
      <w:r w:rsidRPr="00F06B07">
        <w:rPr>
          <w:bCs/>
        </w:rPr>
        <w:t xml:space="preserve">инистр труда и </w:t>
      </w:r>
      <w:r>
        <w:rPr>
          <w:bCs/>
        </w:rPr>
        <w:t>занятости может</w:t>
      </w:r>
      <w:r w:rsidRPr="00F06B07">
        <w:rPr>
          <w:bCs/>
        </w:rPr>
        <w:t xml:space="preserve"> </w:t>
      </w:r>
      <w:r>
        <w:rPr>
          <w:bCs/>
        </w:rPr>
        <w:t>брать на себя полномочия по</w:t>
      </w:r>
      <w:r w:rsidRPr="00F06B07">
        <w:rPr>
          <w:bCs/>
        </w:rPr>
        <w:t xml:space="preserve"> </w:t>
      </w:r>
      <w:r>
        <w:rPr>
          <w:bCs/>
        </w:rPr>
        <w:t xml:space="preserve">урегулированию </w:t>
      </w:r>
      <w:r w:rsidRPr="00F06B07">
        <w:rPr>
          <w:bCs/>
        </w:rPr>
        <w:t>трудово</w:t>
      </w:r>
      <w:r>
        <w:rPr>
          <w:bCs/>
        </w:rPr>
        <w:t>го</w:t>
      </w:r>
      <w:r w:rsidRPr="00F06B07">
        <w:rPr>
          <w:bCs/>
        </w:rPr>
        <w:t xml:space="preserve"> спор</w:t>
      </w:r>
      <w:r>
        <w:rPr>
          <w:bCs/>
        </w:rPr>
        <w:t>а</w:t>
      </w:r>
      <w:r w:rsidRPr="00F06B07">
        <w:rPr>
          <w:bCs/>
        </w:rPr>
        <w:t xml:space="preserve"> или </w:t>
      </w:r>
      <w:r>
        <w:rPr>
          <w:bCs/>
        </w:rPr>
        <w:t xml:space="preserve">требовать проведения обязательного </w:t>
      </w:r>
      <w:r w:rsidRPr="00F06B07">
        <w:rPr>
          <w:bCs/>
        </w:rPr>
        <w:t>арбитраж</w:t>
      </w:r>
      <w:r>
        <w:rPr>
          <w:bCs/>
        </w:rPr>
        <w:t>ного разбирательства</w:t>
      </w:r>
      <w:r w:rsidRPr="00F06B07">
        <w:rPr>
          <w:bCs/>
        </w:rPr>
        <w:t xml:space="preserve">, если </w:t>
      </w:r>
      <w:r>
        <w:rPr>
          <w:bCs/>
        </w:rPr>
        <w:t xml:space="preserve">в результате </w:t>
      </w:r>
      <w:r w:rsidRPr="00F06B07">
        <w:rPr>
          <w:bCs/>
        </w:rPr>
        <w:t>тако</w:t>
      </w:r>
      <w:r>
        <w:rPr>
          <w:bCs/>
        </w:rPr>
        <w:t>го</w:t>
      </w:r>
      <w:r w:rsidRPr="00F06B07">
        <w:rPr>
          <w:bCs/>
        </w:rPr>
        <w:t xml:space="preserve"> спор</w:t>
      </w:r>
      <w:r>
        <w:rPr>
          <w:bCs/>
        </w:rPr>
        <w:t>а</w:t>
      </w:r>
      <w:r w:rsidRPr="00F06B07">
        <w:rPr>
          <w:bCs/>
        </w:rPr>
        <w:t xml:space="preserve"> </w:t>
      </w:r>
      <w:r>
        <w:rPr>
          <w:bCs/>
        </w:rPr>
        <w:t xml:space="preserve">возникает или может возникнуть </w:t>
      </w:r>
      <w:r w:rsidRPr="00F06B07">
        <w:rPr>
          <w:bCs/>
        </w:rPr>
        <w:t>вероятн</w:t>
      </w:r>
      <w:r>
        <w:rPr>
          <w:bCs/>
        </w:rPr>
        <w:t>ость</w:t>
      </w:r>
      <w:r w:rsidRPr="00F06B07">
        <w:rPr>
          <w:bCs/>
        </w:rPr>
        <w:t xml:space="preserve"> </w:t>
      </w:r>
      <w:r>
        <w:rPr>
          <w:bCs/>
        </w:rPr>
        <w:t xml:space="preserve">проведения </w:t>
      </w:r>
      <w:r w:rsidRPr="00F06B07">
        <w:rPr>
          <w:bCs/>
        </w:rPr>
        <w:t>забастовк</w:t>
      </w:r>
      <w:r>
        <w:rPr>
          <w:bCs/>
        </w:rPr>
        <w:t>и</w:t>
      </w:r>
      <w:r w:rsidRPr="00F06B07">
        <w:rPr>
          <w:bCs/>
        </w:rPr>
        <w:t xml:space="preserve"> или локаут</w:t>
      </w:r>
      <w:r>
        <w:rPr>
          <w:bCs/>
        </w:rPr>
        <w:t>а</w:t>
      </w:r>
      <w:r w:rsidRPr="00F06B07">
        <w:rPr>
          <w:bCs/>
        </w:rPr>
        <w:t xml:space="preserve"> в </w:t>
      </w:r>
      <w:r>
        <w:rPr>
          <w:bCs/>
        </w:rPr>
        <w:t>"отрасли</w:t>
      </w:r>
      <w:r w:rsidRPr="00F06B07">
        <w:rPr>
          <w:bCs/>
        </w:rPr>
        <w:t xml:space="preserve">, </w:t>
      </w:r>
      <w:r>
        <w:rPr>
          <w:bCs/>
        </w:rPr>
        <w:t>имеющей особое значение</w:t>
      </w:r>
      <w:r w:rsidRPr="00F06B07">
        <w:rPr>
          <w:bCs/>
        </w:rPr>
        <w:t xml:space="preserve"> для национальн</w:t>
      </w:r>
      <w:r>
        <w:rPr>
          <w:bCs/>
        </w:rPr>
        <w:t>ых</w:t>
      </w:r>
      <w:r w:rsidRPr="00F06B07">
        <w:rPr>
          <w:bCs/>
        </w:rPr>
        <w:t xml:space="preserve"> интерес</w:t>
      </w:r>
      <w:r>
        <w:rPr>
          <w:bCs/>
        </w:rPr>
        <w:t>ов"</w:t>
      </w:r>
      <w:r w:rsidRPr="00F06B07">
        <w:rPr>
          <w:bCs/>
        </w:rPr>
        <w:t>.</w:t>
      </w:r>
    </w:p>
    <w:p w:rsidR="00A25C5B" w:rsidRDefault="00A25C5B" w:rsidP="00A25C5B"/>
    <w:p w:rsidR="00A25C5B" w:rsidRDefault="00A25C5B" w:rsidP="00A25C5B">
      <w:pPr>
        <w:tabs>
          <w:tab w:val="num" w:pos="0"/>
        </w:tabs>
      </w:pPr>
      <w:r>
        <w:t>293.</w:t>
      </w:r>
      <w:r>
        <w:tab/>
        <w:t xml:space="preserve">Перечень запрещенных действий в период </w:t>
      </w:r>
      <w:r w:rsidRPr="00BA3787">
        <w:t>забастов</w:t>
      </w:r>
      <w:r>
        <w:t xml:space="preserve">ки </w:t>
      </w:r>
      <w:r w:rsidRPr="00BA3787">
        <w:t>и локаут</w:t>
      </w:r>
      <w:r>
        <w:t>а</w:t>
      </w:r>
      <w:r w:rsidRPr="00BA3787">
        <w:t xml:space="preserve"> включает </w:t>
      </w:r>
      <w:r>
        <w:t>положение о том, что "</w:t>
      </w:r>
      <w:r w:rsidRPr="00BA3787">
        <w:t>забастовк</w:t>
      </w:r>
      <w:r>
        <w:t>а</w:t>
      </w:r>
      <w:r w:rsidRPr="00BA3787">
        <w:t xml:space="preserve"> или локаут </w:t>
      </w:r>
      <w:r>
        <w:t>не могут быть объявлены после того, как президент (или министр труда и занятости) взял на себя полномочия по урегулированию трудового спора.</w:t>
      </w:r>
      <w:r w:rsidRPr="00BA3787">
        <w:t xml:space="preserve"> </w:t>
      </w:r>
      <w:r>
        <w:t xml:space="preserve"> "</w:t>
      </w:r>
      <w:r w:rsidRPr="00BA3787">
        <w:t xml:space="preserve">Верховный </w:t>
      </w:r>
      <w:r>
        <w:t>с</w:t>
      </w:r>
      <w:r w:rsidRPr="00BA3787">
        <w:t xml:space="preserve">уд постановил, что </w:t>
      </w:r>
      <w:r>
        <w:t xml:space="preserve">проведение </w:t>
      </w:r>
      <w:r w:rsidRPr="00BA3787">
        <w:t>забастовк</w:t>
      </w:r>
      <w:r>
        <w:t>и</w:t>
      </w:r>
      <w:r w:rsidRPr="00BA3787">
        <w:t xml:space="preserve"> после </w:t>
      </w:r>
      <w:r>
        <w:t xml:space="preserve">издания распоряжения о взятии на себя полномочий соответствующими должностными лицами </w:t>
      </w:r>
      <w:r w:rsidRPr="00BA3787">
        <w:t xml:space="preserve">или </w:t>
      </w:r>
      <w:r>
        <w:t xml:space="preserve">о передаче дела в арбитраж </w:t>
      </w:r>
      <w:r w:rsidRPr="00BA3787">
        <w:t>становится запрещенной деятельностью и</w:t>
      </w:r>
      <w:r>
        <w:t>,</w:t>
      </w:r>
      <w:r w:rsidRPr="00BA3787">
        <w:t xml:space="preserve"> таким образом</w:t>
      </w:r>
      <w:r>
        <w:t>, является незаконной</w:t>
      </w:r>
      <w:r w:rsidRPr="00BA3787">
        <w:t xml:space="preserve">. </w:t>
      </w:r>
      <w:r>
        <w:t xml:space="preserve"> Вследствие этого распоряжение о принятии полномочий и</w:t>
      </w:r>
      <w:r w:rsidRPr="00BA3787">
        <w:t xml:space="preserve">ли </w:t>
      </w:r>
      <w:r>
        <w:t xml:space="preserve">о передаче дела в арбитраж одновременно становится по закону распоряжением о </w:t>
      </w:r>
      <w:r w:rsidRPr="00BA3787">
        <w:t>возвращени</w:t>
      </w:r>
      <w:r>
        <w:t xml:space="preserve">и </w:t>
      </w:r>
      <w:r w:rsidRPr="00BA3787">
        <w:t>к</w:t>
      </w:r>
      <w:r>
        <w:t xml:space="preserve"> </w:t>
      </w:r>
      <w:r w:rsidRPr="00BA3787">
        <w:t>работе.</w:t>
      </w:r>
    </w:p>
    <w:p w:rsidR="00A25C5B" w:rsidRDefault="00A25C5B" w:rsidP="00A25C5B">
      <w:pPr>
        <w:tabs>
          <w:tab w:val="num" w:pos="0"/>
        </w:tabs>
      </w:pPr>
    </w:p>
    <w:p w:rsidR="00A25C5B" w:rsidRDefault="00A25C5B" w:rsidP="00A25C5B">
      <w:pPr>
        <w:tabs>
          <w:tab w:val="num" w:pos="0"/>
        </w:tabs>
      </w:pPr>
      <w:r>
        <w:t>294.</w:t>
      </w:r>
      <w:r>
        <w:tab/>
        <w:t>Компетенция министра брать на себя полномочия по урегулированию трудового спора представляет собой осуществление полицейской власти государства.  Было заявлено, что такие полномочия направлены на общее благо, поскольку длительная забастовка или локаут могут нанести вред экономике страны.</w:t>
      </w:r>
    </w:p>
    <w:p w:rsidR="00A25C5B" w:rsidRDefault="00A25C5B" w:rsidP="00A25C5B">
      <w:pPr>
        <w:tabs>
          <w:tab w:val="num" w:pos="0"/>
        </w:tabs>
      </w:pPr>
    </w:p>
    <w:p w:rsidR="00A25C5B" w:rsidRDefault="00A25C5B" w:rsidP="00A25C5B">
      <w:pPr>
        <w:tabs>
          <w:tab w:val="num" w:pos="0"/>
        </w:tabs>
      </w:pPr>
      <w:r>
        <w:t>295.</w:t>
      </w:r>
      <w:r>
        <w:tab/>
        <w:t xml:space="preserve">Исходя из вышеизложенного, Верховный суд поддержал право на использование полномочий по урегулированию споров, касающихся университетов, предприятий, экспортирующих 90% своей продукции и получающих годовую прибыль в размере более 12 млн. долл. США, фармацевтических фирм, а также внутренних авиалиний.  Одновременно он признал законным применение такого права в отношении дел, касающихся компании по производству телефонных справочников и предприятия, которое занимается изготовлением спичек. </w:t>
      </w:r>
    </w:p>
    <w:p w:rsidR="00F651D6" w:rsidRDefault="00F651D6" w:rsidP="00A25C5B">
      <w:pPr>
        <w:tabs>
          <w:tab w:val="num" w:pos="0"/>
        </w:tabs>
      </w:pPr>
    </w:p>
    <w:p w:rsidR="00A25C5B" w:rsidRDefault="00A25C5B" w:rsidP="00A25C5B">
      <w:pPr>
        <w:widowControl w:val="0"/>
        <w:numPr>
          <w:ilvl w:val="12"/>
          <w:numId w:val="0"/>
        </w:numPr>
        <w:autoSpaceDE w:val="0"/>
        <w:autoSpaceDN w:val="0"/>
        <w:adjustRightInd w:val="0"/>
        <w:rPr>
          <w:i/>
          <w:iCs/>
          <w:u w:val="single"/>
        </w:rPr>
      </w:pPr>
      <w:r>
        <w:rPr>
          <w:b/>
          <w:bCs/>
        </w:rPr>
        <w:t>Минимальный объем услуг</w:t>
      </w:r>
    </w:p>
    <w:p w:rsidR="00A25C5B" w:rsidRDefault="00A25C5B" w:rsidP="00A25C5B">
      <w:pPr>
        <w:widowControl w:val="0"/>
        <w:numPr>
          <w:ilvl w:val="12"/>
          <w:numId w:val="0"/>
        </w:numPr>
        <w:autoSpaceDE w:val="0"/>
        <w:autoSpaceDN w:val="0"/>
        <w:adjustRightInd w:val="0"/>
        <w:rPr>
          <w:b/>
          <w:bCs/>
        </w:rPr>
      </w:pPr>
    </w:p>
    <w:p w:rsidR="00A25C5B" w:rsidRDefault="00A25C5B" w:rsidP="00A25C5B">
      <w:pPr>
        <w:tabs>
          <w:tab w:val="num" w:pos="0"/>
        </w:tabs>
      </w:pPr>
      <w:r>
        <w:t>296.</w:t>
      </w:r>
      <w:r>
        <w:tab/>
        <w:t>Комитет экспертов МОТ обсудил концепцию предоставления минимального объема услуг, которая "может быть уместной в ситуациях, когда существенное ограничение или полное запрещение забастовки не представляется оправданным и когда, не подвергая сомнению право на забастовку значительного большинства трудящихся, можно было бы рассмотреть возможность удовлетворения основных потребностей пользователей и  надежного или бесперебойного функционирования предприятия".</w:t>
      </w:r>
    </w:p>
    <w:p w:rsidR="00A25C5B" w:rsidRDefault="00A25C5B" w:rsidP="00A25C5B">
      <w:pPr>
        <w:widowControl w:val="0"/>
        <w:numPr>
          <w:ilvl w:val="12"/>
          <w:numId w:val="0"/>
        </w:numPr>
        <w:autoSpaceDE w:val="0"/>
        <w:autoSpaceDN w:val="0"/>
        <w:adjustRightInd w:val="0"/>
      </w:pPr>
    </w:p>
    <w:p w:rsidR="00A25C5B" w:rsidRDefault="00A25C5B" w:rsidP="00A25C5B">
      <w:pPr>
        <w:tabs>
          <w:tab w:val="num" w:pos="0"/>
        </w:tabs>
      </w:pPr>
      <w:r>
        <w:t>297.</w:t>
      </w:r>
      <w:r>
        <w:tab/>
        <w:t>В статье 263 g) Трудового кодекса отмечается, что во время трудовых споров, отрицательно влияющих на непрерывность работы больниц, клиник или медицинских учреждений, на проводящий забастовку профсоюз возлагается обязанность на весь период забастовки обеспечивать и поддерживать минимально необходимое количество медицинского и другого вспомогательного персонала, которому должна быть предоставлена возможность беспрепятственно передвигаться и предоставлять услуги, необходимые для обеспечения надлежащей и адекватной защиты жизни и здоровья их пациентов, в первую очередь для оказания неотложной помощи.</w:t>
      </w:r>
    </w:p>
    <w:p w:rsidR="00A25C5B" w:rsidRDefault="00A25C5B" w:rsidP="00A25C5B">
      <w:pPr>
        <w:widowControl w:val="0"/>
        <w:numPr>
          <w:ilvl w:val="12"/>
          <w:numId w:val="0"/>
        </w:numPr>
        <w:autoSpaceDE w:val="0"/>
        <w:autoSpaceDN w:val="0"/>
        <w:adjustRightInd w:val="0"/>
      </w:pPr>
    </w:p>
    <w:p w:rsidR="00A25C5B" w:rsidRDefault="00A25C5B" w:rsidP="00A25C5B">
      <w:pPr>
        <w:widowControl w:val="0"/>
        <w:numPr>
          <w:ilvl w:val="12"/>
          <w:numId w:val="0"/>
        </w:numPr>
        <w:autoSpaceDE w:val="0"/>
        <w:autoSpaceDN w:val="0"/>
        <w:adjustRightInd w:val="0"/>
        <w:rPr>
          <w:u w:val="single"/>
        </w:rPr>
      </w:pPr>
      <w:r>
        <w:rPr>
          <w:b/>
          <w:bCs/>
        </w:rPr>
        <w:t>Государственная служба</w:t>
      </w:r>
    </w:p>
    <w:p w:rsidR="00A25C5B" w:rsidRDefault="00A25C5B" w:rsidP="00A25C5B"/>
    <w:p w:rsidR="00A25C5B" w:rsidRPr="00BA3787" w:rsidRDefault="00A25C5B" w:rsidP="00A25C5B">
      <w:pPr>
        <w:widowControl w:val="0"/>
        <w:tabs>
          <w:tab w:val="left" w:pos="360"/>
        </w:tabs>
        <w:autoSpaceDE w:val="0"/>
        <w:autoSpaceDN w:val="0"/>
        <w:adjustRightInd w:val="0"/>
      </w:pPr>
      <w:r>
        <w:t>298.</w:t>
      </w:r>
      <w:r>
        <w:tab/>
        <w:t>Что касается государстве</w:t>
      </w:r>
      <w:r w:rsidRPr="00BA3787">
        <w:t xml:space="preserve">нного сектора, </w:t>
      </w:r>
      <w:r>
        <w:t>то М</w:t>
      </w:r>
      <w:r w:rsidRPr="00BA3787">
        <w:t>еморандум</w:t>
      </w:r>
      <w:r>
        <w:t xml:space="preserve">-циркуляр № </w:t>
      </w:r>
      <w:r w:rsidRPr="00BA3787">
        <w:t>6</w:t>
      </w:r>
      <w:r>
        <w:t xml:space="preserve"> КГС</w:t>
      </w:r>
      <w:r w:rsidRPr="00BA3787">
        <w:t xml:space="preserve"> </w:t>
      </w:r>
      <w:r>
        <w:t>серии</w:t>
      </w:r>
      <w:r w:rsidRPr="00BA3787">
        <w:t xml:space="preserve"> 1987</w:t>
      </w:r>
      <w:r>
        <w:t xml:space="preserve"> года</w:t>
      </w:r>
      <w:r w:rsidRPr="00BA3787">
        <w:t xml:space="preserve"> </w:t>
      </w:r>
      <w:r>
        <w:t xml:space="preserve">запрещает государственным должностным лицам и служащим, которым может грозить применение </w:t>
      </w:r>
      <w:r w:rsidRPr="00BA3787">
        <w:t>административных санкций</w:t>
      </w:r>
      <w:r>
        <w:t>,</w:t>
      </w:r>
      <w:r w:rsidRPr="00BA3787">
        <w:t xml:space="preserve"> </w:t>
      </w:r>
      <w:r>
        <w:t xml:space="preserve">проведение забастовок, </w:t>
      </w:r>
      <w:r w:rsidRPr="00BA3787">
        <w:t>массовых демонстраций, массов</w:t>
      </w:r>
      <w:r>
        <w:t>ых невыходов на работу, стачек</w:t>
      </w:r>
      <w:r w:rsidRPr="00BA3787">
        <w:t xml:space="preserve"> и других массов</w:t>
      </w:r>
      <w:r>
        <w:t>ых</w:t>
      </w:r>
      <w:r w:rsidRPr="00BA3787">
        <w:t xml:space="preserve"> </w:t>
      </w:r>
      <w:r>
        <w:t>акций</w:t>
      </w:r>
      <w:r w:rsidRPr="00BA3787">
        <w:t>, котор</w:t>
      </w:r>
      <w:r>
        <w:t>ы</w:t>
      </w:r>
      <w:r w:rsidRPr="00BA3787">
        <w:t xml:space="preserve">е </w:t>
      </w:r>
      <w:r>
        <w:t xml:space="preserve">вызывают </w:t>
      </w:r>
      <w:r w:rsidRPr="00BA3787">
        <w:t>временн</w:t>
      </w:r>
      <w:r>
        <w:t>ое</w:t>
      </w:r>
      <w:r w:rsidRPr="00BA3787">
        <w:t xml:space="preserve"> прекращени</w:t>
      </w:r>
      <w:r>
        <w:t>е работы</w:t>
      </w:r>
      <w:r w:rsidRPr="00BA3787">
        <w:t xml:space="preserve"> или </w:t>
      </w:r>
      <w:r>
        <w:t>хаос</w:t>
      </w:r>
      <w:r w:rsidRPr="00BA3787">
        <w:t xml:space="preserve">. </w:t>
      </w:r>
    </w:p>
    <w:p w:rsidR="00A25C5B" w:rsidRPr="00BA3787" w:rsidRDefault="00A25C5B" w:rsidP="00A25C5B">
      <w:pPr>
        <w:widowControl w:val="0"/>
        <w:numPr>
          <w:ilvl w:val="12"/>
          <w:numId w:val="0"/>
        </w:numPr>
        <w:autoSpaceDE w:val="0"/>
        <w:autoSpaceDN w:val="0"/>
        <w:adjustRightInd w:val="0"/>
      </w:pPr>
    </w:p>
    <w:p w:rsidR="00A25C5B" w:rsidRPr="00BA3787" w:rsidRDefault="00A25C5B" w:rsidP="00A25C5B">
      <w:pPr>
        <w:widowControl w:val="0"/>
        <w:tabs>
          <w:tab w:val="left" w:pos="360"/>
        </w:tabs>
        <w:autoSpaceDE w:val="0"/>
        <w:autoSpaceDN w:val="0"/>
        <w:adjustRightInd w:val="0"/>
      </w:pPr>
      <w:r>
        <w:t>299.</w:t>
      </w:r>
      <w:r>
        <w:tab/>
        <w:t>А</w:t>
      </w:r>
      <w:r w:rsidRPr="00BA3787">
        <w:t>льтернатив</w:t>
      </w:r>
      <w:r>
        <w:t>ной возможностью</w:t>
      </w:r>
      <w:r w:rsidRPr="00BA3787">
        <w:t xml:space="preserve"> служащи</w:t>
      </w:r>
      <w:r>
        <w:t>х</w:t>
      </w:r>
      <w:r w:rsidRPr="00BA3787">
        <w:t xml:space="preserve"> </w:t>
      </w:r>
      <w:r>
        <w:t>государственного</w:t>
      </w:r>
      <w:r w:rsidRPr="00BA3787">
        <w:t xml:space="preserve"> сектора </w:t>
      </w:r>
      <w:r>
        <w:t xml:space="preserve">является </w:t>
      </w:r>
      <w:r w:rsidRPr="00BA3787">
        <w:t>представ</w:t>
      </w:r>
      <w:r>
        <w:t>ительство</w:t>
      </w:r>
      <w:r w:rsidRPr="00BA3787">
        <w:t xml:space="preserve"> в Совете </w:t>
      </w:r>
      <w:r>
        <w:t xml:space="preserve">по вопросам организации труда в государственном </w:t>
      </w:r>
      <w:r w:rsidRPr="00BA3787">
        <w:t>сектор</w:t>
      </w:r>
      <w:r>
        <w:t>е</w:t>
      </w:r>
      <w:r w:rsidRPr="00BA3787">
        <w:t xml:space="preserve"> (</w:t>
      </w:r>
      <w:r>
        <w:t>СОТГС</w:t>
      </w:r>
      <w:r w:rsidRPr="00BA3787">
        <w:t>), созданно</w:t>
      </w:r>
      <w:r>
        <w:t>м</w:t>
      </w:r>
      <w:r w:rsidRPr="00BA3787">
        <w:t xml:space="preserve"> в соответствии с </w:t>
      </w:r>
      <w:r>
        <w:t>ПР</w:t>
      </w:r>
      <w:r w:rsidRPr="00BA3787">
        <w:t xml:space="preserve"> 180. </w:t>
      </w:r>
      <w:r>
        <w:t xml:space="preserve"> Хотя в ПР </w:t>
      </w:r>
      <w:r w:rsidRPr="00BA3787">
        <w:t xml:space="preserve">180 </w:t>
      </w:r>
      <w:r>
        <w:t>конкретно</w:t>
      </w:r>
      <w:r w:rsidRPr="00BA3787">
        <w:t xml:space="preserve"> не предусм</w:t>
      </w:r>
      <w:r>
        <w:t>отрено</w:t>
      </w:r>
      <w:r w:rsidRPr="00BA3787">
        <w:t xml:space="preserve"> </w:t>
      </w:r>
      <w:r>
        <w:t xml:space="preserve">право на </w:t>
      </w:r>
      <w:r w:rsidRPr="00BA3787">
        <w:t>представ</w:t>
      </w:r>
      <w:r>
        <w:t>ительство</w:t>
      </w:r>
      <w:r w:rsidRPr="00BA3787">
        <w:t xml:space="preserve"> организаций служащих, </w:t>
      </w:r>
      <w:r>
        <w:t>СОТГС</w:t>
      </w:r>
      <w:r w:rsidRPr="00BA3787">
        <w:t xml:space="preserve"> </w:t>
      </w:r>
      <w:r>
        <w:t>разрешил участвовать в его работе</w:t>
      </w:r>
      <w:r w:rsidRPr="00BA3787">
        <w:t xml:space="preserve"> представителям</w:t>
      </w:r>
      <w:r>
        <w:t xml:space="preserve"> линейных агентств</w:t>
      </w:r>
      <w:r w:rsidRPr="00BA3787">
        <w:t xml:space="preserve">, </w:t>
      </w:r>
      <w:r>
        <w:t>ОМС</w:t>
      </w:r>
      <w:r w:rsidRPr="00BA3787">
        <w:t xml:space="preserve">, </w:t>
      </w:r>
      <w:r>
        <w:t xml:space="preserve">принадлежащих государству или </w:t>
      </w:r>
      <w:r w:rsidRPr="00BA3787">
        <w:t>управляемы</w:t>
      </w:r>
      <w:r>
        <w:t>х</w:t>
      </w:r>
      <w:r w:rsidRPr="00BA3787">
        <w:t xml:space="preserve"> </w:t>
      </w:r>
      <w:r>
        <w:t xml:space="preserve">им компаний с учредительным </w:t>
      </w:r>
      <w:r w:rsidRPr="00BA3787">
        <w:t>уставом и государственны</w:t>
      </w:r>
      <w:r>
        <w:t>х</w:t>
      </w:r>
      <w:r w:rsidRPr="00BA3787">
        <w:t xml:space="preserve"> университет</w:t>
      </w:r>
      <w:r>
        <w:t>ов</w:t>
      </w:r>
      <w:r w:rsidRPr="00BA3787">
        <w:t xml:space="preserve"> и колледж</w:t>
      </w:r>
      <w:r>
        <w:t>ей</w:t>
      </w:r>
      <w:r w:rsidRPr="00BA3787">
        <w:t>.</w:t>
      </w:r>
    </w:p>
    <w:p w:rsidR="00A25C5B" w:rsidRPr="00BA3787" w:rsidRDefault="00A25C5B" w:rsidP="00A25C5B">
      <w:pPr>
        <w:widowControl w:val="0"/>
        <w:numPr>
          <w:ilvl w:val="12"/>
          <w:numId w:val="0"/>
        </w:numPr>
        <w:autoSpaceDE w:val="0"/>
        <w:autoSpaceDN w:val="0"/>
        <w:adjustRightInd w:val="0"/>
      </w:pPr>
    </w:p>
    <w:p w:rsidR="00A25C5B" w:rsidRPr="00BA3787" w:rsidRDefault="00A25C5B" w:rsidP="00ED31C8">
      <w:pPr>
        <w:keepNext/>
        <w:widowControl w:val="0"/>
        <w:numPr>
          <w:ilvl w:val="12"/>
          <w:numId w:val="0"/>
        </w:numPr>
        <w:autoSpaceDE w:val="0"/>
        <w:autoSpaceDN w:val="0"/>
        <w:adjustRightInd w:val="0"/>
      </w:pPr>
      <w:r w:rsidRPr="00BA3787">
        <w:rPr>
          <w:b/>
          <w:bCs/>
        </w:rPr>
        <w:t>Пикетирование</w:t>
      </w:r>
    </w:p>
    <w:p w:rsidR="00A25C5B" w:rsidRPr="00BA3787" w:rsidRDefault="00A25C5B" w:rsidP="00ED31C8">
      <w:pPr>
        <w:keepNext/>
        <w:widowControl w:val="0"/>
        <w:numPr>
          <w:ilvl w:val="12"/>
          <w:numId w:val="0"/>
        </w:numPr>
        <w:autoSpaceDE w:val="0"/>
        <w:autoSpaceDN w:val="0"/>
        <w:adjustRightInd w:val="0"/>
        <w:rPr>
          <w:b/>
          <w:bCs/>
        </w:rPr>
      </w:pPr>
    </w:p>
    <w:p w:rsidR="00657694" w:rsidRDefault="00657694" w:rsidP="00657694">
      <w:r>
        <w:t>300.</w:t>
      </w:r>
      <w:r>
        <w:tab/>
        <w:t>Вместе с тем с</w:t>
      </w:r>
      <w:r w:rsidRPr="00BA3787">
        <w:t xml:space="preserve">лужащие частного и </w:t>
      </w:r>
      <w:r>
        <w:t>государственного</w:t>
      </w:r>
      <w:r w:rsidRPr="00BA3787">
        <w:t xml:space="preserve"> сектора могут </w:t>
      </w:r>
      <w:r>
        <w:t xml:space="preserve">использовать пикетирование или другие формы </w:t>
      </w:r>
      <w:r w:rsidRPr="00BA3787">
        <w:t xml:space="preserve">символического выражения мнения, если </w:t>
      </w:r>
      <w:r>
        <w:t>эти мероприятия</w:t>
      </w:r>
      <w:r w:rsidRPr="00BA3787">
        <w:t xml:space="preserve"> не </w:t>
      </w:r>
      <w:r>
        <w:t xml:space="preserve">влияют на </w:t>
      </w:r>
      <w:r w:rsidRPr="00BA3787">
        <w:t>п</w:t>
      </w:r>
      <w:r>
        <w:t>редоставление</w:t>
      </w:r>
      <w:r w:rsidRPr="00BA3787">
        <w:t xml:space="preserve"> услуг. </w:t>
      </w:r>
    </w:p>
    <w:p w:rsidR="00ED31C8" w:rsidRPr="00BA3787" w:rsidRDefault="00ED31C8" w:rsidP="00657694"/>
    <w:p w:rsidR="00657694" w:rsidRDefault="00657694" w:rsidP="00657694">
      <w:pPr>
        <w:ind w:left="567" w:hanging="567"/>
        <w:rPr>
          <w:b/>
          <w:bCs/>
        </w:rPr>
      </w:pPr>
      <w:r>
        <w:rPr>
          <w:b/>
          <w:bCs/>
        </w:rPr>
        <w:t>3.b</w:t>
      </w:r>
      <w:r>
        <w:rPr>
          <w:b/>
          <w:bCs/>
        </w:rPr>
        <w:tab/>
        <w:t>О</w:t>
      </w:r>
      <w:r w:rsidRPr="009519D7">
        <w:rPr>
          <w:b/>
        </w:rPr>
        <w:t>собые правовые положения</w:t>
      </w:r>
      <w:r>
        <w:rPr>
          <w:b/>
        </w:rPr>
        <w:t>, касающиеся</w:t>
      </w:r>
      <w:r w:rsidRPr="009519D7">
        <w:rPr>
          <w:b/>
        </w:rPr>
        <w:t xml:space="preserve"> осуществления права на за</w:t>
      </w:r>
      <w:r>
        <w:rPr>
          <w:b/>
        </w:rPr>
        <w:t xml:space="preserve">бастовку </w:t>
      </w:r>
      <w:r w:rsidRPr="009519D7">
        <w:rPr>
          <w:b/>
        </w:rPr>
        <w:t>определенными категориями трудящихся</w:t>
      </w:r>
      <w:r w:rsidRPr="009519D7">
        <w:rPr>
          <w:b/>
          <w:bCs/>
        </w:rPr>
        <w:t xml:space="preserve"> </w:t>
      </w:r>
    </w:p>
    <w:p w:rsidR="00657694" w:rsidRPr="009519D7" w:rsidRDefault="00657694" w:rsidP="00657694">
      <w:pPr>
        <w:rPr>
          <w:b/>
        </w:rPr>
      </w:pPr>
    </w:p>
    <w:p w:rsidR="00657694" w:rsidRPr="00BA3787" w:rsidRDefault="00657694" w:rsidP="00657694">
      <w:r>
        <w:t>301.</w:t>
      </w:r>
      <w:r>
        <w:tab/>
      </w:r>
      <w:r w:rsidRPr="00BA3787">
        <w:t xml:space="preserve">Как </w:t>
      </w:r>
      <w:r>
        <w:t>было сказано выше</w:t>
      </w:r>
      <w:r w:rsidRPr="00BA3787">
        <w:t>, служащи</w:t>
      </w:r>
      <w:r>
        <w:t>м</w:t>
      </w:r>
      <w:r w:rsidRPr="00BA3787">
        <w:t xml:space="preserve"> </w:t>
      </w:r>
      <w:r>
        <w:t>государственного сектора</w:t>
      </w:r>
      <w:r w:rsidRPr="00BA3787">
        <w:t xml:space="preserve"> запрещен</w:t>
      </w:r>
      <w:r>
        <w:t>о</w:t>
      </w:r>
      <w:r w:rsidRPr="00BA3787">
        <w:t xml:space="preserve"> организ</w:t>
      </w:r>
      <w:r>
        <w:t>овывать</w:t>
      </w:r>
      <w:r w:rsidRPr="00BA3787">
        <w:t xml:space="preserve"> забастовки. </w:t>
      </w:r>
      <w:r>
        <w:t xml:space="preserve"> Что же касается сотрудников</w:t>
      </w:r>
      <w:r w:rsidRPr="00BA3787">
        <w:t xml:space="preserve"> медицинских учреждени</w:t>
      </w:r>
      <w:r>
        <w:t>й</w:t>
      </w:r>
      <w:r w:rsidRPr="00BA3787">
        <w:t xml:space="preserve">, больниц и клиник, </w:t>
      </w:r>
      <w:r>
        <w:t xml:space="preserve">то они подпадают под действие </w:t>
      </w:r>
      <w:r w:rsidRPr="00BA3787">
        <w:t>правил</w:t>
      </w:r>
      <w:r>
        <w:t>а</w:t>
      </w:r>
      <w:r w:rsidRPr="00BA3787">
        <w:t xml:space="preserve"> </w:t>
      </w:r>
      <w:r>
        <w:t xml:space="preserve">о предоставлении </w:t>
      </w:r>
      <w:r w:rsidRPr="00BA3787">
        <w:t>минимально</w:t>
      </w:r>
      <w:r>
        <w:t xml:space="preserve">го объема услуг, </w:t>
      </w:r>
      <w:r w:rsidRPr="00BA3787">
        <w:t xml:space="preserve">как </w:t>
      </w:r>
      <w:r>
        <w:t xml:space="preserve">это </w:t>
      </w:r>
      <w:r w:rsidRPr="00BA3787">
        <w:t xml:space="preserve">предусмотрено </w:t>
      </w:r>
      <w:r>
        <w:t xml:space="preserve">статьей 263 </w:t>
      </w:r>
      <w:r w:rsidRPr="00BA3787">
        <w:t>g).</w:t>
      </w:r>
    </w:p>
    <w:p w:rsidR="00657694" w:rsidRPr="00BA3787" w:rsidRDefault="00657694" w:rsidP="00657694"/>
    <w:p w:rsidR="00657694" w:rsidRPr="00BA3787" w:rsidRDefault="00657694" w:rsidP="00657694">
      <w:r>
        <w:t>302.</w:t>
      </w:r>
      <w:r>
        <w:tab/>
        <w:t>В соответствии с положениями ПР</w:t>
      </w:r>
      <w:r w:rsidRPr="00BA3787">
        <w:t xml:space="preserve"> </w:t>
      </w:r>
      <w:r>
        <w:t>№ 1</w:t>
      </w:r>
      <w:r w:rsidRPr="00BA3787">
        <w:t>80</w:t>
      </w:r>
      <w:r>
        <w:t xml:space="preserve"> служащим ВСФ</w:t>
      </w:r>
      <w:r w:rsidRPr="00BA3787">
        <w:t xml:space="preserve"> и </w:t>
      </w:r>
      <w:r>
        <w:t>ФНП</w:t>
      </w:r>
      <w:r w:rsidRPr="00BA3787">
        <w:t xml:space="preserve">, </w:t>
      </w:r>
      <w:r>
        <w:t xml:space="preserve">а </w:t>
      </w:r>
      <w:r w:rsidRPr="00BA3787">
        <w:t>так</w:t>
      </w:r>
      <w:r>
        <w:t>же</w:t>
      </w:r>
      <w:r w:rsidRPr="00BA3787">
        <w:t xml:space="preserve"> тюр</w:t>
      </w:r>
      <w:r>
        <w:t>е</w:t>
      </w:r>
      <w:r w:rsidRPr="00BA3787">
        <w:t>м</w:t>
      </w:r>
      <w:r>
        <w:t>ным надзирателям</w:t>
      </w:r>
      <w:r w:rsidRPr="00BA3787">
        <w:t xml:space="preserve"> и пожарн</w:t>
      </w:r>
      <w:r>
        <w:t>ым</w:t>
      </w:r>
      <w:r w:rsidRPr="00BA3787">
        <w:t xml:space="preserve"> </w:t>
      </w:r>
      <w:r>
        <w:t xml:space="preserve">запрещено создавать профсоюзные организации </w:t>
      </w:r>
      <w:r w:rsidRPr="00BA3787">
        <w:t xml:space="preserve">или </w:t>
      </w:r>
      <w:r>
        <w:t xml:space="preserve">вступать в </w:t>
      </w:r>
      <w:r w:rsidRPr="00BA3787">
        <w:t>организаци</w:t>
      </w:r>
      <w:r>
        <w:t>и</w:t>
      </w:r>
      <w:r w:rsidRPr="00BA3787">
        <w:t xml:space="preserve"> служащих. </w:t>
      </w:r>
    </w:p>
    <w:p w:rsidR="00657694" w:rsidRPr="00BA3787" w:rsidRDefault="00657694" w:rsidP="00657694"/>
    <w:p w:rsidR="00657694" w:rsidRPr="00BA3787" w:rsidRDefault="00657694" w:rsidP="00657694">
      <w:r>
        <w:t>303.</w:t>
      </w:r>
      <w:r>
        <w:tab/>
        <w:t>В министерском распоряжении</w:t>
      </w:r>
      <w:r w:rsidRPr="00BA3787">
        <w:t xml:space="preserve"> </w:t>
      </w:r>
      <w:r>
        <w:t>40-03</w:t>
      </w:r>
      <w:r w:rsidRPr="00BA3787">
        <w:t xml:space="preserve"> </w:t>
      </w:r>
      <w:r>
        <w:t>м</w:t>
      </w:r>
      <w:r w:rsidRPr="00BA3787">
        <w:t xml:space="preserve">инистр труда и </w:t>
      </w:r>
      <w:r>
        <w:t>з</w:t>
      </w:r>
      <w:r w:rsidRPr="00BA3787">
        <w:t>анятост</w:t>
      </w:r>
      <w:r>
        <w:t>и</w:t>
      </w:r>
      <w:r w:rsidRPr="00BA3787">
        <w:t xml:space="preserve"> подчеркнул</w:t>
      </w:r>
      <w:r>
        <w:t>, что</w:t>
      </w:r>
      <w:r w:rsidRPr="00BA3787">
        <w:t xml:space="preserve"> в отношениях </w:t>
      </w:r>
      <w:r>
        <w:t>между руководством и трудящимися используется четырехчастный подход</w:t>
      </w:r>
      <w:r w:rsidRPr="00BA3787">
        <w:t>:</w:t>
      </w:r>
      <w:r>
        <w:t xml:space="preserve"> </w:t>
      </w:r>
      <w:r w:rsidRPr="00BA3787">
        <w:t xml:space="preserve"> a) </w:t>
      </w:r>
      <w:r>
        <w:t xml:space="preserve"> </w:t>
      </w:r>
      <w:r w:rsidRPr="00BA3787">
        <w:t xml:space="preserve">поддержка права на </w:t>
      </w:r>
      <w:r>
        <w:t xml:space="preserve">создание </w:t>
      </w:r>
      <w:r w:rsidRPr="00BA3787">
        <w:t>организаци</w:t>
      </w:r>
      <w:r>
        <w:t>и</w:t>
      </w:r>
      <w:r w:rsidRPr="00BA3787">
        <w:t xml:space="preserve">; </w:t>
      </w:r>
      <w:r>
        <w:t xml:space="preserve"> </w:t>
      </w:r>
      <w:r w:rsidRPr="00BA3787">
        <w:t xml:space="preserve">b) </w:t>
      </w:r>
      <w:r>
        <w:t xml:space="preserve"> </w:t>
      </w:r>
      <w:r w:rsidRPr="00BA3787">
        <w:t>б</w:t>
      </w:r>
      <w:r>
        <w:t>езотлагательное</w:t>
      </w:r>
      <w:r w:rsidRPr="00BA3787">
        <w:t xml:space="preserve"> п</w:t>
      </w:r>
      <w:r>
        <w:t>редоставление</w:t>
      </w:r>
      <w:r w:rsidRPr="00BA3787">
        <w:t xml:space="preserve"> административных услуг; </w:t>
      </w:r>
      <w:r>
        <w:t xml:space="preserve"> </w:t>
      </w:r>
      <w:r w:rsidRPr="00BA3787">
        <w:t xml:space="preserve">c) </w:t>
      </w:r>
      <w:r>
        <w:t xml:space="preserve"> поощрение </w:t>
      </w:r>
      <w:r w:rsidRPr="00BA3787">
        <w:t xml:space="preserve">ответственного </w:t>
      </w:r>
      <w:r>
        <w:t xml:space="preserve">подхода к </w:t>
      </w:r>
      <w:r w:rsidRPr="00BA3787">
        <w:t>профсоюзно</w:t>
      </w:r>
      <w:r>
        <w:t>му</w:t>
      </w:r>
      <w:r w:rsidRPr="00BA3787">
        <w:t xml:space="preserve"> движени</w:t>
      </w:r>
      <w:r>
        <w:t>ю</w:t>
      </w:r>
      <w:r w:rsidRPr="00BA3787">
        <w:t xml:space="preserve">; </w:t>
      </w:r>
      <w:r>
        <w:t xml:space="preserve"> </w:t>
      </w:r>
      <w:r w:rsidRPr="00BA3787">
        <w:t>и</w:t>
      </w:r>
      <w:r>
        <w:t xml:space="preserve"> </w:t>
      </w:r>
      <w:r w:rsidRPr="00BA3787">
        <w:t xml:space="preserve"> d) </w:t>
      </w:r>
      <w:r>
        <w:t xml:space="preserve"> поощрение солидарной</w:t>
      </w:r>
      <w:r w:rsidRPr="00BA3787">
        <w:t xml:space="preserve"> ответственности </w:t>
      </w:r>
      <w:r>
        <w:t xml:space="preserve">трудящихся </w:t>
      </w:r>
      <w:r w:rsidRPr="00BA3787">
        <w:t xml:space="preserve">и </w:t>
      </w:r>
      <w:r>
        <w:t>руководства</w:t>
      </w:r>
      <w:r w:rsidRPr="00BA3787">
        <w:t xml:space="preserve"> </w:t>
      </w:r>
      <w:r>
        <w:t>в целях</w:t>
      </w:r>
      <w:r w:rsidRPr="00BA3787">
        <w:t xml:space="preserve"> мирно</w:t>
      </w:r>
      <w:r>
        <w:t>го</w:t>
      </w:r>
      <w:r w:rsidRPr="00BA3787">
        <w:t xml:space="preserve"> и добровольно</w:t>
      </w:r>
      <w:r>
        <w:t>го</w:t>
      </w:r>
      <w:r w:rsidRPr="00BA3787">
        <w:t xml:space="preserve"> </w:t>
      </w:r>
      <w:r>
        <w:t xml:space="preserve">урегулирования </w:t>
      </w:r>
      <w:r w:rsidRPr="00BA3787">
        <w:t>спор</w:t>
      </w:r>
      <w:r>
        <w:t>ов</w:t>
      </w:r>
      <w:r w:rsidRPr="00BA3787">
        <w:t>.</w:t>
      </w:r>
    </w:p>
    <w:p w:rsidR="00657694" w:rsidRPr="00BA3787" w:rsidRDefault="00657694" w:rsidP="00657694"/>
    <w:p w:rsidR="00657694" w:rsidRPr="00BA3787" w:rsidRDefault="00657694" w:rsidP="0096146A">
      <w:pPr>
        <w:tabs>
          <w:tab w:val="clear" w:pos="1701"/>
          <w:tab w:val="left" w:pos="1540"/>
        </w:tabs>
        <w:ind w:left="1540" w:hanging="1540"/>
      </w:pPr>
      <w:r w:rsidRPr="00BA3787">
        <w:rPr>
          <w:b/>
          <w:bCs/>
        </w:rPr>
        <w:t xml:space="preserve">Вопрос </w:t>
      </w:r>
      <w:r>
        <w:rPr>
          <w:b/>
          <w:bCs/>
        </w:rPr>
        <w:t>№</w:t>
      </w:r>
      <w:r w:rsidRPr="00BA3787">
        <w:rPr>
          <w:b/>
          <w:bCs/>
        </w:rPr>
        <w:t xml:space="preserve"> 4</w:t>
      </w:r>
      <w:r>
        <w:rPr>
          <w:b/>
          <w:bCs/>
        </w:rPr>
        <w:t>.</w:t>
      </w:r>
      <w:r>
        <w:rPr>
          <w:b/>
          <w:bCs/>
        </w:rPr>
        <w:tab/>
      </w:r>
      <w:r w:rsidRPr="0096146A">
        <w:rPr>
          <w:b/>
        </w:rPr>
        <w:t>Полномочия</w:t>
      </w:r>
      <w:r>
        <w:rPr>
          <w:b/>
          <w:bCs/>
        </w:rPr>
        <w:t xml:space="preserve"> служащих </w:t>
      </w:r>
      <w:r w:rsidRPr="00BA3787">
        <w:rPr>
          <w:b/>
          <w:bCs/>
        </w:rPr>
        <w:t xml:space="preserve">вооруженных сил и полиции </w:t>
      </w:r>
      <w:r>
        <w:rPr>
          <w:b/>
          <w:bCs/>
        </w:rPr>
        <w:t>по</w:t>
      </w:r>
      <w:r w:rsidRPr="00BA3787">
        <w:rPr>
          <w:b/>
          <w:bCs/>
        </w:rPr>
        <w:t xml:space="preserve"> ограничени</w:t>
      </w:r>
      <w:r>
        <w:rPr>
          <w:b/>
          <w:bCs/>
        </w:rPr>
        <w:t>ю</w:t>
      </w:r>
      <w:r w:rsidRPr="00BA3787">
        <w:rPr>
          <w:b/>
          <w:bCs/>
        </w:rPr>
        <w:t xml:space="preserve"> права на </w:t>
      </w:r>
      <w:r>
        <w:rPr>
          <w:b/>
          <w:bCs/>
        </w:rPr>
        <w:t xml:space="preserve">создание </w:t>
      </w:r>
      <w:r w:rsidRPr="00BA3787">
        <w:rPr>
          <w:b/>
          <w:bCs/>
        </w:rPr>
        <w:t>организаци</w:t>
      </w:r>
      <w:r>
        <w:rPr>
          <w:b/>
          <w:bCs/>
        </w:rPr>
        <w:t>и</w:t>
      </w:r>
      <w:r w:rsidRPr="00BA3787">
        <w:rPr>
          <w:b/>
          <w:bCs/>
        </w:rPr>
        <w:t xml:space="preserve"> </w:t>
      </w:r>
    </w:p>
    <w:p w:rsidR="00657694" w:rsidRPr="00BA3787" w:rsidRDefault="00657694" w:rsidP="00657694">
      <w:pPr>
        <w:rPr>
          <w:b/>
          <w:bCs/>
        </w:rPr>
      </w:pPr>
    </w:p>
    <w:p w:rsidR="00657694" w:rsidRPr="00BA3787" w:rsidRDefault="00657694" w:rsidP="00657694">
      <w:r>
        <w:t>304.</w:t>
      </w:r>
      <w:r>
        <w:tab/>
        <w:t>Служащие ВСФ и ФНП</w:t>
      </w:r>
      <w:r w:rsidRPr="00BA3787">
        <w:t xml:space="preserve">, </w:t>
      </w:r>
      <w:r>
        <w:t xml:space="preserve">а </w:t>
      </w:r>
      <w:r w:rsidRPr="00BA3787">
        <w:t>также административны</w:t>
      </w:r>
      <w:r>
        <w:t>е</w:t>
      </w:r>
      <w:r w:rsidRPr="00BA3787">
        <w:t xml:space="preserve"> </w:t>
      </w:r>
      <w:r>
        <w:t xml:space="preserve">органы </w:t>
      </w:r>
      <w:r w:rsidRPr="00BA3787">
        <w:t>власт</w:t>
      </w:r>
      <w:r>
        <w:t>и</w:t>
      </w:r>
      <w:r w:rsidRPr="00BA3787">
        <w:t xml:space="preserve"> не имеют </w:t>
      </w:r>
      <w:r>
        <w:t xml:space="preserve">права ограничивать </w:t>
      </w:r>
      <w:r w:rsidRPr="00BA3787">
        <w:t xml:space="preserve">или </w:t>
      </w:r>
      <w:r>
        <w:t xml:space="preserve">вмешиваться в процесс законного </w:t>
      </w:r>
      <w:r w:rsidRPr="00BA3787">
        <w:t>осуществлени</w:t>
      </w:r>
      <w:r>
        <w:t>я</w:t>
      </w:r>
      <w:r w:rsidRPr="00BA3787">
        <w:t xml:space="preserve"> профсоюз</w:t>
      </w:r>
      <w:r>
        <w:t>ных прав</w:t>
      </w:r>
      <w:r w:rsidRPr="00BA3787">
        <w:t xml:space="preserve">, </w:t>
      </w:r>
      <w:r>
        <w:t xml:space="preserve">за исключением случаев, когда это чревато нарушениями </w:t>
      </w:r>
      <w:r w:rsidRPr="00BA3787">
        <w:t>общественного порядка.</w:t>
      </w:r>
      <w:r>
        <w:t xml:space="preserve">  Статья </w:t>
      </w:r>
      <w:r w:rsidRPr="00BA3787">
        <w:t xml:space="preserve">264 d) Трудового </w:t>
      </w:r>
      <w:r>
        <w:t>к</w:t>
      </w:r>
      <w:r w:rsidRPr="00BA3787">
        <w:t xml:space="preserve">одекса </w:t>
      </w:r>
      <w:r>
        <w:t>предусматривает</w:t>
      </w:r>
      <w:r w:rsidRPr="00BA3787">
        <w:t xml:space="preserve">, </w:t>
      </w:r>
      <w:r>
        <w:t>что "</w:t>
      </w:r>
      <w:r w:rsidRPr="00BA3787">
        <w:t>ни</w:t>
      </w:r>
      <w:r>
        <w:t xml:space="preserve"> одно</w:t>
      </w:r>
      <w:r w:rsidRPr="00BA3787">
        <w:t xml:space="preserve"> должностное лицо или служащий, включая офицеров и персонал Новых </w:t>
      </w:r>
      <w:r>
        <w:t>в</w:t>
      </w:r>
      <w:r w:rsidRPr="00BA3787">
        <w:t>ооруженных сил Филиппин</w:t>
      </w:r>
      <w:r>
        <w:t xml:space="preserve"> или Объединенной национальной п</w:t>
      </w:r>
      <w:r w:rsidRPr="00BA3787">
        <w:t>олиции, или любо</w:t>
      </w:r>
      <w:r>
        <w:t xml:space="preserve">е другое </w:t>
      </w:r>
      <w:r w:rsidRPr="00BA3787">
        <w:t>вооруженн</w:t>
      </w:r>
      <w:r>
        <w:t>ое лицо</w:t>
      </w:r>
      <w:r w:rsidRPr="00BA3787">
        <w:t xml:space="preserve"> </w:t>
      </w:r>
      <w:r>
        <w:t>не имеет права проводить внутрь</w:t>
      </w:r>
      <w:r w:rsidRPr="00BA3787">
        <w:t xml:space="preserve">, </w:t>
      </w:r>
      <w:r>
        <w:t>представлять</w:t>
      </w:r>
      <w:r w:rsidRPr="00BA3787">
        <w:t xml:space="preserve"> или </w:t>
      </w:r>
      <w:r>
        <w:t xml:space="preserve">каким-либо образом </w:t>
      </w:r>
      <w:r w:rsidRPr="00BA3787">
        <w:t>сопрово</w:t>
      </w:r>
      <w:r>
        <w:t>ждать</w:t>
      </w:r>
      <w:r w:rsidRPr="00BA3787">
        <w:t xml:space="preserve"> любого индивидуума, </w:t>
      </w:r>
      <w:r>
        <w:t>пытающегося с</w:t>
      </w:r>
      <w:r w:rsidRPr="00BA3787">
        <w:t>менить забастовщиков</w:t>
      </w:r>
      <w:r>
        <w:t>,</w:t>
      </w:r>
      <w:r w:rsidRPr="00BA3787">
        <w:t xml:space="preserve"> вход</w:t>
      </w:r>
      <w:r>
        <w:t>ящих</w:t>
      </w:r>
      <w:r w:rsidRPr="00BA3787">
        <w:t xml:space="preserve"> </w:t>
      </w:r>
      <w:r>
        <w:t xml:space="preserve">в расположение находящихся в районе проведения </w:t>
      </w:r>
      <w:r w:rsidRPr="00BA3787">
        <w:t>забастовки</w:t>
      </w:r>
      <w:r>
        <w:t xml:space="preserve"> зданий или покидающих их</w:t>
      </w:r>
      <w:r w:rsidRPr="00BA3787">
        <w:t>, или работ</w:t>
      </w:r>
      <w:r>
        <w:t>ать</w:t>
      </w:r>
      <w:r w:rsidRPr="00BA3787">
        <w:t xml:space="preserve"> вместо забас</w:t>
      </w:r>
      <w:r>
        <w:t>товщиков.  Полиция должна находиться</w:t>
      </w:r>
      <w:r w:rsidRPr="00BA3787">
        <w:t xml:space="preserve"> </w:t>
      </w:r>
      <w:r>
        <w:t xml:space="preserve">за пределами </w:t>
      </w:r>
      <w:r w:rsidRPr="00BA3787">
        <w:t xml:space="preserve">линий пикета, если </w:t>
      </w:r>
      <w:r>
        <w:t xml:space="preserve">только там </w:t>
      </w:r>
      <w:r w:rsidRPr="00BA3787">
        <w:t xml:space="preserve">не </w:t>
      </w:r>
      <w:r>
        <w:t>совершаются акты насилия</w:t>
      </w:r>
      <w:r w:rsidRPr="00BA3787">
        <w:t xml:space="preserve"> или другие преступные де</w:t>
      </w:r>
      <w:r>
        <w:t>яния</w:t>
      </w:r>
      <w:r w:rsidRPr="00BA3787">
        <w:t>.</w:t>
      </w:r>
      <w:r>
        <w:t xml:space="preserve"> </w:t>
      </w:r>
      <w:r w:rsidRPr="00BA3787">
        <w:t xml:space="preserve"> При </w:t>
      </w:r>
      <w:r>
        <w:t>этом</w:t>
      </w:r>
      <w:r w:rsidRPr="00BA3787">
        <w:t xml:space="preserve"> ничто </w:t>
      </w:r>
      <w:r>
        <w:t xml:space="preserve">из указанного в настоящей статье </w:t>
      </w:r>
      <w:r w:rsidRPr="00BA3787">
        <w:t xml:space="preserve">не </w:t>
      </w:r>
      <w:r>
        <w:t>может интерпретироваться</w:t>
      </w:r>
      <w:r w:rsidRPr="00BA3787">
        <w:t xml:space="preserve"> </w:t>
      </w:r>
      <w:r>
        <w:t xml:space="preserve">как </w:t>
      </w:r>
      <w:r w:rsidRPr="00BA3787">
        <w:t>препятств</w:t>
      </w:r>
      <w:r>
        <w:t>ующее</w:t>
      </w:r>
      <w:r w:rsidRPr="00BA3787">
        <w:t xml:space="preserve"> любому </w:t>
      </w:r>
      <w:r>
        <w:t>государственному</w:t>
      </w:r>
      <w:r w:rsidRPr="00BA3787">
        <w:t xml:space="preserve"> </w:t>
      </w:r>
      <w:r>
        <w:t xml:space="preserve">должностному лицу принимать </w:t>
      </w:r>
      <w:r w:rsidRPr="00BA3787">
        <w:t>люб</w:t>
      </w:r>
      <w:r>
        <w:t>ые</w:t>
      </w:r>
      <w:r w:rsidRPr="00BA3787">
        <w:t xml:space="preserve"> мер</w:t>
      </w:r>
      <w:r>
        <w:t>ы</w:t>
      </w:r>
      <w:r w:rsidRPr="00BA3787">
        <w:t>, необходим</w:t>
      </w:r>
      <w:r>
        <w:t>ые</w:t>
      </w:r>
      <w:r w:rsidRPr="00BA3787">
        <w:t xml:space="preserve"> </w:t>
      </w:r>
      <w:r>
        <w:t xml:space="preserve">для </w:t>
      </w:r>
      <w:r w:rsidRPr="00BA3787">
        <w:t>поддерж</w:t>
      </w:r>
      <w:r>
        <w:t>ания</w:t>
      </w:r>
      <w:r w:rsidRPr="00BA3787">
        <w:t xml:space="preserve"> </w:t>
      </w:r>
      <w:r>
        <w:t xml:space="preserve">спокойствия </w:t>
      </w:r>
      <w:r w:rsidRPr="00BA3787">
        <w:t xml:space="preserve">и </w:t>
      </w:r>
      <w:r>
        <w:t>порядка</w:t>
      </w:r>
      <w:r w:rsidRPr="00BA3787">
        <w:t>, защи</w:t>
      </w:r>
      <w:r>
        <w:t>ты</w:t>
      </w:r>
      <w:r w:rsidRPr="00BA3787">
        <w:t xml:space="preserve"> жизн</w:t>
      </w:r>
      <w:r>
        <w:t>и</w:t>
      </w:r>
      <w:r w:rsidRPr="00BA3787">
        <w:t xml:space="preserve"> и </w:t>
      </w:r>
      <w:r>
        <w:t>имущества</w:t>
      </w:r>
      <w:r w:rsidRPr="00BA3787">
        <w:t xml:space="preserve"> и/или </w:t>
      </w:r>
      <w:r>
        <w:t>обеспечения соблюдения</w:t>
      </w:r>
      <w:r w:rsidRPr="00BA3787">
        <w:t xml:space="preserve"> закон</w:t>
      </w:r>
      <w:r>
        <w:t>а</w:t>
      </w:r>
      <w:r w:rsidRPr="00BA3787">
        <w:t xml:space="preserve"> или люб</w:t>
      </w:r>
      <w:r>
        <w:t>ых</w:t>
      </w:r>
      <w:r w:rsidRPr="00BA3787">
        <w:t xml:space="preserve"> </w:t>
      </w:r>
      <w:r>
        <w:t xml:space="preserve">предписаний </w:t>
      </w:r>
      <w:r w:rsidRPr="00BA3787">
        <w:t>закон</w:t>
      </w:r>
      <w:r>
        <w:t>а".</w:t>
      </w:r>
    </w:p>
    <w:p w:rsidR="00657694" w:rsidRPr="00BA3787" w:rsidRDefault="00657694" w:rsidP="00657694"/>
    <w:p w:rsidR="00657694" w:rsidRPr="00BA3787" w:rsidRDefault="00657694" w:rsidP="0096146A">
      <w:pPr>
        <w:tabs>
          <w:tab w:val="clear" w:pos="1701"/>
          <w:tab w:val="left" w:pos="1540"/>
        </w:tabs>
        <w:ind w:left="1540" w:hanging="1540"/>
      </w:pPr>
      <w:r w:rsidRPr="00BA3787">
        <w:rPr>
          <w:b/>
          <w:bCs/>
        </w:rPr>
        <w:t xml:space="preserve">Вопрос </w:t>
      </w:r>
      <w:r>
        <w:rPr>
          <w:b/>
          <w:bCs/>
        </w:rPr>
        <w:t>№</w:t>
      </w:r>
      <w:r w:rsidRPr="00BA3787">
        <w:rPr>
          <w:b/>
          <w:bCs/>
        </w:rPr>
        <w:t xml:space="preserve"> 5</w:t>
      </w:r>
      <w:r>
        <w:rPr>
          <w:b/>
          <w:bCs/>
        </w:rPr>
        <w:t>.</w:t>
      </w:r>
      <w:r>
        <w:rPr>
          <w:b/>
          <w:bCs/>
        </w:rPr>
        <w:tab/>
      </w:r>
      <w:r w:rsidRPr="0096146A">
        <w:rPr>
          <w:b/>
        </w:rPr>
        <w:t>Краткий</w:t>
      </w:r>
      <w:r w:rsidRPr="00BA3787">
        <w:rPr>
          <w:b/>
          <w:bCs/>
        </w:rPr>
        <w:t xml:space="preserve"> обзор изменений в национал</w:t>
      </w:r>
      <w:r>
        <w:rPr>
          <w:b/>
          <w:bCs/>
        </w:rPr>
        <w:t>ьном законодательстве и решений</w:t>
      </w:r>
      <w:r w:rsidRPr="00BA3787">
        <w:rPr>
          <w:b/>
          <w:bCs/>
        </w:rPr>
        <w:t xml:space="preserve"> суда </w:t>
      </w:r>
    </w:p>
    <w:p w:rsidR="00657694" w:rsidRPr="0033276A" w:rsidRDefault="00657694" w:rsidP="00657694">
      <w:pPr>
        <w:rPr>
          <w:b/>
          <w:bCs/>
          <w:sz w:val="20"/>
        </w:rPr>
      </w:pPr>
    </w:p>
    <w:p w:rsidR="00657694" w:rsidRPr="00BA3787" w:rsidRDefault="00657694" w:rsidP="00657694">
      <w:r>
        <w:t>305.</w:t>
      </w:r>
      <w:r>
        <w:tab/>
        <w:t xml:space="preserve">Основными изменениями, которые были введены в </w:t>
      </w:r>
      <w:r w:rsidRPr="00BA3787">
        <w:t>законодатель</w:t>
      </w:r>
      <w:r>
        <w:t>ство</w:t>
      </w:r>
      <w:r w:rsidRPr="00BA3787">
        <w:t xml:space="preserve"> в течение </w:t>
      </w:r>
      <w:r>
        <w:t xml:space="preserve">отчетного </w:t>
      </w:r>
      <w:r w:rsidRPr="00BA3787">
        <w:t>периода</w:t>
      </w:r>
      <w:r>
        <w:t>, являются</w:t>
      </w:r>
      <w:r w:rsidRPr="00BA3787">
        <w:t>:</w:t>
      </w:r>
    </w:p>
    <w:p w:rsidR="00657694" w:rsidRPr="0033276A" w:rsidRDefault="00657694" w:rsidP="00657694">
      <w:pPr>
        <w:rPr>
          <w:b/>
          <w:bCs/>
          <w:sz w:val="20"/>
        </w:rPr>
      </w:pPr>
    </w:p>
    <w:p w:rsidR="00657694" w:rsidRPr="00BA3787" w:rsidRDefault="00657694" w:rsidP="00657694">
      <w:pPr>
        <w:numPr>
          <w:ilvl w:val="0"/>
          <w:numId w:val="17"/>
        </w:numPr>
        <w:tabs>
          <w:tab w:val="clear" w:pos="1080"/>
          <w:tab w:val="left" w:pos="567"/>
          <w:tab w:val="left" w:pos="1134"/>
          <w:tab w:val="left" w:pos="1701"/>
          <w:tab w:val="left" w:pos="2268"/>
          <w:tab w:val="left" w:pos="6237"/>
        </w:tabs>
      </w:pPr>
      <w:r>
        <w:t>ПР</w:t>
      </w:r>
      <w:r w:rsidRPr="00BA3787">
        <w:t xml:space="preserve"> </w:t>
      </w:r>
      <w:r>
        <w:t xml:space="preserve">№ </w:t>
      </w:r>
      <w:r w:rsidRPr="00BA3787">
        <w:t xml:space="preserve">111 [1986], </w:t>
      </w:r>
      <w:r>
        <w:t>изменяющее</w:t>
      </w:r>
      <w:r w:rsidRPr="00BA3787">
        <w:t xml:space="preserve"> некоторые </w:t>
      </w:r>
      <w:r>
        <w:t>положения</w:t>
      </w:r>
      <w:r w:rsidRPr="00BA3787">
        <w:t xml:space="preserve"> Трудового </w:t>
      </w:r>
      <w:r>
        <w:t>к</w:t>
      </w:r>
      <w:r w:rsidRPr="00BA3787">
        <w:t>одекса</w:t>
      </w:r>
      <w:r>
        <w:t>,</w:t>
      </w:r>
      <w:r w:rsidRPr="00BA3787">
        <w:t xml:space="preserve"> </w:t>
      </w:r>
      <w:r>
        <w:t>в частности</w:t>
      </w:r>
      <w:r w:rsidRPr="00BA3787">
        <w:t xml:space="preserve"> </w:t>
      </w:r>
      <w:r>
        <w:t xml:space="preserve">в целях либерализации профсоюзных </w:t>
      </w:r>
      <w:r w:rsidRPr="00BA3787">
        <w:t>прав.</w:t>
      </w:r>
    </w:p>
    <w:p w:rsidR="00657694" w:rsidRPr="0033276A" w:rsidRDefault="00657694" w:rsidP="00657694">
      <w:pPr>
        <w:rPr>
          <w:b/>
          <w:bCs/>
          <w:sz w:val="20"/>
        </w:rPr>
      </w:pPr>
    </w:p>
    <w:p w:rsidR="00657694" w:rsidRDefault="00657694" w:rsidP="00657694">
      <w:pPr>
        <w:numPr>
          <w:ilvl w:val="0"/>
          <w:numId w:val="17"/>
        </w:numPr>
        <w:tabs>
          <w:tab w:val="clear" w:pos="1080"/>
          <w:tab w:val="left" w:pos="567"/>
          <w:tab w:val="left" w:pos="1134"/>
          <w:tab w:val="left" w:pos="1701"/>
          <w:tab w:val="left" w:pos="2268"/>
          <w:tab w:val="left" w:pos="6237"/>
        </w:tabs>
      </w:pPr>
      <w:r>
        <w:t xml:space="preserve">ПР № </w:t>
      </w:r>
      <w:r w:rsidRPr="00BA3787">
        <w:t xml:space="preserve">126 [1987], </w:t>
      </w:r>
      <w:r>
        <w:t>раздел</w:t>
      </w:r>
      <w:r w:rsidRPr="00BA3787">
        <w:t xml:space="preserve"> 22</w:t>
      </w:r>
      <w:r>
        <w:t xml:space="preserve">, в соответствии с которым был </w:t>
      </w:r>
      <w:r w:rsidRPr="00BA3787">
        <w:t>созда</w:t>
      </w:r>
      <w:r>
        <w:t>н</w:t>
      </w:r>
      <w:r w:rsidRPr="00BA3787">
        <w:t xml:space="preserve"> Национальн</w:t>
      </w:r>
      <w:r>
        <w:t>ый</w:t>
      </w:r>
      <w:r w:rsidRPr="00BA3787">
        <w:t xml:space="preserve"> </w:t>
      </w:r>
      <w:r>
        <w:t xml:space="preserve">совет по </w:t>
      </w:r>
      <w:r w:rsidRPr="00BA3787">
        <w:t>примирени</w:t>
      </w:r>
      <w:r>
        <w:t>ю</w:t>
      </w:r>
      <w:r w:rsidRPr="00BA3787">
        <w:t xml:space="preserve"> и </w:t>
      </w:r>
      <w:r>
        <w:t>п</w:t>
      </w:r>
      <w:r w:rsidRPr="00BA3787">
        <w:t>осредничеств</w:t>
      </w:r>
      <w:r>
        <w:t>у в целях принятия на себя функций Бюро трудовых о</w:t>
      </w:r>
      <w:r w:rsidRPr="00BA3787">
        <w:t>тношений</w:t>
      </w:r>
      <w:r>
        <w:t xml:space="preserve"> по </w:t>
      </w:r>
      <w:r w:rsidRPr="00BA3787">
        <w:t>примирени</w:t>
      </w:r>
      <w:r>
        <w:t>ю</w:t>
      </w:r>
      <w:r w:rsidRPr="00BA3787">
        <w:t>, посредничеств</w:t>
      </w:r>
      <w:r>
        <w:t>у</w:t>
      </w:r>
      <w:r w:rsidRPr="00BA3787">
        <w:t xml:space="preserve"> и добровольны</w:t>
      </w:r>
      <w:r>
        <w:t>х</w:t>
      </w:r>
      <w:r w:rsidRPr="00BA3787">
        <w:t xml:space="preserve"> арбитражны</w:t>
      </w:r>
      <w:r>
        <w:t>х</w:t>
      </w:r>
      <w:r w:rsidRPr="00BA3787">
        <w:t xml:space="preserve"> функци</w:t>
      </w:r>
      <w:r>
        <w:t>й</w:t>
      </w:r>
      <w:r w:rsidRPr="00BA3787">
        <w:t>.</w:t>
      </w:r>
    </w:p>
    <w:p w:rsidR="00657694" w:rsidRPr="0033276A" w:rsidRDefault="00657694" w:rsidP="0033276A">
      <w:pPr>
        <w:rPr>
          <w:b/>
          <w:bCs/>
          <w:sz w:val="20"/>
        </w:rPr>
      </w:pPr>
    </w:p>
    <w:p w:rsidR="00657694" w:rsidRPr="00BA3787" w:rsidRDefault="00657694" w:rsidP="00657694">
      <w:pPr>
        <w:numPr>
          <w:ilvl w:val="0"/>
          <w:numId w:val="17"/>
        </w:numPr>
        <w:tabs>
          <w:tab w:val="clear" w:pos="1080"/>
          <w:tab w:val="left" w:pos="567"/>
          <w:tab w:val="left" w:pos="1134"/>
          <w:tab w:val="left" w:pos="1701"/>
          <w:tab w:val="left" w:pos="2268"/>
          <w:tab w:val="left" w:pos="6237"/>
        </w:tabs>
      </w:pPr>
      <w:r>
        <w:t xml:space="preserve">ПР № </w:t>
      </w:r>
      <w:r w:rsidRPr="00BA3787">
        <w:t xml:space="preserve">180 [1987], </w:t>
      </w:r>
      <w:r>
        <w:t>содержащее</w:t>
      </w:r>
      <w:r w:rsidRPr="00BA3787">
        <w:t xml:space="preserve"> руководящие принципы</w:t>
      </w:r>
      <w:r>
        <w:t xml:space="preserve">, касающиеся осуществления </w:t>
      </w:r>
      <w:r w:rsidRPr="00BA3787">
        <w:t>права</w:t>
      </w:r>
      <w:r>
        <w:t xml:space="preserve"> на создание </w:t>
      </w:r>
      <w:r w:rsidRPr="00BA3787">
        <w:t>организ</w:t>
      </w:r>
      <w:r>
        <w:t>ации</w:t>
      </w:r>
      <w:r w:rsidRPr="00BA3787">
        <w:t xml:space="preserve"> служащи</w:t>
      </w:r>
      <w:r>
        <w:t>ми</w:t>
      </w:r>
      <w:r w:rsidRPr="00BA3787">
        <w:t xml:space="preserve"> </w:t>
      </w:r>
      <w:r>
        <w:t>государственного сектора</w:t>
      </w:r>
      <w:r w:rsidRPr="00BA3787">
        <w:t>.</w:t>
      </w:r>
    </w:p>
    <w:p w:rsidR="00657694" w:rsidRPr="0033276A" w:rsidRDefault="00657694" w:rsidP="00657694">
      <w:pPr>
        <w:rPr>
          <w:b/>
          <w:bCs/>
          <w:sz w:val="20"/>
        </w:rPr>
      </w:pPr>
    </w:p>
    <w:p w:rsidR="00657694" w:rsidRPr="00BA3787" w:rsidRDefault="00657694" w:rsidP="00657694">
      <w:pPr>
        <w:numPr>
          <w:ilvl w:val="0"/>
          <w:numId w:val="17"/>
        </w:numPr>
        <w:tabs>
          <w:tab w:val="clear" w:pos="1080"/>
          <w:tab w:val="left" w:pos="567"/>
          <w:tab w:val="left" w:pos="1134"/>
          <w:tab w:val="left" w:pos="1701"/>
          <w:tab w:val="left" w:pos="2268"/>
          <w:tab w:val="left" w:pos="6237"/>
        </w:tabs>
      </w:pPr>
      <w:r w:rsidRPr="00BA3787">
        <w:t>Р</w:t>
      </w:r>
      <w:r>
        <w:t>З</w:t>
      </w:r>
      <w:r w:rsidRPr="00BA3787">
        <w:t xml:space="preserve"> </w:t>
      </w:r>
      <w:r>
        <w:t xml:space="preserve">№ </w:t>
      </w:r>
      <w:r w:rsidRPr="00BA3787">
        <w:t xml:space="preserve">6715 </w:t>
      </w:r>
      <w:r>
        <w:t>дополняет</w:t>
      </w:r>
      <w:r w:rsidRPr="00BA3787">
        <w:t xml:space="preserve"> </w:t>
      </w:r>
      <w:r>
        <w:t xml:space="preserve">ПР № </w:t>
      </w:r>
      <w:r w:rsidRPr="00BA3787">
        <w:t xml:space="preserve">111 в </w:t>
      </w:r>
      <w:r>
        <w:t xml:space="preserve">отношении либерализации права </w:t>
      </w:r>
      <w:r w:rsidRPr="00BA3787">
        <w:t xml:space="preserve">на </w:t>
      </w:r>
      <w:r>
        <w:t xml:space="preserve">создание </w:t>
      </w:r>
      <w:r w:rsidRPr="00BA3787">
        <w:t>организаци</w:t>
      </w:r>
      <w:r>
        <w:t>и</w:t>
      </w:r>
      <w:r w:rsidRPr="00BA3787">
        <w:t xml:space="preserve">. </w:t>
      </w:r>
    </w:p>
    <w:p w:rsidR="00657694" w:rsidRPr="0033276A" w:rsidRDefault="00657694" w:rsidP="00657694">
      <w:pPr>
        <w:rPr>
          <w:b/>
          <w:bCs/>
          <w:sz w:val="20"/>
        </w:rPr>
      </w:pPr>
    </w:p>
    <w:p w:rsidR="00657694" w:rsidRDefault="00657694" w:rsidP="00657694">
      <w:r>
        <w:t>306.</w:t>
      </w:r>
      <w:r>
        <w:tab/>
      </w:r>
      <w:r w:rsidRPr="00BA3787">
        <w:t xml:space="preserve">Правительственное распоряжение </w:t>
      </w:r>
      <w:r>
        <w:t>№ 111 было принято</w:t>
      </w:r>
      <w:r w:rsidRPr="00BA3787">
        <w:t xml:space="preserve"> </w:t>
      </w:r>
      <w:r>
        <w:t>в целях демократизации</w:t>
      </w:r>
      <w:r w:rsidRPr="00BA3787">
        <w:t xml:space="preserve"> </w:t>
      </w:r>
      <w:r>
        <w:t xml:space="preserve">профсоюзных </w:t>
      </w:r>
      <w:r w:rsidRPr="00BA3787">
        <w:t xml:space="preserve">прав. </w:t>
      </w:r>
      <w:r>
        <w:t xml:space="preserve"> В результате его принятия произошли</w:t>
      </w:r>
      <w:r w:rsidRPr="00BA3787">
        <w:t xml:space="preserve"> следующие </w:t>
      </w:r>
      <w:r>
        <w:t>основные</w:t>
      </w:r>
      <w:r w:rsidRPr="00BA3787">
        <w:t xml:space="preserve"> изменения: </w:t>
      </w:r>
      <w:r>
        <w:t xml:space="preserve"> </w:t>
      </w:r>
      <w:r w:rsidRPr="00BA3787">
        <w:t xml:space="preserve">a) </w:t>
      </w:r>
      <w:r>
        <w:t xml:space="preserve"> в </w:t>
      </w:r>
      <w:r w:rsidRPr="00BA3787">
        <w:t>требовани</w:t>
      </w:r>
      <w:r>
        <w:t xml:space="preserve">и о наличии минимального установленного количества </w:t>
      </w:r>
      <w:r w:rsidRPr="00BA3787">
        <w:t>член</w:t>
      </w:r>
      <w:r>
        <w:t>ов</w:t>
      </w:r>
      <w:r w:rsidRPr="00BA3787">
        <w:t xml:space="preserve"> </w:t>
      </w:r>
      <w:r>
        <w:t xml:space="preserve">до формирования организации этот показатель </w:t>
      </w:r>
      <w:r w:rsidRPr="00BA3787">
        <w:t xml:space="preserve">был </w:t>
      </w:r>
      <w:r>
        <w:t>с</w:t>
      </w:r>
      <w:r w:rsidRPr="00BA3787">
        <w:t xml:space="preserve">нижен </w:t>
      </w:r>
      <w:r>
        <w:t>до 2</w:t>
      </w:r>
      <w:r w:rsidRPr="00BA3787">
        <w:t>0</w:t>
      </w:r>
      <w:r>
        <w:t xml:space="preserve">% от общего количества </w:t>
      </w:r>
      <w:r w:rsidRPr="00BA3787">
        <w:t>членов соответствующей</w:t>
      </w:r>
      <w:r>
        <w:t xml:space="preserve"> структуры, ведущей коллективные переговоры</w:t>
      </w:r>
      <w:r w:rsidRPr="00BA3787">
        <w:t xml:space="preserve">; </w:t>
      </w:r>
      <w:r>
        <w:t xml:space="preserve"> </w:t>
      </w:r>
      <w:r w:rsidRPr="00BA3787">
        <w:t xml:space="preserve">b) </w:t>
      </w:r>
      <w:r>
        <w:t xml:space="preserve"> согласно этому распоряжению была отменена концепция "одна отрасль - один профсоюз"</w:t>
      </w:r>
      <w:r w:rsidRPr="00BA3787">
        <w:t xml:space="preserve">, </w:t>
      </w:r>
      <w:r>
        <w:t xml:space="preserve">предусмотренная в </w:t>
      </w:r>
      <w:r w:rsidRPr="00BA3787">
        <w:t>стары</w:t>
      </w:r>
      <w:r>
        <w:t>х</w:t>
      </w:r>
      <w:r w:rsidRPr="00BA3787">
        <w:t xml:space="preserve"> </w:t>
      </w:r>
      <w:r>
        <w:t xml:space="preserve">положениях статей </w:t>
      </w:r>
      <w:r w:rsidRPr="00BA3787">
        <w:t xml:space="preserve">238 и 239 Трудового </w:t>
      </w:r>
      <w:r>
        <w:t>к</w:t>
      </w:r>
      <w:r w:rsidRPr="00BA3787">
        <w:t>одекса;</w:t>
      </w:r>
      <w:r>
        <w:t xml:space="preserve">  </w:t>
      </w:r>
      <w:r w:rsidRPr="00BA3787">
        <w:t>c)</w:t>
      </w:r>
      <w:r>
        <w:t>  в этом документе было</w:t>
      </w:r>
      <w:r w:rsidRPr="00BA3787">
        <w:t xml:space="preserve"> призна</w:t>
      </w:r>
      <w:r>
        <w:t>но</w:t>
      </w:r>
      <w:r w:rsidRPr="00BA3787">
        <w:t xml:space="preserve"> право служащих </w:t>
      </w:r>
      <w:r>
        <w:t>государственных корпораций</w:t>
      </w:r>
      <w:r w:rsidRPr="00BA3787">
        <w:t xml:space="preserve">, организованных </w:t>
      </w:r>
      <w:r>
        <w:t>на основе</w:t>
      </w:r>
      <w:r w:rsidRPr="00BA3787">
        <w:t xml:space="preserve"> Кодекс</w:t>
      </w:r>
      <w:r>
        <w:t>а</w:t>
      </w:r>
      <w:r w:rsidRPr="00BA3787">
        <w:t xml:space="preserve"> </w:t>
      </w:r>
      <w:r>
        <w:t>акционерных компаний</w:t>
      </w:r>
      <w:r w:rsidRPr="00BA3787">
        <w:t xml:space="preserve">, </w:t>
      </w:r>
      <w:r>
        <w:t xml:space="preserve">создавать профсоюзные организации </w:t>
      </w:r>
      <w:r w:rsidRPr="00BA3787">
        <w:t xml:space="preserve">и </w:t>
      </w:r>
      <w:r>
        <w:t>вести коллективные переговоры.  Фактически, такие государственные</w:t>
      </w:r>
      <w:r w:rsidRPr="00BA3787">
        <w:t xml:space="preserve"> служащие были </w:t>
      </w:r>
      <w:r>
        <w:t>выведены</w:t>
      </w:r>
      <w:r w:rsidRPr="00BA3787">
        <w:t xml:space="preserve"> </w:t>
      </w:r>
      <w:r>
        <w:t>за рамки</w:t>
      </w:r>
      <w:r w:rsidRPr="00BA3787">
        <w:t xml:space="preserve"> законов </w:t>
      </w:r>
      <w:r>
        <w:t xml:space="preserve">о </w:t>
      </w:r>
      <w:r w:rsidRPr="00BA3787">
        <w:t>государственной служб</w:t>
      </w:r>
      <w:r>
        <w:t>е,</w:t>
      </w:r>
      <w:r w:rsidRPr="00BA3787">
        <w:t xml:space="preserve"> </w:t>
      </w:r>
      <w:r>
        <w:t xml:space="preserve">и на них стали распространяться положения </w:t>
      </w:r>
      <w:r w:rsidRPr="00BA3787">
        <w:t xml:space="preserve">Трудового </w:t>
      </w:r>
      <w:r>
        <w:t>к</w:t>
      </w:r>
      <w:r w:rsidRPr="00BA3787">
        <w:t>одекса</w:t>
      </w:r>
      <w:r>
        <w:t>, касающиеся</w:t>
      </w:r>
      <w:r w:rsidRPr="00BA3787">
        <w:t xml:space="preserve"> </w:t>
      </w:r>
      <w:r>
        <w:t xml:space="preserve">создания профсоюзных </w:t>
      </w:r>
      <w:r w:rsidRPr="00BA3787">
        <w:t>организаци</w:t>
      </w:r>
      <w:r>
        <w:t>й</w:t>
      </w:r>
      <w:r w:rsidRPr="00BA3787">
        <w:t xml:space="preserve"> и </w:t>
      </w:r>
      <w:r>
        <w:t xml:space="preserve">ведения коллективных </w:t>
      </w:r>
      <w:r w:rsidRPr="00BA3787">
        <w:t xml:space="preserve">переговоров; </w:t>
      </w:r>
      <w:r>
        <w:t xml:space="preserve"> </w:t>
      </w:r>
      <w:r w:rsidRPr="00BA3787">
        <w:t xml:space="preserve">d) </w:t>
      </w:r>
      <w:r>
        <w:t xml:space="preserve"> в нем до 20% было снижено требуемое количество членов, необходимых для получения </w:t>
      </w:r>
      <w:r w:rsidRPr="00BA3787">
        <w:t xml:space="preserve">поддержки </w:t>
      </w:r>
      <w:r>
        <w:t xml:space="preserve">в целях направления </w:t>
      </w:r>
      <w:r w:rsidRPr="00BA3787">
        <w:t>ходатайств</w:t>
      </w:r>
      <w:r>
        <w:t>а</w:t>
      </w:r>
      <w:r w:rsidRPr="00BA3787">
        <w:t xml:space="preserve"> </w:t>
      </w:r>
      <w:r>
        <w:t xml:space="preserve">о проведении сертифицированных </w:t>
      </w:r>
      <w:r w:rsidRPr="00BA3787">
        <w:t>выбор</w:t>
      </w:r>
      <w:r>
        <w:t xml:space="preserve">ов </w:t>
      </w:r>
      <w:r w:rsidRPr="00BA3787">
        <w:t>в учреждениях</w:t>
      </w:r>
      <w:r>
        <w:t>, где не существуют профсоюзные организации</w:t>
      </w:r>
      <w:r w:rsidRPr="00BA3787">
        <w:t xml:space="preserve">; </w:t>
      </w:r>
      <w:r>
        <w:t xml:space="preserve"> </w:t>
      </w:r>
      <w:r w:rsidRPr="00BA3787">
        <w:t xml:space="preserve">d) </w:t>
      </w:r>
      <w:r>
        <w:t xml:space="preserve"> данный документ запрещает</w:t>
      </w:r>
      <w:r w:rsidRPr="00BA3787">
        <w:t xml:space="preserve"> </w:t>
      </w:r>
      <w:r>
        <w:t>должностным</w:t>
      </w:r>
      <w:r w:rsidRPr="00BA3787">
        <w:t xml:space="preserve"> лица</w:t>
      </w:r>
      <w:r>
        <w:t>м, а</w:t>
      </w:r>
      <w:r w:rsidRPr="00BA3787">
        <w:t xml:space="preserve"> также </w:t>
      </w:r>
      <w:r>
        <w:t>служащим</w:t>
      </w:r>
      <w:r w:rsidRPr="00BA3787">
        <w:t xml:space="preserve"> </w:t>
      </w:r>
      <w:r>
        <w:t>в</w:t>
      </w:r>
      <w:r w:rsidRPr="00BA3787">
        <w:t xml:space="preserve">ооруженных сил и национальной </w:t>
      </w:r>
      <w:r>
        <w:t>п</w:t>
      </w:r>
      <w:r w:rsidRPr="00BA3787">
        <w:t>олиции сопровожд</w:t>
      </w:r>
      <w:r>
        <w:t>ать</w:t>
      </w:r>
      <w:r w:rsidRPr="00BA3787">
        <w:t xml:space="preserve"> </w:t>
      </w:r>
      <w:r>
        <w:t>отдельных лиц</w:t>
      </w:r>
      <w:r w:rsidRPr="00BA3787">
        <w:t xml:space="preserve"> в </w:t>
      </w:r>
      <w:r>
        <w:t xml:space="preserve">помещения </w:t>
      </w:r>
      <w:r w:rsidRPr="00BA3787">
        <w:t xml:space="preserve">компании </w:t>
      </w:r>
      <w:r>
        <w:t>для смены</w:t>
      </w:r>
      <w:r w:rsidRPr="00BA3787">
        <w:t xml:space="preserve"> забастовщиков.</w:t>
      </w:r>
    </w:p>
    <w:p w:rsidR="00ED31C8" w:rsidRDefault="00ED31C8" w:rsidP="00657694"/>
    <w:p w:rsidR="00657694" w:rsidRDefault="00657694" w:rsidP="00657694">
      <w:r>
        <w:t>307.</w:t>
      </w:r>
      <w:r>
        <w:tab/>
        <w:t>Согласно п</w:t>
      </w:r>
      <w:r w:rsidRPr="00BA3787">
        <w:t>равительственно</w:t>
      </w:r>
      <w:r>
        <w:t>му</w:t>
      </w:r>
      <w:r w:rsidRPr="00BA3787">
        <w:t xml:space="preserve"> распоряжени</w:t>
      </w:r>
      <w:r>
        <w:t>ю</w:t>
      </w:r>
      <w:r w:rsidRPr="00BA3787">
        <w:t xml:space="preserve"> </w:t>
      </w:r>
      <w:r>
        <w:t>№</w:t>
      </w:r>
      <w:r w:rsidRPr="00BA3787">
        <w:t xml:space="preserve"> 180</w:t>
      </w:r>
      <w:r>
        <w:t>,</w:t>
      </w:r>
      <w:r w:rsidRPr="00BA3787">
        <w:t xml:space="preserve"> </w:t>
      </w:r>
      <w:r>
        <w:t xml:space="preserve">было </w:t>
      </w:r>
      <w:r w:rsidRPr="00BA3787">
        <w:t xml:space="preserve">восстановлено право </w:t>
      </w:r>
      <w:r>
        <w:t>служащих</w:t>
      </w:r>
      <w:r w:rsidRPr="00BA3787">
        <w:t xml:space="preserve"> </w:t>
      </w:r>
      <w:r>
        <w:t>государственного</w:t>
      </w:r>
      <w:r w:rsidRPr="00BA3787">
        <w:t xml:space="preserve"> сектор</w:t>
      </w:r>
      <w:r>
        <w:t>а</w:t>
      </w:r>
      <w:r w:rsidRPr="00BA3787">
        <w:t xml:space="preserve"> </w:t>
      </w:r>
      <w:r>
        <w:t>на</w:t>
      </w:r>
      <w:r w:rsidRPr="00BA3787">
        <w:t xml:space="preserve"> </w:t>
      </w:r>
      <w:r>
        <w:t xml:space="preserve">создание </w:t>
      </w:r>
      <w:r w:rsidRPr="00BA3787">
        <w:t>организ</w:t>
      </w:r>
      <w:r>
        <w:t>ации.  С</w:t>
      </w:r>
      <w:r w:rsidRPr="00BA3787">
        <w:t>лужащи</w:t>
      </w:r>
      <w:r>
        <w:t>е</w:t>
      </w:r>
      <w:r w:rsidRPr="00BA3787">
        <w:t xml:space="preserve"> </w:t>
      </w:r>
      <w:r>
        <w:t>государственного сектора лишились этого права в</w:t>
      </w:r>
      <w:r w:rsidRPr="00BA3787">
        <w:t xml:space="preserve"> 1972 </w:t>
      </w:r>
      <w:r>
        <w:t xml:space="preserve">году </w:t>
      </w:r>
      <w:r w:rsidRPr="00BA3787">
        <w:t xml:space="preserve">после </w:t>
      </w:r>
      <w:r>
        <w:t xml:space="preserve">объявления </w:t>
      </w:r>
      <w:r w:rsidRPr="00BA3787">
        <w:t xml:space="preserve">военного положения. </w:t>
      </w:r>
      <w:r>
        <w:t xml:space="preserve"> По состоянию на июнь</w:t>
      </w:r>
      <w:r w:rsidRPr="00BA3787">
        <w:t xml:space="preserve"> </w:t>
      </w:r>
      <w:r>
        <w:t>2002 года в стране имеется 1 072 зарегистрированные</w:t>
      </w:r>
      <w:r w:rsidRPr="00BA3787">
        <w:t xml:space="preserve"> </w:t>
      </w:r>
      <w:r>
        <w:t>проф</w:t>
      </w:r>
      <w:r w:rsidRPr="00BA3787">
        <w:t>союз</w:t>
      </w:r>
      <w:r>
        <w:t>ные организации в</w:t>
      </w:r>
      <w:r w:rsidRPr="00BA3787">
        <w:t xml:space="preserve"> </w:t>
      </w:r>
      <w:r>
        <w:t>государственном секторе</w:t>
      </w:r>
      <w:r w:rsidRPr="00BA3787">
        <w:t xml:space="preserve">. </w:t>
      </w:r>
      <w:r>
        <w:t xml:space="preserve"> </w:t>
      </w:r>
      <w:r w:rsidRPr="00BA3787">
        <w:t xml:space="preserve">Из них 346 были аккредитованы </w:t>
      </w:r>
      <w:r>
        <w:t xml:space="preserve">в </w:t>
      </w:r>
      <w:r w:rsidRPr="00BA3787">
        <w:t>ка</w:t>
      </w:r>
      <w:r>
        <w:t>честве</w:t>
      </w:r>
      <w:r w:rsidRPr="00BA3787">
        <w:t xml:space="preserve"> единственн</w:t>
      </w:r>
      <w:r>
        <w:t>ой уполномоченной</w:t>
      </w:r>
      <w:r w:rsidRPr="00BA3787">
        <w:t xml:space="preserve"> </w:t>
      </w:r>
      <w:r>
        <w:t>вести коллективные переговоры организации</w:t>
      </w:r>
      <w:r w:rsidRPr="00BA3787">
        <w:t xml:space="preserve"> в пределах их соответствующих </w:t>
      </w:r>
      <w:r>
        <w:t>государственных учреждений</w:t>
      </w:r>
      <w:r w:rsidRPr="00BA3787">
        <w:t>.</w:t>
      </w:r>
    </w:p>
    <w:p w:rsidR="00657694" w:rsidRDefault="00657694" w:rsidP="00657694"/>
    <w:p w:rsidR="00657694" w:rsidRDefault="00657694" w:rsidP="00657694">
      <w:r>
        <w:t>308.</w:t>
      </w:r>
      <w:r>
        <w:tab/>
      </w:r>
      <w:r w:rsidRPr="00BA3787">
        <w:t>Республик</w:t>
      </w:r>
      <w:r>
        <w:t>анский</w:t>
      </w:r>
      <w:r w:rsidRPr="00BA3787">
        <w:t xml:space="preserve"> </w:t>
      </w:r>
      <w:r>
        <w:t>закон №</w:t>
      </w:r>
      <w:r w:rsidRPr="00BA3787">
        <w:t xml:space="preserve"> 6715 </w:t>
      </w:r>
      <w:r>
        <w:t>продолжил проведение</w:t>
      </w:r>
      <w:r w:rsidRPr="00BA3787">
        <w:t xml:space="preserve"> реформ, начаты</w:t>
      </w:r>
      <w:r>
        <w:t>х ПР</w:t>
      </w:r>
      <w:r w:rsidRPr="00BA3787">
        <w:t xml:space="preserve"> </w:t>
      </w:r>
      <w:r>
        <w:t xml:space="preserve">№ </w:t>
      </w:r>
      <w:r w:rsidRPr="00BA3787">
        <w:t xml:space="preserve">180. </w:t>
      </w:r>
      <w:r>
        <w:t xml:space="preserve"> Особого упоминания заслуживают с</w:t>
      </w:r>
      <w:r w:rsidRPr="00BA3787">
        <w:t xml:space="preserve">ледующие изменения: </w:t>
      </w:r>
      <w:r>
        <w:t xml:space="preserve"> </w:t>
      </w:r>
      <w:r w:rsidRPr="00BA3787">
        <w:t>a)</w:t>
      </w:r>
      <w:r>
        <w:t xml:space="preserve"> </w:t>
      </w:r>
      <w:r w:rsidRPr="00BA3787">
        <w:t xml:space="preserve"> </w:t>
      </w:r>
      <w:r>
        <w:t>в этом законе продлен</w:t>
      </w:r>
      <w:r w:rsidRPr="00BA3787">
        <w:t xml:space="preserve"> срок</w:t>
      </w:r>
      <w:r>
        <w:t xml:space="preserve"> действия </w:t>
      </w:r>
      <w:r w:rsidRPr="00BA3787">
        <w:t xml:space="preserve"> </w:t>
      </w:r>
      <w:r>
        <w:t>коллективных договоров в том, что касается</w:t>
      </w:r>
      <w:r w:rsidRPr="00BA3787">
        <w:t xml:space="preserve"> </w:t>
      </w:r>
      <w:r>
        <w:t>представительского аспекта, с</w:t>
      </w:r>
      <w:r w:rsidRPr="00BA3787">
        <w:t xml:space="preserve"> трех до пяти лет </w:t>
      </w:r>
      <w:r>
        <w:t>в целях содействия экономической</w:t>
      </w:r>
      <w:r w:rsidRPr="00BA3787">
        <w:t xml:space="preserve"> стабильност</w:t>
      </w:r>
      <w:r>
        <w:t xml:space="preserve">и. </w:t>
      </w:r>
      <w:r w:rsidRPr="00BA3787">
        <w:t xml:space="preserve"> </w:t>
      </w:r>
      <w:r>
        <w:t xml:space="preserve">Вместе с тем </w:t>
      </w:r>
      <w:r w:rsidRPr="00BA3787">
        <w:t xml:space="preserve">другие </w:t>
      </w:r>
      <w:r>
        <w:t xml:space="preserve">положения коллективного договора подлежат новому обсуждению не позднее чем через </w:t>
      </w:r>
      <w:r w:rsidRPr="00BA3787">
        <w:t>три года</w:t>
      </w:r>
      <w:r>
        <w:t xml:space="preserve"> после его выполнения (статья</w:t>
      </w:r>
      <w:r w:rsidRPr="00BA3787">
        <w:t xml:space="preserve"> 253-A); </w:t>
      </w:r>
      <w:r>
        <w:t xml:space="preserve"> </w:t>
      </w:r>
      <w:r w:rsidRPr="00BA3787">
        <w:t xml:space="preserve">b)  </w:t>
      </w:r>
      <w:r>
        <w:t>в законе четко</w:t>
      </w:r>
      <w:r w:rsidRPr="00BA3787">
        <w:t xml:space="preserve"> призна</w:t>
      </w:r>
      <w:r>
        <w:t>ется</w:t>
      </w:r>
      <w:r w:rsidRPr="00BA3787">
        <w:t xml:space="preserve"> право </w:t>
      </w:r>
      <w:r>
        <w:t>отдельных</w:t>
      </w:r>
      <w:r w:rsidRPr="00BA3787">
        <w:t xml:space="preserve"> членов профсоюза участвовать в </w:t>
      </w:r>
      <w:r>
        <w:t xml:space="preserve">разработке </w:t>
      </w:r>
      <w:r w:rsidRPr="00BA3787">
        <w:t>политик</w:t>
      </w:r>
      <w:r>
        <w:t>и и принятии</w:t>
      </w:r>
      <w:r w:rsidRPr="00BA3787">
        <w:t xml:space="preserve"> решени</w:t>
      </w:r>
      <w:r>
        <w:t>й</w:t>
      </w:r>
      <w:r w:rsidRPr="00BA3787">
        <w:t xml:space="preserve"> в учреждении, где они </w:t>
      </w:r>
      <w:r>
        <w:t>работают</w:t>
      </w:r>
      <w:r w:rsidRPr="00BA3787">
        <w:t xml:space="preserve"> (</w:t>
      </w:r>
      <w:r>
        <w:t>статья</w:t>
      </w:r>
      <w:r w:rsidRPr="00BA3787">
        <w:t xml:space="preserve"> 255);</w:t>
      </w:r>
      <w:r>
        <w:t xml:space="preserve">  c)  для проведения выборов по утверждению структуры, уполномоченной вести коллективные переговоры, в законе вводится требование о наличии 25% подписей в поддержку подачи ходатайства о проведении таких выборов в учреждении, являющемся членом профсоюзной организации, в целях содействия сохранению стабильности в производстве (статья 256), отменено требование о поддержке подачи такого ходатайства в учреждениях, не являющихся членами профсоюзной организации (статья 257);  в законе предусматривается создание механизмов подачи жалоб и добровольного арбитража и создание в рамках этого процесса добровольного арбитражного фонда (статьи 260</w:t>
      </w:r>
      <w:r>
        <w:noBreakHyphen/>
        <w:t>262 и 277 [f]);  и  d)  в законе признается, что каждый служащий имеет право вступить в организацию с первого дня выхода на работу (статья 277</w:t>
      </w:r>
      <w:r w:rsidR="004A4062">
        <w:t xml:space="preserve"> </w:t>
      </w:r>
      <w:r>
        <w:t>b</w:t>
      </w:r>
      <w:r w:rsidR="004A4062">
        <w:t>)</w:t>
      </w:r>
      <w:r>
        <w:t>).</w:t>
      </w:r>
    </w:p>
    <w:p w:rsidR="00657694" w:rsidRDefault="00657694" w:rsidP="00657694"/>
    <w:p w:rsidR="00657694" w:rsidRDefault="00657694" w:rsidP="00657694">
      <w:r>
        <w:t>309.</w:t>
      </w:r>
      <w:r>
        <w:tab/>
        <w:t>При применении этих законов Верховный суд руководствуется широко проводимой государством политикой защиты трудящихся и утверждением принципа свободы выбора в осуществлении права на создание организации.</w:t>
      </w:r>
    </w:p>
    <w:p w:rsidR="00657694" w:rsidRDefault="00657694" w:rsidP="00657694"/>
    <w:p w:rsidR="00657694" w:rsidRDefault="00657694" w:rsidP="00657694">
      <w:r>
        <w:t>310.</w:t>
      </w:r>
      <w:r>
        <w:tab/>
        <w:t xml:space="preserve">В 1994 году МТЗ учредило </w:t>
      </w:r>
      <w:r>
        <w:rPr>
          <w:i/>
          <w:iCs/>
        </w:rPr>
        <w:t>Программу развития организаций трудящихся</w:t>
      </w:r>
      <w:r>
        <w:t>, с тем чтобы помочь таким организациям путем принятия мер в области наращивания потенциала или развития предпринимательства.  С 1994 года на финансирование этой программы правительство выделило 343 658 000 филиппинских песо.</w:t>
      </w:r>
    </w:p>
    <w:p w:rsidR="00657694" w:rsidRDefault="00657694" w:rsidP="00657694"/>
    <w:p w:rsidR="00657694" w:rsidRDefault="00657694" w:rsidP="00657694">
      <w:r>
        <w:t>311.</w:t>
      </w:r>
      <w:r>
        <w:tab/>
        <w:t>МТЗ признало коллективные переговоры в качестве средства для ликвидации неравенства в области заработной платы женщин.  В поддержку профсоюзного движения МТЗ организовало обучение по вопросам трудовых отношений для объединенных и необъединенных в профсоюзы учреждений, а также курсы и консультации по вопросам отстаивания своих позиций на переговорах для женщин-руководителей профсоюзных организаций и трудящихся 204 ассоциаций и организаций трудящихся.  Семинары, направленные на поощрение развития экономических прав, проводились для трудящихся, членов профсоюза и руководства предприятий в государственных экономических зонах Управления по экспортной деятельности Филиппин.</w:t>
      </w:r>
    </w:p>
    <w:p w:rsidR="00657694" w:rsidRDefault="00657694" w:rsidP="0033276A">
      <w:pPr>
        <w:spacing w:line="240" w:lineRule="auto"/>
      </w:pPr>
    </w:p>
    <w:p w:rsidR="00B661D8" w:rsidRDefault="00B661D8" w:rsidP="0033276A">
      <w:pPr>
        <w:numPr>
          <w:ilvl w:val="12"/>
          <w:numId w:val="0"/>
        </w:numPr>
        <w:autoSpaceDE w:val="0"/>
        <w:autoSpaceDN w:val="0"/>
        <w:adjustRightInd w:val="0"/>
        <w:spacing w:line="240" w:lineRule="auto"/>
        <w:jc w:val="center"/>
        <w:rPr>
          <w:b/>
          <w:bCs/>
          <w:smallCaps/>
        </w:rPr>
      </w:pPr>
      <w:r>
        <w:rPr>
          <w:b/>
          <w:bCs/>
        </w:rPr>
        <w:t>Статья 9</w:t>
      </w:r>
    </w:p>
    <w:p w:rsidR="00B661D8" w:rsidRDefault="00B661D8" w:rsidP="0033276A">
      <w:pPr>
        <w:numPr>
          <w:ilvl w:val="12"/>
          <w:numId w:val="0"/>
        </w:numPr>
        <w:autoSpaceDE w:val="0"/>
        <w:autoSpaceDN w:val="0"/>
        <w:adjustRightInd w:val="0"/>
        <w:spacing w:line="240" w:lineRule="auto"/>
        <w:rPr>
          <w:b/>
          <w:bCs/>
          <w:smallCaps/>
        </w:rPr>
      </w:pPr>
    </w:p>
    <w:p w:rsidR="00B661D8" w:rsidRDefault="00B661D8" w:rsidP="0096146A">
      <w:pPr>
        <w:tabs>
          <w:tab w:val="clear" w:pos="1701"/>
          <w:tab w:val="left" w:pos="1540"/>
        </w:tabs>
        <w:ind w:left="1540" w:hanging="1540"/>
        <w:rPr>
          <w:b/>
          <w:bCs/>
        </w:rPr>
      </w:pPr>
      <w:r>
        <w:rPr>
          <w:b/>
          <w:bCs/>
        </w:rPr>
        <w:t>Вопрос № 1.</w:t>
      </w:r>
      <w:r>
        <w:rPr>
          <w:b/>
          <w:bCs/>
        </w:rPr>
        <w:tab/>
        <w:t>Конвенции МОТ, касающиеся статьи 9, государством-участником которых являются Филиппины</w:t>
      </w:r>
      <w:r w:rsidRPr="00B423D1">
        <w:rPr>
          <w:b/>
          <w:bCs/>
        </w:rPr>
        <w:t xml:space="preserve"> </w:t>
      </w:r>
    </w:p>
    <w:p w:rsidR="00B661D8" w:rsidRPr="0033276A" w:rsidRDefault="00B661D8" w:rsidP="00B661D8">
      <w:pPr>
        <w:rPr>
          <w:sz w:val="20"/>
        </w:rPr>
      </w:pPr>
    </w:p>
    <w:p w:rsidR="00B661D8" w:rsidRDefault="00B661D8" w:rsidP="00B661D8">
      <w:r>
        <w:t>312.</w:t>
      </w:r>
      <w:r>
        <w:tab/>
        <w:t>Филиппины не являются участником Конвенций МОТ № 102, 121, 128, 130 и 168.  Однако они являются участником следующих Конвенций:</w:t>
      </w:r>
    </w:p>
    <w:p w:rsidR="00B661D8" w:rsidRPr="0033276A" w:rsidRDefault="00B661D8" w:rsidP="00B661D8">
      <w:pPr>
        <w:rPr>
          <w:sz w:val="20"/>
        </w:rPr>
      </w:pPr>
    </w:p>
    <w:p w:rsidR="00B661D8" w:rsidRDefault="00B661D8" w:rsidP="00B661D8">
      <w:pPr>
        <w:numPr>
          <w:ilvl w:val="0"/>
          <w:numId w:val="18"/>
        </w:numPr>
        <w:tabs>
          <w:tab w:val="clear" w:pos="1080"/>
        </w:tabs>
      </w:pPr>
      <w:r>
        <w:t>Конвенции МОТ № 118 (Конвенция 1962 года о равноправии в области социального обеспечения);</w:t>
      </w:r>
    </w:p>
    <w:p w:rsidR="00B661D8" w:rsidRPr="0033276A" w:rsidRDefault="00B661D8" w:rsidP="00B661D8">
      <w:pPr>
        <w:rPr>
          <w:sz w:val="20"/>
        </w:rPr>
      </w:pPr>
    </w:p>
    <w:p w:rsidR="00B661D8" w:rsidRDefault="00B661D8" w:rsidP="00B661D8">
      <w:pPr>
        <w:numPr>
          <w:ilvl w:val="0"/>
          <w:numId w:val="18"/>
        </w:numPr>
        <w:tabs>
          <w:tab w:val="clear" w:pos="1080"/>
        </w:tabs>
      </w:pPr>
      <w:r>
        <w:t>Конвенции МОТ № 157 (Конвенция 1982 года о сохранении прав в области социального обеспечения);</w:t>
      </w:r>
    </w:p>
    <w:p w:rsidR="00B661D8" w:rsidRPr="0033276A" w:rsidRDefault="00B661D8" w:rsidP="00B661D8">
      <w:pPr>
        <w:rPr>
          <w:sz w:val="20"/>
        </w:rPr>
      </w:pPr>
    </w:p>
    <w:p w:rsidR="00B661D8" w:rsidRDefault="00B661D8" w:rsidP="00B661D8">
      <w:pPr>
        <w:numPr>
          <w:ilvl w:val="0"/>
          <w:numId w:val="18"/>
        </w:numPr>
        <w:tabs>
          <w:tab w:val="clear" w:pos="1080"/>
        </w:tabs>
      </w:pPr>
      <w:r>
        <w:t>Конвенции МОТ № 17 (Конвенция 1925 года о возмещении трудящимся при несчастных случаях на производстве);</w:t>
      </w:r>
    </w:p>
    <w:p w:rsidR="00B661D8" w:rsidRPr="0033276A" w:rsidRDefault="00B661D8" w:rsidP="00B661D8">
      <w:pPr>
        <w:rPr>
          <w:sz w:val="20"/>
        </w:rPr>
      </w:pPr>
    </w:p>
    <w:p w:rsidR="00B661D8" w:rsidRDefault="00B661D8" w:rsidP="00B661D8">
      <w:pPr>
        <w:numPr>
          <w:ilvl w:val="0"/>
          <w:numId w:val="18"/>
        </w:numPr>
        <w:tabs>
          <w:tab w:val="clear" w:pos="1080"/>
        </w:tabs>
      </w:pPr>
      <w:r>
        <w:t>Конвенции МОТ № 19 (Конвенция 1952 года о равноправии в области возмещения при несчастных случаях).</w:t>
      </w:r>
    </w:p>
    <w:p w:rsidR="00B661D8" w:rsidRPr="0033276A" w:rsidRDefault="00B661D8" w:rsidP="00B661D8">
      <w:pPr>
        <w:rPr>
          <w:sz w:val="20"/>
        </w:rPr>
      </w:pPr>
    </w:p>
    <w:p w:rsidR="00B661D8" w:rsidRDefault="00B661D8" w:rsidP="0096146A">
      <w:pPr>
        <w:tabs>
          <w:tab w:val="clear" w:pos="1701"/>
          <w:tab w:val="left" w:pos="1540"/>
        </w:tabs>
        <w:ind w:left="1540" w:hanging="1540"/>
        <w:rPr>
          <w:b/>
        </w:rPr>
      </w:pPr>
      <w:r>
        <w:rPr>
          <w:b/>
        </w:rPr>
        <w:t>Вопрос № 2.</w:t>
      </w:r>
      <w:r>
        <w:rPr>
          <w:b/>
        </w:rPr>
        <w:tab/>
        <w:t>Виды социального обеспечения, существующие в стране</w:t>
      </w:r>
    </w:p>
    <w:p w:rsidR="00B661D8" w:rsidRPr="0033276A" w:rsidRDefault="00B661D8" w:rsidP="00B661D8">
      <w:pPr>
        <w:rPr>
          <w:sz w:val="20"/>
        </w:rPr>
      </w:pPr>
    </w:p>
    <w:p w:rsidR="00B661D8" w:rsidRDefault="00B661D8" w:rsidP="00B661D8">
      <w:r>
        <w:t>313.</w:t>
      </w:r>
      <w:r>
        <w:tab/>
        <w:t xml:space="preserve">На Филиппинах существуют следующие виды социального обеспечения:  а)  медицинское обслуживание;  </w:t>
      </w:r>
      <w:r>
        <w:rPr>
          <w:lang w:val="en-US"/>
        </w:rPr>
        <w:t>b</w:t>
      </w:r>
      <w:r>
        <w:t xml:space="preserve">)  пособия по болезни;  с)  пособия по беременности и родам;  </w:t>
      </w:r>
      <w:r>
        <w:rPr>
          <w:lang w:val="en-US"/>
        </w:rPr>
        <w:t>d</w:t>
      </w:r>
      <w:r>
        <w:t xml:space="preserve">)  пособия по старости;  е)  пособия по инвалидности;  </w:t>
      </w:r>
      <w:r>
        <w:rPr>
          <w:lang w:val="en-US"/>
        </w:rPr>
        <w:t>f</w:t>
      </w:r>
      <w:r>
        <w:t xml:space="preserve">)  пособия в связи с потерей кормильца;  и  </w:t>
      </w:r>
      <w:r>
        <w:rPr>
          <w:lang w:val="en-US"/>
        </w:rPr>
        <w:t>g</w:t>
      </w:r>
      <w:r>
        <w:t>)  пособия в связи с производственной травмой.</w:t>
      </w:r>
    </w:p>
    <w:p w:rsidR="00B661D8" w:rsidRPr="0033276A" w:rsidRDefault="00B661D8" w:rsidP="00B661D8">
      <w:pPr>
        <w:rPr>
          <w:sz w:val="20"/>
        </w:rPr>
      </w:pPr>
    </w:p>
    <w:p w:rsidR="00B661D8" w:rsidRDefault="00B661D8" w:rsidP="00B661D8">
      <w:r>
        <w:t>314.</w:t>
      </w:r>
      <w:r>
        <w:tab/>
        <w:t xml:space="preserve">Кроме того, в соответствии с РЗ № 8291 осуществляется программа уменьшения безработицы.  В этом законе содержится долгожданная поправка к пересмотренному 20 лет тому назад уставу Системы страхования государственных служащих (ССГС), известному как </w:t>
      </w:r>
      <w:r>
        <w:rPr>
          <w:lang w:val="en-US"/>
        </w:rPr>
        <w:t>PD</w:t>
      </w:r>
      <w:r>
        <w:t xml:space="preserve"> 1146.  Она не только усилила и расширила социальную защиту государственных служащих, но и предоставила более широкие полномочия и функции ССГС, чтобы дать ей возможность более эффективно реагировать на потребности своих членов.  Кроме того, в этой системе также предусмотрены определенные льготы, являющиеся частью существующих на Филиппинах программ социального обеспечения.  Этот аспект социального обеспечения был реализован посредством создания Фонда Паг</w:t>
      </w:r>
      <w:r>
        <w:noBreakHyphen/>
        <w:t>ИБИГ, давшего возможность решить две основные проблемы страны, а именно накопление сбережений и обеспечение доступного жилья для трудящихся.</w:t>
      </w:r>
    </w:p>
    <w:p w:rsidR="00B661D8" w:rsidRPr="0033276A" w:rsidRDefault="00B661D8" w:rsidP="00B661D8">
      <w:pPr>
        <w:rPr>
          <w:sz w:val="20"/>
        </w:rPr>
      </w:pPr>
    </w:p>
    <w:p w:rsidR="00B661D8" w:rsidRDefault="00B661D8" w:rsidP="0096146A">
      <w:pPr>
        <w:tabs>
          <w:tab w:val="clear" w:pos="1701"/>
          <w:tab w:val="left" w:pos="1540"/>
        </w:tabs>
        <w:ind w:left="1540" w:hanging="1540"/>
        <w:rPr>
          <w:b/>
        </w:rPr>
      </w:pPr>
      <w:r>
        <w:rPr>
          <w:b/>
        </w:rPr>
        <w:t>Вопрос № 3.</w:t>
      </w:r>
      <w:r>
        <w:rPr>
          <w:b/>
        </w:rPr>
        <w:tab/>
        <w:t>Основные признаки или схемы существующей системы социального обеспечения</w:t>
      </w:r>
    </w:p>
    <w:p w:rsidR="00B661D8" w:rsidRPr="0033276A" w:rsidRDefault="00B661D8" w:rsidP="00B661D8">
      <w:pPr>
        <w:rPr>
          <w:sz w:val="20"/>
        </w:rPr>
      </w:pPr>
    </w:p>
    <w:p w:rsidR="00B661D8" w:rsidRDefault="00B661D8" w:rsidP="00B661D8">
      <w:pPr>
        <w:rPr>
          <w:b/>
        </w:rPr>
      </w:pPr>
      <w:r>
        <w:rPr>
          <w:b/>
        </w:rPr>
        <w:t>Медицинское страхование (медицинское обслуживание)</w:t>
      </w:r>
    </w:p>
    <w:p w:rsidR="00B661D8" w:rsidRPr="0033276A" w:rsidRDefault="00B661D8" w:rsidP="00B661D8">
      <w:pPr>
        <w:rPr>
          <w:sz w:val="20"/>
        </w:rPr>
      </w:pPr>
    </w:p>
    <w:p w:rsidR="00B661D8" w:rsidRDefault="00B661D8" w:rsidP="00B661D8">
      <w:r>
        <w:t>315.</w:t>
      </w:r>
      <w:r>
        <w:tab/>
        <w:t>"Медикеар" представляет собой программу медицинского страхования, в рамках которой зарегистрированные в ней члены выплачивают ежемесячные взносы, которые в свою очередь используются для финансирования медицинских потребностей застрахованных членов, которым в случае заболевания, требующего госпитализации, может понадобиться финансовая помощь.</w:t>
      </w:r>
    </w:p>
    <w:p w:rsidR="00B661D8" w:rsidRPr="0033276A" w:rsidRDefault="00B661D8" w:rsidP="00B661D8">
      <w:pPr>
        <w:rPr>
          <w:sz w:val="20"/>
        </w:rPr>
      </w:pPr>
    </w:p>
    <w:p w:rsidR="00B661D8" w:rsidRDefault="00B661D8" w:rsidP="00B661D8">
      <w:r>
        <w:t>316.</w:t>
      </w:r>
      <w:r>
        <w:tab/>
        <w:t>Республиканский закон № 7875 (Национальный закон о медицинском страховании 1995 года) распространил действие программы медицинского обслуживания на всех граждан Филиппин.</w:t>
      </w:r>
    </w:p>
    <w:p w:rsidR="00B661D8" w:rsidRPr="0033276A" w:rsidRDefault="00B661D8" w:rsidP="00B661D8">
      <w:pPr>
        <w:rPr>
          <w:sz w:val="20"/>
        </w:rPr>
      </w:pPr>
    </w:p>
    <w:p w:rsidR="00B661D8" w:rsidRDefault="00B661D8" w:rsidP="00B661D8">
      <w:r>
        <w:t>317.</w:t>
      </w:r>
      <w:r>
        <w:tab/>
        <w:t>Эта программа охватывает всех лиц, имеющих в настоящее время право на льготы и пособие в рамках программы "Медикеар", включая членов ССО и ССГС, военнослужащих в отставке, пенсионеров и их иждивенцев;  всех лиц, имеющих право на получение льгот и пособий в рамках схем медицинского страхования, учрежденных Филиппинской корпорацией медицинского страхования (ФКМС);  и всех лиц, имеющих право на получение льгот и пособий в качестве членов других программ медицинского страхования, инициированных правительством, общинных организаций по оказанию медицинской помощи или частных некоммерческих программ медицинского страхования.</w:t>
      </w:r>
    </w:p>
    <w:p w:rsidR="00B661D8" w:rsidRPr="0033276A" w:rsidRDefault="00B661D8" w:rsidP="00B661D8">
      <w:pPr>
        <w:rPr>
          <w:sz w:val="20"/>
        </w:rPr>
      </w:pPr>
    </w:p>
    <w:p w:rsidR="00B661D8" w:rsidRDefault="00B661D8" w:rsidP="00B661D8">
      <w:r>
        <w:t>318.</w:t>
      </w:r>
      <w:r>
        <w:tab/>
        <w:t>С тем чтобы правительство могло финансировать эту программу, все ее участники вносят взносы в фонд в соответствии со шкалой приемлемых, равноправных и прогрессивных взносов, составленной на основе применимых актуарных исследований и в соответствии со следующими принципами:</w:t>
      </w:r>
    </w:p>
    <w:p w:rsidR="00B661D8" w:rsidRPr="0033276A" w:rsidRDefault="00B661D8" w:rsidP="00B661D8">
      <w:pPr>
        <w:rPr>
          <w:sz w:val="20"/>
        </w:rPr>
      </w:pPr>
    </w:p>
    <w:p w:rsidR="00B661D8" w:rsidRDefault="00B661D8" w:rsidP="00B661D8">
      <w:pPr>
        <w:numPr>
          <w:ilvl w:val="0"/>
          <w:numId w:val="19"/>
        </w:numPr>
      </w:pPr>
      <w:r>
        <w:t>работники формального сектора и нынешние члены системы "Медикеар", а также их работодатели постоянно выплачивают одну и ту же сумму месячных взносов, которые предусмотрены законом, до тех пор пока ФКМС не разработает вышеупомянутую шкалу внесения взносов;  при этом размер их месячного взноса не должен превышать 3% от размера их заработной платы.</w:t>
      </w:r>
    </w:p>
    <w:p w:rsidR="00B661D8" w:rsidRDefault="00B661D8" w:rsidP="00B661D8">
      <w:pPr>
        <w:numPr>
          <w:ilvl w:val="0"/>
          <w:numId w:val="19"/>
        </w:numPr>
      </w:pPr>
      <w:r>
        <w:t>Взносы членов, работающих не по найму, должны основываться в первую очередь на доходе и активах семьи;  вместе с тем общая сумма их взносов за год не должна превышать 3% от уровня их соответствующего месячного заработка.</w:t>
      </w:r>
    </w:p>
    <w:p w:rsidR="00B661D8" w:rsidRDefault="00B661D8" w:rsidP="00B661D8">
      <w:pPr>
        <w:tabs>
          <w:tab w:val="clear" w:pos="1134"/>
        </w:tabs>
      </w:pPr>
    </w:p>
    <w:p w:rsidR="00B661D8" w:rsidRDefault="00B661D8" w:rsidP="00B661D8">
      <w:pPr>
        <w:numPr>
          <w:ilvl w:val="0"/>
          <w:numId w:val="19"/>
        </w:numPr>
      </w:pPr>
      <w:r>
        <w:t>Взносы, вносимые от имени неимущих членов программы, не должны превышать сумму минимальных взносов, установленную для работающих членов.</w:t>
      </w:r>
    </w:p>
    <w:p w:rsidR="00B661D8" w:rsidRDefault="00B661D8" w:rsidP="00B661D8">
      <w:pPr>
        <w:tabs>
          <w:tab w:val="clear" w:pos="1134"/>
        </w:tabs>
      </w:pPr>
    </w:p>
    <w:p w:rsidR="00B661D8" w:rsidRDefault="00B661D8" w:rsidP="00B661D8">
      <w:pPr>
        <w:numPr>
          <w:ilvl w:val="0"/>
          <w:numId w:val="19"/>
        </w:numPr>
      </w:pPr>
      <w:r>
        <w:t>Взносы неимущих членов программы частично субсидируются органами самоуправления, действующими в месте проживания таких лиц.  Со своей стороны, ФКМС вносит за этих лиц часть взноса, аналогичную той части, которая выплачивается органами местного самоуправления, при условии, что центральное правительство будет компенсировать органам местного самоуправления четвертого, пятого и шестого разряда до 90% субсидий, выплачиваемых на страхование неимущих, в течение периода, не превышающего пяти лет.  Доля органов местного самоуправления будет постепенно возрастать до тех пор, пока она не сравняется с долей центрального правительства.</w:t>
      </w:r>
    </w:p>
    <w:p w:rsidR="00B661D8" w:rsidRDefault="00B661D8" w:rsidP="00B661D8">
      <w:pPr>
        <w:ind w:left="567"/>
      </w:pPr>
    </w:p>
    <w:p w:rsidR="00B661D8" w:rsidRDefault="00B661D8" w:rsidP="00B661D8">
      <w:pPr>
        <w:jc w:val="center"/>
        <w:rPr>
          <w:b/>
        </w:rPr>
      </w:pPr>
      <w:r>
        <w:rPr>
          <w:b/>
        </w:rPr>
        <w:t>В.</w:t>
      </w:r>
      <w:r>
        <w:rPr>
          <w:b/>
        </w:rPr>
        <w:tab/>
        <w:t>Медицинское страхование (денежные пособия по болезни)</w:t>
      </w:r>
    </w:p>
    <w:p w:rsidR="00B661D8" w:rsidRDefault="00B661D8" w:rsidP="00B661D8">
      <w:pPr>
        <w:jc w:val="center"/>
        <w:rPr>
          <w:b/>
        </w:rPr>
      </w:pPr>
    </w:p>
    <w:p w:rsidR="00B661D8" w:rsidRDefault="00B661D8" w:rsidP="00B661D8">
      <w:r>
        <w:t>319.</w:t>
      </w:r>
      <w:r>
        <w:tab/>
        <w:t>Денежное пособие по болезни представляет собой ежедневное денежное пособие, выплачиваемое члену ССО или ССГС за дни утраченной им трудоспособности по причине болезни или полученной травмы, число которых не может превышать 120 дней любого календарного года.  В обеих системах размеры пособий по болезни различаются.</w:t>
      </w:r>
    </w:p>
    <w:p w:rsidR="00B661D8" w:rsidRDefault="00B661D8" w:rsidP="00B661D8"/>
    <w:p w:rsidR="00B661D8" w:rsidRDefault="00B661D8" w:rsidP="00B661D8">
      <w:r>
        <w:t>320.</w:t>
      </w:r>
      <w:r>
        <w:tab/>
        <w:t>В рамках ССО пособие по болезни представляет собой ежедневные денежные выплаты за количество дней утраченной членом ССО трудоспособности вследствие болезни или травмы.  Член ССО имеет право на получение пособия по болезни при соблюдении таких условий:  1)  данное лицо внесло по крайней мере трехмесячные взносы за 12-месячный период, предшествующий наступлению непредвиденного случая;  2)  этот член ССО был госпитализирован не менее чем на четыре дня;  3)  ССО было получено уведомление;  и  4)  в случае штатных сотрудников ими были использованы все дни отпуска по болезни.</w:t>
      </w:r>
    </w:p>
    <w:p w:rsidR="00B661D8" w:rsidRDefault="00B661D8" w:rsidP="00B661D8"/>
    <w:p w:rsidR="00B661D8" w:rsidRDefault="00B661D8" w:rsidP="00B661D8">
      <w:r>
        <w:t>321.</w:t>
      </w:r>
      <w:r>
        <w:tab/>
        <w:t>Сумма ежедневно выплачиваемого пособия по болезни эквивалентна 90% его средней дневной заработной платы.  Член ССО может получать пособие по болезни в течение 120 дней за один календарный год.  Вместе с тем пособие по одной и той же болезни не может выплачиваться более 240 дней.</w:t>
      </w:r>
    </w:p>
    <w:p w:rsidR="00B661D8" w:rsidRDefault="00B661D8" w:rsidP="00B661D8"/>
    <w:p w:rsidR="00B661D8" w:rsidRDefault="00B661D8" w:rsidP="00B661D8">
      <w:r w:rsidRPr="0031627E">
        <w:t>322.</w:t>
      </w:r>
      <w:r w:rsidRPr="0031627E">
        <w:tab/>
      </w:r>
      <w:r>
        <w:t xml:space="preserve">Что касается </w:t>
      </w:r>
      <w:r w:rsidRPr="0031627E">
        <w:t>СС</w:t>
      </w:r>
      <w:r>
        <w:t>Г</w:t>
      </w:r>
      <w:r w:rsidRPr="0031627E">
        <w:t>С</w:t>
      </w:r>
      <w:r>
        <w:t>, то ее</w:t>
      </w:r>
      <w:r w:rsidRPr="0031627E">
        <w:t xml:space="preserve"> член </w:t>
      </w:r>
      <w:r>
        <w:t>может получать пособия в следующих случаях:  i)  если на момент наступления нетрудоспособности он уже был зачислен на работу;  или ii)  если в случае увольнения он проработал не менее трех лет и заплатил взносы за шесть месяцев 12-месячного периода, непосредственно предшествующего наступлению нетрудоспособности.  Члену ССГС с временной полной потерей трудоспособности полагается ежедневное пособие по временной нетрудоспособности (не превышающее более 120 дней за один календарный год) в размере 75% дневного заработка или части этой суммы после использования всех отпускных дней по болезни или пособий по болезни, предусмотренных в коллективном договоре, при наличии таковых, но не раньше, чем на четвертый день после наступления временной нетрудоспособности.  Член ССГС не может одновременно получать пособие в связи с временной полной потерей трудоспособности и оплачиваемый отпуск по болезни.  Однако, если в целях восстановление трудоспособности требует более экстенсивного лечения, превышающего 120 дней, ССГС может продлить выплату пособия по временной полной утрате трудоспособности, но на срок, не превышающий 240 дней.</w:t>
      </w:r>
    </w:p>
    <w:p w:rsidR="00B661D8" w:rsidRDefault="00B661D8" w:rsidP="00B661D8"/>
    <w:p w:rsidR="00B661D8" w:rsidRDefault="00B661D8" w:rsidP="00B661D8">
      <w:r>
        <w:t>323.</w:t>
      </w:r>
      <w:r>
        <w:tab/>
        <w:t>В главе II тома IV</w:t>
      </w:r>
      <w:r w:rsidRPr="00F93751">
        <w:t xml:space="preserve"> Трудового кодекса также пред</w:t>
      </w:r>
      <w:r>
        <w:t xml:space="preserve">усматривается выплата денежных пособий членам ССО и ССГС, заболевших или получивших травмы при выполнении своих трудовых обязанностей.  </w:t>
      </w:r>
    </w:p>
    <w:p w:rsidR="00B661D8" w:rsidRDefault="00B661D8" w:rsidP="00B661D8"/>
    <w:p w:rsidR="00B661D8" w:rsidRDefault="00B661D8" w:rsidP="00B661D8">
      <w:r>
        <w:t>324.</w:t>
      </w:r>
      <w:r>
        <w:tab/>
        <w:t>В случае наступления временной полной нетрудоспособности вследствие профессионального заболевания или травмы работник имеет право на получение денежных выплат в форме ежедневных денежных пособий, которые эквивалентны 90% размера средней дневной заработной платы такого работника, но не превышают 90 песо для членов ССГС и 200 песо для членов ССО.</w:t>
      </w:r>
    </w:p>
    <w:p w:rsidR="00B661D8" w:rsidRDefault="00B661D8" w:rsidP="00B661D8"/>
    <w:p w:rsidR="00B661D8" w:rsidRDefault="00B661D8" w:rsidP="00B661D8">
      <w:r>
        <w:t>325.</w:t>
      </w:r>
      <w:r>
        <w:tab/>
        <w:t>Такое ежедневное денежное пособие в связи с профессиональными заболеваниями выплачивается в дополнение или сверх пособий, предоставляемых в рамках ССО и ССГС в соответствии с принципом "одновременного получения пособий".</w:t>
      </w:r>
    </w:p>
    <w:p w:rsidR="00B661D8" w:rsidRDefault="00B661D8" w:rsidP="00B661D8"/>
    <w:p w:rsidR="00B661D8" w:rsidRDefault="00B661D8" w:rsidP="00B661D8">
      <w:r>
        <w:t>326.</w:t>
      </w:r>
      <w:r>
        <w:tab/>
        <w:t xml:space="preserve">Временная полная потеря трудоспособности (ВППТ) определяется как состоянием работника, при котором он не может выполнять оплачиваемую работу на протяжении длительного периода времени, не превышающего 120 дней, который может быть продлен после 120 дней при необходимости получения медицинского ухода на </w:t>
      </w:r>
      <w:r w:rsidR="0033276A">
        <w:t>срок, не превышающий 240 дней.</w:t>
      </w:r>
    </w:p>
    <w:p w:rsidR="00B661D8" w:rsidRDefault="00B661D8" w:rsidP="00B661D8"/>
    <w:p w:rsidR="00B661D8" w:rsidRDefault="00B661D8" w:rsidP="00B661D8">
      <w:r>
        <w:t>327.</w:t>
      </w:r>
      <w:r>
        <w:tab/>
        <w:t xml:space="preserve">Денежное пособие, предоставляемое в случае ВППТ, является формой замены заработной платы (компенсации за утрату заработков или дохода) в течение периода нетрудоспособности.  Отсчет периода компенсации начинается с первого дня получения такой травмы или заболевания.  </w:t>
      </w:r>
    </w:p>
    <w:p w:rsidR="00B661D8" w:rsidRDefault="00B661D8" w:rsidP="00B661D8"/>
    <w:p w:rsidR="00B661D8" w:rsidRDefault="00B661D8" w:rsidP="00B661D8">
      <w:r>
        <w:t>328.</w:t>
      </w:r>
      <w:r>
        <w:tab/>
        <w:t>В том случае, если такое заболевание или травма произошли до того момента, как сотрудник надлежащим образом оформил все документы для регистрации в системе страхования, за выплату этого пособия несет ответственность работодатель.</w:t>
      </w:r>
    </w:p>
    <w:p w:rsidR="00B661D8" w:rsidRDefault="00B661D8" w:rsidP="00B661D8"/>
    <w:p w:rsidR="00B661D8" w:rsidRDefault="00B661D8" w:rsidP="00B661D8">
      <w:pPr>
        <w:jc w:val="center"/>
        <w:rPr>
          <w:b/>
        </w:rPr>
      </w:pPr>
      <w:r>
        <w:rPr>
          <w:b/>
        </w:rPr>
        <w:t>С.</w:t>
      </w:r>
      <w:r>
        <w:rPr>
          <w:b/>
        </w:rPr>
        <w:tab/>
        <w:t>Пособие по беременности и родам</w:t>
      </w:r>
    </w:p>
    <w:p w:rsidR="00B661D8" w:rsidRDefault="00B661D8" w:rsidP="00B661D8">
      <w:pPr>
        <w:jc w:val="center"/>
        <w:rPr>
          <w:b/>
        </w:rPr>
      </w:pPr>
    </w:p>
    <w:p w:rsidR="00B661D8" w:rsidRDefault="00B661D8" w:rsidP="00B661D8">
      <w:r>
        <w:t>329.</w:t>
      </w:r>
      <w:r>
        <w:tab/>
        <w:t>Пособие по беременности и родам выплачивается женщинам - членам ССО, родившим ребенка, имевшим выкидыш или сделавшим аборт.</w:t>
      </w:r>
    </w:p>
    <w:p w:rsidR="00B661D8" w:rsidRDefault="00B661D8" w:rsidP="00B661D8"/>
    <w:p w:rsidR="00B661D8" w:rsidRDefault="00B661D8" w:rsidP="00D5652C">
      <w:pPr>
        <w:spacing w:line="276" w:lineRule="auto"/>
      </w:pPr>
      <w:r>
        <w:t>330.</w:t>
      </w:r>
      <w:r>
        <w:tab/>
        <w:t>Предоставляемое ССО пособие по беременности и родам является ежедневным денежным пособием,</w:t>
      </w:r>
      <w:r w:rsidRPr="004F7D71">
        <w:t xml:space="preserve"> </w:t>
      </w:r>
      <w:r>
        <w:t>выплачиваемым членам этой системы, которые не могут работать вследствие рождения ребенка или прерывания беременности.  Размер пособия зависит от количества компенсируемых дней и вида родов.  Пособия по беременности и родам выплачиваются только членам системы женского пола и по четырем беременностям.  Основным условием для получения права на такое пособие является выплата по крайней мере трех месячных взносов за 12-месячный период, предшествующий полугодию, в котором наступила беременность.</w:t>
      </w:r>
    </w:p>
    <w:p w:rsidR="00B661D8" w:rsidRDefault="00B661D8" w:rsidP="00B661D8"/>
    <w:p w:rsidR="00B661D8" w:rsidRDefault="00B661D8" w:rsidP="00B661D8">
      <w:r>
        <w:t>331.</w:t>
      </w:r>
      <w:r>
        <w:tab/>
        <w:t>Сумма пособия по беременности и родам эквивалентна 100% дневной средней заработной платы члена ССО, умноженной на 60 дней (в случае нормальных родов, выкидыша или аборта) или на 78 дней (в случае родов с кесаревым сечением).</w:t>
      </w:r>
    </w:p>
    <w:p w:rsidR="00B661D8" w:rsidRDefault="00B661D8" w:rsidP="00B661D8"/>
    <w:p w:rsidR="00B661D8" w:rsidRDefault="00B661D8" w:rsidP="00B661D8">
      <w:r>
        <w:t>332.</w:t>
      </w:r>
      <w:r>
        <w:tab/>
        <w:t xml:space="preserve">В соответствии с Законом о гражданской службе женщина - член ССО имеет право брать 60-дневный оплачиваемый отпуск по беременности и родам.  </w:t>
      </w:r>
    </w:p>
    <w:p w:rsidR="00B661D8" w:rsidRDefault="00B661D8" w:rsidP="00D5652C">
      <w:pPr>
        <w:spacing w:line="240" w:lineRule="auto"/>
      </w:pPr>
    </w:p>
    <w:p w:rsidR="00B661D8" w:rsidRDefault="00B661D8" w:rsidP="00D47D5A">
      <w:pPr>
        <w:keepNext/>
        <w:spacing w:line="240" w:lineRule="auto"/>
        <w:jc w:val="center"/>
        <w:rPr>
          <w:b/>
        </w:rPr>
      </w:pPr>
      <w:r>
        <w:rPr>
          <w:b/>
          <w:lang w:val="en-US"/>
        </w:rPr>
        <w:t>D</w:t>
      </w:r>
      <w:r>
        <w:rPr>
          <w:b/>
        </w:rPr>
        <w:t>.</w:t>
      </w:r>
      <w:r>
        <w:rPr>
          <w:b/>
        </w:rPr>
        <w:tab/>
        <w:t>Пособия</w:t>
      </w:r>
      <w:r w:rsidRPr="00A36B60">
        <w:rPr>
          <w:b/>
        </w:rPr>
        <w:t xml:space="preserve"> по старости</w:t>
      </w:r>
    </w:p>
    <w:p w:rsidR="00B661D8" w:rsidRDefault="00B661D8" w:rsidP="00D47D5A">
      <w:pPr>
        <w:keepNext/>
        <w:spacing w:line="240" w:lineRule="auto"/>
        <w:jc w:val="center"/>
        <w:rPr>
          <w:b/>
        </w:rPr>
      </w:pPr>
    </w:p>
    <w:p w:rsidR="00B661D8" w:rsidRDefault="00B661D8" w:rsidP="00B661D8">
      <w:r w:rsidRPr="006839C9">
        <w:t>3</w:t>
      </w:r>
      <w:r>
        <w:t>33</w:t>
      </w:r>
      <w:r w:rsidRPr="006839C9">
        <w:t>.</w:t>
      </w:r>
      <w:r w:rsidRPr="006839C9">
        <w:tab/>
        <w:t>Пособие по старости представляет собой денежное пособие, выплачиваемое члену ССО, который не может продолжать работу в связи с пр</w:t>
      </w:r>
      <w:r>
        <w:t>е</w:t>
      </w:r>
      <w:r w:rsidRPr="006839C9">
        <w:t>клонным возрастом</w:t>
      </w:r>
      <w:r>
        <w:t xml:space="preserve"> или который достиг пенсионного возраста, установленного законом.  </w:t>
      </w:r>
    </w:p>
    <w:p w:rsidR="00B661D8" w:rsidRDefault="00B661D8" w:rsidP="00B661D8"/>
    <w:p w:rsidR="00B661D8" w:rsidRDefault="00B661D8" w:rsidP="00D5652C">
      <w:pPr>
        <w:spacing w:line="276" w:lineRule="auto"/>
      </w:pPr>
      <w:r>
        <w:t>334.</w:t>
      </w:r>
      <w:r>
        <w:tab/>
        <w:t xml:space="preserve">Пособие ССО в связи с выходом на пенсию представляет собой денежное пособие, выплачиваемое в виде ежемесячной пенсии или единовременного платежа.  Член ССО, не имеющий оснований для получения ежемесячной пенсии, имеет право на получение единовременной суммы, эквивалентной сумме всех выплаченных им самим и его предыдущими работодателями взносов, плюс заработанные проценты.  Для этого ему должно исполниться по крайней мере 60 лет, он не должен заниматься трудовой деятельностью и должен принять решение о прекращении выплаты взносов.  </w:t>
      </w:r>
    </w:p>
    <w:p w:rsidR="00B661D8" w:rsidRPr="00D5652C" w:rsidRDefault="00B661D8" w:rsidP="00B661D8">
      <w:pPr>
        <w:rPr>
          <w:sz w:val="20"/>
        </w:rPr>
      </w:pPr>
    </w:p>
    <w:p w:rsidR="00B661D8" w:rsidRDefault="00B661D8" w:rsidP="00D5652C">
      <w:pPr>
        <w:spacing w:line="276" w:lineRule="auto"/>
      </w:pPr>
      <w:r>
        <w:t>335.</w:t>
      </w:r>
      <w:r>
        <w:tab/>
        <w:t xml:space="preserve">Застрахованный член ССО имеет право на получение пожизненной ежемесячной пенсии, если он внес по крайней мере 120 месячных взносов и после выхода на пенсию достиг 60-летнего возраста или, в случае продолжения работы, достиг возраста в 65 лет.  Что касается шахтеров, то они, как члены ССО, имеют право на получение пенсии по достижении 55 лет, если они прекратили работать, внес по крайней мере 120 месячных взносов, работал шахтером по крайней мере пять лет;  или достиг возраста в 60 лет вне зависимости от того, продолжает он при этом трудиться или нет.  </w:t>
      </w:r>
    </w:p>
    <w:p w:rsidR="00B661D8" w:rsidRPr="00D5652C" w:rsidRDefault="00B661D8" w:rsidP="00B661D8">
      <w:pPr>
        <w:rPr>
          <w:sz w:val="20"/>
        </w:rPr>
      </w:pPr>
    </w:p>
    <w:p w:rsidR="00B661D8" w:rsidRDefault="00B661D8" w:rsidP="00B661D8">
      <w:r>
        <w:t>336.</w:t>
      </w:r>
      <w:r>
        <w:tab/>
        <w:t>Кроме ежемесячной пенсии, пенсионер имеет право на получение  пенсии за тринадцатый месяц.  Выходящее на пенсию лицо имеет возможность получить свои первые 18 месячных пенсий в виде единовременной суммы, рассчитанной по преференциальной процентной ставке.  После этого этот пенсионер начинает получать свою ежемесячную пенсию на девятнадцатый месяц.</w:t>
      </w:r>
    </w:p>
    <w:p w:rsidR="00B661D8" w:rsidRPr="00D5652C" w:rsidRDefault="00B661D8" w:rsidP="00B661D8">
      <w:pPr>
        <w:rPr>
          <w:sz w:val="20"/>
        </w:rPr>
      </w:pPr>
    </w:p>
    <w:p w:rsidR="00B661D8" w:rsidRDefault="00B661D8" w:rsidP="00D5652C">
      <w:pPr>
        <w:spacing w:line="276" w:lineRule="auto"/>
      </w:pPr>
      <w:r>
        <w:t>337.</w:t>
      </w:r>
      <w:r>
        <w:tab/>
        <w:t xml:space="preserve">Что касается лиц, удовлетворяющих всем требованиям в отношении получения пенсии, но выходящих на пенсию после 60 лет, то они будут получать ежемесячную пенсию, рассчитываемую по состоянию на самую раннюю дату возможного выхода на пенсию, прекращения работы по найму или самостоятельно, включая все коррективы, либо рассчитываемую на момент фактического выхода на пенсию, в зависимости от того, какая из них будет выше.  </w:t>
      </w:r>
    </w:p>
    <w:p w:rsidR="00B661D8" w:rsidRPr="00D5652C" w:rsidRDefault="00B661D8" w:rsidP="00B661D8">
      <w:pPr>
        <w:rPr>
          <w:sz w:val="20"/>
        </w:rPr>
      </w:pPr>
    </w:p>
    <w:p w:rsidR="00B661D8" w:rsidRDefault="00B661D8" w:rsidP="00B661D8">
      <w:r>
        <w:t>338.</w:t>
      </w:r>
      <w:r>
        <w:tab/>
        <w:t>Пенсионер, выходящий на пенсию более одного раза, имеет право на получение более высокой из двух пенсий, начисляемых во время первой и второй подачи заявления о выходе на пенсию</w:t>
      </w:r>
      <w:r w:rsidR="00D5652C">
        <w:t>.</w:t>
      </w:r>
    </w:p>
    <w:p w:rsidR="00B661D8" w:rsidRPr="00D5652C" w:rsidRDefault="00B661D8" w:rsidP="00B661D8">
      <w:pPr>
        <w:rPr>
          <w:sz w:val="20"/>
        </w:rPr>
      </w:pPr>
    </w:p>
    <w:p w:rsidR="00B661D8" w:rsidRDefault="00B661D8" w:rsidP="00B661D8">
      <w:r>
        <w:t>339.</w:t>
      </w:r>
      <w:r>
        <w:tab/>
        <w:t>В случае возобновления работы по найму или самостоятельной работы пенсионером в возрасте до 65 лет выплата ежемесячной пенсии приостанавливается.</w:t>
      </w:r>
    </w:p>
    <w:p w:rsidR="00B661D8" w:rsidRPr="00D5652C" w:rsidRDefault="00B661D8" w:rsidP="00B661D8">
      <w:pPr>
        <w:rPr>
          <w:sz w:val="20"/>
        </w:rPr>
      </w:pPr>
    </w:p>
    <w:p w:rsidR="00B661D8" w:rsidRDefault="00B661D8" w:rsidP="00B661D8">
      <w:r>
        <w:t>340.</w:t>
      </w:r>
      <w:r>
        <w:tab/>
        <w:t>После смерти пенсионера, являвшегося членом ССО, его основные бенефициары на дату выхода на пенсию имеют право на продолжение получения его пенсии.</w:t>
      </w:r>
    </w:p>
    <w:p w:rsidR="00B661D8" w:rsidRPr="00D5652C" w:rsidRDefault="00B661D8" w:rsidP="00B661D8">
      <w:pPr>
        <w:rPr>
          <w:sz w:val="20"/>
        </w:rPr>
      </w:pPr>
    </w:p>
    <w:p w:rsidR="00B661D8" w:rsidRDefault="00B661D8" w:rsidP="00B661D8">
      <w:r>
        <w:t>341.</w:t>
      </w:r>
      <w:r>
        <w:tab/>
        <w:t xml:space="preserve">Государственный служащий, желающий покинуть службу до наступления обязательного 65-летнего возраста выхода на пенсию, имеет право на получение пенсии при условии, что:  </w:t>
      </w:r>
      <w:r>
        <w:rPr>
          <w:lang w:val="en-US"/>
        </w:rPr>
        <w:t>i</w:t>
      </w:r>
      <w:r>
        <w:t xml:space="preserve">)  он проработал на государственной службе не менее 15 лет;  </w:t>
      </w:r>
      <w:r>
        <w:rPr>
          <w:lang w:val="en-US"/>
        </w:rPr>
        <w:t>ii</w:t>
      </w:r>
      <w:r>
        <w:t xml:space="preserve">)  ему исполнилось по крайней мере 60 лет на момент выхода на пенсию;  и </w:t>
      </w:r>
      <w:r w:rsidRPr="00B34A21">
        <w:t xml:space="preserve"> </w:t>
      </w:r>
      <w:r>
        <w:rPr>
          <w:lang w:val="en-US"/>
        </w:rPr>
        <w:t>iii</w:t>
      </w:r>
      <w:r>
        <w:t>)  он не получает ежемесячную пенсию в связи с постоянной утратой трудоспособности.</w:t>
      </w:r>
    </w:p>
    <w:p w:rsidR="00B661D8" w:rsidRPr="00D5652C" w:rsidRDefault="00B661D8" w:rsidP="00B661D8">
      <w:pPr>
        <w:rPr>
          <w:sz w:val="20"/>
        </w:rPr>
      </w:pPr>
    </w:p>
    <w:p w:rsidR="00B661D8" w:rsidRDefault="00B661D8" w:rsidP="00B661D8">
      <w:r>
        <w:t>342.</w:t>
      </w:r>
      <w:r>
        <w:tab/>
        <w:t xml:space="preserve">Пособие в связи с выходом на пенсию эквивалентно либо единовременной денежной выплате в размере 60 ежемесячных базовых пенсий с последующей пожизненной выплатой ежемесячной пенсии после истечения 60-месячного периода, либо единовременной денежной выплате в размере 18 ежемесячных пенсий с последующей пожизненной выплатой ежемесячной пенсии сразу же </w:t>
      </w:r>
      <w:r w:rsidR="004A4062">
        <w:t>с</w:t>
      </w:r>
      <w:r>
        <w:t xml:space="preserve"> наступлени</w:t>
      </w:r>
      <w:r w:rsidR="004A4062">
        <w:t>ем</w:t>
      </w:r>
      <w:r>
        <w:t xml:space="preserve"> даты выхода на пенсию.</w:t>
      </w:r>
    </w:p>
    <w:p w:rsidR="00B661D8" w:rsidRPr="00D5652C" w:rsidRDefault="00B661D8" w:rsidP="00B661D8">
      <w:pPr>
        <w:rPr>
          <w:sz w:val="20"/>
        </w:rPr>
      </w:pPr>
    </w:p>
    <w:p w:rsidR="00B661D8" w:rsidRDefault="00B661D8" w:rsidP="00B661D8">
      <w:r>
        <w:t>343.</w:t>
      </w:r>
      <w:r>
        <w:tab/>
        <w:t>В случае возобновления работы по найму или  самостоятельной работы пенсионером в возрасте до 65 лет выплата ежемесячной пенсии приостанавливается.  Он и его работодатель подлежат повторному обязательному страхованию в системе социального страхования.</w:t>
      </w:r>
    </w:p>
    <w:p w:rsidR="00B661D8" w:rsidRPr="00D5652C" w:rsidRDefault="00B661D8" w:rsidP="00D5652C">
      <w:pPr>
        <w:spacing w:line="240" w:lineRule="auto"/>
        <w:rPr>
          <w:sz w:val="20"/>
        </w:rPr>
      </w:pPr>
    </w:p>
    <w:p w:rsidR="00B661D8" w:rsidRDefault="00B661D8" w:rsidP="00D5652C">
      <w:pPr>
        <w:spacing w:line="240" w:lineRule="auto"/>
        <w:jc w:val="center"/>
      </w:pPr>
      <w:r>
        <w:rPr>
          <w:b/>
        </w:rPr>
        <w:t>Е.</w:t>
      </w:r>
      <w:r>
        <w:rPr>
          <w:b/>
        </w:rPr>
        <w:tab/>
        <w:t>Пособия по инвалидности</w:t>
      </w:r>
    </w:p>
    <w:p w:rsidR="00B661D8" w:rsidRPr="00D5652C" w:rsidRDefault="00B661D8" w:rsidP="00D5652C">
      <w:pPr>
        <w:spacing w:line="240" w:lineRule="auto"/>
        <w:rPr>
          <w:sz w:val="20"/>
        </w:rPr>
      </w:pPr>
    </w:p>
    <w:p w:rsidR="00B661D8" w:rsidRDefault="00B661D8" w:rsidP="00B661D8">
      <w:r>
        <w:t>344.</w:t>
      </w:r>
      <w:r>
        <w:tab/>
        <w:t>Пособие по инвалидности является денежным пособием, выплачиваемым члену ССО, который частично или полностью утратил трудоспособность.</w:t>
      </w:r>
    </w:p>
    <w:p w:rsidR="00B661D8" w:rsidRPr="00D5652C" w:rsidRDefault="00B661D8" w:rsidP="00B661D8">
      <w:pPr>
        <w:rPr>
          <w:sz w:val="20"/>
        </w:rPr>
      </w:pPr>
    </w:p>
    <w:p w:rsidR="00B661D8" w:rsidRDefault="00B661D8" w:rsidP="00B661D8">
      <w:r>
        <w:t>345.</w:t>
      </w:r>
      <w:r>
        <w:tab/>
        <w:t xml:space="preserve">Застрахованное в ССО лицо с постоянной полной нетрудоспособностью, выплатившее по крайне мере 36 месячных взносов до полугодия, в котором оно стало инвалидом, имеет право на получение ежемесячной пенсии.  Если требуемых 36 месячных взносов выплачено не было, такое лицо имеет право на получение единовременной суммы в размере месячной пенсии плюс суммы ежемесячных взносов, выплаченных им в ССО, либо суммы в объеме 12 месячных пенсий, - в зависимости от того, какая из них окажется выше.  Застрахованное в ССО лицо, получившее единовременное пособие и вновь приступившее к работе по найму или самостоятельной работе не ранее чем через один год после даты наступления инвалидности, подлежит повторному обязательному страхованию и будет иметь статус нового члена.  Выплата ежемесячной пенсии и пенсии иждивенцам приостанавливается в случае возвращения на работу или возобновления инвалидом самостоятельной работы, преодоления им состояния постоянной полной нетрудоспособности либо в случае неявки на обследование, проводимое по меньшей мере один раз в год по получении уведомления ССО.  Если постоянная утрата трудоспособности является частичной и происходит после выплаты страховых взносов на протяжении 36 месяцев до полугодия, в котором наступила инвалидность, инвалиду полагается месячная пенсия по полной утрате трудоспособности, выплачиваемая в течение установленного законом периода. Если утрата трудоспособности является частичной и произошла до выплаты страховых взносов на протяжении 36 месяцев до полугодия, в котором наступила инвалидность, это пособие выплачивается в качестве процента от единовременно выплачиваемой суммы, установленной в </w:t>
      </w:r>
      <w:r w:rsidR="00B17FF1">
        <w:t>З</w:t>
      </w:r>
      <w:r>
        <w:t>аконе о ССО.</w:t>
      </w:r>
    </w:p>
    <w:p w:rsidR="00B661D8" w:rsidRDefault="00B661D8" w:rsidP="00B661D8"/>
    <w:p w:rsidR="00B661D8" w:rsidRDefault="00B661D8" w:rsidP="00B661D8">
      <w:r>
        <w:t>346.</w:t>
      </w:r>
      <w:r>
        <w:tab/>
        <w:t>В дополнение к ежемесячной пенсии инвалиды-пенсионеры получают 500 филиппинских песо в целях оказания им помощи в удовлетворении их дополнительных финансовых потребностей, связанных с инвалидностью.  Пенсия иждивенцам выплачивается несовершеннолетним иждивенцам застрахованного лица, к которым относятся законнорожденные, усыновленные внебрачные, усыновленные в соответствии с законом и незаконнорожденные дети (до пяти детей, начиная с самого младшего).  Кроме ежемесячной пенсии, пенсионер также имеет право на получение пенсии за 13 месяц.</w:t>
      </w:r>
    </w:p>
    <w:p w:rsidR="00B661D8" w:rsidRDefault="00B661D8" w:rsidP="00B661D8"/>
    <w:p w:rsidR="00B661D8" w:rsidRDefault="00B661D8" w:rsidP="00B661D8">
      <w:r>
        <w:t>347.</w:t>
      </w:r>
      <w:r>
        <w:tab/>
        <w:t>Лицо с постоянной полной утратой трудоспособности имеет право на получение единовременного пособия, размер которого эквивалентен месячной пенсии, умноженной на количество произведенных им выплат ежемесячных взносов в ССО, либо 12 месячным пенсиям - в зависимости от того, какая из этих сумм окажется выше.</w:t>
      </w:r>
    </w:p>
    <w:p w:rsidR="00B661D8" w:rsidRDefault="00B661D8" w:rsidP="00B661D8"/>
    <w:p w:rsidR="00B661D8" w:rsidRDefault="00B661D8" w:rsidP="00B661D8">
      <w:r>
        <w:t>348.</w:t>
      </w:r>
      <w:r>
        <w:tab/>
        <w:t>Лицо с постоянной частичной утратой трудоспособности имеет право на получение единовременного пособия, размер которого эквивалентен месячной пенсии, умноженной на количество произведенных им выплат ежемесячных взносов в ССО и умноженной на процент утраченной трудоспособности, либо суммы в размере 12 месячных пенсий - в зависимости от того, какая из этих сумм окажется выше.</w:t>
      </w:r>
    </w:p>
    <w:p w:rsidR="00B661D8" w:rsidRDefault="00B661D8" w:rsidP="00B661D8"/>
    <w:p w:rsidR="00B661D8" w:rsidRDefault="00B661D8" w:rsidP="00B661D8">
      <w:r>
        <w:t>349.</w:t>
      </w:r>
      <w:r>
        <w:tab/>
        <w:t>Выплаты пенсии лицу с постоянной полной утратой трудоспособности приостанавливаются, если такое лицо преодолело свою болезнь, возобновило трудовую деятельность или не явилось на ежегодно проводимый медицинский осмотр после получения уведомления ССО.  Лица, не имеющие возможность явиться на осмотр в связи с заболеванием или инвалидностью, могут направить просьбу врачу ССО о посещении их на дому.</w:t>
      </w:r>
    </w:p>
    <w:p w:rsidR="002B3C5F" w:rsidRDefault="002B3C5F" w:rsidP="002B3C5F">
      <w:pPr>
        <w:rPr>
          <w:lang w:val="en-US"/>
        </w:rPr>
      </w:pPr>
    </w:p>
    <w:p w:rsidR="002B3C5F" w:rsidRDefault="002B3C5F" w:rsidP="002B3C5F">
      <w:r>
        <w:t>350.</w:t>
      </w:r>
      <w:r>
        <w:tab/>
        <w:t>В случае смерти полностью утратившего трудоспособность пенсионера его первичный бенефициар, определенный на дату наступления инвалидности, получает ежемесячную пенсию в полном объеме.  Если полностью утративший трудоспособность пенсионер умирает в течение 60 месяцев с начала получения месячной пенсии, а его основные бенефициары умерли раньше, его вторичные бенефициары имеют право на получение единовременного пособия, эквивалентного разнице между суммой 60 месячных пенсий и общей суммой всех месячных пенсий, выплаченных ССО.</w:t>
      </w:r>
    </w:p>
    <w:p w:rsidR="002B3C5F" w:rsidRDefault="002B3C5F" w:rsidP="002B3C5F"/>
    <w:p w:rsidR="002B3C5F" w:rsidRDefault="002B3C5F" w:rsidP="002B3C5F">
      <w:r>
        <w:t>351.</w:t>
      </w:r>
      <w:r>
        <w:tab/>
        <w:t>Застрахованное в ССГС лицо, полностью утратившее трудоспособность по причинам, не связанным со злостным правонарушением, явной халатностью, хронической токсикоманией или преднамеренным желанием совершить самоубийство или лишить жизни другое лицо, имеет право на пожизненное получение ежемесячного пособия, равного базовой ежемесячной пенсии, с даты наступления нетрудоспособности.  В случае наступления частичной нетрудоспособности такое лицо получает денежные выплаты в соответствии с установленной шкалой выплат по инвалидности.  Если застрахованное в ССГС лицо проработало не менее 15 лет на момент наступления нетрудоспособности, ему также полагается единовременная выплата в размере 18 базовых месячных пенсий на момент наступления нетрудоспособности.  Если же на момент наступления нетрудоспособности такое лицо не работает на государственной службе, оно может претендовать на пожизненную ежемесячную пенсию лишь в том случае, если оно внесло не менее 36 месячных взносов за последние пять лет, предшествующих наступлению нетрудоспособности, или выплатило в совокупности 180 месячных взносов.</w:t>
      </w:r>
    </w:p>
    <w:p w:rsidR="002B3C5F" w:rsidRDefault="002B3C5F" w:rsidP="008755BE">
      <w:pPr>
        <w:spacing w:line="240" w:lineRule="auto"/>
      </w:pPr>
    </w:p>
    <w:p w:rsidR="002B3C5F" w:rsidRDefault="002B3C5F" w:rsidP="008755BE">
      <w:pPr>
        <w:spacing w:line="240" w:lineRule="auto"/>
        <w:jc w:val="center"/>
        <w:rPr>
          <w:b/>
        </w:rPr>
      </w:pPr>
      <w:r>
        <w:rPr>
          <w:b/>
          <w:lang w:val="en-US"/>
        </w:rPr>
        <w:t>F</w:t>
      </w:r>
      <w:r>
        <w:rPr>
          <w:b/>
        </w:rPr>
        <w:t>.</w:t>
      </w:r>
      <w:r>
        <w:rPr>
          <w:b/>
        </w:rPr>
        <w:tab/>
        <w:t>Пособия в связи с производственной травмой</w:t>
      </w:r>
    </w:p>
    <w:p w:rsidR="002B3C5F" w:rsidRDefault="002B3C5F" w:rsidP="008755BE">
      <w:pPr>
        <w:spacing w:line="240" w:lineRule="auto"/>
        <w:jc w:val="center"/>
        <w:rPr>
          <w:b/>
        </w:rPr>
      </w:pPr>
    </w:p>
    <w:p w:rsidR="002B3C5F" w:rsidRDefault="002B3C5F" w:rsidP="002B3C5F">
      <w:r>
        <w:t>352.</w:t>
      </w:r>
      <w:r>
        <w:tab/>
        <w:t xml:space="preserve">Осуществление программ предоставления пособий в связи с производственной травмой регулируется положениями Трудового кодекса и Указа президента (УП № 626), иначе называемого </w:t>
      </w:r>
      <w:r>
        <w:rPr>
          <w:i/>
        </w:rPr>
        <w:t>Выплаты компенсаций служащим и Государственный страховой фонд.</w:t>
      </w:r>
      <w:r>
        <w:t xml:space="preserve">  Это - освобожденная от уплаты налогов программа выплаты компенсаций служащим, с помощью которой служащие, в случае наступления связанной с работой нетрудоспособности, и их иждивенцы могут быстро получить надлежащие выплаты и медицинские или другие имеющие к этому отношение пособия.</w:t>
      </w:r>
    </w:p>
    <w:p w:rsidR="002B3C5F" w:rsidRDefault="002B3C5F" w:rsidP="002B3C5F"/>
    <w:p w:rsidR="002B3C5F" w:rsidRDefault="002B3C5F" w:rsidP="002B3C5F">
      <w:r>
        <w:t>353.</w:t>
      </w:r>
      <w:r>
        <w:tab/>
        <w:t xml:space="preserve">Такие пособия выплачиваются наличными или предоставляются в виде следующих услуг:  </w:t>
      </w:r>
      <w:r w:rsidRPr="008B1718">
        <w:t>а)  медицински</w:t>
      </w:r>
      <w:r>
        <w:t>х</w:t>
      </w:r>
      <w:r w:rsidRPr="008B1718">
        <w:t xml:space="preserve"> услуг и приспособлени</w:t>
      </w:r>
      <w:r>
        <w:t xml:space="preserve">й, в зависимости от характера инвалидности и срока выздоровления, а также объема расходов;  </w:t>
      </w:r>
      <w:r>
        <w:rPr>
          <w:lang w:val="en-US"/>
        </w:rPr>
        <w:t>b</w:t>
      </w:r>
      <w:r>
        <w:t xml:space="preserve">)  реабилитационных услуг;  с)  пособий по инвалидности;  </w:t>
      </w:r>
      <w:r>
        <w:rPr>
          <w:lang w:val="en-US"/>
        </w:rPr>
        <w:t>d</w:t>
      </w:r>
      <w:r>
        <w:t xml:space="preserve">)  пособий в связи со смертью кормильца в виде пожизненной пенсии первичным бенефициарам, а также пенсий иждивенцам в размере 10% месячного пособия первичных бенефициаров, выплачиваемых пяти не состоящим в браке, зависимым, несовершеннолетним детям, считая с самого младшего, и без права замены;  и </w:t>
      </w:r>
      <w:r w:rsidRPr="00A36B60">
        <w:t xml:space="preserve"> </w:t>
      </w:r>
      <w:r>
        <w:rPr>
          <w:lang w:val="en-US"/>
        </w:rPr>
        <w:t>e</w:t>
      </w:r>
      <w:r>
        <w:t>)  помощь на похороны.</w:t>
      </w:r>
    </w:p>
    <w:p w:rsidR="002B3C5F" w:rsidRDefault="002B3C5F" w:rsidP="002B3C5F"/>
    <w:p w:rsidR="002B3C5F" w:rsidRDefault="002B3C5F" w:rsidP="002B3C5F">
      <w:r>
        <w:t>354.</w:t>
      </w:r>
      <w:r>
        <w:tab/>
        <w:t xml:space="preserve">В соответствии со статьей 173 Трудового кодекса получение пособий в рамках программы выплаты компенсаций служащим не возбраняет получать пособия по этой же инвалидности, предусмотренные в других законах. </w:t>
      </w:r>
      <w:r w:rsidR="00B17FF1">
        <w:t xml:space="preserve"> </w:t>
      </w:r>
      <w:r>
        <w:t xml:space="preserve">Таким образом, Кодекс разрешает одновременно получать пособия, предусмотренные в различных законах, по одним и тем же связанным с производством случаям инвалидности или смерти. </w:t>
      </w:r>
    </w:p>
    <w:p w:rsidR="002B3C5F" w:rsidRDefault="002B3C5F" w:rsidP="002B3C5F"/>
    <w:p w:rsidR="002B3C5F" w:rsidRDefault="002B3C5F" w:rsidP="002B3C5F">
      <w:r>
        <w:t>355.</w:t>
      </w:r>
      <w:r>
        <w:tab/>
        <w:t>В отличие от ССО, ССГС или системы "Медикеар", в которых для целей финансирования используются обязательные взносы работодателей и работников, пособия, выплачиваемые в связи с производственной травмой, финансируются только работодателями. Осуществляемые в рамках данной программы взносы целиком выплачиваются работодателем, и любой контракт или механизм, направленный на вычет любой их части из заработной платы или оклада работников, считается незаконным. Программа выплаты компенсаций охватывает всех работников, подлежащих обязательному страхованию ССО и ССГС.</w:t>
      </w:r>
    </w:p>
    <w:p w:rsidR="002B3C5F" w:rsidRPr="008755BE" w:rsidRDefault="002B3C5F" w:rsidP="002B3C5F">
      <w:pPr>
        <w:rPr>
          <w:sz w:val="20"/>
        </w:rPr>
      </w:pPr>
    </w:p>
    <w:p w:rsidR="002B3C5F" w:rsidRDefault="002B3C5F" w:rsidP="002B3C5F">
      <w:r>
        <w:t>356.</w:t>
      </w:r>
      <w:r>
        <w:tab/>
        <w:t>Право на компенсацию предоставляется в том случае, если травма и связанная с ней инвалидность или смерть наступила в результате несчастного случая, произошедшего вследствие и во время выполнения работы.</w:t>
      </w:r>
    </w:p>
    <w:p w:rsidR="002B3C5F" w:rsidRPr="008755BE" w:rsidRDefault="002B3C5F" w:rsidP="002B3C5F">
      <w:pPr>
        <w:rPr>
          <w:sz w:val="20"/>
        </w:rPr>
      </w:pPr>
    </w:p>
    <w:p w:rsidR="002B3C5F" w:rsidRDefault="002B3C5F" w:rsidP="002B3C5F">
      <w:r>
        <w:t>357.</w:t>
      </w:r>
      <w:r>
        <w:tab/>
        <w:t>Несчастным случаем, произошедшим вследствие и во время выполнения работы, считается случай, когда работник пострадал при выполнении своих официальных обязанностей;  в том месте, на котором он должен был находиться при выполнении работ; если это произошло в другом месте, то он должен был находиться там по распоряжению работодателя.</w:t>
      </w:r>
    </w:p>
    <w:p w:rsidR="002B3C5F" w:rsidRPr="008755BE" w:rsidRDefault="002B3C5F" w:rsidP="002B3C5F">
      <w:pPr>
        <w:rPr>
          <w:sz w:val="20"/>
        </w:rPr>
      </w:pPr>
    </w:p>
    <w:p w:rsidR="002B3C5F" w:rsidRDefault="002B3C5F" w:rsidP="002B3C5F">
      <w:r>
        <w:t>358.</w:t>
      </w:r>
      <w:r>
        <w:tab/>
        <w:t xml:space="preserve">К числу других произошедших не на рабочем месте несчастных случаев, за которые полагается выплата компенсации, относятся:  несчастные случаи по дороге на работу и по дороге домой после работы при условии, что работник при этом не отвлекался на выполнение каких-либо других видов деятельности или не отклонялся от обычного маршрута;  травмы, полученные во время финансируемых компанией мероприятий; </w:t>
      </w:r>
      <w:r w:rsidRPr="00826662">
        <w:t>травмы в результате действий по обеспечению личного комфорта</w:t>
      </w:r>
      <w:r>
        <w:t xml:space="preserve">;  несчастные случаи, произошедшие в тот момент, когда работник находился в рейсовом автобусе или любом транспортном средстве, предоставленном компанией;  мероприятия, связанные с выполнением специальных поручений;  и несчастные случаи, произошедшие в момент </w:t>
      </w:r>
      <w:r w:rsidRPr="00826662">
        <w:t>выполнения двойной задачи</w:t>
      </w:r>
      <w:r>
        <w:t xml:space="preserve">. </w:t>
      </w:r>
    </w:p>
    <w:p w:rsidR="002B3C5F" w:rsidRPr="008755BE" w:rsidRDefault="002B3C5F" w:rsidP="002B3C5F">
      <w:pPr>
        <w:rPr>
          <w:sz w:val="20"/>
        </w:rPr>
      </w:pPr>
    </w:p>
    <w:p w:rsidR="002B3C5F" w:rsidRDefault="002B3C5F" w:rsidP="002B3C5F">
      <w:r>
        <w:t>359.</w:t>
      </w:r>
      <w:r w:rsidR="00D47D5A">
        <w:tab/>
      </w:r>
      <w:r>
        <w:t>В дополнение к пособиям по инвалидности, пр</w:t>
      </w:r>
      <w:r w:rsidR="00B17FF1">
        <w:t>едусмотренным в соответствии с З</w:t>
      </w:r>
      <w:r>
        <w:t xml:space="preserve">аконом о социальном обеспечении и программой страхования государственных служащих, в программе выплаты компенсаций работникам, предусмотренной в части </w:t>
      </w:r>
      <w:r>
        <w:rPr>
          <w:lang w:val="en-US"/>
        </w:rPr>
        <w:t>II</w:t>
      </w:r>
      <w:r>
        <w:t xml:space="preserve"> тома </w:t>
      </w:r>
      <w:r>
        <w:rPr>
          <w:lang w:val="en-US"/>
        </w:rPr>
        <w:t>IV</w:t>
      </w:r>
      <w:r w:rsidRPr="000013BA">
        <w:t xml:space="preserve"> </w:t>
      </w:r>
      <w:r>
        <w:t>Трудового кодекса с внесенными в нее УП 626 поправками, определены две категории компенсации по инвалидности в связи с производственными авариями, а именно:</w:t>
      </w:r>
    </w:p>
    <w:p w:rsidR="002B3C5F" w:rsidRPr="008755BE" w:rsidRDefault="002B3C5F" w:rsidP="008755BE">
      <w:pPr>
        <w:rPr>
          <w:sz w:val="20"/>
        </w:rPr>
      </w:pPr>
    </w:p>
    <w:p w:rsidR="002B3C5F" w:rsidRDefault="002B3C5F" w:rsidP="008755BE">
      <w:pPr>
        <w:spacing w:line="240" w:lineRule="auto"/>
        <w:rPr>
          <w:b/>
        </w:rPr>
      </w:pPr>
      <w:r>
        <w:rPr>
          <w:b/>
        </w:rPr>
        <w:t>Временная полная нетрудоспособность</w:t>
      </w:r>
    </w:p>
    <w:p w:rsidR="002B3C5F" w:rsidRPr="008755BE" w:rsidRDefault="002B3C5F" w:rsidP="008755BE">
      <w:pPr>
        <w:rPr>
          <w:sz w:val="20"/>
        </w:rPr>
      </w:pPr>
    </w:p>
    <w:p w:rsidR="002B3C5F" w:rsidRDefault="002B3C5F" w:rsidP="002B3C5F">
      <w:r>
        <w:t>360.</w:t>
      </w:r>
      <w:r>
        <w:tab/>
      </w:r>
      <w:r w:rsidRPr="00DF206A">
        <w:t xml:space="preserve">Временная полная нетрудоспособность (ВПН) </w:t>
      </w:r>
      <w:r w:rsidRPr="00770ACC">
        <w:t>охватывает</w:t>
      </w:r>
      <w:r>
        <w:t xml:space="preserve"> заболевания и травмы, которые не позволяют работнику выполнять оплачиваемую работу на протяжении 120 дней, - период, который может быть продлен еще на 120 дней, но при этом не может превышать 240 дней. </w:t>
      </w:r>
    </w:p>
    <w:p w:rsidR="002B3C5F" w:rsidRDefault="002B3C5F" w:rsidP="002B3C5F"/>
    <w:p w:rsidR="002B3C5F" w:rsidRDefault="002B3C5F" w:rsidP="002B3C5F">
      <w:r>
        <w:t>361.</w:t>
      </w:r>
      <w:r>
        <w:tab/>
        <w:t xml:space="preserve">ВПН возникает в результате заболеваний и травм, в том числе заболеваний, однозначно признанных профессиональными и перечисленными в списке Комиссии, или в результате любых заболеваний, </w:t>
      </w:r>
      <w:r w:rsidRPr="00826662">
        <w:t xml:space="preserve">причиной которых явилась </w:t>
      </w:r>
      <w:r>
        <w:t>трудовая деятельность</w:t>
      </w:r>
      <w:r w:rsidRPr="00826662">
        <w:t xml:space="preserve">, при условии представления доказательств </w:t>
      </w:r>
      <w:r>
        <w:t>того</w:t>
      </w:r>
      <w:r w:rsidRPr="00826662">
        <w:t xml:space="preserve">, что </w:t>
      </w:r>
      <w:r>
        <w:t>подобные</w:t>
      </w:r>
      <w:r w:rsidRPr="00826662">
        <w:t xml:space="preserve"> условия работы </w:t>
      </w:r>
      <w:r>
        <w:t xml:space="preserve">повышают </w:t>
      </w:r>
      <w:r w:rsidRPr="00826662">
        <w:t>риск такого заболевания.</w:t>
      </w:r>
      <w:r>
        <w:t xml:space="preserve"> Травмой считается любое изменение, причинившее вред организму человека и явившееся результатом какого-либо несчастного случая, произошедшего вследствие и во время выполнения работы. </w:t>
      </w:r>
    </w:p>
    <w:p w:rsidR="002B3C5F" w:rsidRDefault="002B3C5F" w:rsidP="002B3C5F"/>
    <w:p w:rsidR="002B3C5F" w:rsidRDefault="002B3C5F" w:rsidP="002B3C5F">
      <w:pPr>
        <w:rPr>
          <w:b/>
        </w:rPr>
      </w:pPr>
      <w:r>
        <w:rPr>
          <w:b/>
        </w:rPr>
        <w:t>Постоянная частичная утрата трудоспособности</w:t>
      </w:r>
    </w:p>
    <w:p w:rsidR="002B3C5F" w:rsidRDefault="002B3C5F" w:rsidP="002B3C5F">
      <w:pPr>
        <w:rPr>
          <w:b/>
        </w:rPr>
      </w:pPr>
    </w:p>
    <w:p w:rsidR="002B3C5F" w:rsidRDefault="002B3C5F" w:rsidP="002B3C5F">
      <w:r w:rsidRPr="006900E9">
        <w:t>362.</w:t>
      </w:r>
      <w:r w:rsidRPr="006900E9">
        <w:tab/>
      </w:r>
      <w:r>
        <w:t xml:space="preserve">Постоянная частичная утрата трудоспособности (ПЧУТ) возникает в том случае, если в результате травмы или заболевания работник полностью лишился одной из конечностей или утратил возможность пользоваться ею. </w:t>
      </w:r>
    </w:p>
    <w:p w:rsidR="002B3C5F" w:rsidRDefault="002B3C5F" w:rsidP="002B3C5F"/>
    <w:p w:rsidR="002B3C5F" w:rsidRDefault="002B3C5F" w:rsidP="002B3C5F">
      <w:r>
        <w:t>363.</w:t>
      </w:r>
      <w:r>
        <w:tab/>
        <w:t>Любой работник с ПЧУТ за каждый месяц, в течение не превышающего установленные сроки периода, получает пособие на содержание в размере месячного пособия, выплачиваемого работникам с постоянной полной утратой трудоспособности (ППУТ).</w:t>
      </w:r>
    </w:p>
    <w:p w:rsidR="002B3C5F" w:rsidRDefault="002B3C5F" w:rsidP="002B3C5F"/>
    <w:p w:rsidR="002B3C5F" w:rsidRDefault="002B3C5F" w:rsidP="002B3C5F">
      <w:r>
        <w:t>364.</w:t>
      </w:r>
      <w:r>
        <w:tab/>
        <w:t xml:space="preserve">Пособие на содержание выплачивается с первого месяца наступления нетрудоспособности, но не более установленного количества месяцев в зависимости от характера нетрудоспособности. </w:t>
      </w:r>
    </w:p>
    <w:p w:rsidR="002B3C5F" w:rsidRDefault="002B3C5F" w:rsidP="002B3C5F"/>
    <w:p w:rsidR="002B3C5F" w:rsidRDefault="002B3C5F" w:rsidP="002B3C5F">
      <w:r>
        <w:t>365.</w:t>
      </w:r>
      <w:r>
        <w:tab/>
        <w:t xml:space="preserve">После смерти пенсионера его первичные бенефициары, определенные на дату наступления инвалидности, имеют право на получение 100% месячной пенсии. </w:t>
      </w:r>
    </w:p>
    <w:p w:rsidR="002B3C5F" w:rsidRDefault="002B3C5F" w:rsidP="002B3C5F"/>
    <w:p w:rsidR="002B3C5F" w:rsidRDefault="002B3C5F" w:rsidP="002B3C5F">
      <w:r>
        <w:t>366.</w:t>
      </w:r>
      <w:r>
        <w:tab/>
      </w:r>
      <w:r w:rsidRPr="00072353">
        <w:t xml:space="preserve">Пенсия </w:t>
      </w:r>
      <w:r>
        <w:t>в связи с потерей кормильца</w:t>
      </w:r>
      <w:r w:rsidRPr="00072353">
        <w:t xml:space="preserve"> выплачивается </w:t>
      </w:r>
      <w:r>
        <w:t xml:space="preserve">первичным бенефициарам: </w:t>
      </w:r>
      <w:r w:rsidR="00B17FF1">
        <w:t xml:space="preserve"> </w:t>
      </w:r>
      <w:r>
        <w:t>законному иждивенцу - супруге</w:t>
      </w:r>
      <w:r w:rsidRPr="0015437F">
        <w:t>/</w:t>
      </w:r>
      <w:r>
        <w:t>супругу (до того времени, пока она</w:t>
      </w:r>
      <w:r w:rsidRPr="0015437F">
        <w:t>/</w:t>
      </w:r>
      <w:r>
        <w:t xml:space="preserve">он не вступит в брак) и </w:t>
      </w:r>
      <w:r w:rsidRPr="00072353">
        <w:t>иждивенцам застрахованного лица - законнорожденным, усыновленным внебрачным, усыновленным в соответствии с законом и незаконнорожденным детям</w:t>
      </w:r>
      <w:r>
        <w:t>.</w:t>
      </w:r>
    </w:p>
    <w:p w:rsidR="002B3C5F" w:rsidRPr="00D47D5A" w:rsidRDefault="002B3C5F" w:rsidP="002B3C5F">
      <w:pPr>
        <w:rPr>
          <w:sz w:val="20"/>
        </w:rPr>
      </w:pPr>
    </w:p>
    <w:p w:rsidR="002B3C5F" w:rsidRDefault="002B3C5F" w:rsidP="002B3C5F">
      <w:r>
        <w:t>367.</w:t>
      </w:r>
      <w:r>
        <w:tab/>
        <w:t xml:space="preserve">В соответствии с уставом ССГС работник с постоянной полной утратой трудоспособности получает ежемесячное пособие на содержание в размере, эквивалентном базовой месячной пенсии плюс 20% от ее объема. </w:t>
      </w:r>
    </w:p>
    <w:p w:rsidR="002B3C5F" w:rsidRPr="00D47D5A" w:rsidRDefault="002B3C5F" w:rsidP="002B3C5F">
      <w:pPr>
        <w:rPr>
          <w:sz w:val="20"/>
        </w:rPr>
      </w:pPr>
    </w:p>
    <w:p w:rsidR="002B3C5F" w:rsidRDefault="002B3C5F" w:rsidP="002B3C5F">
      <w:r>
        <w:t>368.</w:t>
      </w:r>
      <w:r>
        <w:tab/>
        <w:t xml:space="preserve">В случае смерти застрахованного лица или пенсионера его первичные бенефициары имеют право на получение до 80% от базовой месячной пенсии плюс пенсию на иждивенца в размере 10% от месячной пенсии на одного иждивенца, но не более чем на пять иждивенцев.  </w:t>
      </w:r>
      <w:r w:rsidRPr="00072353">
        <w:t xml:space="preserve">Пенсия </w:t>
      </w:r>
      <w:r>
        <w:t xml:space="preserve">в связи с потерей кормильца </w:t>
      </w:r>
      <w:r w:rsidRPr="00072353">
        <w:t xml:space="preserve">выплачивается </w:t>
      </w:r>
      <w:r>
        <w:t>первичным бенефициарам умершего, включая законного иждивенца - супругу</w:t>
      </w:r>
      <w:r w:rsidRPr="00A33F10">
        <w:t>/</w:t>
      </w:r>
      <w:r>
        <w:t>супруга, до того времени, пока она</w:t>
      </w:r>
      <w:r w:rsidRPr="00A33F10">
        <w:t>/</w:t>
      </w:r>
      <w:r>
        <w:t xml:space="preserve">он не вступит в брак, и иждивенцев - </w:t>
      </w:r>
      <w:r w:rsidRPr="00072353">
        <w:t>законнорожденны</w:t>
      </w:r>
      <w:r>
        <w:t>х</w:t>
      </w:r>
      <w:r w:rsidRPr="00072353">
        <w:t>, усыновленны</w:t>
      </w:r>
      <w:r>
        <w:t>х внебрачных, усыновленных</w:t>
      </w:r>
      <w:r w:rsidRPr="00072353">
        <w:t xml:space="preserve"> в соответстви</w:t>
      </w:r>
      <w:r>
        <w:t>и с законом и незаконнорожденных</w:t>
      </w:r>
      <w:r w:rsidRPr="00072353">
        <w:t xml:space="preserve"> дет</w:t>
      </w:r>
      <w:r>
        <w:t>ей.</w:t>
      </w:r>
    </w:p>
    <w:p w:rsidR="002B3C5F" w:rsidRPr="00D47D5A" w:rsidRDefault="002B3C5F" w:rsidP="00D47D5A">
      <w:pPr>
        <w:rPr>
          <w:sz w:val="20"/>
        </w:rPr>
      </w:pPr>
    </w:p>
    <w:p w:rsidR="002B3C5F" w:rsidRPr="00D463DC" w:rsidRDefault="002B3C5F" w:rsidP="00D47D5A">
      <w:pPr>
        <w:spacing w:line="240" w:lineRule="auto"/>
        <w:jc w:val="center"/>
        <w:rPr>
          <w:b/>
        </w:rPr>
      </w:pPr>
      <w:r w:rsidRPr="00D463DC">
        <w:rPr>
          <w:b/>
          <w:lang w:val="en-US"/>
        </w:rPr>
        <w:t>I</w:t>
      </w:r>
      <w:r w:rsidRPr="00D463DC">
        <w:rPr>
          <w:b/>
        </w:rPr>
        <w:t>.</w:t>
      </w:r>
      <w:r w:rsidRPr="00D463DC">
        <w:rPr>
          <w:b/>
        </w:rPr>
        <w:tab/>
        <w:t>Пособия по безработице</w:t>
      </w:r>
    </w:p>
    <w:p w:rsidR="002B3C5F" w:rsidRDefault="002B3C5F" w:rsidP="00D47D5A">
      <w:pPr>
        <w:spacing w:line="240" w:lineRule="auto"/>
        <w:rPr>
          <w:u w:val="single"/>
        </w:rPr>
      </w:pPr>
    </w:p>
    <w:p w:rsidR="002B3C5F" w:rsidRDefault="002B3C5F" w:rsidP="002B3C5F">
      <w:r>
        <w:t>369.</w:t>
      </w:r>
      <w:r>
        <w:tab/>
        <w:t>В соответствии с РЗ № 8291, действие которого распространяется на государственных служащих, пособия по безработице в виде ежемесячных денежных выплат в размере 50% от среднемесячной заработной платы выплачиваются постоянным работникам, которые были уволены не по собственному желанию, а в результате закрытия офиса или сокращения должности, как правило, в связи с реорганизацией, при условии что до увольнения они выплачивали все взносы не менее одного года.</w:t>
      </w:r>
    </w:p>
    <w:p w:rsidR="002B3C5F" w:rsidRPr="00D47D5A" w:rsidRDefault="002B3C5F" w:rsidP="002B3C5F">
      <w:pPr>
        <w:rPr>
          <w:sz w:val="20"/>
        </w:rPr>
      </w:pPr>
    </w:p>
    <w:p w:rsidR="002B3C5F" w:rsidRDefault="002B3C5F" w:rsidP="002B3C5F">
      <w:r>
        <w:t>370.</w:t>
      </w:r>
      <w:r>
        <w:tab/>
        <w:t>Пособия по безработице выплачиваются по следующей схеме:</w:t>
      </w:r>
    </w:p>
    <w:p w:rsidR="002B3C5F" w:rsidRPr="00D47D5A" w:rsidRDefault="002B3C5F" w:rsidP="002B3C5F">
      <w:pPr>
        <w:rPr>
          <w:sz w:val="20"/>
        </w:rPr>
      </w:pPr>
    </w:p>
    <w:tbl>
      <w:tblPr>
        <w:tblStyle w:val="TableGrid"/>
        <w:tblW w:w="8189" w:type="dxa"/>
        <w:tblInd w:w="630" w:type="dxa"/>
        <w:tblLayout w:type="fixed"/>
        <w:tblCellMar>
          <w:left w:w="28" w:type="dxa"/>
          <w:right w:w="28" w:type="dxa"/>
        </w:tblCellMar>
        <w:tblLook w:val="01E0" w:firstRow="1" w:lastRow="1" w:firstColumn="1" w:lastColumn="1" w:noHBand="0" w:noVBand="0"/>
      </w:tblPr>
      <w:tblGrid>
        <w:gridCol w:w="3892"/>
        <w:gridCol w:w="4297"/>
      </w:tblGrid>
      <w:tr w:rsidR="002B3C5F" w:rsidRPr="008755BE" w:rsidTr="00DB0C17">
        <w:tc>
          <w:tcPr>
            <w:tcW w:w="3892" w:type="dxa"/>
          </w:tcPr>
          <w:p w:rsidR="002B3C5F" w:rsidRPr="008755BE" w:rsidRDefault="002B3C5F" w:rsidP="00BC240F">
            <w:pPr>
              <w:jc w:val="center"/>
            </w:pPr>
            <w:r w:rsidRPr="008755BE">
              <w:t>Внесенные взносы</w:t>
            </w:r>
          </w:p>
        </w:tc>
        <w:tc>
          <w:tcPr>
            <w:tcW w:w="4297" w:type="dxa"/>
          </w:tcPr>
          <w:p w:rsidR="002B3C5F" w:rsidRPr="008755BE" w:rsidRDefault="002B3C5F" w:rsidP="00BC240F">
            <w:pPr>
              <w:jc w:val="center"/>
            </w:pPr>
            <w:r w:rsidRPr="008755BE">
              <w:t>Продолжительность выплаты пособия</w:t>
            </w:r>
          </w:p>
        </w:tc>
      </w:tr>
      <w:tr w:rsidR="002B3C5F" w:rsidRPr="008755BE" w:rsidTr="00DB0C17">
        <w:tc>
          <w:tcPr>
            <w:tcW w:w="3892" w:type="dxa"/>
          </w:tcPr>
          <w:p w:rsidR="002B3C5F" w:rsidRPr="008755BE" w:rsidRDefault="00DB0C17" w:rsidP="00BC240F">
            <w:r>
              <w:t xml:space="preserve">1 </w:t>
            </w:r>
            <w:r w:rsidR="002B3C5F" w:rsidRPr="008755BE">
              <w:t xml:space="preserve">год или менее чем </w:t>
            </w:r>
            <w:r>
              <w:t xml:space="preserve">3 </w:t>
            </w:r>
            <w:r w:rsidR="002B3C5F" w:rsidRPr="008755BE">
              <w:t>года</w:t>
            </w:r>
          </w:p>
        </w:tc>
        <w:tc>
          <w:tcPr>
            <w:tcW w:w="4297" w:type="dxa"/>
          </w:tcPr>
          <w:p w:rsidR="002B3C5F" w:rsidRPr="008755BE" w:rsidRDefault="008755BE" w:rsidP="008755BE">
            <w:pPr>
              <w:jc w:val="center"/>
            </w:pPr>
            <w:r>
              <w:t xml:space="preserve">2 </w:t>
            </w:r>
            <w:r w:rsidR="002B3C5F" w:rsidRPr="008755BE">
              <w:t>месяца</w:t>
            </w:r>
          </w:p>
        </w:tc>
      </w:tr>
      <w:tr w:rsidR="002B3C5F" w:rsidRPr="008755BE" w:rsidTr="00DB0C17">
        <w:tc>
          <w:tcPr>
            <w:tcW w:w="3892" w:type="dxa"/>
          </w:tcPr>
          <w:p w:rsidR="002B3C5F" w:rsidRPr="008755BE" w:rsidRDefault="00DB0C17" w:rsidP="00BC240F">
            <w:r>
              <w:t xml:space="preserve">3 </w:t>
            </w:r>
            <w:r w:rsidR="002B3C5F" w:rsidRPr="008755BE">
              <w:t xml:space="preserve">или более лет, но менее </w:t>
            </w:r>
            <w:r>
              <w:t xml:space="preserve">6 </w:t>
            </w:r>
            <w:r w:rsidR="002B3C5F" w:rsidRPr="008755BE">
              <w:t>лет</w:t>
            </w:r>
          </w:p>
        </w:tc>
        <w:tc>
          <w:tcPr>
            <w:tcW w:w="4297" w:type="dxa"/>
          </w:tcPr>
          <w:p w:rsidR="002B3C5F" w:rsidRPr="008755BE" w:rsidRDefault="008755BE" w:rsidP="008755BE">
            <w:pPr>
              <w:jc w:val="center"/>
            </w:pPr>
            <w:r>
              <w:t xml:space="preserve">3 </w:t>
            </w:r>
            <w:r w:rsidR="002B3C5F" w:rsidRPr="008755BE">
              <w:t>месяца</w:t>
            </w:r>
          </w:p>
        </w:tc>
      </w:tr>
      <w:tr w:rsidR="002B3C5F" w:rsidRPr="008755BE" w:rsidTr="00DB0C17">
        <w:tc>
          <w:tcPr>
            <w:tcW w:w="3892" w:type="dxa"/>
          </w:tcPr>
          <w:p w:rsidR="002B3C5F" w:rsidRPr="008755BE" w:rsidRDefault="00DB0C17" w:rsidP="00BC240F">
            <w:r>
              <w:t xml:space="preserve">6 </w:t>
            </w:r>
            <w:r w:rsidR="002B3C5F" w:rsidRPr="008755BE">
              <w:t xml:space="preserve">или более лет, но менее </w:t>
            </w:r>
            <w:r>
              <w:t xml:space="preserve">9 </w:t>
            </w:r>
            <w:r w:rsidR="002B3C5F" w:rsidRPr="008755BE">
              <w:t>лет</w:t>
            </w:r>
          </w:p>
        </w:tc>
        <w:tc>
          <w:tcPr>
            <w:tcW w:w="4297" w:type="dxa"/>
          </w:tcPr>
          <w:p w:rsidR="002B3C5F" w:rsidRPr="008755BE" w:rsidRDefault="008755BE" w:rsidP="008755BE">
            <w:pPr>
              <w:jc w:val="center"/>
            </w:pPr>
            <w:r>
              <w:t xml:space="preserve">4 </w:t>
            </w:r>
            <w:r w:rsidR="002B3C5F" w:rsidRPr="008755BE">
              <w:t>месяца</w:t>
            </w:r>
          </w:p>
        </w:tc>
      </w:tr>
      <w:tr w:rsidR="002B3C5F" w:rsidRPr="008755BE" w:rsidTr="00DB0C17">
        <w:tc>
          <w:tcPr>
            <w:tcW w:w="3892" w:type="dxa"/>
          </w:tcPr>
          <w:p w:rsidR="002B3C5F" w:rsidRPr="008755BE" w:rsidRDefault="00DB0C17" w:rsidP="00BC240F">
            <w:r>
              <w:t xml:space="preserve">9 </w:t>
            </w:r>
            <w:r w:rsidR="002B3C5F" w:rsidRPr="008755BE">
              <w:t>или более лет, но менее 11 лет</w:t>
            </w:r>
          </w:p>
        </w:tc>
        <w:tc>
          <w:tcPr>
            <w:tcW w:w="4297" w:type="dxa"/>
          </w:tcPr>
          <w:p w:rsidR="002B3C5F" w:rsidRPr="008755BE" w:rsidRDefault="008755BE" w:rsidP="008755BE">
            <w:pPr>
              <w:jc w:val="center"/>
            </w:pPr>
            <w:r>
              <w:t xml:space="preserve">5 </w:t>
            </w:r>
            <w:r w:rsidR="002B3C5F" w:rsidRPr="008755BE">
              <w:t>месяцев</w:t>
            </w:r>
          </w:p>
        </w:tc>
      </w:tr>
      <w:tr w:rsidR="002B3C5F" w:rsidRPr="008755BE" w:rsidTr="00DB0C17">
        <w:tc>
          <w:tcPr>
            <w:tcW w:w="3892" w:type="dxa"/>
          </w:tcPr>
          <w:p w:rsidR="002B3C5F" w:rsidRPr="008755BE" w:rsidRDefault="002B3C5F" w:rsidP="00BC240F">
            <w:r w:rsidRPr="008755BE">
              <w:t>11 или более лет, но менее 15 лет</w:t>
            </w:r>
          </w:p>
        </w:tc>
        <w:tc>
          <w:tcPr>
            <w:tcW w:w="4297" w:type="dxa"/>
          </w:tcPr>
          <w:p w:rsidR="002B3C5F" w:rsidRPr="008755BE" w:rsidRDefault="008755BE" w:rsidP="008755BE">
            <w:pPr>
              <w:jc w:val="center"/>
            </w:pPr>
            <w:r>
              <w:t xml:space="preserve">6 </w:t>
            </w:r>
            <w:r w:rsidR="002B3C5F" w:rsidRPr="008755BE">
              <w:t>месяцев</w:t>
            </w:r>
          </w:p>
        </w:tc>
      </w:tr>
    </w:tbl>
    <w:p w:rsidR="002B3C5F" w:rsidRPr="00D47D5A" w:rsidRDefault="002B3C5F" w:rsidP="002B3C5F">
      <w:pPr>
        <w:rPr>
          <w:sz w:val="20"/>
        </w:rPr>
      </w:pPr>
    </w:p>
    <w:p w:rsidR="002B3C5F" w:rsidRDefault="002B3C5F" w:rsidP="002B3C5F">
      <w:r>
        <w:t>371.</w:t>
      </w:r>
      <w:r>
        <w:tab/>
        <w:t>Размер первой выплаты равен двум ежемесячным пособиям.  Последующие ежемесячные выплаты производятся с семидневной задержкой в целях выяснения вопроса о том, не нашел ли уволенный застрахованный работник новое место работы.  Все выплаченные работнику пособия по безработице за время его членства в ССГС вычитаются из выходных пособий, причитающихся при увольнении по собственному желанию.</w:t>
      </w:r>
    </w:p>
    <w:p w:rsidR="002B3C5F" w:rsidRPr="00D463DC" w:rsidRDefault="002B3C5F" w:rsidP="00D463DC">
      <w:pPr>
        <w:jc w:val="center"/>
        <w:rPr>
          <w:b/>
        </w:rPr>
      </w:pPr>
      <w:r w:rsidRPr="00D463DC">
        <w:rPr>
          <w:b/>
          <w:lang w:val="en-US"/>
        </w:rPr>
        <w:t>J</w:t>
      </w:r>
      <w:r w:rsidRPr="00D463DC">
        <w:rPr>
          <w:b/>
        </w:rPr>
        <w:t>.</w:t>
      </w:r>
      <w:r w:rsidRPr="00D463DC">
        <w:rPr>
          <w:b/>
        </w:rPr>
        <w:tab/>
        <w:t>Пособия из накопительного фонда</w:t>
      </w:r>
    </w:p>
    <w:p w:rsidR="009870AE" w:rsidRDefault="009870AE" w:rsidP="009870AE"/>
    <w:p w:rsidR="009870AE" w:rsidRDefault="009870AE" w:rsidP="009870AE">
      <w:r>
        <w:t>372.</w:t>
      </w:r>
      <w:r w:rsidRPr="00B217C5">
        <w:tab/>
      </w:r>
      <w:r>
        <w:t>Этот аспект социального обеспечения был урегулирован путем создания Фонда Паг</w:t>
      </w:r>
      <w:r>
        <w:noBreakHyphen/>
        <w:t xml:space="preserve">ИБИГ, позволившего решить две основные проблемы страны, а именно накопление сбережений и предоставление доступного жилья трудящимся.  С момента провозглашения </w:t>
      </w:r>
      <w:r w:rsidR="00B17FF1">
        <w:t>З</w:t>
      </w:r>
      <w:r>
        <w:t>акона о создании Фонда Паг-ИБИГ были произведены различные изменения и дополнения в целях более эффективного удовлетворения потребностей его членов.</w:t>
      </w:r>
    </w:p>
    <w:p w:rsidR="00D47D5A" w:rsidRDefault="00D47D5A" w:rsidP="00D463DC">
      <w:pPr>
        <w:jc w:val="center"/>
        <w:rPr>
          <w:b/>
        </w:rPr>
      </w:pPr>
    </w:p>
    <w:p w:rsidR="009870AE" w:rsidRPr="00D463DC" w:rsidRDefault="009870AE" w:rsidP="00D463DC">
      <w:pPr>
        <w:jc w:val="center"/>
        <w:rPr>
          <w:b/>
        </w:rPr>
      </w:pPr>
      <w:r w:rsidRPr="00D463DC">
        <w:rPr>
          <w:b/>
          <w:lang w:val="en-US"/>
        </w:rPr>
        <w:t>K</w:t>
      </w:r>
      <w:r w:rsidRPr="00D463DC">
        <w:rPr>
          <w:b/>
        </w:rPr>
        <w:t>.</w:t>
      </w:r>
      <w:r w:rsidRPr="00D463DC">
        <w:rPr>
          <w:b/>
        </w:rPr>
        <w:tab/>
        <w:t>Пособие на иждивенцев</w:t>
      </w:r>
    </w:p>
    <w:p w:rsidR="009870AE" w:rsidRDefault="009870AE" w:rsidP="009870AE">
      <w:pPr>
        <w:rPr>
          <w:u w:val="single"/>
        </w:rPr>
      </w:pPr>
    </w:p>
    <w:p w:rsidR="009870AE" w:rsidRDefault="009870AE" w:rsidP="009870AE">
      <w:r>
        <w:t>373.</w:t>
      </w:r>
      <w:r>
        <w:tab/>
        <w:t xml:space="preserve">При выходе застрахованного в ССО лица на пенсию, в случае наступления у него постоянной инвалидности или  его смерти, до пяти несовершеннолетних иждивенцев-детей такого лица получают пенсию на иждивенца в размере 250 песо, или 10% от ежемесячной пенсии застрахованного лица, в зависимости от того, какая из этих сумм окажется выше.  К числу детей-иждивенцев относятся:  законнорожденные, усыновленные внебрачные, усыновленные в соответствии с законом и незаконнорожденные дети.  Только пять несовершеннолетних детей, начиная с самого младшего, имеют право на получение пенсии на иждивенцев.  При наличии более пяти законнорожденных и  незаконнорожденных детей предпочтение отдается законнорожденным детям. </w:t>
      </w:r>
    </w:p>
    <w:p w:rsidR="009870AE" w:rsidRDefault="009870AE" w:rsidP="009870AE"/>
    <w:p w:rsidR="009870AE" w:rsidRDefault="009870AE" w:rsidP="009870AE">
      <w:r>
        <w:t>374.</w:t>
      </w:r>
      <w:r>
        <w:tab/>
        <w:t xml:space="preserve">Выплата пенсии на иждивенца прекращается только в том случае, если происходит одно из следующих событий:  1)  ребенок достигает 21 года;  2)  ребенок вступает в брак;  3)  ребенок поступает на работу и зарабатывает не менее 3000 филиппинских песо в день; или  4)  ребенок умирает.  Вместе с тем, пенсия на иждивенца выплачивается пожизненно, если ребенок не может трудиться или содержать себя вследствие врожденных или возникших в несовершеннолетнем возрасте физических или умственных недостатков. </w:t>
      </w:r>
    </w:p>
    <w:p w:rsidR="009870AE" w:rsidRDefault="009870AE" w:rsidP="009870AE"/>
    <w:p w:rsidR="009870AE" w:rsidRDefault="009870AE" w:rsidP="009870AE">
      <w:r>
        <w:t>375.</w:t>
      </w:r>
      <w:r>
        <w:tab/>
        <w:t>Сразу же после вступления в брак супруги/супруга умершего застрахованного лица пенсия в связи с потерей кормильца переводится на его законнорожденных, усыновленных внебрачных, усыновленных в соответствии с законом и незаконнорожденных детей.</w:t>
      </w:r>
    </w:p>
    <w:p w:rsidR="009870AE" w:rsidRDefault="009870AE" w:rsidP="009870AE"/>
    <w:p w:rsidR="009870AE" w:rsidRPr="00D463DC" w:rsidRDefault="009870AE" w:rsidP="00D47D5A">
      <w:pPr>
        <w:keepNext/>
        <w:rPr>
          <w:i/>
        </w:rPr>
      </w:pPr>
      <w:r w:rsidRPr="00D463DC">
        <w:rPr>
          <w:i/>
        </w:rPr>
        <w:t>Программы социального обеспечения для работающих за рубежом филиппинцев</w:t>
      </w:r>
    </w:p>
    <w:p w:rsidR="009870AE" w:rsidRDefault="009870AE" w:rsidP="00D47D5A">
      <w:pPr>
        <w:keepNext/>
      </w:pPr>
    </w:p>
    <w:p w:rsidR="009870AE" w:rsidRDefault="009870AE" w:rsidP="009870AE">
      <w:r>
        <w:t>376.</w:t>
      </w:r>
      <w:r>
        <w:tab/>
        <w:t>ССО предлагает добровольное страхование  работающих за рубежом филиппинцев (РЗРФ) в рамках двух программ:  Обычной программы и программы "Флекси-Фанд", или Национального фонда обеспечения для РЗРФ</w:t>
      </w:r>
      <w:r>
        <w:rPr>
          <w:rStyle w:val="FootnoteReference"/>
        </w:rPr>
        <w:footnoteReference w:id="18"/>
      </w:r>
      <w:r>
        <w:t>.</w:t>
      </w:r>
    </w:p>
    <w:p w:rsidR="009870AE" w:rsidRDefault="009870AE" w:rsidP="009870AE"/>
    <w:p w:rsidR="009870AE" w:rsidRDefault="009870AE" w:rsidP="009870AE">
      <w:r>
        <w:t>377.</w:t>
      </w:r>
      <w:r>
        <w:tab/>
        <w:t>В рамках Обычной программы выплачивается пособие в связи с выходом на пенсию, смертью, инвалидностью, болезнью, беременностью и родами, на похороны, а также предоставляются займы на заработную плату, приобретение жилья и открытие предприятия.</w:t>
      </w:r>
    </w:p>
    <w:p w:rsidR="009870AE" w:rsidRDefault="009870AE" w:rsidP="009870AE"/>
    <w:p w:rsidR="009870AE" w:rsidRDefault="009870AE" w:rsidP="009870AE">
      <w:r>
        <w:t>378.</w:t>
      </w:r>
      <w:r>
        <w:tab/>
        <w:t xml:space="preserve">С другой стороны, программа "Флекси-Фанд" представляет собой освобожденную от налогов сберегательную и пенсионную схему, разработанную в целях поощрения работающих за рубежом филиппинцев к увеличению суммы их сбережений из зарабатываемых нелегким трудом средств, с тем чтобы на момент возвращения домой они могли накопить достаточную сумму.  Любые внесенные на счет Обычной программы сверх установленной максимальной суммы средства кладутся на индивидуальный счет работника.  Накопленная сумма может быть использована для дополнения пособий в связи с выходом на пенсию или инвалидностью по Обычной программе, выплаченных в виде единовременной сумы, пенсии или в их сочетании.  Застрахованному лицу также предоставляется возможность снять любую сумму для удовлетворения своих потребностей, таких как приобретение жилья, получение образования или получение стартового капитала для открытия предприятия. </w:t>
      </w:r>
    </w:p>
    <w:p w:rsidR="009870AE" w:rsidRDefault="009870AE" w:rsidP="009870AE"/>
    <w:p w:rsidR="009870AE" w:rsidRDefault="009870AE" w:rsidP="009870AE">
      <w:pPr>
        <w:rPr>
          <w:b/>
        </w:rPr>
      </w:pPr>
      <w:r>
        <w:rPr>
          <w:b/>
        </w:rPr>
        <w:t>Вопрос № 4.</w:t>
      </w:r>
      <w:r>
        <w:rPr>
          <w:b/>
        </w:rPr>
        <w:tab/>
        <w:t>Доля ВНП, затрачиваемая на социальное обеспечение</w:t>
      </w:r>
    </w:p>
    <w:p w:rsidR="009870AE" w:rsidRDefault="009870AE" w:rsidP="009870AE">
      <w:pPr>
        <w:rPr>
          <w:b/>
        </w:rPr>
      </w:pPr>
    </w:p>
    <w:p w:rsidR="009870AE" w:rsidRDefault="009870AE" w:rsidP="009870AE">
      <w:r>
        <w:t>379.</w:t>
      </w:r>
      <w:r>
        <w:tab/>
        <w:t>По оценкам, государство затрачивает на социальное обеспечение около 2% ВНП.  В 1996 году совокупные выплаты пособий четырьмя основными учреждениями социального обеспечения, равнявшиеся 7,3% национального бюджета, составили более чем 28,8 млрд. филиппинских песо и распределились следующим образом:</w:t>
      </w:r>
    </w:p>
    <w:p w:rsidR="009870AE" w:rsidRDefault="009870AE" w:rsidP="009870AE"/>
    <w:tbl>
      <w:tblPr>
        <w:tblStyle w:val="TableGrid"/>
        <w:tblW w:w="0" w:type="auto"/>
        <w:tblInd w:w="1428" w:type="dxa"/>
        <w:tblLayout w:type="fixed"/>
        <w:tblLook w:val="01E0" w:firstRow="1" w:lastRow="1" w:firstColumn="1" w:lastColumn="1" w:noHBand="0" w:noVBand="0"/>
      </w:tblPr>
      <w:tblGrid>
        <w:gridCol w:w="3027"/>
        <w:gridCol w:w="3453"/>
      </w:tblGrid>
      <w:tr w:rsidR="00BC240F" w:rsidRPr="00234426" w:rsidTr="00BC240F">
        <w:tc>
          <w:tcPr>
            <w:tcW w:w="3027" w:type="dxa"/>
          </w:tcPr>
          <w:p w:rsidR="00BC240F" w:rsidRPr="00234426" w:rsidRDefault="00BC240F" w:rsidP="00BC240F">
            <w:pPr>
              <w:rPr>
                <w:bCs/>
                <w:lang w:val="en-US"/>
              </w:rPr>
            </w:pPr>
            <w:r>
              <w:rPr>
                <w:lang w:val="en-US"/>
              </w:rPr>
              <w:br w:type="page"/>
            </w:r>
          </w:p>
        </w:tc>
        <w:tc>
          <w:tcPr>
            <w:tcW w:w="3453" w:type="dxa"/>
          </w:tcPr>
          <w:p w:rsidR="00BC240F" w:rsidRPr="0093322B" w:rsidRDefault="0093322B" w:rsidP="00BC240F">
            <w:pPr>
              <w:jc w:val="center"/>
              <w:rPr>
                <w:bCs/>
                <w:lang w:val="en-US"/>
              </w:rPr>
            </w:pPr>
            <w:r>
              <w:t>Ф</w:t>
            </w:r>
            <w:r w:rsidRPr="0093322B">
              <w:t>илиппинские песо</w:t>
            </w:r>
          </w:p>
        </w:tc>
      </w:tr>
      <w:tr w:rsidR="00BC240F" w:rsidRPr="00234426" w:rsidTr="00BC240F">
        <w:tc>
          <w:tcPr>
            <w:tcW w:w="3027" w:type="dxa"/>
            <w:tcBorders>
              <w:bottom w:val="nil"/>
            </w:tcBorders>
          </w:tcPr>
          <w:p w:rsidR="00BC240F" w:rsidRPr="00D463DC" w:rsidRDefault="00BC240F" w:rsidP="00BC240F">
            <w:pPr>
              <w:rPr>
                <w:bCs/>
                <w:lang w:val="en-US"/>
              </w:rPr>
            </w:pPr>
            <w:r w:rsidRPr="00D463DC">
              <w:t>ССО</w:t>
            </w:r>
          </w:p>
        </w:tc>
        <w:tc>
          <w:tcPr>
            <w:tcW w:w="3453" w:type="dxa"/>
            <w:tcBorders>
              <w:bottom w:val="nil"/>
            </w:tcBorders>
          </w:tcPr>
          <w:p w:rsidR="00BC240F" w:rsidRPr="00234426" w:rsidRDefault="00BC240F" w:rsidP="00BC240F">
            <w:pPr>
              <w:ind w:right="624"/>
              <w:jc w:val="right"/>
              <w:rPr>
                <w:bCs/>
                <w:lang w:val="en-US"/>
              </w:rPr>
            </w:pPr>
            <w:r>
              <w:rPr>
                <w:bCs/>
                <w:lang w:val="en-US"/>
              </w:rPr>
              <w:t xml:space="preserve">20 375 976 </w:t>
            </w:r>
            <w:r w:rsidRPr="00234426">
              <w:rPr>
                <w:bCs/>
                <w:lang w:val="en-US"/>
              </w:rPr>
              <w:t>335</w:t>
            </w:r>
            <w:r w:rsidR="0093322B">
              <w:rPr>
                <w:bCs/>
              </w:rPr>
              <w:t>,</w:t>
            </w:r>
            <w:r w:rsidRPr="00234426">
              <w:rPr>
                <w:bCs/>
                <w:lang w:val="en-US"/>
              </w:rPr>
              <w:t>00</w:t>
            </w:r>
          </w:p>
        </w:tc>
      </w:tr>
      <w:tr w:rsidR="00BC240F" w:rsidRPr="00234426" w:rsidTr="00BC240F">
        <w:tc>
          <w:tcPr>
            <w:tcW w:w="3027" w:type="dxa"/>
            <w:tcBorders>
              <w:top w:val="nil"/>
              <w:bottom w:val="nil"/>
            </w:tcBorders>
          </w:tcPr>
          <w:p w:rsidR="00BC240F" w:rsidRPr="00D463DC" w:rsidRDefault="00BC240F" w:rsidP="00BC240F">
            <w:pPr>
              <w:rPr>
                <w:bCs/>
                <w:lang w:val="en-US"/>
              </w:rPr>
            </w:pPr>
            <w:r w:rsidRPr="00D463DC">
              <w:t>ССГС</w:t>
            </w:r>
          </w:p>
        </w:tc>
        <w:tc>
          <w:tcPr>
            <w:tcW w:w="3453" w:type="dxa"/>
            <w:tcBorders>
              <w:top w:val="nil"/>
              <w:bottom w:val="nil"/>
            </w:tcBorders>
          </w:tcPr>
          <w:p w:rsidR="00BC240F" w:rsidRPr="00234426" w:rsidRDefault="00BC240F" w:rsidP="00BC240F">
            <w:pPr>
              <w:ind w:right="624"/>
              <w:jc w:val="right"/>
              <w:rPr>
                <w:bCs/>
                <w:lang w:val="en-US"/>
              </w:rPr>
            </w:pPr>
            <w:r>
              <w:rPr>
                <w:bCs/>
                <w:lang w:val="en-US"/>
              </w:rPr>
              <w:t xml:space="preserve">6 581 540 </w:t>
            </w:r>
            <w:r w:rsidRPr="00234426">
              <w:rPr>
                <w:bCs/>
                <w:lang w:val="en-US"/>
              </w:rPr>
              <w:t>558</w:t>
            </w:r>
            <w:r w:rsidR="0093322B">
              <w:rPr>
                <w:bCs/>
              </w:rPr>
              <w:t>,</w:t>
            </w:r>
            <w:r w:rsidRPr="00234426">
              <w:rPr>
                <w:bCs/>
                <w:lang w:val="en-US"/>
              </w:rPr>
              <w:t>00</w:t>
            </w:r>
          </w:p>
        </w:tc>
      </w:tr>
      <w:tr w:rsidR="00BC240F" w:rsidRPr="00234426" w:rsidTr="00BC240F">
        <w:tc>
          <w:tcPr>
            <w:tcW w:w="3027" w:type="dxa"/>
            <w:tcBorders>
              <w:top w:val="nil"/>
              <w:bottom w:val="nil"/>
            </w:tcBorders>
          </w:tcPr>
          <w:p w:rsidR="00BC240F" w:rsidRPr="00D463DC" w:rsidRDefault="00BC240F" w:rsidP="00BC240F">
            <w:pPr>
              <w:rPr>
                <w:bCs/>
                <w:lang w:val="en-US"/>
              </w:rPr>
            </w:pPr>
            <w:r w:rsidRPr="00D463DC">
              <w:t>ФКМС ("Медикеар")</w:t>
            </w:r>
          </w:p>
        </w:tc>
        <w:tc>
          <w:tcPr>
            <w:tcW w:w="3453" w:type="dxa"/>
            <w:tcBorders>
              <w:top w:val="nil"/>
              <w:bottom w:val="nil"/>
            </w:tcBorders>
          </w:tcPr>
          <w:p w:rsidR="00BC240F" w:rsidRPr="00234426" w:rsidRDefault="00BC240F" w:rsidP="00BC240F">
            <w:pPr>
              <w:ind w:right="624"/>
              <w:jc w:val="right"/>
              <w:rPr>
                <w:bCs/>
                <w:lang w:val="en-US"/>
              </w:rPr>
            </w:pPr>
            <w:r>
              <w:rPr>
                <w:bCs/>
                <w:lang w:val="en-US"/>
              </w:rPr>
              <w:t xml:space="preserve">3 343 084 </w:t>
            </w:r>
            <w:r w:rsidRPr="00234426">
              <w:rPr>
                <w:bCs/>
                <w:lang w:val="en-US"/>
              </w:rPr>
              <w:t>213</w:t>
            </w:r>
            <w:r w:rsidR="0093322B">
              <w:rPr>
                <w:bCs/>
              </w:rPr>
              <w:t>,</w:t>
            </w:r>
            <w:r w:rsidRPr="00234426">
              <w:rPr>
                <w:bCs/>
                <w:lang w:val="en-US"/>
              </w:rPr>
              <w:t>00</w:t>
            </w:r>
          </w:p>
        </w:tc>
      </w:tr>
      <w:tr w:rsidR="00BC240F" w:rsidRPr="00234426" w:rsidTr="00BC240F">
        <w:tc>
          <w:tcPr>
            <w:tcW w:w="3027" w:type="dxa"/>
            <w:tcBorders>
              <w:top w:val="nil"/>
            </w:tcBorders>
          </w:tcPr>
          <w:p w:rsidR="00BC240F" w:rsidRPr="00D463DC" w:rsidRDefault="00BC240F" w:rsidP="00BC240F">
            <w:pPr>
              <w:rPr>
                <w:bCs/>
                <w:lang w:val="en-US"/>
              </w:rPr>
            </w:pPr>
            <w:r w:rsidRPr="00D463DC">
              <w:t>КВКС</w:t>
            </w:r>
          </w:p>
        </w:tc>
        <w:tc>
          <w:tcPr>
            <w:tcW w:w="3453" w:type="dxa"/>
            <w:tcBorders>
              <w:top w:val="nil"/>
            </w:tcBorders>
          </w:tcPr>
          <w:p w:rsidR="00BC240F" w:rsidRPr="00234426" w:rsidRDefault="00BC240F" w:rsidP="00BC240F">
            <w:pPr>
              <w:ind w:right="624"/>
              <w:jc w:val="right"/>
              <w:rPr>
                <w:bCs/>
                <w:lang w:val="en-US"/>
              </w:rPr>
            </w:pPr>
            <w:r>
              <w:rPr>
                <w:bCs/>
                <w:lang w:val="en-US"/>
              </w:rPr>
              <w:t xml:space="preserve">1 357 612 </w:t>
            </w:r>
            <w:r w:rsidRPr="00234426">
              <w:rPr>
                <w:bCs/>
                <w:lang w:val="en-US"/>
              </w:rPr>
              <w:t>582</w:t>
            </w:r>
            <w:r w:rsidR="0093322B">
              <w:rPr>
                <w:bCs/>
              </w:rPr>
              <w:t>,</w:t>
            </w:r>
            <w:r w:rsidRPr="00234426">
              <w:rPr>
                <w:bCs/>
                <w:lang w:val="en-US"/>
              </w:rPr>
              <w:t xml:space="preserve">75 </w:t>
            </w:r>
          </w:p>
        </w:tc>
      </w:tr>
    </w:tbl>
    <w:p w:rsidR="00BC240F" w:rsidRDefault="00BC240F" w:rsidP="009870AE"/>
    <w:p w:rsidR="009870AE" w:rsidRPr="0093322B" w:rsidRDefault="009870AE" w:rsidP="00EE3EBA">
      <w:pPr>
        <w:jc w:val="center"/>
      </w:pPr>
      <w:r>
        <w:rPr>
          <w:i/>
        </w:rPr>
        <w:t>(Данные 2003 года показывают, что выплаты пособий по линии КВКС</w:t>
      </w:r>
      <w:r w:rsidR="00EE3EBA">
        <w:rPr>
          <w:i/>
        </w:rPr>
        <w:br/>
      </w:r>
      <w:r>
        <w:rPr>
          <w:i/>
        </w:rPr>
        <w:t>достигли 1 715 950 000 филиппинских песо</w:t>
      </w:r>
      <w:r w:rsidRPr="006223CD">
        <w:t>)</w:t>
      </w:r>
    </w:p>
    <w:p w:rsidR="009870AE" w:rsidRPr="0093322B" w:rsidRDefault="009870AE" w:rsidP="009870AE"/>
    <w:p w:rsidR="009870AE" w:rsidRDefault="009870AE" w:rsidP="009870AE">
      <w:r>
        <w:t>380.</w:t>
      </w:r>
      <w:r>
        <w:tab/>
        <w:t xml:space="preserve">В 2003 году общая сумма расходов ССО составила 47 583 млрд. филиппинских песо, или 1,03% валового национального продукта страны.  Из 46,5 млрд. филиппинских песо 42,8 млрд. было израсходовано на выплату пособий, а 4,8 млрд. составили операционные затраты.  Десятилетие ранее, в 1993 году, затраты ССО составляли 13,153 млрд. филиппинских песо, или 0,9% ВНП. </w:t>
      </w:r>
    </w:p>
    <w:p w:rsidR="009870AE" w:rsidRDefault="009870AE" w:rsidP="009870AE">
      <w:r>
        <w:t>381.</w:t>
      </w:r>
      <w:r>
        <w:tab/>
        <w:t>Увеличение расходов ССО может быть обусловлено ежегодным значительным ростом общих пенсионных выплат, произведенных Комиссией по вопросам социального обеспечения с 1980 по 2000 год.  Возросло и число бенефициаров.  Количество пенсионеров, составлявшее 10</w:t>
      </w:r>
      <w:r w:rsidR="0093322B">
        <w:t> </w:t>
      </w:r>
      <w:r>
        <w:t>лет тому назад 472</w:t>
      </w:r>
      <w:r w:rsidR="0093322B">
        <w:t> </w:t>
      </w:r>
      <w:r>
        <w:t>000</w:t>
      </w:r>
      <w:r w:rsidR="0093322B">
        <w:t> </w:t>
      </w:r>
      <w:r>
        <w:t>человек, удвоилось до примерно 993</w:t>
      </w:r>
      <w:r w:rsidR="0093322B">
        <w:t> </w:t>
      </w:r>
      <w:r>
        <w:t>000</w:t>
      </w:r>
      <w:r w:rsidR="0093322B">
        <w:t> </w:t>
      </w:r>
      <w:r>
        <w:t>человек в 2003 году.</w:t>
      </w:r>
    </w:p>
    <w:p w:rsidR="009870AE" w:rsidRDefault="009870AE" w:rsidP="009870AE"/>
    <w:p w:rsidR="009870AE" w:rsidRDefault="009870AE" w:rsidP="00DF206A">
      <w:pPr>
        <w:tabs>
          <w:tab w:val="clear" w:pos="1701"/>
          <w:tab w:val="left" w:pos="1540"/>
        </w:tabs>
        <w:ind w:left="1540" w:hanging="1540"/>
        <w:rPr>
          <w:b/>
        </w:rPr>
      </w:pPr>
      <w:r>
        <w:rPr>
          <w:b/>
        </w:rPr>
        <w:t>Вопрос № 5.</w:t>
      </w:r>
      <w:r>
        <w:rPr>
          <w:b/>
        </w:rPr>
        <w:tab/>
        <w:t>Неформальные схемы, дополняющие программу социального обеспечения</w:t>
      </w:r>
    </w:p>
    <w:p w:rsidR="009870AE" w:rsidRDefault="009870AE" w:rsidP="009870AE">
      <w:pPr>
        <w:rPr>
          <w:b/>
        </w:rPr>
      </w:pPr>
    </w:p>
    <w:p w:rsidR="009870AE" w:rsidRDefault="009870AE" w:rsidP="009870AE">
      <w:r>
        <w:t>382.</w:t>
      </w:r>
      <w:r>
        <w:tab/>
        <w:t xml:space="preserve">Некоторые схемы социального обеспечения дополняются частными программами. Работники, имеющие возможность делать сбережения, которые позволяют им выплачивать дополнительные и более высокие взносы или страховые премии, как правило, обеспечивают для себя и своих иждивенцев дополнительные медицинские услуги путем приобретения пакетов медицинского страхования, предлагаемых различными медицинскими организациями.  Существуют также частные пенсионные планы и программы внесения взносов на оплату в будущем оговоренных потребностей, предлагаемые различными инвестиционными компаниями.  Профсоюзы могут получить дополнительные пособия по страхованию через посредство коллективных переговоров. </w:t>
      </w:r>
    </w:p>
    <w:p w:rsidR="009870AE" w:rsidRDefault="009870AE" w:rsidP="009870AE"/>
    <w:p w:rsidR="009870AE" w:rsidRDefault="009870AE" w:rsidP="009870AE">
      <w:r>
        <w:t>383.</w:t>
      </w:r>
      <w:r>
        <w:tab/>
        <w:t xml:space="preserve">В соответствии со статьей 287 Трудового кодекса любой работник может выйти на пенсию или быть отправленным на пенсию его работодателем по достижении возраста, оговоренного в коллективном договоре или другом применимом контракте о найме на работу или пенсионном плане.  Он имеет право на получение пенсионных пособий в соответствии с существующими нормами и любым коллективным договором или другими программами при условии, что эти пособия не меньше тех, которые предусмотрены по закону.  В отсутствие применимого договора или пенсионной схемы, работник частного сектора может по своему выбору выйти на пенсию в 60 лет или, уже в обязательном порядке, - в 65 лет, при условии, что он проработал в указанном учреждении не менее пяти лет;  при этом ему полагается сумма, выплачиваемая по выходу на пенсию, в размере не менее половины месячной зарплаты за каждый год службы. </w:t>
      </w:r>
    </w:p>
    <w:p w:rsidR="009870AE" w:rsidRDefault="009870AE" w:rsidP="009870AE"/>
    <w:p w:rsidR="009870AE" w:rsidRDefault="009870AE" w:rsidP="009870AE">
      <w:r>
        <w:t>384.</w:t>
      </w:r>
      <w:r>
        <w:tab/>
        <w:t>ССО провела переговоры и заключила соглашения по вопросам социального обеспечения с Австрией, Бельгией, Испанией, Канадой и ее провинцией Квебек, Соединенным Королевством Великобритании и Северной Ирландии, Францией и Швейцарией.  Основными признаками этих соглашений являются равенство в обращении, экспорт пособий, суммирование, выплата пособий и взаимная административная помощь</w:t>
      </w:r>
      <w:r>
        <w:rPr>
          <w:rStyle w:val="FootnoteReference"/>
        </w:rPr>
        <w:footnoteReference w:id="19"/>
      </w:r>
      <w:r>
        <w:t>.</w:t>
      </w:r>
    </w:p>
    <w:p w:rsidR="009870AE" w:rsidRDefault="009870AE" w:rsidP="009870AE"/>
    <w:p w:rsidR="009870AE" w:rsidRDefault="009870AE" w:rsidP="00DF206A">
      <w:pPr>
        <w:tabs>
          <w:tab w:val="clear" w:pos="1701"/>
          <w:tab w:val="left" w:pos="1540"/>
        </w:tabs>
        <w:ind w:left="1540" w:hanging="1540"/>
        <w:rPr>
          <w:b/>
        </w:rPr>
      </w:pPr>
      <w:r>
        <w:rPr>
          <w:b/>
        </w:rPr>
        <w:t>Вопрос № 6.</w:t>
      </w:r>
      <w:r>
        <w:rPr>
          <w:b/>
        </w:rPr>
        <w:tab/>
        <w:t>Группы, не имеющие права на социальное обеспечение</w:t>
      </w:r>
    </w:p>
    <w:p w:rsidR="009870AE" w:rsidRPr="004128AA" w:rsidRDefault="009870AE" w:rsidP="009870AE"/>
    <w:p w:rsidR="009870AE" w:rsidRDefault="009870AE" w:rsidP="009870AE">
      <w:r>
        <w:t>385.</w:t>
      </w:r>
      <w:r>
        <w:tab/>
        <w:t xml:space="preserve">Цель государственной политики заключается в том, чтобы всеобщая система социального обеспечения охватывала всех трудящихся.  Поэтому для установления того, кто именно может являться членом этой системы, в </w:t>
      </w:r>
      <w:r w:rsidR="00F06DBF">
        <w:t>З</w:t>
      </w:r>
      <w:r>
        <w:t>аконе о создании ССО вводятся понятия лиц, работающих по найму, и лиц, занимающихся самостоятельной трудовой деятельностью.  Однако в настоящее время значительная часть рабочей силы не включена в систему социального обеспечения ни в рамках ССО, ни ССГС, ни компенсационной программы, ни НМО.</w:t>
      </w:r>
    </w:p>
    <w:p w:rsidR="009870AE" w:rsidRDefault="009870AE" w:rsidP="009870AE"/>
    <w:p w:rsidR="009870AE" w:rsidRDefault="009870AE" w:rsidP="009870AE">
      <w:r w:rsidRPr="00F67D2B">
        <w:rPr>
          <w:spacing w:val="-4"/>
        </w:rPr>
        <w:t>386.</w:t>
      </w:r>
      <w:r w:rsidRPr="00F67D2B">
        <w:rPr>
          <w:spacing w:val="-4"/>
        </w:rPr>
        <w:tab/>
        <w:t>Из 28,38 млн. трудящихся в 1995 году только 17,4 млн. работающих по найму и</w:t>
      </w:r>
      <w:r>
        <w:rPr>
          <w:spacing w:val="-4"/>
        </w:rPr>
        <w:t> </w:t>
      </w:r>
      <w:r w:rsidRPr="00F67D2B">
        <w:rPr>
          <w:spacing w:val="-4"/>
        </w:rPr>
        <w:t>710 000</w:t>
      </w:r>
      <w:r>
        <w:rPr>
          <w:spacing w:val="-4"/>
        </w:rPr>
        <w:t> </w:t>
      </w:r>
      <w:r w:rsidRPr="00F67D2B">
        <w:rPr>
          <w:spacing w:val="-4"/>
        </w:rPr>
        <w:t>самостоятельно занятых лиц являлись членами ССО и ССГС;  из 29,734 млн. трудящихся в 1996 году только 18,26 млн. работающих по найму и 1,13 млн. самостоятельно занятых лиц были членами этих систем;  из 30,354 млн. трудящихся в 1997 году только 18,94% млн. работающих по найму и 1,68 млн. самостоятельно занятых лиц были членами системы и из 33 440 000 трудящихся в 1999 году только 18 438 707 работающих по найму и</w:t>
      </w:r>
      <w:r>
        <w:rPr>
          <w:spacing w:val="-4"/>
        </w:rPr>
        <w:t> </w:t>
      </w:r>
      <w:r w:rsidRPr="00F67D2B">
        <w:rPr>
          <w:spacing w:val="-4"/>
        </w:rPr>
        <w:t>2 877 465 самостоятельно занятых</w:t>
      </w:r>
      <w:r>
        <w:t xml:space="preserve"> лиц были членами этих систем.  Значительная часть трудящихся неформального сектора не имеет социального обеспечения.  Из</w:t>
      </w:r>
      <w:r>
        <w:noBreakHyphen/>
        <w:t>за этого займы и другие пособия, предоставляемые в рамках различных систем, практически для них недоступны.</w:t>
      </w:r>
    </w:p>
    <w:p w:rsidR="009870AE" w:rsidRDefault="009870AE" w:rsidP="009870AE"/>
    <w:p w:rsidR="009870AE" w:rsidRDefault="009870AE" w:rsidP="009870AE">
      <w:r>
        <w:t>387.</w:t>
      </w:r>
      <w:r>
        <w:tab/>
        <w:t>С принятием РЗ № 8282 практически все трудящиеся частного сектора в настоящее время имеют право на социальное обеспечение.  Устав ССО предусматривает, что членство в программе социального обеспечения является обязательным для всех работников частного сектора и самостоятельно занятых лиц не старше 60 лет и зарабатывающих не менее 1 000 филиппинских песо в месяц (примерно 18 долл. США).  Минимальная ставка заработной платы, с которой начинаются социальные взносы, является умеренной даже для лиц, работающих самостоятельно.</w:t>
      </w:r>
    </w:p>
    <w:p w:rsidR="009870AE" w:rsidRDefault="009870AE" w:rsidP="009870AE"/>
    <w:p w:rsidR="009870AE" w:rsidRDefault="009870AE" w:rsidP="009870AE">
      <w:r>
        <w:t>388.</w:t>
      </w:r>
      <w:r>
        <w:tab/>
        <w:t>Членами систем социального обеспечения являются следующие виды работников:</w:t>
      </w:r>
    </w:p>
    <w:p w:rsidR="009870AE" w:rsidRDefault="009870AE" w:rsidP="009870AE"/>
    <w:p w:rsidR="009870AE" w:rsidRDefault="009870AE" w:rsidP="009870AE">
      <w:pPr>
        <w:numPr>
          <w:ilvl w:val="0"/>
          <w:numId w:val="20"/>
        </w:numPr>
        <w:tabs>
          <w:tab w:val="left" w:pos="567"/>
          <w:tab w:val="left" w:pos="1134"/>
          <w:tab w:val="left" w:pos="1701"/>
          <w:tab w:val="left" w:pos="2268"/>
          <w:tab w:val="left" w:pos="6237"/>
        </w:tabs>
        <w:ind w:left="1134" w:hanging="573"/>
      </w:pPr>
      <w:r>
        <w:t>застрахованные служащие, в том числе служащие частного сектора, работающие на постоянной, временной или сезонной основе;  лица, оказывающие помощь по домашнему хозяйству, и филиппинские моряки после подписания стандартного контракта о найме между моряком и агентством по набору персонала, которые вместе с владельцами иностранного судна выступают в качестве работодателей;</w:t>
      </w:r>
    </w:p>
    <w:p w:rsidR="009870AE" w:rsidRDefault="009870AE" w:rsidP="009870AE">
      <w:pPr>
        <w:tabs>
          <w:tab w:val="clear" w:pos="567"/>
          <w:tab w:val="left" w:pos="561"/>
        </w:tabs>
      </w:pPr>
    </w:p>
    <w:p w:rsidR="009870AE" w:rsidRDefault="009870AE" w:rsidP="009870AE">
      <w:pPr>
        <w:numPr>
          <w:ilvl w:val="0"/>
          <w:numId w:val="20"/>
        </w:numPr>
        <w:tabs>
          <w:tab w:val="left" w:pos="567"/>
          <w:tab w:val="left" w:pos="1134"/>
          <w:tab w:val="left" w:pos="1701"/>
          <w:tab w:val="left" w:pos="2268"/>
          <w:tab w:val="left" w:pos="6237"/>
        </w:tabs>
        <w:ind w:left="1134" w:hanging="573"/>
      </w:pPr>
      <w:r>
        <w:t>самостоятельно занятые лица, в том числе самозанятые специалисты, деловые партнеры, единоличные собственники и председатели правлений;  актеры, режиссеры, сценаристы, репортеры, работающие без контракта;  профессиональные спортсмены, тренеры, инструкторы и жокеи;  фермеры и рыбаки;  а также работники неформального сектора, такие как уличные продавцы сигарет, сторожа автостоянок и девушки из службы сопровождения гостей.</w:t>
      </w:r>
    </w:p>
    <w:p w:rsidR="009870AE" w:rsidRDefault="009870AE" w:rsidP="009870AE"/>
    <w:p w:rsidR="009870AE" w:rsidRDefault="009870AE" w:rsidP="009870AE">
      <w:pPr>
        <w:numPr>
          <w:ilvl w:val="0"/>
          <w:numId w:val="21"/>
        </w:numPr>
        <w:ind w:left="1134" w:hanging="573"/>
      </w:pPr>
      <w:r>
        <w:t>Добровольные члены, в число которых входят уволившиеся с работы лица, работающие за рубежом филиппинцы и неработающие супруги (обычно женщины) членов ССО.</w:t>
      </w:r>
    </w:p>
    <w:p w:rsidR="009870AE" w:rsidRPr="00877719" w:rsidRDefault="009870AE" w:rsidP="009870AE"/>
    <w:p w:rsidR="009870AE" w:rsidRDefault="009870AE" w:rsidP="009870AE">
      <w:r>
        <w:t>389.</w:t>
      </w:r>
      <w:r>
        <w:tab/>
        <w:t xml:space="preserve">По состоянию на конец </w:t>
      </w:r>
      <w:r w:rsidR="00531914">
        <w:t>2005 года,</w:t>
      </w:r>
      <w:r>
        <w:t xml:space="preserve"> количество охваченных ССО лиц составляло 26,2 млн. работников и 757 971 работодателей.  Из общего количества членов ССО на долю служащих приходится значительная часть, составляющая 80%.  Примечательно, что, по оценкам, общее количество членов ССО составляет примерн</w:t>
      </w:r>
      <w:r w:rsidR="00531914">
        <w:t>о 71% филиппинских трудящихся.</w:t>
      </w:r>
    </w:p>
    <w:p w:rsidR="009870AE" w:rsidRDefault="009870AE" w:rsidP="009870AE"/>
    <w:p w:rsidR="009870AE" w:rsidRDefault="009870AE" w:rsidP="009870AE">
      <w:pPr>
        <w:ind w:left="567" w:hanging="567"/>
        <w:rPr>
          <w:b/>
        </w:rPr>
      </w:pPr>
      <w:r>
        <w:rPr>
          <w:b/>
        </w:rPr>
        <w:t>6.а</w:t>
      </w:r>
      <w:r>
        <w:rPr>
          <w:b/>
        </w:rPr>
        <w:tab/>
        <w:t>Меры, считающиеся необходимыми для осуществления права на социальное обеспечение группами, которые не имеют на это права или пользуются этим правом в меньшей степени</w:t>
      </w:r>
    </w:p>
    <w:p w:rsidR="009870AE" w:rsidRDefault="009870AE" w:rsidP="009870AE">
      <w:pPr>
        <w:rPr>
          <w:b/>
        </w:rPr>
      </w:pPr>
    </w:p>
    <w:p w:rsidR="009870AE" w:rsidRDefault="009870AE" w:rsidP="009870AE">
      <w:r>
        <w:t>390.</w:t>
      </w:r>
      <w:r>
        <w:tab/>
        <w:t xml:space="preserve">Одна из главных задач правительства состоит в том, чтобы предоставить лицам, которые в настоящее время лишены социальной защиты, определенный доступ к кредитным механизмам существующих программ социального обеспечения.  В 1994 году правительство разработало Программу социальной реформы (ПСР), на базе которой была создана программа кредитования неимущих групп населения.  </w:t>
      </w:r>
      <w:r w:rsidRPr="00D46254">
        <w:t>В рамках этой программы про</w:t>
      </w:r>
      <w:r>
        <w:t>из</w:t>
      </w:r>
      <w:r w:rsidRPr="00D46254">
        <w:t xml:space="preserve">водится </w:t>
      </w:r>
      <w:r>
        <w:t xml:space="preserve">классификация </w:t>
      </w:r>
      <w:r w:rsidRPr="00D46254">
        <w:t xml:space="preserve">клиентов </w:t>
      </w:r>
      <w:r>
        <w:t xml:space="preserve">с помощью </w:t>
      </w:r>
      <w:r w:rsidRPr="00D46254">
        <w:t>стратеги</w:t>
      </w:r>
      <w:r>
        <w:t>и</w:t>
      </w:r>
      <w:r w:rsidRPr="00D46254">
        <w:t xml:space="preserve"> экономическо</w:t>
      </w:r>
      <w:r>
        <w:t xml:space="preserve">й сегментации;  при этом используется </w:t>
      </w:r>
      <w:r w:rsidRPr="00D46254">
        <w:t>программа социальн</w:t>
      </w:r>
      <w:r>
        <w:t>ого</w:t>
      </w:r>
      <w:r w:rsidRPr="00D46254">
        <w:t xml:space="preserve"> кредитования, основанная на подходе </w:t>
      </w:r>
      <w:r>
        <w:t>"</w:t>
      </w:r>
      <w:r w:rsidRPr="00D46254">
        <w:t>Граммин банка</w:t>
      </w:r>
      <w:r>
        <w:t>"</w:t>
      </w:r>
      <w:r w:rsidRPr="00D46254">
        <w:t xml:space="preserve"> к лицам, находящимся в крайней нищете, программа активного и устойчивого формирования </w:t>
      </w:r>
      <w:r>
        <w:t xml:space="preserve">и развития </w:t>
      </w:r>
      <w:r w:rsidRPr="00D46254">
        <w:t>кооператив</w:t>
      </w:r>
      <w:r>
        <w:t>ов</w:t>
      </w:r>
      <w:r w:rsidRPr="00D46254">
        <w:t xml:space="preserve"> неимущими среднего уровня и программа динамической активизации лиц, находящихся у черты бедности.</w:t>
      </w:r>
    </w:p>
    <w:p w:rsidR="009870AE" w:rsidRDefault="009870AE" w:rsidP="009870AE"/>
    <w:p w:rsidR="009870AE" w:rsidRDefault="009870AE" w:rsidP="009870AE">
      <w:r>
        <w:t>391.</w:t>
      </w:r>
      <w:r>
        <w:tab/>
        <w:t xml:space="preserve">Неправительственные и общественные организации (НПО/ОО) играют важную роль в реализации целей правительства, особенно в деле осуществления программ кредитования и обеспечения средств к существованию.  Помимо того, что они являются посредниками или проводниками идей, оказывающими помощь в первую очередь группам населения с низкими доходами, НПО/ОО могут играть ведущую роль в пропагандировании, а также экспериментальном тестировании программ социального обеспечения.  Их сети в неформальном секторе чрезвычайно полезны для распространения и обмена информацией, а также наращивания потенциала в связи с существующими программами.  </w:t>
      </w:r>
    </w:p>
    <w:p w:rsidR="009870AE" w:rsidRDefault="009870AE" w:rsidP="009870AE"/>
    <w:p w:rsidR="009870AE" w:rsidRDefault="009870AE" w:rsidP="009870AE">
      <w:r>
        <w:t>392.</w:t>
      </w:r>
      <w:r>
        <w:tab/>
        <w:t>Партнерские отношения между государственными финансовыми институтами, с одной стороны, и НПО/ОО, с другой стороны, постоянно развиваются в рамках Программы социальной реформы (ПСР).  Например, Земельный банк Филиппин в настоящее время действует в качестве доверительного банка для программ социального кредитования и кооперативам, а НПО/ОО, включая кооперативы, действуют в качестве непосредственных исполнителей таких программ.  Кроме того, Народная финансово-кредитная корпорация (НФКК) была назначена ведущим агентством по осуществлению этой программы и предоставлению кредитов неимущим с помощью подгруппы по проблемам малоимущего населения Национальной кредитной комиссии (НКК) и Целевой группы по кредитам.</w:t>
      </w:r>
    </w:p>
    <w:p w:rsidR="009870AE" w:rsidRDefault="009870AE" w:rsidP="009870AE"/>
    <w:p w:rsidR="009870AE" w:rsidRDefault="009870AE" w:rsidP="009870AE">
      <w:r>
        <w:t>393.</w:t>
      </w:r>
      <w:r>
        <w:tab/>
        <w:t xml:space="preserve">В целях поддержки этой программы было использовано предложение о предоставлении займа в размере 22 млн. филиппинских песо, которое было внесено Национальным фондом по обеспечению средств к существованию, а также привлечены средства Постоянного целевого фонда по наращиванию потенциала.  Дополнительную поддержку оказала Целевая группа по кредитам под руководством НФКК для содействия в получении 250 млн. филиппинских песо, предназначенных для финансирования мероприятий по наращиванию потенциала в кредитной области целевых групп населения и </w:t>
      </w:r>
      <w:r w:rsidRPr="00702846">
        <w:t>НПО/ОО</w:t>
      </w:r>
      <w:r>
        <w:t>.  НКК координирует эти мероприятия в целях рационализации всех существующих государственных программ кредитования.</w:t>
      </w:r>
    </w:p>
    <w:p w:rsidR="009870AE" w:rsidRDefault="009870AE" w:rsidP="009870AE"/>
    <w:p w:rsidR="009870AE" w:rsidRDefault="009870AE" w:rsidP="009870AE">
      <w:r>
        <w:t>394.</w:t>
      </w:r>
      <w:r>
        <w:tab/>
        <w:t>Работники, подпадающие под другие категории трудящихся (например, самозанятые лица, неработающие супруги, работающие за рубежом филиппинцы, члены кооперативов, торговцы и ассоциации) относятся к категории лиц, имеющих право на участие в фонде ПАГ-ИБИГ.  В качестве членов фонда они также имеют право на пособия, начисляемые в обязательном</w:t>
      </w:r>
      <w:r w:rsidR="00531914">
        <w:t xml:space="preserve"> порядке работникам, ПАГ-ИБИГ.</w:t>
      </w:r>
    </w:p>
    <w:p w:rsidR="009870AE" w:rsidRDefault="009870AE" w:rsidP="009870AE"/>
    <w:p w:rsidR="009870AE" w:rsidRDefault="009870AE" w:rsidP="009870AE">
      <w:r>
        <w:t>395.</w:t>
      </w:r>
      <w:r>
        <w:tab/>
        <w:t>В 1995 и 1986 годах членами этого фонда являлись, соответствен</w:t>
      </w:r>
      <w:r w:rsidR="00531914">
        <w:t>но, 119 473 и 144 678 человек.</w:t>
      </w:r>
    </w:p>
    <w:p w:rsidR="009870AE" w:rsidRDefault="009870AE" w:rsidP="009870AE"/>
    <w:p w:rsidR="009870AE" w:rsidRDefault="009870AE" w:rsidP="009870AE">
      <w:pPr>
        <w:ind w:left="567" w:hanging="567"/>
        <w:rPr>
          <w:b/>
        </w:rPr>
      </w:pPr>
      <w:r>
        <w:rPr>
          <w:b/>
        </w:rPr>
        <w:t>6.b</w:t>
      </w:r>
      <w:r>
        <w:rPr>
          <w:b/>
        </w:rPr>
        <w:tab/>
        <w:t>Принятые правительством директивные меры в максимальных пределах имеющихся ресурсов в целях осуществления права на социальное обеспечение группами населения, находящимися в неблагоприятном положении</w:t>
      </w:r>
    </w:p>
    <w:p w:rsidR="009870AE" w:rsidRDefault="009870AE" w:rsidP="009870AE">
      <w:pPr>
        <w:rPr>
          <w:b/>
        </w:rPr>
      </w:pPr>
    </w:p>
    <w:p w:rsidR="009870AE" w:rsidRDefault="009870AE" w:rsidP="009870AE">
      <w:r>
        <w:t>396.</w:t>
      </w:r>
      <w:r>
        <w:tab/>
        <w:t>В стране были реализованы следующие программы социальной защиты коренного населения в целях распространения системы льгот программ социального обеспечения на неформальный сектор:</w:t>
      </w:r>
    </w:p>
    <w:p w:rsidR="009870AE" w:rsidRDefault="009870AE" w:rsidP="009870AE"/>
    <w:p w:rsidR="009870AE" w:rsidRDefault="009870AE" w:rsidP="009870AE">
      <w:pPr>
        <w:ind w:left="1134" w:hanging="1134"/>
      </w:pPr>
      <w:r>
        <w:tab/>
        <w:t>-</w:t>
      </w:r>
      <w:r>
        <w:tab/>
      </w:r>
      <w:r>
        <w:rPr>
          <w:i/>
        </w:rPr>
        <w:t xml:space="preserve">"Дамаян" - </w:t>
      </w:r>
      <w:r>
        <w:t>программа социальной защиты на базе общины или кооператива, предусматривающая добровольные или обязательные взносы членов на покрытие расходов в связи с похоронами или другими церемониями, включая свадьбы, рождения и крещения детей.</w:t>
      </w:r>
    </w:p>
    <w:p w:rsidR="009870AE" w:rsidRDefault="009870AE" w:rsidP="009870AE"/>
    <w:p w:rsidR="009870AE" w:rsidRDefault="009870AE" w:rsidP="009870AE">
      <w:pPr>
        <w:ind w:left="1134" w:hanging="1134"/>
      </w:pPr>
      <w:r>
        <w:tab/>
        <w:t>-</w:t>
      </w:r>
      <w:r>
        <w:tab/>
      </w:r>
      <w:r w:rsidRPr="006A00CF">
        <w:rPr>
          <w:i/>
        </w:rPr>
        <w:t>"</w:t>
      </w:r>
      <w:r>
        <w:rPr>
          <w:i/>
        </w:rPr>
        <w:t>Палуваган"</w:t>
      </w:r>
      <w:r>
        <w:t xml:space="preserve"> - программа, предусматривающая отчисление определенного процента дохода в общий фонд.  Для каждого члена программы устанавливается дата, когда он может получить сумму, практически равную той, которую он внес в фонд.</w:t>
      </w:r>
    </w:p>
    <w:p w:rsidR="009870AE" w:rsidRDefault="009870AE" w:rsidP="009870AE">
      <w:pPr>
        <w:ind w:left="1134" w:hanging="1134"/>
      </w:pPr>
    </w:p>
    <w:p w:rsidR="009870AE" w:rsidRDefault="009870AE" w:rsidP="009870AE">
      <w:pPr>
        <w:ind w:left="1134" w:hanging="1134"/>
      </w:pPr>
      <w:r>
        <w:rPr>
          <w:i/>
        </w:rPr>
        <w:tab/>
        <w:t>-</w:t>
      </w:r>
      <w:r>
        <w:rPr>
          <w:i/>
        </w:rPr>
        <w:tab/>
        <w:t>"Пондохан</w:t>
      </w:r>
      <w:r>
        <w:t xml:space="preserve">" - программа, в рамках которой проводятся мероприятия по привлечению средств на конкретные цели. Собранные в результате таких мероприятий средства используются для финансирования целевых проектов.  </w:t>
      </w:r>
    </w:p>
    <w:p w:rsidR="009870AE" w:rsidRDefault="009870AE" w:rsidP="009870AE"/>
    <w:p w:rsidR="009870AE" w:rsidRDefault="009870AE" w:rsidP="009870AE">
      <w:r>
        <w:t>397.</w:t>
      </w:r>
      <w:r>
        <w:tab/>
        <w:t>Существует также много программ самопомощи, осуществляемых объединениями кооперативов</w:t>
      </w:r>
      <w:r>
        <w:rPr>
          <w:rStyle w:val="FootnoteReference"/>
        </w:rPr>
        <w:footnoteReference w:id="20"/>
      </w:r>
      <w:r>
        <w:t>.</w:t>
      </w:r>
    </w:p>
    <w:p w:rsidR="00A71157" w:rsidRDefault="00A71157" w:rsidP="009870AE"/>
    <w:p w:rsidR="009870AE" w:rsidRDefault="009870AE" w:rsidP="009870AE">
      <w:pPr>
        <w:ind w:left="567" w:hanging="567"/>
        <w:rPr>
          <w:b/>
        </w:rPr>
      </w:pPr>
      <w:r>
        <w:rPr>
          <w:b/>
        </w:rPr>
        <w:t>6.с</w:t>
      </w:r>
      <w:r>
        <w:rPr>
          <w:b/>
        </w:rPr>
        <w:tab/>
        <w:t>Воздействие вышеупомянутых мер на положение групп населения, находящихся в неблагоприятном положении</w:t>
      </w:r>
    </w:p>
    <w:p w:rsidR="009870AE" w:rsidRDefault="009870AE" w:rsidP="009870AE">
      <w:pPr>
        <w:rPr>
          <w:b/>
        </w:rPr>
      </w:pPr>
    </w:p>
    <w:p w:rsidR="009870AE" w:rsidRDefault="009870AE" w:rsidP="009870AE">
      <w:r>
        <w:t>398.</w:t>
      </w:r>
      <w:r>
        <w:tab/>
        <w:t>Перечисленные выше меры являются относительно новыми.  Хотя основная трудность обычно связана с тем, каким образом адресные бенефициары могут повысить свой потенциал по эффективному управлению этими программами, до настоящего времени не существует эмпирической системы измерения или подробной документации о полученных результатах, которые можно было бы использовать для эффективной оценки этих программ.</w:t>
      </w:r>
    </w:p>
    <w:p w:rsidR="009870AE" w:rsidRDefault="009870AE" w:rsidP="009870AE"/>
    <w:p w:rsidR="009870AE" w:rsidRDefault="009870AE" w:rsidP="00DF206A">
      <w:pPr>
        <w:tabs>
          <w:tab w:val="clear" w:pos="1701"/>
          <w:tab w:val="left" w:pos="1540"/>
        </w:tabs>
        <w:ind w:left="1540" w:hanging="1540"/>
        <w:rPr>
          <w:b/>
        </w:rPr>
      </w:pPr>
      <w:r>
        <w:rPr>
          <w:b/>
        </w:rPr>
        <w:t>Вопрос № 7.</w:t>
      </w:r>
      <w:r>
        <w:rPr>
          <w:b/>
        </w:rPr>
        <w:tab/>
        <w:t>Изменения в законодательстве и стратегиях, которые затрагивают право на социальное обеспечение</w:t>
      </w:r>
    </w:p>
    <w:p w:rsidR="009870AE" w:rsidRDefault="009870AE" w:rsidP="009870AE">
      <w:pPr>
        <w:rPr>
          <w:b/>
        </w:rPr>
      </w:pPr>
    </w:p>
    <w:p w:rsidR="009870AE" w:rsidRDefault="009870AE" w:rsidP="009870AE">
      <w:r>
        <w:t>399.</w:t>
      </w:r>
      <w:r>
        <w:tab/>
        <w:t xml:space="preserve">К числу основных изменений в национальном законодательстве, которые произошли за рассматриваемый период, относятся изменения, внесенные РЗ № 7875, </w:t>
      </w:r>
      <w:r>
        <w:rPr>
          <w:i/>
        </w:rPr>
        <w:t>Закон о национальной системе медицинского страхования</w:t>
      </w:r>
      <w:r>
        <w:t xml:space="preserve">;  РЗ № 8291, </w:t>
      </w:r>
      <w:r>
        <w:rPr>
          <w:i/>
        </w:rPr>
        <w:t>Закон о системе страхования государственных служащих</w:t>
      </w:r>
      <w:r>
        <w:t xml:space="preserve">;  РЗ № 8282, </w:t>
      </w:r>
      <w:r>
        <w:rPr>
          <w:i/>
        </w:rPr>
        <w:t xml:space="preserve">Закон о социальном обеспечении; </w:t>
      </w:r>
      <w:r>
        <w:t xml:space="preserve"> РЗ № 6656, </w:t>
      </w:r>
      <w:r>
        <w:rPr>
          <w:i/>
        </w:rPr>
        <w:t>Правила реорганизации правительства;</w:t>
      </w:r>
      <w:r>
        <w:t xml:space="preserve">  РЗ № 6758, </w:t>
      </w:r>
      <w:r>
        <w:rPr>
          <w:i/>
        </w:rPr>
        <w:t>Стандартизация заработной платы в правительстве</w:t>
      </w:r>
      <w:r>
        <w:t xml:space="preserve">;  РЗ № 7192, </w:t>
      </w:r>
      <w:r>
        <w:rPr>
          <w:i/>
        </w:rPr>
        <w:t>Участие женщин в процессе развития и</w:t>
      </w:r>
      <w:r w:rsidR="004E2D54">
        <w:rPr>
          <w:i/>
        </w:rPr>
        <w:t> </w:t>
      </w:r>
      <w:r>
        <w:rPr>
          <w:i/>
        </w:rPr>
        <w:t>формирования нации</w:t>
      </w:r>
      <w:r>
        <w:t xml:space="preserve">;  РЗ № 7796, </w:t>
      </w:r>
      <w:r>
        <w:rPr>
          <w:i/>
        </w:rPr>
        <w:t>Закон о техническом образовании и развитии профессиональных навыков</w:t>
      </w:r>
      <w:r>
        <w:t xml:space="preserve">;  и РЗ № 8187, </w:t>
      </w:r>
      <w:r>
        <w:rPr>
          <w:i/>
        </w:rPr>
        <w:t>Закон о предоставлении отпуска отцам</w:t>
      </w:r>
      <w:r>
        <w:t>.  Воздействие этих законов уже обсуждалось в рамках рассмотрения соответствующих вопросов.</w:t>
      </w:r>
    </w:p>
    <w:p w:rsidR="009870AE" w:rsidRDefault="009870AE" w:rsidP="009870AE"/>
    <w:p w:rsidR="00C30763" w:rsidRDefault="00C30763" w:rsidP="00C30763">
      <w:r>
        <w:t>400.</w:t>
      </w:r>
      <w:r>
        <w:tab/>
        <w:t>Был также принят ряд мер в целях обеспечения финансовой стабилизации и продолжения существования Фонда социального обеспечения</w:t>
      </w:r>
      <w:r>
        <w:rPr>
          <w:rStyle w:val="FootnoteReference"/>
        </w:rPr>
        <w:footnoteReference w:id="21"/>
      </w:r>
      <w:r>
        <w:t>.</w:t>
      </w:r>
    </w:p>
    <w:p w:rsidR="00A71157" w:rsidRDefault="00A71157" w:rsidP="00C30763"/>
    <w:p w:rsidR="00C30763" w:rsidRDefault="00C30763" w:rsidP="00293A57">
      <w:pPr>
        <w:tabs>
          <w:tab w:val="clear" w:pos="1701"/>
          <w:tab w:val="left" w:pos="1540"/>
        </w:tabs>
        <w:ind w:left="1540" w:hanging="1540"/>
        <w:rPr>
          <w:b/>
        </w:rPr>
      </w:pPr>
      <w:r>
        <w:rPr>
          <w:b/>
        </w:rPr>
        <w:t>Вопрос № 8.</w:t>
      </w:r>
      <w:r>
        <w:rPr>
          <w:b/>
        </w:rPr>
        <w:tab/>
        <w:t>Роль международной помощи в деле полного осуществления права</w:t>
      </w:r>
      <w:r w:rsidR="00531914">
        <w:rPr>
          <w:b/>
        </w:rPr>
        <w:br/>
      </w:r>
      <w:r>
        <w:rPr>
          <w:b/>
        </w:rPr>
        <w:t>на социальное обеспечение</w:t>
      </w:r>
    </w:p>
    <w:p w:rsidR="00C30763" w:rsidRDefault="00C30763" w:rsidP="00C30763">
      <w:pPr>
        <w:rPr>
          <w:b/>
        </w:rPr>
      </w:pPr>
    </w:p>
    <w:p w:rsidR="00C30763" w:rsidRDefault="00C30763" w:rsidP="00C30763">
      <w:r>
        <w:t>401.</w:t>
      </w:r>
      <w:r>
        <w:tab/>
        <w:t>Получение на постоянной основе технической и финансовой помощи от различных международных организаций, таких, как МОТ и даже Бреттонвудских институтов, может сыграть важную роль в продолжении усилий по универсализации сферы социальной защиты</w:t>
      </w:r>
      <w:r>
        <w:rPr>
          <w:rStyle w:val="FootnoteReference"/>
        </w:rPr>
        <w:footnoteReference w:id="22"/>
      </w:r>
      <w:r>
        <w:t>.</w:t>
      </w:r>
    </w:p>
    <w:p w:rsidR="00C30763" w:rsidRDefault="00C30763" w:rsidP="00C30763">
      <w:pPr>
        <w:jc w:val="center"/>
        <w:rPr>
          <w:b/>
        </w:rPr>
      </w:pPr>
      <w:r>
        <w:rPr>
          <w:b/>
        </w:rPr>
        <w:t>Статья 10</w:t>
      </w:r>
    </w:p>
    <w:p w:rsidR="00C30763" w:rsidRPr="006A6027" w:rsidRDefault="00C30763" w:rsidP="00C30763">
      <w:pPr>
        <w:jc w:val="center"/>
      </w:pPr>
    </w:p>
    <w:p w:rsidR="00C30763" w:rsidRDefault="00C30763" w:rsidP="00293A57">
      <w:pPr>
        <w:tabs>
          <w:tab w:val="clear" w:pos="1701"/>
          <w:tab w:val="left" w:pos="1540"/>
        </w:tabs>
        <w:ind w:left="1540" w:hanging="1540"/>
        <w:rPr>
          <w:b/>
        </w:rPr>
      </w:pPr>
      <w:r>
        <w:rPr>
          <w:b/>
        </w:rPr>
        <w:t>Вопрос № 1.</w:t>
      </w:r>
      <w:r>
        <w:rPr>
          <w:b/>
        </w:rPr>
        <w:tab/>
        <w:t>Международные договоры, участником которых являются Филиппины</w:t>
      </w:r>
    </w:p>
    <w:p w:rsidR="00C30763" w:rsidRDefault="00C30763" w:rsidP="00C30763">
      <w:pPr>
        <w:rPr>
          <w:b/>
        </w:rPr>
      </w:pPr>
    </w:p>
    <w:p w:rsidR="00C30763" w:rsidRDefault="00C30763" w:rsidP="00C30763">
      <w:r>
        <w:t>402.</w:t>
      </w:r>
      <w:r>
        <w:tab/>
        <w:t>Филиппины подписали МПГПП 19 декабря 1986 года и представили документ о ратификации 23 октября 1986 года.  Страна подписала КПР 26 января 1990 года и ратифицировала ее 21 августа 1990 года.  Что касается КЛДЖ, то Филиппины подписали и ратифицировали этот документ, соответственно, 15 июля 1980 года и 5 августа 1981 года.</w:t>
      </w:r>
    </w:p>
    <w:p w:rsidR="00C30763" w:rsidRDefault="00C30763" w:rsidP="00C30763"/>
    <w:p w:rsidR="00C30763" w:rsidRDefault="00C30763" w:rsidP="00C30763">
      <w:r>
        <w:t>403.</w:t>
      </w:r>
      <w:r>
        <w:tab/>
        <w:t xml:space="preserve">Филиппины также являются участником Конвенции МОТ № 138 </w:t>
      </w:r>
      <w:r w:rsidRPr="00A65601">
        <w:rPr>
          <w:i/>
        </w:rPr>
        <w:t>(</w:t>
      </w:r>
      <w:r>
        <w:rPr>
          <w:i/>
        </w:rPr>
        <w:t>Конвенция 1973 года о минимальном возрасте для приема на работу)</w:t>
      </w:r>
      <w:r>
        <w:t xml:space="preserve"> и ратифицировали этот документ 4 июня 1998 года.  Страна является и участником Конвенции МОТ № 90 </w:t>
      </w:r>
      <w:r>
        <w:rPr>
          <w:i/>
        </w:rPr>
        <w:t>(Конвенция 1948 года о ночном труде подростков в промышленности)</w:t>
      </w:r>
      <w:r>
        <w:t xml:space="preserve"> и ратифицировала ее 29 декабря 1953 года.  И наконец, Филиппины являются участником Конвенции МОТ № 182 </w:t>
      </w:r>
      <w:r>
        <w:rPr>
          <w:i/>
        </w:rPr>
        <w:t xml:space="preserve">(Конвенция </w:t>
      </w:r>
      <w:r w:rsidRPr="00D86C45">
        <w:rPr>
          <w:i/>
        </w:rPr>
        <w:t>1999</w:t>
      </w:r>
      <w:r w:rsidRPr="00D86C45">
        <w:rPr>
          <w:i/>
          <w:lang w:val="en-US"/>
        </w:rPr>
        <w:t> </w:t>
      </w:r>
      <w:r w:rsidRPr="00D86C45">
        <w:rPr>
          <w:i/>
        </w:rPr>
        <w:t>года</w:t>
      </w:r>
      <w:r>
        <w:rPr>
          <w:i/>
        </w:rPr>
        <w:t xml:space="preserve"> о запрещении и немедленных мерах по искоренению наихудших форм детского труда)</w:t>
      </w:r>
      <w:r>
        <w:t xml:space="preserve"> и ратифицировали этот документ 28 ноября 2000 года.</w:t>
      </w:r>
    </w:p>
    <w:p w:rsidR="00C30763" w:rsidRDefault="00C30763" w:rsidP="00C30763"/>
    <w:p w:rsidR="00C30763" w:rsidRDefault="00C30763" w:rsidP="00293A57">
      <w:pPr>
        <w:tabs>
          <w:tab w:val="clear" w:pos="1701"/>
          <w:tab w:val="left" w:pos="1540"/>
        </w:tabs>
        <w:ind w:left="1540" w:hanging="1540"/>
        <w:rPr>
          <w:b/>
        </w:rPr>
      </w:pPr>
      <w:r>
        <w:rPr>
          <w:b/>
        </w:rPr>
        <w:t>Вопрос № 2.</w:t>
      </w:r>
      <w:r>
        <w:rPr>
          <w:b/>
        </w:rPr>
        <w:tab/>
        <w:t>Определение понятия "семья" во внутреннем законодательстве</w:t>
      </w:r>
    </w:p>
    <w:p w:rsidR="00C30763" w:rsidRDefault="00C30763" w:rsidP="00C30763">
      <w:pPr>
        <w:rPr>
          <w:b/>
        </w:rPr>
      </w:pPr>
    </w:p>
    <w:p w:rsidR="00C30763" w:rsidRDefault="00C30763" w:rsidP="00C30763">
      <w:r>
        <w:t>404.</w:t>
      </w:r>
      <w:r>
        <w:tab/>
        <w:t>Семья считается в филиппинском обществе неотъемлемым элементом социального сплочения и гармонии.  Филиппинцы искренне верят, что жизнестойкость и сила государства зависят от сплоченности его базовой ячейки – семьи.  Этим объясняется  проявляемое правительством особое внимание к семье.</w:t>
      </w:r>
    </w:p>
    <w:p w:rsidR="00C30763" w:rsidRDefault="00C30763" w:rsidP="00C30763"/>
    <w:p w:rsidR="00C30763" w:rsidRDefault="00C30763" w:rsidP="00C30763">
      <w:r>
        <w:t>405.</w:t>
      </w:r>
      <w:r>
        <w:tab/>
        <w:t xml:space="preserve">Статья 149 ПР № 209, иначе известная как </w:t>
      </w:r>
      <w:r>
        <w:rPr>
          <w:i/>
        </w:rPr>
        <w:t>Кодекс законов о семье</w:t>
      </w:r>
      <w:r>
        <w:t>, четко предусматривает, что "Семья, составляя фундамент нации, является основным социальным институтом, охраняемым и защищаемым государством.  Следовательно, семейные отношения регулируются законом, и никакие обычаи, практика или соглашение, разрушающие семью, не должны признаваться или иметь силу".</w:t>
      </w:r>
    </w:p>
    <w:p w:rsidR="00C30763" w:rsidRDefault="00C30763" w:rsidP="00C30763"/>
    <w:p w:rsidR="00C30763" w:rsidRDefault="00C30763" w:rsidP="00C30763">
      <w:r>
        <w:t>406.</w:t>
      </w:r>
      <w:r>
        <w:tab/>
        <w:t>В соответствии с внутренним законодательством семейные отношения включают отношения между мужем и женой;  между родителями и детьми; между другими родственниками по восходящей и нисходящей линии;  и между полнокровными или полукровными братьями и сестрами.</w:t>
      </w:r>
    </w:p>
    <w:p w:rsidR="00C30763" w:rsidRDefault="00C30763" w:rsidP="00C30763"/>
    <w:p w:rsidR="00C30763" w:rsidRDefault="00C30763" w:rsidP="00C30763">
      <w:r>
        <w:t>407.</w:t>
      </w:r>
      <w:r>
        <w:tab/>
        <w:t>Семейные отношения регулируются Кодексом законов о семье, который регламентирует вопросы брака, раздельного проживания супругов по решению суда, имущественных отношений, прав и обязанностей мужа и жены, семьи и дома.  На мусульман распространяется действие специальных положений Мусульманского кодекса законов о личности.  Кодекс законов об охране детей и молодежи (УП 603) также регулирует семейные отношения с особым акцентом на детях.</w:t>
      </w:r>
    </w:p>
    <w:p w:rsidR="00C30763" w:rsidRDefault="00C30763" w:rsidP="00C30763"/>
    <w:p w:rsidR="00C30763" w:rsidRDefault="00C30763" w:rsidP="00293A57">
      <w:pPr>
        <w:tabs>
          <w:tab w:val="clear" w:pos="1701"/>
          <w:tab w:val="left" w:pos="1540"/>
        </w:tabs>
        <w:ind w:left="1540" w:hanging="1540"/>
        <w:rPr>
          <w:b/>
        </w:rPr>
      </w:pPr>
      <w:r>
        <w:rPr>
          <w:b/>
        </w:rPr>
        <w:t>Вопрос № 3.</w:t>
      </w:r>
      <w:r w:rsidR="00293A57">
        <w:rPr>
          <w:b/>
        </w:rPr>
        <w:tab/>
      </w:r>
      <w:r>
        <w:rPr>
          <w:b/>
        </w:rPr>
        <w:t>Возраст наступления совершеннолетия</w:t>
      </w:r>
    </w:p>
    <w:p w:rsidR="00C30763" w:rsidRDefault="00C30763" w:rsidP="00C30763">
      <w:pPr>
        <w:rPr>
          <w:b/>
        </w:rPr>
      </w:pPr>
    </w:p>
    <w:p w:rsidR="00C30763" w:rsidRDefault="00C30763" w:rsidP="00C30763">
      <w:r>
        <w:t>408.</w:t>
      </w:r>
      <w:r>
        <w:tab/>
        <w:t>В соответствии с Кодексом законов о семье "лицо обретает личную свободу с момента наступления совершеннолетия.  Если иного не предусмотрено законом, совершеннолетие наступает в возрасте 18 лет".</w:t>
      </w:r>
    </w:p>
    <w:p w:rsidR="00C30763" w:rsidRDefault="00C30763" w:rsidP="00C30763"/>
    <w:p w:rsidR="00C30763" w:rsidRDefault="00C30763" w:rsidP="00C30763">
      <w:r>
        <w:t>409.</w:t>
      </w:r>
      <w:r>
        <w:tab/>
        <w:t>При наступлении минимального определенного законом совершеннолетнего возраста, который соответствует развивающимся способностям ребенка и при котором начинают действовать некоторые его права, вступают в силу следующие законодательные и административные нормы:</w:t>
      </w:r>
    </w:p>
    <w:p w:rsidR="00C30763" w:rsidRDefault="00C30763" w:rsidP="00C30763"/>
    <w:p w:rsidR="00C30763" w:rsidRDefault="00C30763" w:rsidP="00C30763">
      <w:pPr>
        <w:numPr>
          <w:ilvl w:val="0"/>
          <w:numId w:val="22"/>
        </w:numPr>
      </w:pPr>
      <w:r>
        <w:rPr>
          <w:u w:val="single"/>
        </w:rPr>
        <w:t>Согласие на вступление в брак</w:t>
      </w:r>
      <w:r>
        <w:t>.  Кодекс законов о семье предусматривает, что вступающие в брак лица, не достигшие 21 года, обязаны получить родительское согласие.  Статья 16 Мусульманского закона разрешает вступать в брак любому мусульманину в возрасте не менее 15 лет и любой мусульманке, достигшей возраста половой зрелости или старше, если у них нет препятствующих этому обстоятельств, предусмотренных в положениях данного закона.</w:t>
      </w:r>
    </w:p>
    <w:p w:rsidR="00C30763" w:rsidRDefault="00C30763" w:rsidP="00C30763"/>
    <w:p w:rsidR="00C30763" w:rsidRDefault="00C30763" w:rsidP="00C30763">
      <w:pPr>
        <w:numPr>
          <w:ilvl w:val="0"/>
          <w:numId w:val="22"/>
        </w:numPr>
      </w:pPr>
      <w:r>
        <w:rPr>
          <w:u w:val="single"/>
        </w:rPr>
        <w:t>Участие в вооруженных конфликтах</w:t>
      </w:r>
      <w:r>
        <w:t>.  Набор детей на службу в регулярные вооруженные силы Филиппин может осуществляться только по достижении ими 18 лет.</w:t>
      </w:r>
    </w:p>
    <w:p w:rsidR="00C30763" w:rsidRDefault="00C30763" w:rsidP="00C30763"/>
    <w:p w:rsidR="00C30763" w:rsidRDefault="00C30763" w:rsidP="00C30763">
      <w:pPr>
        <w:numPr>
          <w:ilvl w:val="0"/>
          <w:numId w:val="22"/>
        </w:numPr>
      </w:pPr>
      <w:r>
        <w:rPr>
          <w:u w:val="single"/>
        </w:rPr>
        <w:t>Уголовная ответственность</w:t>
      </w:r>
      <w:r>
        <w:t>.  Ребенок в возрасте до 15 лет не подлежит уголовной ответственности.  Ребенок в возрасте старше 15 лет, но не достигший 18 лет освобождается от уголовной ответственности при условии, что он действовал неосознанно.  Неосознанное действие  подразумевает  отсутствие у ребенка умственных способностей для полной оценки последствий своего незаконного деяния.</w:t>
      </w:r>
    </w:p>
    <w:p w:rsidR="00C30763" w:rsidRDefault="00C30763" w:rsidP="00C30763"/>
    <w:p w:rsidR="00C30763" w:rsidRDefault="00C30763" w:rsidP="00C30763">
      <w:pPr>
        <w:numPr>
          <w:ilvl w:val="0"/>
          <w:numId w:val="22"/>
        </w:numPr>
      </w:pPr>
      <w:r>
        <w:rPr>
          <w:u w:val="single"/>
        </w:rPr>
        <w:t>Получение обязательного образования/принятие на работу</w:t>
      </w:r>
      <w:r>
        <w:t>.  Возраст детей, которые должны получить обязательное школьное образование, установлен в Распоряжении министерства образования № 65.  Дети начинают обучение в первом классе в шесть лет.  Начальное шестилетнее обучение заканчивается в</w:t>
      </w:r>
      <w:r w:rsidR="00A71157">
        <w:t> </w:t>
      </w:r>
      <w:r>
        <w:t>возрасте 11 лет.  После четырех лет обучения в средней школе в 15 лет заканчивается бесплатное образование, и этот возраст установлен в качестве минимального возраста для приема на любую работу, за исключением тех видов работы, которые связаны с риском для жизни, безопасности, здоровья, психики детей или влияют на их нормальное развитие.</w:t>
      </w:r>
    </w:p>
    <w:p w:rsidR="00C30763" w:rsidRDefault="00C30763" w:rsidP="00C30763"/>
    <w:p w:rsidR="00C30763" w:rsidRDefault="00C30763" w:rsidP="00C30763">
      <w:pPr>
        <w:numPr>
          <w:ilvl w:val="0"/>
          <w:numId w:val="22"/>
        </w:numPr>
      </w:pPr>
      <w:r>
        <w:rPr>
          <w:u w:val="single"/>
        </w:rPr>
        <w:t>Дача свидетельских показаний</w:t>
      </w:r>
      <w:r>
        <w:t>.  В законе не установлен минимальный возраст, начиная с которого ребенок может давать показания в суде.  Для дачи показаний в суде ребенок должен быть способным осознанно выражать свои мысли и иметь достаточно физических и психических сил, чтобы переносить тяготы судебного процесса.</w:t>
      </w:r>
    </w:p>
    <w:p w:rsidR="00C30763" w:rsidRDefault="00C30763" w:rsidP="00C30763"/>
    <w:p w:rsidR="00C30763" w:rsidRDefault="00C30763" w:rsidP="00C30763">
      <w:pPr>
        <w:numPr>
          <w:ilvl w:val="0"/>
          <w:numId w:val="22"/>
        </w:numPr>
      </w:pPr>
      <w:r>
        <w:rPr>
          <w:u w:val="single"/>
        </w:rPr>
        <w:t>Подача жалоб</w:t>
      </w:r>
      <w:r>
        <w:t>.  При подаче жалобы в суд ребенку в возрасте до 18 лет должны оказывать помощь его родители или опекуны.</w:t>
      </w:r>
    </w:p>
    <w:p w:rsidR="00C30763" w:rsidRDefault="00C30763" w:rsidP="00C30763"/>
    <w:p w:rsidR="00C30763" w:rsidRDefault="00C30763" w:rsidP="00C30763">
      <w:pPr>
        <w:numPr>
          <w:ilvl w:val="0"/>
          <w:numId w:val="22"/>
        </w:numPr>
      </w:pPr>
      <w:r>
        <w:rPr>
          <w:u w:val="single"/>
        </w:rPr>
        <w:t>Законное право наследования</w:t>
      </w:r>
      <w:r>
        <w:t>.  Любое лицо приобретает полное право на наследство, принятие решений по своей собственности или заключение юридических сделок либо сделок, касающихся собственности, по достижении  18 лет.</w:t>
      </w:r>
    </w:p>
    <w:p w:rsidR="00C30763" w:rsidRDefault="00C30763" w:rsidP="00C30763"/>
    <w:p w:rsidR="00C30763" w:rsidRDefault="00C30763" w:rsidP="00A71157">
      <w:pPr>
        <w:keepNext/>
        <w:tabs>
          <w:tab w:val="clear" w:pos="1701"/>
          <w:tab w:val="left" w:pos="1540"/>
        </w:tabs>
        <w:ind w:left="1540" w:hanging="1540"/>
        <w:rPr>
          <w:b/>
        </w:rPr>
      </w:pPr>
      <w:r>
        <w:rPr>
          <w:b/>
        </w:rPr>
        <w:t>Вопрос № 4.</w:t>
      </w:r>
      <w:r>
        <w:rPr>
          <w:b/>
        </w:rPr>
        <w:tab/>
        <w:t>Информация о путях и средствах предоставления помощи семье и защиты семьи</w:t>
      </w:r>
    </w:p>
    <w:p w:rsidR="00C30763" w:rsidRDefault="00C30763" w:rsidP="00A71157">
      <w:pPr>
        <w:keepNext/>
        <w:rPr>
          <w:b/>
        </w:rPr>
      </w:pPr>
    </w:p>
    <w:p w:rsidR="00C30763" w:rsidRDefault="00C30763" w:rsidP="00C30763">
      <w:pPr>
        <w:ind w:left="567" w:hanging="567"/>
        <w:rPr>
          <w:b/>
        </w:rPr>
      </w:pPr>
      <w:r>
        <w:rPr>
          <w:b/>
        </w:rPr>
        <w:t>4.а</w:t>
      </w:r>
      <w:r>
        <w:rPr>
          <w:b/>
        </w:rPr>
        <w:tab/>
        <w:t>Право мужчин и женщин на вступление в брак и создание семьи при их полном и свободном согласии</w:t>
      </w:r>
    </w:p>
    <w:p w:rsidR="00C30763" w:rsidRDefault="00C30763" w:rsidP="00C30763">
      <w:pPr>
        <w:rPr>
          <w:b/>
        </w:rPr>
      </w:pPr>
    </w:p>
    <w:p w:rsidR="00C30763" w:rsidRDefault="00C30763" w:rsidP="00C30763">
      <w:r>
        <w:t>410.</w:t>
      </w:r>
      <w:r>
        <w:tab/>
        <w:t xml:space="preserve">Статья 2 </w:t>
      </w:r>
      <w:r>
        <w:rPr>
          <w:i/>
        </w:rPr>
        <w:t>Кодекса законов о семье Филиппин</w:t>
      </w:r>
      <w:r>
        <w:t xml:space="preserve"> гласит:</w:t>
      </w:r>
    </w:p>
    <w:p w:rsidR="00C30763" w:rsidRDefault="00C30763" w:rsidP="00C30763"/>
    <w:p w:rsidR="00C30763" w:rsidRDefault="00C30763" w:rsidP="00C30763">
      <w:pPr>
        <w:ind w:left="567" w:hanging="567"/>
      </w:pPr>
      <w:r>
        <w:tab/>
        <w:t>"Брак не имеет юридической силы в отсутствие следующих основных необходимых элементов:</w:t>
      </w:r>
    </w:p>
    <w:p w:rsidR="00C30763" w:rsidRDefault="00C30763" w:rsidP="00C30763">
      <w:pPr>
        <w:ind w:left="567" w:hanging="567"/>
      </w:pPr>
    </w:p>
    <w:p w:rsidR="00C30763" w:rsidRDefault="00C30763" w:rsidP="00C30763">
      <w:pPr>
        <w:ind w:left="567" w:hanging="567"/>
      </w:pPr>
      <w:r>
        <w:tab/>
        <w:t>1)</w:t>
      </w:r>
      <w:r>
        <w:tab/>
        <w:t>право и дееспособность договаривающихся сторон, которыми должны являться мужчина и женщина;  и</w:t>
      </w:r>
    </w:p>
    <w:p w:rsidR="00C30763" w:rsidRDefault="00C30763" w:rsidP="00C30763">
      <w:pPr>
        <w:ind w:left="567" w:hanging="567"/>
      </w:pPr>
    </w:p>
    <w:p w:rsidR="00C30763" w:rsidRDefault="00C30763" w:rsidP="00C30763">
      <w:pPr>
        <w:ind w:left="567" w:hanging="567"/>
      </w:pPr>
      <w:r>
        <w:tab/>
        <w:t>2)</w:t>
      </w:r>
      <w:r>
        <w:tab/>
        <w:t>добровольное согласие, выраженное в присутствии должностного лица, ведающего регистрацией браков".</w:t>
      </w:r>
    </w:p>
    <w:p w:rsidR="00F40477" w:rsidRDefault="00F40477" w:rsidP="00F40477"/>
    <w:p w:rsidR="00F40477" w:rsidRDefault="00F40477" w:rsidP="00F40477">
      <w:r>
        <w:t>411.</w:t>
      </w:r>
      <w:r>
        <w:tab/>
        <w:t>В отношении определения права и дееспособности статья 5 Кодекса законов о семье гласит:  "любой мужчина или женщина в возрасте 18 лет или старше… могут вступать в брак".</w:t>
      </w:r>
    </w:p>
    <w:p w:rsidR="00F40477" w:rsidRDefault="00F40477" w:rsidP="00F40477"/>
    <w:p w:rsidR="00F40477" w:rsidRDefault="00F40477" w:rsidP="00F40477">
      <w:r>
        <w:t>412.</w:t>
      </w:r>
      <w:r>
        <w:tab/>
        <w:t>Кроме того, согласие должно быть "добровольным", т.е. быть реальным, а не лишенным законной силы или несостоятельным вследствие его получения в результате мошенничества, принуждения, запугивания или недопустимого влияния.  Также во время брачной церемонии стороны обязаны лично предстать перед лицом, ведающим регистрацией этих браков.  Проведение церемонии с участием сторон в присутствии лица, занимающегося регистрацией браков, дает возможность той стороне, в отношении которой применяются в целях вступления в брак меры принуждения, запугивания или незаконного давления, информировать лицо, занимающееся регистрацией браков, о таком факте, с тем чтобы брачная церемония могла быть приостановлена или прекращена".</w:t>
      </w:r>
    </w:p>
    <w:p w:rsidR="00F40477" w:rsidRDefault="00F40477" w:rsidP="00F40477"/>
    <w:p w:rsidR="00F40477" w:rsidRDefault="00F40477" w:rsidP="00F40477">
      <w:r>
        <w:t>413.</w:t>
      </w:r>
      <w:r>
        <w:tab/>
        <w:t xml:space="preserve">Статья 4 </w:t>
      </w:r>
      <w:r>
        <w:rPr>
          <w:i/>
        </w:rPr>
        <w:t>Кодекса законов о семье</w:t>
      </w:r>
      <w:r>
        <w:t xml:space="preserve"> предусматривает, что в отсутствие любого из основных необходимых условий брак может быть признан недействительным </w:t>
      </w:r>
      <w:r w:rsidRPr="00320B81">
        <w:rPr>
          <w:lang w:val="en-US"/>
        </w:rPr>
        <w:t>ab</w:t>
      </w:r>
      <w:r w:rsidRPr="00320B81">
        <w:t xml:space="preserve"> </w:t>
      </w:r>
      <w:r w:rsidRPr="00320B81">
        <w:rPr>
          <w:lang w:val="en-US"/>
        </w:rPr>
        <w:t>initio</w:t>
      </w:r>
      <w:r>
        <w:t>, а</w:t>
      </w:r>
      <w:r w:rsidR="00EA60D7">
        <w:t> </w:t>
      </w:r>
      <w:r>
        <w:t>невыполнение какого-либо из основных необходимых условий брака лишает брак законной силы.  Это означает, что в отсутствие согласия обеих сторон, выражающегося в том, что обе стороны не имеют намерения быть связанными узами брака, такой брак</w:t>
      </w:r>
      <w:r w:rsidRPr="00767F71">
        <w:t xml:space="preserve"> </w:t>
      </w:r>
      <w:r>
        <w:t>с самого начала считается недействительным.  С другой стороны, при невыполнении условия относительно ясно выраженного согласия, например применения в отношении одной из сторон мер принуждения или неправомерного давления в целях получения согласия на вступление в брак, такой брак считается недействительным.</w:t>
      </w:r>
    </w:p>
    <w:p w:rsidR="00F40477" w:rsidRDefault="00F40477" w:rsidP="00F40477"/>
    <w:p w:rsidR="00F40477" w:rsidRDefault="00F40477" w:rsidP="00F40477">
      <w:r>
        <w:t>414.</w:t>
      </w:r>
      <w:r>
        <w:tab/>
        <w:t>Основными необходимыми условиями для заключения брака по исламскому праву являются:  право- и дееспособность договаривающихся сторон;  взаимное согласие сторон;  предложение вступить в брак (</w:t>
      </w:r>
      <w:r>
        <w:rPr>
          <w:i/>
        </w:rPr>
        <w:t>иджаб</w:t>
      </w:r>
      <w:r>
        <w:t>) и его принятие (</w:t>
      </w:r>
      <w:r w:rsidRPr="00A03E1A">
        <w:rPr>
          <w:i/>
        </w:rPr>
        <w:t>габул</w:t>
      </w:r>
      <w:r>
        <w:t>), должным образом засвидетельствованные как минимум двумя компетентными лицами после получения одобрения со стороны лица, регулирующего вопросы заключения брака (</w:t>
      </w:r>
      <w:r w:rsidRPr="00A03E1A">
        <w:rPr>
          <w:i/>
        </w:rPr>
        <w:t>вали</w:t>
      </w:r>
      <w:r>
        <w:t>);  и достижение договоренности о традиционном приданом (</w:t>
      </w:r>
      <w:r w:rsidRPr="00A03E1A">
        <w:rPr>
          <w:i/>
        </w:rPr>
        <w:t>ману</w:t>
      </w:r>
      <w:r>
        <w:t>), должным образом засвидетельствованное двумя компетентными лицами.</w:t>
      </w:r>
    </w:p>
    <w:p w:rsidR="00F40477" w:rsidRDefault="00F40477" w:rsidP="00F40477"/>
    <w:p w:rsidR="00F40477" w:rsidRDefault="00F40477" w:rsidP="00F40477">
      <w:r>
        <w:t>415.</w:t>
      </w:r>
      <w:r>
        <w:tab/>
        <w:t>Статья 27 Мусульманского кодекса законов о личности разрешает мужчине "только в исключительных случаях" иметь более одной жены, "если он может обеспечить равные партнерские отношения и справедливое обращение со своими женами, как того требует исламское право", а женщина не имеет права иметь более одного мужа.</w:t>
      </w:r>
    </w:p>
    <w:p w:rsidR="00F40477" w:rsidRDefault="00F40477" w:rsidP="00F40477"/>
    <w:p w:rsidR="00F40477" w:rsidRDefault="00F40477" w:rsidP="00F40477">
      <w:pPr>
        <w:keepNext/>
        <w:ind w:left="567" w:hanging="567"/>
        <w:rPr>
          <w:b/>
        </w:rPr>
      </w:pPr>
      <w:r>
        <w:rPr>
          <w:b/>
        </w:rPr>
        <w:t>4.</w:t>
      </w:r>
      <w:r>
        <w:rPr>
          <w:b/>
          <w:lang w:val="en-US"/>
        </w:rPr>
        <w:t>b</w:t>
      </w:r>
      <w:r>
        <w:rPr>
          <w:b/>
        </w:rPr>
        <w:tab/>
        <w:t>Меры, содействующие созданию семьи, а также ее сохранению, укреплению</w:t>
      </w:r>
      <w:r w:rsidR="00EA60D7">
        <w:rPr>
          <w:b/>
        </w:rPr>
        <w:br/>
      </w:r>
      <w:r>
        <w:rPr>
          <w:b/>
        </w:rPr>
        <w:t>и защите, и обязанности семьи по воспитанию и образованию детей</w:t>
      </w:r>
    </w:p>
    <w:p w:rsidR="00F40477" w:rsidRPr="009967E7" w:rsidRDefault="00F40477" w:rsidP="00F40477">
      <w:pPr>
        <w:keepNext/>
        <w:rPr>
          <w:b/>
          <w:sz w:val="20"/>
        </w:rPr>
      </w:pPr>
    </w:p>
    <w:p w:rsidR="00F40477" w:rsidRDefault="00F40477" w:rsidP="00F40477">
      <w:pPr>
        <w:keepNext/>
      </w:pPr>
      <w:r>
        <w:t>416.</w:t>
      </w:r>
      <w:r>
        <w:tab/>
        <w:t>На Филиппинах раздельное жительство супругов возможно лишь по решению суда.  Однако никакое судебное решение о раздельном жительстве не может быть вынесено, пока суд не предпримет шаги, направленные на примирение супругов, и окончательно не убедится в том, что примирение практически невозможно (статья 59 Кодекса законов о семье).</w:t>
      </w:r>
    </w:p>
    <w:p w:rsidR="00F40477" w:rsidRPr="009967E7" w:rsidRDefault="00F40477" w:rsidP="00F40477">
      <w:pPr>
        <w:rPr>
          <w:sz w:val="20"/>
        </w:rPr>
      </w:pPr>
    </w:p>
    <w:p w:rsidR="00F40477" w:rsidRDefault="00F40477" w:rsidP="009967E7">
      <w:pPr>
        <w:spacing w:line="276" w:lineRule="auto"/>
      </w:pPr>
      <w:r>
        <w:t>417.</w:t>
      </w:r>
      <w:r>
        <w:tab/>
        <w:t>С учетом этого закон предоставляет супругам, являющимся сторонами по делу о раздельном жительстве, возможность примириться.  Так, в соответствии со статьей 58 Кодекса законов о семье дело о раздельном жительстве супругов не может рассматриваться "до истечения шести месяцев после подачи заявления".  Шестимесячный период после подачи заявления установлен законом, с тем чтобы дать супругам возможность успокоиться и иметь время для урегулирования разногласий и примирения.  Однако даже в течение этого времени суд обязан оказывать поддержку супругам и детям, а также заниматься вопросами опеки над детьми.</w:t>
      </w:r>
    </w:p>
    <w:p w:rsidR="00F40477" w:rsidRPr="009967E7" w:rsidRDefault="00F40477" w:rsidP="00F40477">
      <w:pPr>
        <w:rPr>
          <w:sz w:val="20"/>
        </w:rPr>
      </w:pPr>
    </w:p>
    <w:p w:rsidR="00F40477" w:rsidRDefault="00F40477" w:rsidP="00F40477">
      <w:r>
        <w:t>418.</w:t>
      </w:r>
      <w:r>
        <w:tab/>
        <w:t>В Кодекс законов о семье также была введена концепция "психологической недееспособности" в качестве основания для объявления брака недействительным (статья 36).  Однако термин "психологическая недееспособность" охватывает не все возможные случаи душевных расстройств.</w:t>
      </w:r>
    </w:p>
    <w:p w:rsidR="00F40477" w:rsidRPr="009967E7" w:rsidRDefault="00F40477" w:rsidP="00F40477">
      <w:pPr>
        <w:rPr>
          <w:sz w:val="20"/>
        </w:rPr>
      </w:pPr>
    </w:p>
    <w:p w:rsidR="00F40477" w:rsidRDefault="00F40477" w:rsidP="009967E7">
      <w:pPr>
        <w:spacing w:line="276" w:lineRule="auto"/>
        <w:rPr>
          <w:i/>
        </w:rPr>
      </w:pPr>
      <w:r>
        <w:t>419.</w:t>
      </w:r>
      <w:r>
        <w:tab/>
        <w:t xml:space="preserve">Верховный суд определил, что "психологическая недееспособность" представляет собой "не что иное, как умственную (не физическую) недееспособность, вследствие которой какая-либо сторона не может в полной мере осознать основные брачные обязательства, которые совместно обязаны брать на себя и соблюдать брачующиеся стороны… в том числе обязательство жить вместе, соблюдать каноны семейной жизни, любить и уважать друг друга, хранить верность и оказывать помощь и поддержку друг другу.  Практически нет никаких сомнений в том, что правовой орган был намерен сузить значение понятия "психологической недееспособности", с тем чтобы оно охватывало только наиболее серьезные случаи расстройства личности, при которых отчетливо проявляется полная невозможность или неспособность осознавать смысл и важность брака". </w:t>
      </w:r>
      <w:r w:rsidR="00A71157">
        <w:t xml:space="preserve"> </w:t>
      </w:r>
      <w:r>
        <w:t>(</w:t>
      </w:r>
      <w:r>
        <w:rPr>
          <w:i/>
        </w:rPr>
        <w:t xml:space="preserve">Сантос против Апелляционного суда, </w:t>
      </w:r>
      <w:r>
        <w:rPr>
          <w:i/>
          <w:lang w:val="en-US"/>
        </w:rPr>
        <w:t>G</w:t>
      </w:r>
      <w:r w:rsidRPr="00654A8F">
        <w:rPr>
          <w:i/>
        </w:rPr>
        <w:t>.</w:t>
      </w:r>
      <w:r>
        <w:rPr>
          <w:i/>
          <w:lang w:val="en-US"/>
        </w:rPr>
        <w:t>R</w:t>
      </w:r>
      <w:r w:rsidRPr="00654A8F">
        <w:rPr>
          <w:i/>
        </w:rPr>
        <w:t>.</w:t>
      </w:r>
      <w:r>
        <w:rPr>
          <w:i/>
        </w:rPr>
        <w:t xml:space="preserve"> № 112019, 4 января 1995 года.)</w:t>
      </w:r>
    </w:p>
    <w:p w:rsidR="00F40477" w:rsidRPr="009967E7" w:rsidRDefault="00F40477" w:rsidP="00F40477">
      <w:pPr>
        <w:rPr>
          <w:sz w:val="20"/>
        </w:rPr>
      </w:pPr>
    </w:p>
    <w:p w:rsidR="00F40477" w:rsidRDefault="00F40477" w:rsidP="00F40477">
      <w:r>
        <w:t>420.</w:t>
      </w:r>
      <w:r>
        <w:tab/>
        <w:t>Статьи 28 и 29 Мусульманского кодекса законов о личности запрещают вдове или разведенной женщине вступать в брак, пока она не пройдет испытательный срок "</w:t>
      </w:r>
      <w:r w:rsidRPr="001B3594">
        <w:rPr>
          <w:i/>
        </w:rPr>
        <w:t>идда</w:t>
      </w:r>
      <w:r>
        <w:t>" (четыре месяца и десять дней после смерти мужа и три месяца после развода).  Статья 29 того же Закона предоставляет мужу право вернуть себе жену без заключения нового брака, если они примирились в течение ее испытательного срока "</w:t>
      </w:r>
      <w:r>
        <w:rPr>
          <w:i/>
        </w:rPr>
        <w:t>идда</w:t>
      </w:r>
      <w:r>
        <w:t>".</w:t>
      </w:r>
    </w:p>
    <w:p w:rsidR="00A71157" w:rsidRDefault="00A71157" w:rsidP="009967E7">
      <w:pPr>
        <w:spacing w:line="276" w:lineRule="auto"/>
      </w:pPr>
    </w:p>
    <w:p w:rsidR="00F40477" w:rsidRDefault="00F40477" w:rsidP="009967E7">
      <w:pPr>
        <w:spacing w:line="276" w:lineRule="auto"/>
      </w:pPr>
      <w:r>
        <w:t>421.</w:t>
      </w:r>
      <w:r>
        <w:tab/>
        <w:t>Создание семейного жилища способствует укреплению семьи как института, обеспечивая невозможность его конфискации за долги, за исключением некоторых особых случаев.  Запрещение конфискации семейного жилища за долги, его принудительной продажи или наложения на него ареста возникает с момента его возникновения как такового и действует до тех пор, пока в нем проживает хотя бы один из бенефициаров. (Статьи 152-155 Кодекса законов о семье.)</w:t>
      </w:r>
    </w:p>
    <w:p w:rsidR="00F40477" w:rsidRPr="009967E7" w:rsidRDefault="00F40477" w:rsidP="00F40477">
      <w:pPr>
        <w:rPr>
          <w:sz w:val="20"/>
        </w:rPr>
      </w:pPr>
    </w:p>
    <w:p w:rsidR="00F40477" w:rsidRDefault="00F40477" w:rsidP="009967E7">
      <w:pPr>
        <w:spacing w:line="276" w:lineRule="auto"/>
      </w:pPr>
      <w:r>
        <w:t>422.</w:t>
      </w:r>
      <w:r>
        <w:tab/>
        <w:t>Принцип сохранения семейной гармонии в качестве одной из целей законодательной политики подтверждается в статье 151 Кодекса законов о семье, которая предусматривает, что никакой иск между членами одной семьи не рассматривается, если только из проверенной жалобы или заявления не становится очевидным факт принятия серьезных мер по достижению компромисса, которые, однако, оказались безрезультатными.  Если выясняется, что такие меры не предпринимались, дело прекращается, за исключением случаев, когда достижение компромисса не возможно.</w:t>
      </w:r>
    </w:p>
    <w:p w:rsidR="00F40477" w:rsidRPr="009967E7" w:rsidRDefault="00F40477" w:rsidP="00F40477">
      <w:pPr>
        <w:rPr>
          <w:sz w:val="20"/>
        </w:rPr>
      </w:pPr>
    </w:p>
    <w:p w:rsidR="00F40477" w:rsidRDefault="00F40477" w:rsidP="009967E7">
      <w:pPr>
        <w:spacing w:line="276" w:lineRule="auto"/>
      </w:pPr>
      <w:r>
        <w:t>423.</w:t>
      </w:r>
      <w:r>
        <w:tab/>
        <w:t xml:space="preserve">В 1997 году филиппинский конгресс принял РЗ № 8369, иначе известный как </w:t>
      </w:r>
      <w:r>
        <w:rPr>
          <w:i/>
        </w:rPr>
        <w:t>Закон о судах по семейным делам</w:t>
      </w:r>
      <w:r>
        <w:t>.  Этот закон предусматривает создание судов по семейным делам, обладающих исключительной юрисдикцией по рассмотрению дел, касающихся детей и семейных отношений.  Согласно этому закону, суды по семейным делам должны стремиться сохранять единство семьи, применяя процедуры примирения супругов и мирного урегулирования семейных разногласий</w:t>
      </w:r>
      <w:r>
        <w:rPr>
          <w:rStyle w:val="FootnoteReference"/>
        </w:rPr>
        <w:footnoteReference w:id="23"/>
      </w:r>
      <w:r>
        <w:t>.</w:t>
      </w:r>
    </w:p>
    <w:p w:rsidR="00A71157" w:rsidRDefault="00A71157" w:rsidP="00F40477"/>
    <w:p w:rsidR="00F40477" w:rsidRDefault="00F40477" w:rsidP="00F40477">
      <w:r>
        <w:t>424.</w:t>
      </w:r>
      <w:r>
        <w:tab/>
        <w:t>Все судебные слушания и примирительные процедуры по делам, касающимся детей и семьи, должны проводиться в соответствии с принципом обеспечения достоинства и ценности ребенка и семьи, уважения их личной жизни на всех этапах судебной процедуры, соблюдения строгой конфиденциальности при рассмотрении материалов дела и неразглашения информации об их личности, за исключением тех случаев, когда это необходимо, и с разрешения судьи.</w:t>
      </w:r>
    </w:p>
    <w:p w:rsidR="00F40477" w:rsidRDefault="00F40477" w:rsidP="00F40477"/>
    <w:p w:rsidR="00F40477" w:rsidRDefault="00F40477" w:rsidP="00F40477">
      <w:r>
        <w:t>425.</w:t>
      </w:r>
      <w:r>
        <w:tab/>
        <w:t>В случаях насилия между близкими родственн</w:t>
      </w:r>
      <w:r w:rsidR="000D1690">
        <w:t>иками, проживающими по одному и </w:t>
      </w:r>
      <w:r>
        <w:t>тому же адресу или в одном и том же доме, суд по семейным делам может</w:t>
      </w:r>
      <w:r w:rsidRPr="00320B81">
        <w:t xml:space="preserve"> </w:t>
      </w:r>
      <w:r>
        <w:t xml:space="preserve">в целях прекращения насилия издать запретительный приказ в отношении обвиняемого или истца после проверки жалобы.  Суд также может также издать распоряжение о временном попечительстве над детьми на время рассмотрения гражданского дела.  Суд может издать приказ и о предоставлении помощи </w:t>
      </w:r>
      <w:r w:rsidRPr="00320B81">
        <w:rPr>
          <w:lang w:val="en-US"/>
        </w:rPr>
        <w:t>pendente</w:t>
      </w:r>
      <w:r w:rsidRPr="00320B81">
        <w:t xml:space="preserve"> </w:t>
      </w:r>
      <w:r w:rsidRPr="00320B81">
        <w:rPr>
          <w:lang w:val="en-US"/>
        </w:rPr>
        <w:t>lite</w:t>
      </w:r>
      <w:r w:rsidRPr="00A531F5">
        <w:t>, включая</w:t>
      </w:r>
      <w:r>
        <w:t xml:space="preserve"> отчисления из заработной платы на обеспечение поддержки и использование супружеского жилища и другого имущества в период рассмотрения гражданского дела.</w:t>
      </w:r>
    </w:p>
    <w:p w:rsidR="00F40477" w:rsidRDefault="00F40477" w:rsidP="00F40477"/>
    <w:p w:rsidR="00F40477" w:rsidRDefault="00F40477" w:rsidP="00F40477">
      <w:r>
        <w:t>426.</w:t>
      </w:r>
      <w:r>
        <w:tab/>
        <w:t>Председательствующий судья по семейным делам, который должен иметь подготовку в ведении дел, касающихся ребенка и семьи, обладает правом осуществления непосредственного контроля и надзора за деятельностью центров содержания под стражей несовершеннолетних лиц, которые создаются ОМС в целях разделения несовершеннолетних и взрослых правонарушителей.  Альтернативами содержанию под стражей или направлению в специализированные учреждения являются консультативная юридическая помощь, занесенное в судебный протокол обязательство, взятие на поруки, передача обвиняемого общинным службам, а также обеспечение полного уважения прав человека обвиняемого, благотворно влияющее на их состояние.</w:t>
      </w:r>
    </w:p>
    <w:p w:rsidR="00F40477" w:rsidRDefault="00F40477" w:rsidP="00F40477"/>
    <w:p w:rsidR="00F40477" w:rsidRDefault="00F40477" w:rsidP="00F40477">
      <w:r>
        <w:t>427.</w:t>
      </w:r>
      <w:r>
        <w:tab/>
        <w:t>Этот закон также предусматривает учреждение Отдела социальных услуг и консультирования (ОСУК) под руководством МСОР, филиалы которого будут созданы в каждом судебном округе по усмотрению Верховного суда с учетом количества проводящихся в каждом округе судебных разбирательств по делам несовершеннолетних и семей.  ОСУК будет принимать участие во всех направленных в суд делах, касающихся несовершеннолетних и семей, и давать рекомендации в отношении принятия надлежащих социальных мер.  Он также будет разрабатывать программы, стратегии и процедуры и осуществлять надзор и мониторинг за деятельностью всех филиалов ОСУК в сотрудничестве с судьями.</w:t>
      </w:r>
    </w:p>
    <w:p w:rsidR="00F40477" w:rsidRDefault="00F40477" w:rsidP="00F40477"/>
    <w:p w:rsidR="00F40477" w:rsidRDefault="00F40477" w:rsidP="00F40477">
      <w:r>
        <w:t>428.</w:t>
      </w:r>
      <w:r>
        <w:tab/>
        <w:t>В исламе моногамия является общим правилом, в то время как полигамия представляет собой скорее исключение.  Для того чтобы оправдать последующий брак, мужчина должен уметь строить со своими женами равноправные партнерские отношения.  В некоторых случаях полигамные отношения становятся неизбежными, когда жена не может иметь детей, постоянно болеет или не пригодна для совместной жизни.  В</w:t>
      </w:r>
      <w:r w:rsidR="000D1690">
        <w:t> </w:t>
      </w:r>
      <w:r>
        <w:t xml:space="preserve">соответствии с Мусульманским кодексом (статья 34) муж и жена имеют право развестись.  </w:t>
      </w:r>
    </w:p>
    <w:p w:rsidR="00F40477" w:rsidRDefault="00F40477" w:rsidP="00F40477"/>
    <w:p w:rsidR="00F40477" w:rsidRDefault="00F40477" w:rsidP="00F40477">
      <w:r>
        <w:t>429.</w:t>
      </w:r>
      <w:r>
        <w:tab/>
        <w:t xml:space="preserve">По исламскому праву муж и жена обязаны жить вместе, уважать друг друга соблюдать верность и оказывать друг другу помощь и поддержку.  Если один из супругов пренебрегает своими обязанностями по брачному союзу или создает опасность для другого, бесчестит его или наносит ему материальный ущерб, пострадавшая сторона может обратиться в суд за помощью.  Суд может рекомендовать правонарушителю исполнять должным образом свои обязанности, а также может принять к нему надлежащие меры (статья 34).  </w:t>
      </w:r>
    </w:p>
    <w:p w:rsidR="00F40477" w:rsidRDefault="00F40477" w:rsidP="00F40477"/>
    <w:p w:rsidR="00F40477" w:rsidRDefault="00F40477" w:rsidP="00F40477">
      <w:r>
        <w:t>430.</w:t>
      </w:r>
      <w:r>
        <w:tab/>
        <w:t xml:space="preserve">С подробной информацией о филиппинской семье и ее ответственности за воспитание и образование находящихся на иждивении детей можно ознакомиться в первоначальном и втором докладах Филиппин по осуществлению </w:t>
      </w:r>
      <w:r w:rsidRPr="00375AF2">
        <w:rPr>
          <w:i/>
        </w:rPr>
        <w:t>КПР</w:t>
      </w:r>
      <w:r>
        <w:t xml:space="preserve">, а именно </w:t>
      </w:r>
      <w:r>
        <w:rPr>
          <w:lang w:val="en-US"/>
        </w:rPr>
        <w:t>CRC</w:t>
      </w:r>
      <w:r w:rsidRPr="00375AF2">
        <w:t>/</w:t>
      </w:r>
      <w:r>
        <w:rPr>
          <w:lang w:val="en-US"/>
        </w:rPr>
        <w:t>C</w:t>
      </w:r>
      <w:r w:rsidRPr="00375AF2">
        <w:t>/3/</w:t>
      </w:r>
      <w:r>
        <w:rPr>
          <w:lang w:val="en-US"/>
        </w:rPr>
        <w:t>Add</w:t>
      </w:r>
      <w:r w:rsidRPr="00375AF2">
        <w:t xml:space="preserve">.23 </w:t>
      </w:r>
      <w:r>
        <w:t xml:space="preserve">и </w:t>
      </w:r>
      <w:r>
        <w:rPr>
          <w:lang w:val="en-US"/>
        </w:rPr>
        <w:t>CRC</w:t>
      </w:r>
      <w:r w:rsidRPr="00375AF2">
        <w:t>/</w:t>
      </w:r>
      <w:r>
        <w:rPr>
          <w:lang w:val="en-US"/>
        </w:rPr>
        <w:t>C</w:t>
      </w:r>
      <w:r w:rsidRPr="00375AF2">
        <w:t>/65/</w:t>
      </w:r>
      <w:r>
        <w:rPr>
          <w:lang w:val="en-US"/>
        </w:rPr>
        <w:t>Add</w:t>
      </w:r>
      <w:r w:rsidRPr="00375AF2">
        <w:t>.31</w:t>
      </w:r>
      <w:r>
        <w:t xml:space="preserve">, а также в первом, втором, третьем, четвертом, пятом и шестом докладах об осуществлении </w:t>
      </w:r>
      <w:r>
        <w:rPr>
          <w:i/>
        </w:rPr>
        <w:t>КЛФДЖ</w:t>
      </w:r>
      <w:r>
        <w:t>, а именно</w:t>
      </w:r>
      <w:r w:rsidRPr="00375AF2">
        <w:t xml:space="preserve"> </w:t>
      </w:r>
      <w:r>
        <w:rPr>
          <w:lang w:val="en-US"/>
        </w:rPr>
        <w:t>CEDAW</w:t>
      </w:r>
      <w:r w:rsidRPr="00375AF2">
        <w:t>/</w:t>
      </w:r>
      <w:r>
        <w:rPr>
          <w:lang w:val="en-US"/>
        </w:rPr>
        <w:t>C</w:t>
      </w:r>
      <w:r w:rsidRPr="00375AF2">
        <w:t>/5/</w:t>
      </w:r>
      <w:r>
        <w:rPr>
          <w:lang w:val="en-US"/>
        </w:rPr>
        <w:t>Add</w:t>
      </w:r>
      <w:r w:rsidRPr="00375AF2">
        <w:t xml:space="preserve">.6, </w:t>
      </w:r>
      <w:r>
        <w:rPr>
          <w:lang w:val="en-US"/>
        </w:rPr>
        <w:t>CEDAW</w:t>
      </w:r>
      <w:r w:rsidRPr="00375AF2">
        <w:t>/</w:t>
      </w:r>
      <w:r>
        <w:rPr>
          <w:lang w:val="en-US"/>
        </w:rPr>
        <w:t>C</w:t>
      </w:r>
      <w:r w:rsidRPr="00375AF2">
        <w:t>/13/</w:t>
      </w:r>
      <w:r>
        <w:rPr>
          <w:lang w:val="en-US"/>
        </w:rPr>
        <w:t>Add</w:t>
      </w:r>
      <w:r>
        <w:t>.</w:t>
      </w:r>
      <w:r w:rsidRPr="00375AF2">
        <w:t xml:space="preserve">17, </w:t>
      </w:r>
      <w:r>
        <w:rPr>
          <w:lang w:val="en-US"/>
        </w:rPr>
        <w:t>CEDAW</w:t>
      </w:r>
      <w:r w:rsidRPr="00375AF2">
        <w:t>/</w:t>
      </w:r>
      <w:r>
        <w:rPr>
          <w:lang w:val="en-US"/>
        </w:rPr>
        <w:t>C</w:t>
      </w:r>
      <w:r w:rsidRPr="00375AF2">
        <w:t>/</w:t>
      </w:r>
      <w:r>
        <w:rPr>
          <w:lang w:val="en-US"/>
        </w:rPr>
        <w:t>PHI</w:t>
      </w:r>
      <w:r w:rsidRPr="00375AF2">
        <w:t xml:space="preserve">/3, </w:t>
      </w:r>
      <w:r>
        <w:rPr>
          <w:lang w:val="en-US"/>
        </w:rPr>
        <w:t>CEDAW</w:t>
      </w:r>
      <w:r w:rsidRPr="00375AF2">
        <w:t>/</w:t>
      </w:r>
      <w:r>
        <w:rPr>
          <w:lang w:val="en-US"/>
        </w:rPr>
        <w:t>C</w:t>
      </w:r>
      <w:r w:rsidRPr="00375AF2">
        <w:t>/</w:t>
      </w:r>
      <w:r>
        <w:rPr>
          <w:lang w:val="en-US"/>
        </w:rPr>
        <w:t>PHI</w:t>
      </w:r>
      <w:r w:rsidRPr="00375AF2">
        <w:t>/4</w:t>
      </w:r>
      <w:r>
        <w:t xml:space="preserve"> и</w:t>
      </w:r>
      <w:r w:rsidRPr="00375AF2">
        <w:t xml:space="preserve"> </w:t>
      </w:r>
      <w:r>
        <w:rPr>
          <w:lang w:val="en-US"/>
        </w:rPr>
        <w:t>CEDAW</w:t>
      </w:r>
      <w:r w:rsidRPr="00375AF2">
        <w:t>/</w:t>
      </w:r>
      <w:r>
        <w:rPr>
          <w:lang w:val="en-US"/>
        </w:rPr>
        <w:t>C</w:t>
      </w:r>
      <w:r w:rsidRPr="00375AF2">
        <w:t>/</w:t>
      </w:r>
      <w:r>
        <w:rPr>
          <w:lang w:val="en-US"/>
        </w:rPr>
        <w:t>PHI</w:t>
      </w:r>
      <w:r w:rsidRPr="00375AF2">
        <w:t>/5-6</w:t>
      </w:r>
      <w:r>
        <w:t>.</w:t>
      </w:r>
    </w:p>
    <w:p w:rsidR="00F40477" w:rsidRDefault="00F40477" w:rsidP="00F40477"/>
    <w:p w:rsidR="00F40477" w:rsidRPr="00EE3EBA" w:rsidRDefault="00F40477" w:rsidP="00F40477">
      <w:pPr>
        <w:rPr>
          <w:i/>
        </w:rPr>
      </w:pPr>
      <w:r w:rsidRPr="00EE3EBA">
        <w:rPr>
          <w:i/>
        </w:rPr>
        <w:t>Национальная политика в области семьи и воспитания детей</w:t>
      </w:r>
    </w:p>
    <w:p w:rsidR="00F40477" w:rsidRDefault="00F40477" w:rsidP="00F40477">
      <w:pPr>
        <w:rPr>
          <w:u w:val="single"/>
        </w:rPr>
      </w:pPr>
    </w:p>
    <w:p w:rsidR="00F40477" w:rsidRDefault="00F40477" w:rsidP="00F40477">
      <w:r>
        <w:t>431.</w:t>
      </w:r>
      <w:r>
        <w:tab/>
        <w:t>Филиппины разработали много прогрессивных законов, направленных на оказание помощи семьям в воспитании детей.</w:t>
      </w:r>
    </w:p>
    <w:p w:rsidR="00F40477" w:rsidRDefault="00F40477" w:rsidP="00F40477"/>
    <w:p w:rsidR="00F40477" w:rsidRDefault="00F40477" w:rsidP="00F40477">
      <w:r>
        <w:t>432.</w:t>
      </w:r>
      <w:r>
        <w:tab/>
        <w:t xml:space="preserve">Республиканский закон № 9262, иначе называемый </w:t>
      </w:r>
      <w:r>
        <w:rPr>
          <w:i/>
        </w:rPr>
        <w:t xml:space="preserve">Закон </w:t>
      </w:r>
      <w:r w:rsidRPr="00277CB3">
        <w:rPr>
          <w:i/>
        </w:rPr>
        <w:t>2004 года</w:t>
      </w:r>
      <w:r>
        <w:rPr>
          <w:i/>
        </w:rPr>
        <w:t xml:space="preserve"> о борьбе с насилием в отношении женщин и их детей</w:t>
      </w:r>
      <w:r>
        <w:t>, предусматривает уголовное преследование в отношении лиц, которые в добрачный период или находясь в законном или гражданском браке, совершают акты физического, сексуального, психологического (в том числе словесного) и экономического насилия в отношении женщин и их детей.  Впервые филиппинское законодательство защищает женщин, подвергающихся насилию со стороны своих супругов, бывших возлюбленных или партнерш-лесбиянок.  Оно также включает понятие "синдрома женщины-жертвы" в качестве оправдывающего обстоятельства для самообороны, которое освобождает такую женщину от какой-либо гражданской или уголовной ответственности в случае причинения телесных повреждений насильнику или его убийства.</w:t>
      </w:r>
    </w:p>
    <w:p w:rsidR="00F40477" w:rsidRDefault="00F40477" w:rsidP="00F40477"/>
    <w:p w:rsidR="00F40477" w:rsidRDefault="00F40477" w:rsidP="000D1690">
      <w:pPr>
        <w:spacing w:line="276" w:lineRule="auto"/>
      </w:pPr>
      <w:r>
        <w:t>433.</w:t>
      </w:r>
      <w:r>
        <w:tab/>
        <w:t xml:space="preserve">В качестве иллюстрации можно привести дело </w:t>
      </w:r>
      <w:r>
        <w:rPr>
          <w:i/>
        </w:rPr>
        <w:t>Народ против Геноза</w:t>
      </w:r>
      <w:r>
        <w:t xml:space="preserve"> (</w:t>
      </w:r>
      <w:r>
        <w:rPr>
          <w:lang w:val="en-US"/>
        </w:rPr>
        <w:t>G</w:t>
      </w:r>
      <w:r w:rsidRPr="007F66C8">
        <w:t>.</w:t>
      </w:r>
      <w:r>
        <w:rPr>
          <w:lang w:val="en-US"/>
        </w:rPr>
        <w:t>R</w:t>
      </w:r>
      <w:r w:rsidRPr="007F66C8">
        <w:t>.</w:t>
      </w:r>
      <w:r>
        <w:t> № 135981 от 15 января 2004 года), при рассмотрении которого Верховный суд имел возможность изложить свою точку зрения в отношении понятия "синдрома женщины-жертвы":</w:t>
      </w:r>
    </w:p>
    <w:p w:rsidR="00F40477" w:rsidRPr="000D1690" w:rsidRDefault="00F40477" w:rsidP="00F40477">
      <w:pPr>
        <w:rPr>
          <w:sz w:val="20"/>
        </w:rPr>
      </w:pPr>
    </w:p>
    <w:p w:rsidR="00F40477" w:rsidRDefault="00F40477" w:rsidP="000D1690">
      <w:pPr>
        <w:spacing w:line="276" w:lineRule="auto"/>
        <w:ind w:left="567" w:hanging="567"/>
      </w:pPr>
      <w:r>
        <w:tab/>
        <w:t>"</w:t>
      </w:r>
      <w:r w:rsidRPr="00277CB3">
        <w:rPr>
          <w:i/>
        </w:rPr>
        <w:t>Во</w:t>
      </w:r>
      <w:r>
        <w:rPr>
          <w:i/>
        </w:rPr>
        <w:t>-</w:t>
      </w:r>
      <w:r w:rsidRPr="00277CB3">
        <w:rPr>
          <w:i/>
        </w:rPr>
        <w:t>первых,</w:t>
      </w:r>
      <w:r>
        <w:t xml:space="preserve"> по каждому из эпизодов насилия должно быть доказано по крайней мере два случая избиения заявительницы ее сексуальным партнером. </w:t>
      </w:r>
      <w:r w:rsidRPr="0013108B">
        <w:rPr>
          <w:i/>
        </w:rPr>
        <w:t xml:space="preserve"> Во</w:t>
      </w:r>
      <w:r>
        <w:rPr>
          <w:i/>
        </w:rPr>
        <w:noBreakHyphen/>
      </w:r>
      <w:r w:rsidRPr="0013108B">
        <w:rPr>
          <w:i/>
        </w:rPr>
        <w:t>вторых</w:t>
      </w:r>
      <w:r>
        <w:t xml:space="preserve">, последний случай жестокого избиения, предшествующий убийству насильника, должен был вызвать в сознании жертвы реальное чувство страха в связи с неизбежным причинением ей вреда и искреннюю уверенность в том, что ей необходимо применить силу для спасения своей жизни.  </w:t>
      </w:r>
      <w:r>
        <w:rPr>
          <w:i/>
        </w:rPr>
        <w:t>В-третьих</w:t>
      </w:r>
      <w:r>
        <w:t>, в момент убийства насильник должен был представлять вероятную - не обязательно немедленную и реальную - серьезную угрозу для обвиняемой с учетом всех совершавшихся ранее актов насилия".</w:t>
      </w:r>
    </w:p>
    <w:p w:rsidR="00F40477" w:rsidRPr="000D1690" w:rsidRDefault="00F40477" w:rsidP="000D1690">
      <w:pPr>
        <w:rPr>
          <w:sz w:val="20"/>
        </w:rPr>
      </w:pPr>
    </w:p>
    <w:p w:rsidR="00F40477" w:rsidRDefault="00F40477" w:rsidP="000D1690">
      <w:pPr>
        <w:spacing w:line="276" w:lineRule="auto"/>
      </w:pPr>
      <w:r>
        <w:t>434.</w:t>
      </w:r>
      <w:r>
        <w:tab/>
        <w:t xml:space="preserve">В 2003 году было издано ПР № 238, предусматривающее создание Национального комитета по делам филиппинских семей, в задачу которого входит привлечение внимания к важности семьи посредством осуществления соответствующих программ и мероприятий.  </w:t>
      </w:r>
    </w:p>
    <w:p w:rsidR="00F40477" w:rsidRPr="000D1690" w:rsidRDefault="00F40477" w:rsidP="00F40477">
      <w:pPr>
        <w:rPr>
          <w:sz w:val="20"/>
        </w:rPr>
      </w:pPr>
    </w:p>
    <w:p w:rsidR="00F40477" w:rsidRDefault="00F40477" w:rsidP="000D1690">
      <w:pPr>
        <w:spacing w:line="276" w:lineRule="auto"/>
      </w:pPr>
      <w:r>
        <w:t>435.</w:t>
      </w:r>
      <w:r>
        <w:tab/>
        <w:t xml:space="preserve">Республиканский закон № 8972, иначе называемый </w:t>
      </w:r>
      <w:r>
        <w:rPr>
          <w:i/>
        </w:rPr>
        <w:t xml:space="preserve">Закон </w:t>
      </w:r>
      <w:r w:rsidRPr="00FB5102">
        <w:rPr>
          <w:i/>
        </w:rPr>
        <w:t>2000 года</w:t>
      </w:r>
      <w:r>
        <w:rPr>
          <w:i/>
        </w:rPr>
        <w:t xml:space="preserve"> о благосостоянии родителей-одиночек</w:t>
      </w:r>
      <w:r>
        <w:t xml:space="preserve">, направлен на разработку комплексной программы услуг для родителей-одиночек и их детей, предоставляемых различными государственными и неправительственными учреждениями.  В этих целях МСОР обеспечивает предоставление </w:t>
      </w:r>
      <w:r w:rsidRPr="00DF384C">
        <w:rPr>
          <w:i/>
        </w:rPr>
        <w:t>Комплексного пакета услуг в области социального обеспечения и развития для родителей-одиночек и их детей</w:t>
      </w:r>
      <w:r>
        <w:t xml:space="preserve">, который включает:  помощь в получении средств к существованию, самозанятость и развитие навыков, предоставление психосоциальных услуг, услуг в области образования, льгот и пособий в сфере занятости, медицинских услуг и услуг в области домашнего хозяйства для родителей-одиночек и их иждивенцев.  </w:t>
      </w:r>
    </w:p>
    <w:p w:rsidR="00F40477" w:rsidRPr="000D1690" w:rsidRDefault="00F40477" w:rsidP="00F40477">
      <w:pPr>
        <w:rPr>
          <w:sz w:val="20"/>
        </w:rPr>
      </w:pPr>
    </w:p>
    <w:p w:rsidR="00F40477" w:rsidRDefault="00F40477" w:rsidP="000D1690">
      <w:pPr>
        <w:spacing w:line="276" w:lineRule="auto"/>
      </w:pPr>
      <w:r>
        <w:t>436.</w:t>
      </w:r>
      <w:r>
        <w:tab/>
        <w:t>Кроме того, в статье 8 РЗ № 8972 говорится, что "в дополнение к привилегиям, касающимся предоставления отпуска, которые предусмотрены в действующем законодательстве, родителям-одиночкам, проработавшим не менее одного года, предоставляется ежегодный отпуск по уходу за детьми на срок не более семи дней".</w:t>
      </w:r>
    </w:p>
    <w:p w:rsidR="006062E9" w:rsidRPr="000D1690" w:rsidRDefault="006062E9" w:rsidP="00F40477">
      <w:pPr>
        <w:rPr>
          <w:sz w:val="20"/>
        </w:rPr>
      </w:pPr>
    </w:p>
    <w:p w:rsidR="007E2A1F" w:rsidRDefault="007E2A1F" w:rsidP="000D1690">
      <w:pPr>
        <w:spacing w:line="276" w:lineRule="auto"/>
      </w:pPr>
      <w:r>
        <w:t>437.</w:t>
      </w:r>
      <w:r>
        <w:tab/>
      </w:r>
      <w:r>
        <w:rPr>
          <w:i/>
        </w:rPr>
        <w:t>Национальный кодекс о внутренних доходах 1997 года</w:t>
      </w:r>
      <w:r>
        <w:t xml:space="preserve"> предоставляет главе семьи право на персональное освобождение от налогов.  Главе семьи также разрешается ходатайствовать о дополнительном освобождении от налогов за каждого из иждивенцев, но не более четырех человек.  В случае раздельного проживания супругов по решению суда право ходатайствовать о дополнительном освобождении от налогов имеет лишь тот из них, который является опекуном ребенка/детей.</w:t>
      </w:r>
    </w:p>
    <w:p w:rsidR="00F06DBF" w:rsidRDefault="00F06DBF" w:rsidP="000D1690">
      <w:pPr>
        <w:spacing w:line="276" w:lineRule="auto"/>
      </w:pPr>
    </w:p>
    <w:p w:rsidR="007E2A1F" w:rsidRDefault="007E2A1F" w:rsidP="007E2A1F">
      <w:r w:rsidRPr="00953FDD">
        <w:t>438.</w:t>
      </w:r>
      <w:r w:rsidRPr="00953FDD">
        <w:tab/>
      </w:r>
      <w:r>
        <w:rPr>
          <w:i/>
        </w:rPr>
        <w:t>Закон о предоставлении отпуска отцам</w:t>
      </w:r>
      <w:r>
        <w:t xml:space="preserve"> дает всем женатым мужчинам, работающим в частном или государственном секторе, право на семидневный отпуск по уходу за детьми с сохранением 100% заработной платы после рождения первых четырех детей, проживающей с ним</w:t>
      </w:r>
      <w:r w:rsidRPr="002151A7">
        <w:t xml:space="preserve"> </w:t>
      </w:r>
      <w:r>
        <w:t xml:space="preserve">законной супругой.  </w:t>
      </w:r>
    </w:p>
    <w:p w:rsidR="007E2A1F" w:rsidRPr="000D1690" w:rsidRDefault="007E2A1F" w:rsidP="007E2A1F">
      <w:pPr>
        <w:rPr>
          <w:sz w:val="20"/>
        </w:rPr>
      </w:pPr>
    </w:p>
    <w:p w:rsidR="007E2A1F" w:rsidRDefault="007E2A1F" w:rsidP="007E2A1F">
      <w:r>
        <w:t>439.</w:t>
      </w:r>
      <w:r>
        <w:tab/>
        <w:t xml:space="preserve">Принятый в 1991 году Республиканский закон № 7160, иначе называемый </w:t>
      </w:r>
      <w:r>
        <w:rPr>
          <w:i/>
        </w:rPr>
        <w:t>Кодекс органов местного самоуправления</w:t>
      </w:r>
      <w:r>
        <w:t>, передал от МСОР в ведение органов местного самоуправления</w:t>
      </w:r>
      <w:r>
        <w:rPr>
          <w:rStyle w:val="FootnoteReference"/>
        </w:rPr>
        <w:footnoteReference w:id="24"/>
      </w:r>
      <w:r>
        <w:t xml:space="preserve"> функции предоставления услуг в области семейного и общинного благосостояния и развития.</w:t>
      </w:r>
    </w:p>
    <w:p w:rsidR="007E2A1F" w:rsidRPr="000D1690" w:rsidRDefault="007E2A1F" w:rsidP="007E2A1F">
      <w:pPr>
        <w:rPr>
          <w:sz w:val="20"/>
        </w:rPr>
      </w:pPr>
    </w:p>
    <w:p w:rsidR="007E2A1F" w:rsidRDefault="007E2A1F" w:rsidP="007E2A1F">
      <w:r>
        <w:t>440.</w:t>
      </w:r>
      <w:r>
        <w:tab/>
        <w:t>МСОР разрабатывает стратегии и стандарты, служащие руководством для органов местного самоуправления по социальному обеспечению и неправительственных учреждений в отношении деятельности служб, занимающихся вопросами семейного и общинного благосостояния и развития</w:t>
      </w:r>
      <w:r>
        <w:rPr>
          <w:rStyle w:val="FootnoteReference"/>
        </w:rPr>
        <w:footnoteReference w:id="25"/>
      </w:r>
      <w:r>
        <w:t>.</w:t>
      </w:r>
    </w:p>
    <w:p w:rsidR="00D12461" w:rsidRDefault="00D12461" w:rsidP="007E2A1F">
      <w:pPr>
        <w:rPr>
          <w:i/>
        </w:rPr>
      </w:pPr>
    </w:p>
    <w:p w:rsidR="007E2A1F" w:rsidRPr="00EE3EBA" w:rsidRDefault="007E2A1F" w:rsidP="007E2A1F">
      <w:pPr>
        <w:rPr>
          <w:i/>
        </w:rPr>
      </w:pPr>
      <w:r w:rsidRPr="00EE3EBA">
        <w:rPr>
          <w:i/>
        </w:rPr>
        <w:t>Государственные программы по вопросам семьи</w:t>
      </w:r>
    </w:p>
    <w:p w:rsidR="007E2A1F" w:rsidRDefault="007E2A1F" w:rsidP="007E2A1F">
      <w:pPr>
        <w:rPr>
          <w:u w:val="single"/>
        </w:rPr>
      </w:pPr>
    </w:p>
    <w:p w:rsidR="007E2A1F" w:rsidRDefault="007E2A1F" w:rsidP="003A1ADC">
      <w:pPr>
        <w:spacing w:line="276" w:lineRule="auto"/>
      </w:pPr>
      <w:r>
        <w:t>441.</w:t>
      </w:r>
      <w:r>
        <w:tab/>
        <w:t>Правительство приступило к реализации ориентированного на интересы семьи подхода в сфере предоставления услуг.  Для охвата наименее благополучных групп населения и решения задачи увеличения занятости были расширены программы достижения экономической самообеспеченности и самостоятельности.  Было начато осуществление национальной программы обеспечения средств к существованию для стимулирования и создания возможностей в области самозанятости.  В результате этого в данный период произошло расширение программ и проектов в сфере обеспечения средств к существованию и получению доходов, а также по подготовке в области предпринимательской деятельности.</w:t>
      </w:r>
    </w:p>
    <w:p w:rsidR="007E2A1F" w:rsidRDefault="007E2A1F" w:rsidP="007E2A1F"/>
    <w:p w:rsidR="007E2A1F" w:rsidRDefault="007E2A1F" w:rsidP="007E2A1F">
      <w:r>
        <w:t>442.</w:t>
      </w:r>
      <w:r>
        <w:tab/>
        <w:t>Правительство недавно разработало Национальный план действий по оказанию помощи филиппинским семьям на 2005-2015 годы.  Этот план действий был основан на предыдущем плане действий 1994</w:t>
      </w:r>
      <w:r>
        <w:noBreakHyphen/>
        <w:t>2004 года по оказанию помощи филиппинским семьям.  Для контроля за осуществлением этого плана был, в частности, сформирован Национальный руководящий комитет по делам филиппинских семей</w:t>
      </w:r>
      <w:r>
        <w:rPr>
          <w:rStyle w:val="FootnoteReference"/>
        </w:rPr>
        <w:footnoteReference w:id="26"/>
      </w:r>
      <w:r>
        <w:t>.</w:t>
      </w:r>
    </w:p>
    <w:p w:rsidR="007E2A1F" w:rsidRPr="00D12461" w:rsidRDefault="007E2A1F" w:rsidP="007E2A1F">
      <w:pPr>
        <w:rPr>
          <w:sz w:val="16"/>
          <w:szCs w:val="16"/>
        </w:rPr>
      </w:pPr>
    </w:p>
    <w:p w:rsidR="007E2A1F" w:rsidRDefault="007E2A1F" w:rsidP="007E2A1F">
      <w:r>
        <w:t>443.</w:t>
      </w:r>
      <w:r>
        <w:tab/>
        <w:t>МСОР руководит несколькими общинными программами, которые направлены на оказание помощи семьям в воспитании детей, включая, в частности, службу по уходу за детьми и передаче детей на воспитание в приемные семьи</w:t>
      </w:r>
      <w:r>
        <w:rPr>
          <w:rStyle w:val="FootnoteReference"/>
        </w:rPr>
        <w:footnoteReference w:id="27"/>
      </w:r>
      <w:r>
        <w:t>.</w:t>
      </w:r>
    </w:p>
    <w:p w:rsidR="003C04F3" w:rsidRDefault="003C04F3" w:rsidP="003C04F3">
      <w:r>
        <w:t>444.</w:t>
      </w:r>
      <w:r>
        <w:tab/>
        <w:t>В настоящее время МСОР также осуществляет несколько экспериментальных проектов по оказанию помощи семьям</w:t>
      </w:r>
      <w:r>
        <w:rPr>
          <w:rStyle w:val="FootnoteReference"/>
        </w:rPr>
        <w:footnoteReference w:id="28"/>
      </w:r>
      <w:r>
        <w:t>.</w:t>
      </w:r>
    </w:p>
    <w:p w:rsidR="003C04F3" w:rsidRPr="00694405" w:rsidRDefault="003C04F3" w:rsidP="003C04F3">
      <w:pPr>
        <w:rPr>
          <w:i/>
        </w:rPr>
      </w:pPr>
      <w:r w:rsidRPr="00694405">
        <w:rPr>
          <w:i/>
        </w:rPr>
        <w:t>Специальные программы для работающих за рубежом филиппинцев</w:t>
      </w:r>
    </w:p>
    <w:p w:rsidR="003C04F3" w:rsidRDefault="003C04F3" w:rsidP="003C04F3">
      <w:pPr>
        <w:rPr>
          <w:u w:val="single"/>
        </w:rPr>
      </w:pPr>
    </w:p>
    <w:p w:rsidR="003C04F3" w:rsidRDefault="003C04F3" w:rsidP="003C04F3">
      <w:r w:rsidRPr="00561EB9">
        <w:t>445.</w:t>
      </w:r>
      <w:r w:rsidRPr="00561EB9">
        <w:tab/>
      </w:r>
      <w:r>
        <w:t xml:space="preserve">В связи с ростом миграции филиппинских трудящихся и возникающих в этом контексте проблем МСОР в сотрудничестве с МТЗ осуществили экспериментальный проект </w:t>
      </w:r>
      <w:r>
        <w:rPr>
          <w:i/>
        </w:rPr>
        <w:t xml:space="preserve">Международные услуги по социальному обеспечению находящихся за границей филиппинских граждан.  </w:t>
      </w:r>
      <w:r>
        <w:t>Эта программа направлена на институционализацию создания бюро по вопросам социального обеспечения в дипломатических миссиях тех стран, где работает большое количество филиппинцев</w:t>
      </w:r>
      <w:r>
        <w:rPr>
          <w:rStyle w:val="FootnoteReference"/>
        </w:rPr>
        <w:footnoteReference w:id="29"/>
      </w:r>
      <w:r>
        <w:t>.</w:t>
      </w:r>
    </w:p>
    <w:p w:rsidR="00D12461" w:rsidRDefault="00D12461" w:rsidP="00293A57">
      <w:pPr>
        <w:tabs>
          <w:tab w:val="clear" w:pos="1701"/>
          <w:tab w:val="left" w:pos="1540"/>
        </w:tabs>
        <w:ind w:left="1540" w:hanging="1540"/>
        <w:rPr>
          <w:b/>
        </w:rPr>
      </w:pPr>
    </w:p>
    <w:p w:rsidR="003C04F3" w:rsidRDefault="003C04F3" w:rsidP="00293A57">
      <w:pPr>
        <w:tabs>
          <w:tab w:val="clear" w:pos="1701"/>
          <w:tab w:val="left" w:pos="1540"/>
        </w:tabs>
        <w:ind w:left="1540" w:hanging="1540"/>
      </w:pPr>
      <w:r>
        <w:rPr>
          <w:b/>
        </w:rPr>
        <w:t>Вопрос № 5.</w:t>
      </w:r>
      <w:r w:rsidR="00D9234D">
        <w:rPr>
          <w:b/>
        </w:rPr>
        <w:tab/>
      </w:r>
      <w:r>
        <w:rPr>
          <w:b/>
        </w:rPr>
        <w:t>Программа охраны материнства</w:t>
      </w:r>
    </w:p>
    <w:p w:rsidR="003C04F3" w:rsidRDefault="003C04F3" w:rsidP="003C04F3"/>
    <w:p w:rsidR="003C04F3" w:rsidRDefault="003C04F3" w:rsidP="003C04F3">
      <w:r>
        <w:t>446.</w:t>
      </w:r>
      <w:r>
        <w:tab/>
        <w:t>См. пункты 330-333.</w:t>
      </w:r>
    </w:p>
    <w:p w:rsidR="003C04F3" w:rsidRDefault="003C04F3" w:rsidP="003C04F3"/>
    <w:p w:rsidR="003C04F3" w:rsidRDefault="003C04F3" w:rsidP="003C04F3">
      <w:r>
        <w:t>447.</w:t>
      </w:r>
      <w:r>
        <w:tab/>
        <w:t>Отпуск по беременности и родам предоставляется имеющим на это право трудящимся женщинам на 60 календарных дней в случае обычных родов, преждевременного прерывания беременности или выкидыша.  При рождении ребенка путем кесарева сечения этот отпуск продлевается до 78 календарных дней.  В случае рождения ребенка, аборта или выкидыша у работающей в частном секторе женщины без внесения соответствующих взносов ее работодателем в ССО или без предварительного уведомления ССО работодателем о сроках беременности последний должен компенсировать ССО ущерб, равный сумме пособий, которую работница имела право получить, и ССО в свою очередь должна выплатить эту сумму работнице.</w:t>
      </w:r>
    </w:p>
    <w:p w:rsidR="003C04F3" w:rsidRDefault="003C04F3" w:rsidP="003C04F3"/>
    <w:p w:rsidR="003C04F3" w:rsidRDefault="003C04F3" w:rsidP="003C04F3">
      <w:r>
        <w:t>448.</w:t>
      </w:r>
      <w:r>
        <w:tab/>
        <w:t>В то же время в соответствии с инструкциями министерства труда и занятости (МТЗ) назначение женщин для работы в ночную смену в период с 22.00 час. до 6.00 час. разрешается при прочих равных условиях только в том случае, если соответствующая женщина не является кормящей матерью.</w:t>
      </w:r>
    </w:p>
    <w:p w:rsidR="003C04F3" w:rsidRDefault="003C04F3" w:rsidP="003C04F3"/>
    <w:p w:rsidR="003C04F3" w:rsidRDefault="003C04F3" w:rsidP="003C04F3">
      <w:r>
        <w:t>449.</w:t>
      </w:r>
      <w:r>
        <w:tab/>
        <w:t xml:space="preserve">Кроме того, Филиппинская корпорация медицинского страхования (ФКМС) оплачивает часть затрат на госпитализацию в связи с родами, абортом или выкидышем.  Оказываемая ФКМС помощь включает в себя выделение субсидий на содержание в палате, питание, покрытие затрат на операцию, а также выделение средств на медикаменты и препараты, оплату услуг лабораторий и врачей.  </w:t>
      </w:r>
    </w:p>
    <w:p w:rsidR="003C04F3" w:rsidRDefault="003C04F3" w:rsidP="003C04F3"/>
    <w:p w:rsidR="003C04F3" w:rsidRDefault="003C04F3" w:rsidP="00293A57">
      <w:pPr>
        <w:tabs>
          <w:tab w:val="clear" w:pos="1701"/>
          <w:tab w:val="left" w:pos="1540"/>
        </w:tabs>
        <w:ind w:left="1540" w:hanging="1540"/>
      </w:pPr>
      <w:r>
        <w:rPr>
          <w:b/>
        </w:rPr>
        <w:t>Вопрос № 6.</w:t>
      </w:r>
      <w:r>
        <w:rPr>
          <w:b/>
        </w:rPr>
        <w:tab/>
        <w:t>Особые меры по охране детей и молодежи и предоставлению им помощи</w:t>
      </w:r>
    </w:p>
    <w:p w:rsidR="003C04F3" w:rsidRDefault="003C04F3" w:rsidP="003C04F3"/>
    <w:p w:rsidR="00B95465" w:rsidRDefault="00B95465" w:rsidP="00B95465">
      <w:r>
        <w:t>450.</w:t>
      </w:r>
      <w:r>
        <w:tab/>
        <w:t>Конституция предусматривает право детей на получение помощи, включая надлежащий уход и питание и особую защиту от всех форм безнадзорности, насилия, жестокости, эксплуатации и других обстоятельств, наносящих ущерб их развитию;  право семьи на достаточную заработную плату и доходы;  и право семей или семейных ассоциаций на участие в планировании политики и программ, затрагивающих их интересы.</w:t>
      </w:r>
    </w:p>
    <w:p w:rsidR="00B95465" w:rsidRDefault="00B95465" w:rsidP="00B95465"/>
    <w:p w:rsidR="00B95465" w:rsidRDefault="00B95465" w:rsidP="00B95465">
      <w:r>
        <w:t>451.</w:t>
      </w:r>
      <w:r>
        <w:tab/>
        <w:t xml:space="preserve">Конституция также признает жизненно важную роль молодежи в национальном строительстве и обязывает государство обеспечивать и защищать ее физическое, моральное, духовное, интеллектуальное и социальное благосостояние;  прививать молодежи чувство патриотизма и национальной гордости, поощрять ее участие в государственных и общественных делах.  Кроме того, Конституция обязывает государство защищать право детей на получение помощи, включая правильный уход и питание и особую охрану от всех форм безнадзорности, надругательств, жестокого обращения, эксплуатации и других обязательств, наносящих вред их развитию.  </w:t>
      </w:r>
    </w:p>
    <w:p w:rsidR="00B95465" w:rsidRDefault="00B95465" w:rsidP="00B95465"/>
    <w:p w:rsidR="00B95465" w:rsidRDefault="00B95465" w:rsidP="00B95465">
      <w:r>
        <w:t>452.</w:t>
      </w:r>
      <w:r>
        <w:tab/>
      </w:r>
      <w:r>
        <w:rPr>
          <w:i/>
        </w:rPr>
        <w:t>Кодекс законов о благосостоянии детей и молодежи</w:t>
      </w:r>
      <w:r>
        <w:t xml:space="preserve"> – основополагающий документ по вопросам развития и защиты детей.  В нем определены права и обязанности детей, а также обязанности семьи, общины, </w:t>
      </w:r>
      <w:r w:rsidRPr="00A86F4F">
        <w:t>самахан</w:t>
      </w:r>
      <w:r>
        <w:t xml:space="preserve"> (ассоциации), школы, церкви и государства в деле надлежащего развития детей.  В нем изложены административные меры и программы по обеспечению заботы и воспитанию особых категорий детей, в частности оставленных родителями, беспризорных, находящихся на иждивении и работающих детей, детей с физическими и умственными недостатками, а также несовершеннолетних правонарушителей.</w:t>
      </w:r>
    </w:p>
    <w:p w:rsidR="00B95465" w:rsidRDefault="00B95465" w:rsidP="00B95465"/>
    <w:p w:rsidR="00B95465" w:rsidRDefault="00B95465" w:rsidP="00B95465">
      <w:r>
        <w:t>453.</w:t>
      </w:r>
      <w:r>
        <w:tab/>
        <w:t xml:space="preserve">Меры по защите детей получили дальнейшее развитие в РЗ № 7610, или </w:t>
      </w:r>
      <w:r>
        <w:rPr>
          <w:i/>
        </w:rPr>
        <w:t>Законе об ужесточении мер и предоставлении специальной защиты в случае жестокого обращения с детьми, их эксплуатации и дискриминации и введении мер наказания за нарушения в этой области</w:t>
      </w:r>
      <w:r>
        <w:t>.  Позднее в этот закон были внесены поправки на основании РЗ № 7658 для укрепления политики, направленной против эксплуатации детского труда.</w:t>
      </w:r>
    </w:p>
    <w:p w:rsidR="00B95465" w:rsidRDefault="00B95465" w:rsidP="00B95465"/>
    <w:p w:rsidR="00B95465" w:rsidRDefault="00B95465" w:rsidP="00B95465">
      <w:r>
        <w:t>454.</w:t>
      </w:r>
      <w:r>
        <w:tab/>
        <w:t>19 декабря 2003 года вступил в силу РЗ № 9231, предусматривающий ликвидацию наихудших форм детского труда.  В основном РЗ № 9231 преследует цель ликвидации наихудших форм детского труда, связанных с рабством, проституцией, оборотом наркотиков и любой опасной и вредной для здоровья, безопасности и психики детей работой.  Лица, нарушающие этот закон, караются тюремным заключением и/или штрафом</w:t>
      </w:r>
      <w:r>
        <w:rPr>
          <w:rStyle w:val="FootnoteReference"/>
        </w:rPr>
        <w:footnoteReference w:id="30"/>
      </w:r>
      <w:r>
        <w:t>.</w:t>
      </w:r>
    </w:p>
    <w:p w:rsidR="00B95465" w:rsidRDefault="00B95465" w:rsidP="00B95465"/>
    <w:p w:rsidR="00B95465" w:rsidRDefault="00B95465" w:rsidP="00B95465">
      <w:r>
        <w:t>455.</w:t>
      </w:r>
      <w:r>
        <w:tab/>
      </w:r>
      <w:r>
        <w:rPr>
          <w:i/>
        </w:rPr>
        <w:t>Кодекс законов о благосостоянии детей и молодежи</w:t>
      </w:r>
      <w:r>
        <w:t xml:space="preserve"> предусматривает создание Совета по вопросам благосостояния детей.  Этот Совет действует в качестве главного государственного механизма, которому поручено поощрять и защищать права, благосостояние и развитие детей на Филиппинах.  Кроме того, Совет, в качестве центрального координирующего учреждения филиппинского правительства, занимающегося проблемами детей, несет ответственность за координирование и мониторинг осуществления всех законов, программ и услуг, касающихся детей.</w:t>
      </w:r>
    </w:p>
    <w:p w:rsidR="00B95465" w:rsidRDefault="00B95465" w:rsidP="001E216B">
      <w:pPr>
        <w:spacing w:line="276" w:lineRule="auto"/>
      </w:pPr>
      <w:r>
        <w:t>456.</w:t>
      </w:r>
      <w:r>
        <w:tab/>
        <w:t xml:space="preserve">В соответствии с </w:t>
      </w:r>
      <w:r>
        <w:rPr>
          <w:i/>
        </w:rPr>
        <w:t>Законом об участии молодежи в строительстве нации</w:t>
      </w:r>
      <w:r>
        <w:t xml:space="preserve"> (РЗ № 8044), была создана Национальная комиссия по делам молодежи и учреждена Национальная комплексная и скоординированная программа развития молодежи, дающая молодым людям возможность выполнять свою важную роль в национальном строительстве.  Перед Национальной комиссией по делам молодежи были, среди прочего, поставлены следующие задачи:  а)  разрабатывать национальную политику в отношении молодежи и инициировать ее осуществление;  b)  осуществлять надзор за реализацией национальной комплексной программы содействия развитию молодежи;  и  с)  создать консультативный механизм, который станет форумом для проведения постоянного диалога между правительством и молодежным сектором по вопросам надлежащего планирования и оценки затрагивающих интересы молодежи стратегий, программ и проектов.</w:t>
      </w:r>
    </w:p>
    <w:p w:rsidR="00B95465" w:rsidRPr="001E216B" w:rsidRDefault="00B95465" w:rsidP="00B95465">
      <w:pPr>
        <w:rPr>
          <w:sz w:val="20"/>
        </w:rPr>
      </w:pPr>
    </w:p>
    <w:p w:rsidR="00B95465" w:rsidRDefault="00B95465" w:rsidP="001E216B">
      <w:pPr>
        <w:spacing w:line="276" w:lineRule="auto"/>
      </w:pPr>
      <w:r w:rsidRPr="006F64C0">
        <w:t>457.</w:t>
      </w:r>
      <w:r w:rsidRPr="006F64C0">
        <w:tab/>
        <w:t xml:space="preserve">Филиппинские национальные стратегические рамки </w:t>
      </w:r>
      <w:r>
        <w:t>П</w:t>
      </w:r>
      <w:r w:rsidRPr="006F64C0">
        <w:t xml:space="preserve">лана </w:t>
      </w:r>
      <w:r>
        <w:t xml:space="preserve">содействия </w:t>
      </w:r>
      <w:r w:rsidRPr="006F64C0">
        <w:t>развити</w:t>
      </w:r>
      <w:r>
        <w:t>ю</w:t>
      </w:r>
      <w:r w:rsidRPr="006F64C0">
        <w:t xml:space="preserve"> детей (2000</w:t>
      </w:r>
      <w:r>
        <w:t>–</w:t>
      </w:r>
      <w:r w:rsidRPr="006F64C0">
        <w:t>2025</w:t>
      </w:r>
      <w:r>
        <w:t> годы</w:t>
      </w:r>
      <w:r w:rsidRPr="006F64C0">
        <w:t>)</w:t>
      </w:r>
      <w:r>
        <w:t>,</w:t>
      </w:r>
      <w:r w:rsidRPr="006F64C0">
        <w:t xml:space="preserve"> или</w:t>
      </w:r>
      <w:r>
        <w:t xml:space="preserve"> программа </w:t>
      </w:r>
      <w:r w:rsidRPr="006F64C0">
        <w:t>"Ребенок</w:t>
      </w:r>
      <w:r>
        <w:noBreakHyphen/>
      </w:r>
      <w:r w:rsidRPr="006F64C0">
        <w:t>21"</w:t>
      </w:r>
      <w:r>
        <w:t>,</w:t>
      </w:r>
      <w:r w:rsidRPr="006F64C0">
        <w:t xml:space="preserve"> были </w:t>
      </w:r>
      <w:r>
        <w:t>разработаны</w:t>
      </w:r>
      <w:r w:rsidRPr="006F64C0">
        <w:t xml:space="preserve"> в 2000</w:t>
      </w:r>
      <w:r>
        <w:t> </w:t>
      </w:r>
      <w:r w:rsidRPr="006F64C0">
        <w:t xml:space="preserve">году в качестве продолжения </w:t>
      </w:r>
      <w:r>
        <w:t xml:space="preserve">Плана действий в интересах детей на </w:t>
      </w:r>
      <w:r w:rsidRPr="006F64C0">
        <w:t>1991</w:t>
      </w:r>
      <w:r>
        <w:t>–</w:t>
      </w:r>
      <w:r w:rsidRPr="006F64C0">
        <w:t>2000</w:t>
      </w:r>
      <w:r>
        <w:t xml:space="preserve"> годы.  В программе </w:t>
      </w:r>
      <w:r w:rsidRPr="006F64C0">
        <w:t>"Ребенок</w:t>
      </w:r>
      <w:r>
        <w:noBreakHyphen/>
      </w:r>
      <w:r w:rsidRPr="006F64C0">
        <w:t>21" заложены основы для использования в ориентированных на детей процессах планирования и разработки программ подхода, "который учитывает их права и развивающи</w:t>
      </w:r>
      <w:r>
        <w:t>е</w:t>
      </w:r>
      <w:r w:rsidRPr="006F64C0">
        <w:t xml:space="preserve">ся </w:t>
      </w:r>
      <w:r>
        <w:t>способности</w:t>
      </w:r>
      <w:r w:rsidRPr="006F64C0">
        <w:t>"</w:t>
      </w:r>
      <w:r>
        <w:t xml:space="preserve">.  </w:t>
      </w:r>
      <w:r w:rsidRPr="006F64C0">
        <w:t>Программа "Ребенок</w:t>
      </w:r>
      <w:r>
        <w:noBreakHyphen/>
      </w:r>
      <w:r w:rsidRPr="006F64C0">
        <w:t>21" требует взаимодействия кардинальных мер</w:t>
      </w:r>
      <w:r>
        <w:t>,</w:t>
      </w:r>
      <w:r w:rsidRPr="006F64C0">
        <w:t xml:space="preserve"> </w:t>
      </w:r>
      <w:r>
        <w:t xml:space="preserve">принимаемых </w:t>
      </w:r>
      <w:r w:rsidRPr="006F64C0">
        <w:t xml:space="preserve">на различных этапах развития ребенка, а также прав и задач, соответствующих развивающимся </w:t>
      </w:r>
      <w:r>
        <w:t>способностям</w:t>
      </w:r>
      <w:r w:rsidRPr="006F64C0">
        <w:t xml:space="preserve"> ребенка</w:t>
      </w:r>
      <w:r>
        <w:t xml:space="preserve">.  </w:t>
      </w:r>
    </w:p>
    <w:p w:rsidR="00B95465" w:rsidRPr="001E216B" w:rsidRDefault="00B95465" w:rsidP="00B95465">
      <w:pPr>
        <w:rPr>
          <w:sz w:val="20"/>
        </w:rPr>
      </w:pPr>
    </w:p>
    <w:p w:rsidR="00B95465" w:rsidRDefault="00B95465" w:rsidP="001E216B">
      <w:pPr>
        <w:spacing w:line="276" w:lineRule="auto"/>
      </w:pPr>
      <w:r w:rsidRPr="006F64C0">
        <w:t>458.</w:t>
      </w:r>
      <w:r w:rsidRPr="006F64C0">
        <w:tab/>
        <w:t xml:space="preserve">В соответствии с </w:t>
      </w:r>
      <w:r>
        <w:t>П</w:t>
      </w:r>
      <w:r w:rsidRPr="006F64C0">
        <w:t>равительственным распоряжением</w:t>
      </w:r>
      <w:r>
        <w:t> </w:t>
      </w:r>
      <w:r w:rsidRPr="006F64C0">
        <w:t>№</w:t>
      </w:r>
      <w:r>
        <w:t> </w:t>
      </w:r>
      <w:r w:rsidRPr="006F64C0">
        <w:t xml:space="preserve">275 был создан </w:t>
      </w:r>
      <w:r w:rsidRPr="006F64C0">
        <w:rPr>
          <w:i/>
        </w:rPr>
        <w:t xml:space="preserve">Специальный комитет по защите детей </w:t>
      </w:r>
      <w:r w:rsidRPr="006F64C0">
        <w:t xml:space="preserve">от всех форм </w:t>
      </w:r>
      <w:r>
        <w:t>безнадзорности</w:t>
      </w:r>
      <w:r w:rsidRPr="006F64C0">
        <w:t xml:space="preserve">, насилия, жестокого обращения, эксплуатации, дискриминации и других наносящих ущерб их развитию </w:t>
      </w:r>
      <w:r>
        <w:t xml:space="preserve">обстоятельств.  Ему </w:t>
      </w:r>
      <w:r w:rsidRPr="006F64C0">
        <w:t xml:space="preserve">поручено координировать усилия государственных и негосударственных </w:t>
      </w:r>
      <w:r>
        <w:t>учреждений, претворяющих в жизнь национальные законы, специально разработанные в целях защиты прав детей, ставших жертвами различных форм насилия и сексуальной эксплуатации в коммерческих целях.  Комитет представляет отчеты президенту о мерах, принятых для решения конкретных вопросов насилия в отношении детей и их эксплуатации, и отдает распоряжения другим учреждениям о принятии безотлагательных мер для урегулирования доведенных до его сведения проблем и представлении ему отчета о принятых мерах</w:t>
      </w:r>
      <w:r>
        <w:rPr>
          <w:rStyle w:val="FootnoteReference"/>
        </w:rPr>
        <w:footnoteReference w:id="31"/>
      </w:r>
      <w:r>
        <w:t>.</w:t>
      </w:r>
    </w:p>
    <w:p w:rsidR="00B95465" w:rsidRDefault="00B95465" w:rsidP="00B95465"/>
    <w:p w:rsidR="00B95465" w:rsidRDefault="00B95465" w:rsidP="00B95465">
      <w:r>
        <w:t>459.</w:t>
      </w:r>
      <w:r>
        <w:tab/>
        <w:t xml:space="preserve">ФНП создала </w:t>
      </w:r>
      <w:r>
        <w:rPr>
          <w:i/>
        </w:rPr>
        <w:t>Центр по оказанию помощи женщинам в кризисных ситуациях и защите детей</w:t>
      </w:r>
      <w:r>
        <w:t>, где работают сотрудники полиции, занимающиеся проблемами детей-жертв.</w:t>
      </w:r>
    </w:p>
    <w:p w:rsidR="00B95465" w:rsidRDefault="00B95465" w:rsidP="00B95465"/>
    <w:p w:rsidR="00B95465" w:rsidRDefault="00B95465" w:rsidP="00B95465">
      <w:r>
        <w:t>460.</w:t>
      </w:r>
      <w:r>
        <w:tab/>
        <w:t xml:space="preserve">РЗ № 8370 – </w:t>
      </w:r>
      <w:r>
        <w:rPr>
          <w:i/>
        </w:rPr>
        <w:t xml:space="preserve">Закон о детском телевидении – </w:t>
      </w:r>
      <w:r>
        <w:t xml:space="preserve">направлен на поддержку и защиту интересов детей посредством показа телевизионных программ, отражающих их потребности, озабоченности и интересы.  Этот закон предусматривает создание Национального совета по детскому телевидению (НСДТ), подотчетного канцелярии президента.  НСДТ, среди прочего, поручено разрабатывать и рекомендовать правительству и частному сектору планы, стратегии и приоритеты, т.е.  рекомендовать станциям телевещания, продюсерам и производителям рекламы мероприятия в целях создания высококачественных детских телевизионных программ на местах.  Совет также осуществляет мониторинг, обзор и классификацию детских телевизионных программ и рекламы, выходящих в эфир в установленные для просмотра детских передач часы, и принимает меры в случае поступления жалоб на нарушения закона.  </w:t>
      </w:r>
    </w:p>
    <w:p w:rsidR="00B95465" w:rsidRDefault="00B95465" w:rsidP="00B95465"/>
    <w:p w:rsidR="00B95465" w:rsidRDefault="00B95465" w:rsidP="00B95465">
      <w:pPr>
        <w:rPr>
          <w:i/>
        </w:rPr>
      </w:pPr>
      <w:r>
        <w:t>461.</w:t>
      </w:r>
      <w:r>
        <w:tab/>
        <w:t xml:space="preserve">Тот же принцип борьбы с дискриминацией положен в основу </w:t>
      </w:r>
      <w:r>
        <w:rPr>
          <w:i/>
        </w:rPr>
        <w:t xml:space="preserve">Закона об особой охране детей от надругательств, эксплуатации и дискриминации </w:t>
      </w:r>
      <w:r>
        <w:t xml:space="preserve">(РЗ № 7610).  Согласно этому закону государственная политика должна обеспечивать особую охрану детей от всех форм надругательств, безнадзорности, жестокого обращения, эксплуатации и дискриминации и прочих обстоятельств, наносящих вред их развитию.  Он предусматривает возможность принятия государством мер в интересах ребенка, если родитель, опекун, преподаватель, или лицо, осуществляющее уход и опеку над ребенком, не может или не способно защитить ребенка от таких действий или условий.  </w:t>
      </w:r>
    </w:p>
    <w:p w:rsidR="00B95465" w:rsidRDefault="00B95465" w:rsidP="00B95465">
      <w:pPr>
        <w:rPr>
          <w:i/>
        </w:rPr>
      </w:pPr>
    </w:p>
    <w:p w:rsidR="00B95465" w:rsidRDefault="00B95465" w:rsidP="00B95465">
      <w:r>
        <w:t>462.</w:t>
      </w:r>
      <w:r>
        <w:tab/>
        <w:t xml:space="preserve">Кроме </w:t>
      </w:r>
      <w:r>
        <w:rPr>
          <w:i/>
        </w:rPr>
        <w:t xml:space="preserve">Закона о борьбе с насилием в отношении женщин и их детей </w:t>
      </w:r>
      <w:r>
        <w:t xml:space="preserve">(РЗ № 9262), Конгресс также принял </w:t>
      </w:r>
      <w:r>
        <w:rPr>
          <w:i/>
        </w:rPr>
        <w:t xml:space="preserve">Закон о борьбе с торговлей людьми </w:t>
      </w:r>
      <w:r w:rsidRPr="00584C03">
        <w:rPr>
          <w:i/>
        </w:rPr>
        <w:t>2003 года</w:t>
      </w:r>
      <w:r>
        <w:rPr>
          <w:i/>
        </w:rPr>
        <w:t xml:space="preserve"> </w:t>
      </w:r>
      <w:r>
        <w:t>(РЗ № 9208).  В этом законе торговля людьми определена как "вербовка, перевозка, передача, укрывательство или получение лиц с их согласия и ведома либо без таковых внутри страны или через национальные границы с помощью угроз, применения силы или других форм принуждения, похищения, мошенничества, обмана, злоупотребления властью или служебным положением, использования беззащитного положения лица либо путем произведения или получения выплат, предоставления льгот для получения согласия лица, обладающего контролем над другим лицом, с целью осуществления эксплуатации, включая как минимум принуждение других лиц к занятию проституцией или иные формы сексуальной эксплуатации, принудительный труд или услуги, рабство или каторгу либо изъятие или продажу органов".  Закон предоставляет</w:t>
      </w:r>
      <w:r w:rsidRPr="006F64C0">
        <w:t xml:space="preserve"> </w:t>
      </w:r>
      <w:r>
        <w:t>правовую защиту лицам, ставшим объектами торговли людьми, вне зависимости от того, произошло ли это с их согласия или нет.  Таким образом, все явившиеся объектами торговли лица безусловно признаются жертвами торговли людьми и не подлежат наказанию за это.  Жертвы или пережившие это лица имеют право на защиту в рамках программы защиты свидетелей и на получение таких услуг, как консультации, временный приют, обучение, медицинская и юридическая помощь</w:t>
      </w:r>
      <w:r>
        <w:rPr>
          <w:rStyle w:val="FootnoteReference"/>
        </w:rPr>
        <w:footnoteReference w:id="32"/>
      </w:r>
      <w:r>
        <w:t xml:space="preserve">.  </w:t>
      </w:r>
    </w:p>
    <w:p w:rsidR="00B95465" w:rsidRDefault="00B95465" w:rsidP="00B95465"/>
    <w:p w:rsidR="00B95465" w:rsidRDefault="00B95465" w:rsidP="00B95465">
      <w:r>
        <w:t>463.</w:t>
      </w:r>
      <w:r>
        <w:tab/>
        <w:t xml:space="preserve">В 2000 году Верховный суд издал </w:t>
      </w:r>
      <w:r>
        <w:rPr>
          <w:i/>
        </w:rPr>
        <w:t xml:space="preserve">Правила допроса детей-свидетелей.  </w:t>
      </w:r>
      <w:r>
        <w:t>Этот всеобъемлющий документ устанавливает правила обращения с детьми, являющимися  1)  свидетелями преступления,  2)  жертвами преступления, и  3)  обвиняемыми в совершении преступления.  Эти правила в настоящее время применяются в судах по семейным делам.  В результате принятия мер по обеспечению соблюдения этих правил в отдельных районах были созданы следственные отделы, действующие с учетом интересов детей, с помощью которых значительно упростится процедура допроса детей без необходимости доставки их в суд.</w:t>
      </w:r>
    </w:p>
    <w:p w:rsidR="00B95465" w:rsidRDefault="00B95465" w:rsidP="00B95465"/>
    <w:p w:rsidR="00B95465" w:rsidRDefault="00B95465" w:rsidP="00B95465">
      <w:r>
        <w:t>464.</w:t>
      </w:r>
      <w:r>
        <w:tab/>
        <w:t>В 2002 году незаконнорожденным детям было предоставлено право использовать фамилию своего отца, если отец признал такого ребенка либо в официальном, либо в частном написанном от руки документе.</w:t>
      </w:r>
    </w:p>
    <w:p w:rsidR="00B95465" w:rsidRDefault="00B95465" w:rsidP="00B95465"/>
    <w:p w:rsidR="00B95465" w:rsidRDefault="00B95465" w:rsidP="00B95465">
      <w:r>
        <w:t>465.</w:t>
      </w:r>
      <w:r>
        <w:tab/>
      </w:r>
      <w:r>
        <w:rPr>
          <w:i/>
        </w:rPr>
        <w:t xml:space="preserve">Великая хартия инвалидов, </w:t>
      </w:r>
      <w:r>
        <w:t>РЗ № 7277, защищает от дискриминации инвалидов, как детей, так и взрослых.  Закон предусматривает, что государство должно</w:t>
      </w:r>
      <w:r>
        <w:rPr>
          <w:i/>
        </w:rPr>
        <w:t xml:space="preserve"> </w:t>
      </w:r>
      <w:r>
        <w:t>поощрять уважение к инвалидам и прилагать усилия для устранения всех социальных, культурных, экономических и экологических барьеров, а также барьеров, связанных с отношением окружающих, которые наносят им ущерб.</w:t>
      </w:r>
    </w:p>
    <w:p w:rsidR="00B95465" w:rsidRDefault="00B95465" w:rsidP="00B95465"/>
    <w:p w:rsidR="00B95465" w:rsidRDefault="00B95465" w:rsidP="00B95465">
      <w:r>
        <w:t>466.</w:t>
      </w:r>
      <w:r>
        <w:tab/>
        <w:t>Республиканский закон № 8980, или З</w:t>
      </w:r>
      <w:r w:rsidRPr="00EA00D6">
        <w:rPr>
          <w:i/>
        </w:rPr>
        <w:t xml:space="preserve">акон об уходе за детьми </w:t>
      </w:r>
      <w:r>
        <w:rPr>
          <w:i/>
        </w:rPr>
        <w:t xml:space="preserve">и </w:t>
      </w:r>
      <w:r w:rsidRPr="00EA00D6">
        <w:rPr>
          <w:i/>
        </w:rPr>
        <w:t>их развити</w:t>
      </w:r>
      <w:r>
        <w:rPr>
          <w:i/>
        </w:rPr>
        <w:t xml:space="preserve">и </w:t>
      </w:r>
      <w:r w:rsidRPr="00EA00D6">
        <w:rPr>
          <w:i/>
        </w:rPr>
        <w:t xml:space="preserve">в раннем возрасте </w:t>
      </w:r>
      <w:r>
        <w:rPr>
          <w:i/>
        </w:rPr>
        <w:t>(</w:t>
      </w:r>
      <w:r w:rsidRPr="00EA00D6">
        <w:rPr>
          <w:i/>
        </w:rPr>
        <w:t>УДР</w:t>
      </w:r>
      <w:r>
        <w:rPr>
          <w:i/>
        </w:rPr>
        <w:t>В),</w:t>
      </w:r>
      <w:r>
        <w:t xml:space="preserve"> предусматривает среди прочего разработку учебной программы по УДРВ, ориентированной на развитие детей с учетом их индивидуальных физических потребностей и социально-культурного происхождения.  Министерство образования устанавливает нормы для разработки этой учебной программы, требования к персоналу и материально-технической базе дошкольных учреждений, а также требования в области регистрации.  МСОР, со своей стороны, следит за аккредитацией и установлением норм для центров, программ и служб УДРВ, занимающихся детьми в возрасте до четырех лет.  Согласно правительственному распоряжению № 249 был создан Совет по благосостоянию детей – Национальный координационный совет по УДРВ – в качестве институционального механизма, координирующего осуществление программ по уходу за детьми в раннем возрасте и обеспечивающего сотрудничество между МСОР, министерством образования, МЗ, неправительственными организациями и ОМС.</w:t>
      </w:r>
    </w:p>
    <w:p w:rsidR="00F76A30" w:rsidRDefault="00F76A30" w:rsidP="00F76A30"/>
    <w:p w:rsidR="00F76A30" w:rsidRDefault="00F76A30" w:rsidP="00F76A30">
      <w:r>
        <w:t>467.</w:t>
      </w:r>
      <w:r>
        <w:tab/>
        <w:t>В настоящее время около 77% детей пятилетнего возраста посещают аккредитованные государственные и частные дошкольные учреждения и детские центры, создаваемые органами местного самоуправления или ОМС.  Качество предоставляемых в дошкольных учреждениях и детских центрах услуг различается в том, что касается учебной программы.  Некоторые  дошкольные учреждения и детские центры занимаются просто присмотром и уходом за детьми, в то время как другие, особенно в городских районах, используют определенные элементы официальной школьной программы, особенно для детей 5-6-летнего возраста.  Однако не все дети из беднейших семей охвачены существующими программами УДРВ.  В систему УДРВ пока еще не включены 23% детей.</w:t>
      </w:r>
    </w:p>
    <w:p w:rsidR="00F76A30" w:rsidRDefault="00F76A30" w:rsidP="00F76A30"/>
    <w:p w:rsidR="00F76A30" w:rsidRDefault="00F76A30" w:rsidP="00FD7507">
      <w:pPr>
        <w:keepNext/>
        <w:rPr>
          <w:b/>
        </w:rPr>
      </w:pPr>
      <w:r>
        <w:rPr>
          <w:b/>
        </w:rPr>
        <w:t>6.а</w:t>
      </w:r>
      <w:r>
        <w:rPr>
          <w:b/>
        </w:rPr>
        <w:tab/>
        <w:t>Возрастной предел, ниже которого использование детского труда запрещено</w:t>
      </w:r>
    </w:p>
    <w:p w:rsidR="00F76A30" w:rsidRDefault="00F76A30" w:rsidP="00FD7507">
      <w:pPr>
        <w:keepNext/>
        <w:rPr>
          <w:b/>
        </w:rPr>
      </w:pPr>
    </w:p>
    <w:p w:rsidR="00F76A30" w:rsidRDefault="00F76A30" w:rsidP="00F76A30">
      <w:r>
        <w:t>468.</w:t>
      </w:r>
      <w:r>
        <w:tab/>
        <w:t>Республиканский закон № 7658 запрещает использование труда детей в возрасте до</w:t>
      </w:r>
      <w:r w:rsidR="00FD7507">
        <w:t> </w:t>
      </w:r>
      <w:r>
        <w:t>15 лет на любом государственном или частном предприятии, за исключением случаев, когда ответственность за это полностью берут на себя родители или законный опекун или когда на работу принимают членов семьи работодателя.</w:t>
      </w:r>
    </w:p>
    <w:p w:rsidR="00F76A30" w:rsidRDefault="00F76A30" w:rsidP="00F76A30"/>
    <w:p w:rsidR="00F76A30" w:rsidRDefault="00F76A30" w:rsidP="00F76A30">
      <w:r>
        <w:t>469.</w:t>
      </w:r>
      <w:r>
        <w:tab/>
        <w:t>Статья 12 РЗ № 9231 гласит:</w:t>
      </w:r>
    </w:p>
    <w:p w:rsidR="00F76A30" w:rsidRDefault="00F76A30" w:rsidP="00F76A30"/>
    <w:p w:rsidR="00F76A30" w:rsidRDefault="00F76A30" w:rsidP="00F76A30">
      <w:pPr>
        <w:ind w:left="567"/>
      </w:pPr>
      <w:r>
        <w:t>"Статья 12-</w:t>
      </w:r>
      <w:r>
        <w:rPr>
          <w:lang w:val="en-US"/>
        </w:rPr>
        <w:t>D</w:t>
      </w:r>
      <w:r>
        <w:t>.  Запрещение использования наихудших форм детского труда.  Привлекать детей к участию в наихудших формах детского труда запрещается.  Под фразой "наихудшие формы детского труда" понимаются:</w:t>
      </w:r>
    </w:p>
    <w:p w:rsidR="00F76A30" w:rsidRDefault="00F76A30" w:rsidP="00F76A30">
      <w:pPr>
        <w:ind w:left="567"/>
      </w:pPr>
    </w:p>
    <w:p w:rsidR="00F76A30" w:rsidRDefault="00F76A30" w:rsidP="00F76A30">
      <w:pPr>
        <w:ind w:left="567"/>
      </w:pPr>
      <w:r>
        <w:t>1)</w:t>
      </w:r>
      <w:r>
        <w:tab/>
        <w:t xml:space="preserve">Все формы рабства, как они определены в </w:t>
      </w:r>
      <w:r w:rsidRPr="00E21EC1">
        <w:rPr>
          <w:i/>
        </w:rPr>
        <w:t>"Законе о борьбе с торговлей людьми 2003 года"</w:t>
      </w:r>
      <w:r w:rsidRPr="00E21EC1">
        <w:t>, или практика, схожая с рабством, такая, как торговля деть</w:t>
      </w:r>
      <w:r>
        <w:t>ми, долговая кабала, подневольное состояние и принудительный или обязательный труд, включая вербовку детей для использования в вооруженных конфликтах;  и</w:t>
      </w:r>
    </w:p>
    <w:p w:rsidR="00F76A30" w:rsidRDefault="00F76A30" w:rsidP="00F76A30">
      <w:pPr>
        <w:ind w:left="567"/>
      </w:pPr>
    </w:p>
    <w:p w:rsidR="00F76A30" w:rsidRDefault="00F76A30" w:rsidP="00F76A30">
      <w:pPr>
        <w:ind w:left="567"/>
      </w:pPr>
      <w:r>
        <w:t>2)</w:t>
      </w:r>
      <w:r>
        <w:tab/>
        <w:t>Использование, предоставление или предложение детей либо действия, в результате которых дети подвергаются эксплуатации, в целях детской проституции, производства порнографических изделий или порнографических выступлений;  или</w:t>
      </w:r>
    </w:p>
    <w:p w:rsidR="00F76A30" w:rsidRDefault="00F76A30" w:rsidP="00F76A30">
      <w:pPr>
        <w:ind w:left="567"/>
      </w:pPr>
    </w:p>
    <w:p w:rsidR="00F76A30" w:rsidRDefault="00F76A30" w:rsidP="00F76A30">
      <w:pPr>
        <w:ind w:left="567"/>
      </w:pPr>
      <w:r>
        <w:t>3)</w:t>
      </w:r>
      <w:r>
        <w:tab/>
        <w:t>Использование, предоставление или предложение детей для осуществления незаконных видов деятельности, включая производство и оборот опасных наркотиков и летучих веществ, запрещенных действующими законами;  или</w:t>
      </w:r>
    </w:p>
    <w:p w:rsidR="00F76A30" w:rsidRDefault="00F76A30" w:rsidP="00F76A30">
      <w:pPr>
        <w:ind w:left="567"/>
      </w:pPr>
    </w:p>
    <w:p w:rsidR="00F76A30" w:rsidRDefault="00F76A30" w:rsidP="00F76A30">
      <w:pPr>
        <w:ind w:left="567"/>
      </w:pPr>
      <w:r>
        <w:t>4)</w:t>
      </w:r>
      <w:r>
        <w:tab/>
        <w:t>Работа, которая по своему характеру или с учетом обстоятельств, в которых она выполняется, является опасной или может причинить вред здоровью, безопасности и психике детей таким образом, что при этом:</w:t>
      </w:r>
    </w:p>
    <w:p w:rsidR="00F76A30" w:rsidRDefault="00F76A30" w:rsidP="00F76A30">
      <w:pPr>
        <w:ind w:left="567"/>
      </w:pPr>
    </w:p>
    <w:p w:rsidR="00F76A30" w:rsidRDefault="00F76A30" w:rsidP="00F76A30">
      <w:pPr>
        <w:ind w:left="567"/>
      </w:pPr>
      <w:r>
        <w:tab/>
        <w:t>а)</w:t>
      </w:r>
      <w:r>
        <w:tab/>
        <w:t>происходит обесценивание, деградация или унижение, присущих ребенку как человеческому существу ценности и достоинства;  или</w:t>
      </w:r>
    </w:p>
    <w:p w:rsidR="00F76A30" w:rsidRDefault="00F76A30" w:rsidP="00F76A30">
      <w:pPr>
        <w:ind w:left="567"/>
      </w:pPr>
    </w:p>
    <w:p w:rsidR="00F76A30" w:rsidRDefault="00F76A30" w:rsidP="00F76A30">
      <w:pPr>
        <w:ind w:left="567"/>
      </w:pPr>
      <w:r>
        <w:tab/>
      </w:r>
      <w:r>
        <w:rPr>
          <w:lang w:val="en-US"/>
        </w:rPr>
        <w:t>b</w:t>
      </w:r>
      <w:r w:rsidRPr="0079170F">
        <w:t>)</w:t>
      </w:r>
      <w:r>
        <w:tab/>
        <w:t xml:space="preserve">ребенок подвергается физическим, эмоциональным или сексуальным надругательствам либо оказывается в среде с высоким уровнем стрессового воздействия или отрицательно влияющей на психику;  или </w:t>
      </w:r>
    </w:p>
    <w:p w:rsidR="00F76A30" w:rsidRDefault="00F76A30" w:rsidP="00F76A30">
      <w:pPr>
        <w:ind w:left="567"/>
      </w:pPr>
    </w:p>
    <w:p w:rsidR="00F76A30" w:rsidRDefault="00F76A30" w:rsidP="00F76A30">
      <w:pPr>
        <w:ind w:left="567"/>
      </w:pPr>
      <w:r>
        <w:tab/>
        <w:t>с)</w:t>
      </w:r>
      <w:r>
        <w:tab/>
        <w:t>она выполняется под землей, под водой или на опасных высотах;</w:t>
      </w:r>
    </w:p>
    <w:p w:rsidR="00F76A30" w:rsidRDefault="00F76A30" w:rsidP="00F76A30">
      <w:pPr>
        <w:ind w:left="567"/>
      </w:pPr>
    </w:p>
    <w:p w:rsidR="00F76A30" w:rsidRDefault="00F76A30" w:rsidP="00F76A30">
      <w:pPr>
        <w:ind w:left="567"/>
      </w:pPr>
      <w:r>
        <w:tab/>
      </w:r>
      <w:r>
        <w:rPr>
          <w:lang w:val="en-US"/>
        </w:rPr>
        <w:t>d</w:t>
      </w:r>
      <w:r w:rsidRPr="00ED54F4">
        <w:t>)</w:t>
      </w:r>
      <w:r>
        <w:tab/>
        <w:t>она предполагает использование опасных механизмов, оборудования и инструментов, таких, как инструменты, приводимые в действие электроэнергией или с использованием силы взрыва;</w:t>
      </w:r>
    </w:p>
    <w:p w:rsidR="00F76A30" w:rsidRDefault="00F76A30" w:rsidP="00F76A30">
      <w:pPr>
        <w:ind w:left="567"/>
      </w:pPr>
    </w:p>
    <w:p w:rsidR="00F76A30" w:rsidRDefault="00F76A30" w:rsidP="00F76A30">
      <w:pPr>
        <w:ind w:left="567"/>
      </w:pPr>
      <w:r>
        <w:tab/>
        <w:t>е)</w:t>
      </w:r>
      <w:r>
        <w:tab/>
        <w:t>ребенок подвергается физической опасности, включая опасные движения, требующие сохранения равновесия, применения физической силы или сгибания тела или требующие ручной транспортировки тяжелых грузов;  или</w:t>
      </w:r>
    </w:p>
    <w:p w:rsidR="00F76A30" w:rsidRDefault="00F76A30" w:rsidP="00F76A30">
      <w:pPr>
        <w:ind w:left="567"/>
      </w:pPr>
    </w:p>
    <w:p w:rsidR="00F76A30" w:rsidRDefault="00F76A30" w:rsidP="00F76A30">
      <w:pPr>
        <w:ind w:left="567"/>
      </w:pPr>
      <w:r>
        <w:tab/>
      </w:r>
      <w:r>
        <w:rPr>
          <w:lang w:val="en-US"/>
        </w:rPr>
        <w:t>f</w:t>
      </w:r>
      <w:r w:rsidRPr="00920A82">
        <w:t>)</w:t>
      </w:r>
      <w:r>
        <w:tab/>
        <w:t>она выполняется во вредной для здоровья среде, где ребенок находится в опасных условиях и подвергается воздействию опасных элементов, веществ, сопутствующих веществ или процессов, включающих ионизирующее излучение, радиацию, огонь, воспламеняющиеся вещества, токсичные компоненты и т.п., либо воздействию экстремальных температур, шума или вибраций;  или</w:t>
      </w:r>
    </w:p>
    <w:p w:rsidR="00F76A30" w:rsidRDefault="00F76A30" w:rsidP="00F76A30">
      <w:pPr>
        <w:ind w:left="567"/>
      </w:pPr>
    </w:p>
    <w:p w:rsidR="00F76A30" w:rsidRDefault="00F76A30" w:rsidP="00F76A30">
      <w:pPr>
        <w:ind w:left="567"/>
      </w:pPr>
      <w:r>
        <w:tab/>
      </w:r>
      <w:r>
        <w:rPr>
          <w:lang w:val="en-US"/>
        </w:rPr>
        <w:t>g</w:t>
      </w:r>
      <w:r w:rsidRPr="009A4785">
        <w:t>)</w:t>
      </w:r>
      <w:r>
        <w:tab/>
        <w:t>она выполняется в особо трудных условиях;  или</w:t>
      </w:r>
    </w:p>
    <w:p w:rsidR="00F76A30" w:rsidRDefault="00F76A30" w:rsidP="00F76A30">
      <w:pPr>
        <w:ind w:left="567"/>
      </w:pPr>
    </w:p>
    <w:p w:rsidR="00F76A30" w:rsidRDefault="00F76A30" w:rsidP="00F76A30">
      <w:pPr>
        <w:ind w:left="567"/>
      </w:pPr>
      <w:r>
        <w:tab/>
      </w:r>
      <w:r>
        <w:rPr>
          <w:lang w:val="en-US"/>
        </w:rPr>
        <w:t>h</w:t>
      </w:r>
      <w:r w:rsidRPr="006B09DB">
        <w:t>)</w:t>
      </w:r>
      <w:r>
        <w:tab/>
        <w:t>ребенок подвергается воздействию биологических веществ, таких, как бактерии, грибки, вирусы, простейшие, нематоды и другие паразиты;  или</w:t>
      </w:r>
    </w:p>
    <w:p w:rsidR="00F76A30" w:rsidRDefault="00F76A30" w:rsidP="00F76A30">
      <w:pPr>
        <w:ind w:left="567"/>
      </w:pPr>
    </w:p>
    <w:p w:rsidR="00F76A30" w:rsidRDefault="00F76A30" w:rsidP="00F76A30">
      <w:pPr>
        <w:ind w:left="567"/>
      </w:pPr>
      <w:r>
        <w:tab/>
      </w:r>
      <w:r>
        <w:rPr>
          <w:lang w:val="en-US"/>
        </w:rPr>
        <w:t>i</w:t>
      </w:r>
      <w:r w:rsidRPr="00BB2F03">
        <w:t>)</w:t>
      </w:r>
      <w:r>
        <w:tab/>
        <w:t>она предусматривает производство или погрузку и разгрузку взрывчатых и других пиротехнических изделий".</w:t>
      </w:r>
    </w:p>
    <w:p w:rsidR="00F76A30" w:rsidRDefault="00F76A30" w:rsidP="00F76A30"/>
    <w:p w:rsidR="002400FD" w:rsidRDefault="002400FD" w:rsidP="002400FD">
      <w:pPr>
        <w:tabs>
          <w:tab w:val="clear" w:pos="567"/>
          <w:tab w:val="clear" w:pos="1134"/>
          <w:tab w:val="clear" w:pos="1701"/>
          <w:tab w:val="clear" w:pos="2268"/>
          <w:tab w:val="clear" w:pos="6237"/>
          <w:tab w:val="left" w:pos="935"/>
        </w:tabs>
        <w:autoSpaceDE w:val="0"/>
        <w:autoSpaceDN w:val="0"/>
        <w:adjustRightInd w:val="0"/>
        <w:ind w:left="935" w:hanging="935"/>
        <w:rPr>
          <w:rFonts w:eastAsia="SimSun"/>
          <w:b/>
          <w:szCs w:val="24"/>
          <w:lang w:eastAsia="zh-CN"/>
        </w:rPr>
      </w:pPr>
      <w:r>
        <w:rPr>
          <w:b/>
        </w:rPr>
        <w:t>6.</w:t>
      </w:r>
      <w:r>
        <w:rPr>
          <w:b/>
          <w:lang w:val="en-US"/>
        </w:rPr>
        <w:t>b</w:t>
      </w:r>
      <w:r w:rsidRPr="00CE0A87">
        <w:rPr>
          <w:b/>
        </w:rPr>
        <w:t xml:space="preserve"> </w:t>
      </w:r>
      <w:r w:rsidRPr="00C1426A">
        <w:t>и</w:t>
      </w:r>
      <w:r w:rsidRPr="00CE0A87">
        <w:rPr>
          <w:b/>
        </w:rPr>
        <w:t xml:space="preserve"> </w:t>
      </w:r>
      <w:r>
        <w:rPr>
          <w:b/>
          <w:lang w:val="en-US"/>
        </w:rPr>
        <w:t>c</w:t>
      </w:r>
      <w:r>
        <w:rPr>
          <w:b/>
        </w:rPr>
        <w:tab/>
        <w:t>Количество</w:t>
      </w:r>
      <w:r w:rsidRPr="00EF4B40">
        <w:rPr>
          <w:b/>
        </w:rPr>
        <w:t xml:space="preserve"> </w:t>
      </w:r>
      <w:r w:rsidRPr="00EF4B40">
        <w:rPr>
          <w:rFonts w:eastAsia="SimSun"/>
          <w:b/>
          <w:szCs w:val="24"/>
          <w:lang w:eastAsia="zh-CN"/>
        </w:rPr>
        <w:t xml:space="preserve">детей, </w:t>
      </w:r>
      <w:r>
        <w:rPr>
          <w:rFonts w:eastAsia="SimSun"/>
          <w:b/>
          <w:szCs w:val="24"/>
          <w:lang w:eastAsia="zh-CN"/>
        </w:rPr>
        <w:t>занимающихся</w:t>
      </w:r>
      <w:r w:rsidRPr="00EF4B40">
        <w:rPr>
          <w:rFonts w:eastAsia="SimSun"/>
          <w:b/>
          <w:szCs w:val="24"/>
          <w:lang w:eastAsia="zh-CN"/>
        </w:rPr>
        <w:t xml:space="preserve"> работ</w:t>
      </w:r>
      <w:r>
        <w:rPr>
          <w:rFonts w:eastAsia="SimSun"/>
          <w:b/>
          <w:szCs w:val="24"/>
          <w:lang w:eastAsia="zh-CN"/>
        </w:rPr>
        <w:t>ой</w:t>
      </w:r>
      <w:r w:rsidRPr="00EF4B40">
        <w:rPr>
          <w:rFonts w:eastAsia="SimSun"/>
          <w:b/>
          <w:szCs w:val="24"/>
          <w:lang w:eastAsia="zh-CN"/>
        </w:rPr>
        <w:t xml:space="preserve"> по найму</w:t>
      </w:r>
      <w:r>
        <w:rPr>
          <w:rFonts w:eastAsia="SimSun"/>
          <w:b/>
          <w:szCs w:val="24"/>
          <w:lang w:eastAsia="zh-CN"/>
        </w:rPr>
        <w:t xml:space="preserve">;  </w:t>
      </w:r>
      <w:r w:rsidRPr="00EF4B40">
        <w:rPr>
          <w:rFonts w:eastAsia="SimSun"/>
          <w:b/>
          <w:szCs w:val="24"/>
          <w:lang w:eastAsia="zh-CN"/>
        </w:rPr>
        <w:t>дети</w:t>
      </w:r>
      <w:r>
        <w:rPr>
          <w:rFonts w:eastAsia="SimSun"/>
          <w:b/>
          <w:szCs w:val="24"/>
          <w:lang w:eastAsia="zh-CN"/>
        </w:rPr>
        <w:t>,</w:t>
      </w:r>
      <w:r w:rsidRPr="00EF4B40">
        <w:rPr>
          <w:rFonts w:eastAsia="SimSun"/>
          <w:b/>
          <w:szCs w:val="24"/>
          <w:lang w:eastAsia="zh-CN"/>
        </w:rPr>
        <w:t xml:space="preserve"> участвую</w:t>
      </w:r>
      <w:r>
        <w:rPr>
          <w:rFonts w:eastAsia="SimSun"/>
          <w:b/>
          <w:szCs w:val="24"/>
          <w:lang w:eastAsia="zh-CN"/>
        </w:rPr>
        <w:t>щие</w:t>
      </w:r>
      <w:r w:rsidRPr="00EF4B40">
        <w:rPr>
          <w:rFonts w:eastAsia="SimSun"/>
          <w:b/>
          <w:szCs w:val="24"/>
          <w:lang w:eastAsia="zh-CN"/>
        </w:rPr>
        <w:t xml:space="preserve"> </w:t>
      </w:r>
      <w:r>
        <w:rPr>
          <w:rFonts w:eastAsia="SimSun"/>
          <w:b/>
          <w:szCs w:val="24"/>
          <w:lang w:eastAsia="zh-CN"/>
        </w:rPr>
        <w:br/>
      </w:r>
      <w:r w:rsidRPr="00EF4B40">
        <w:rPr>
          <w:rFonts w:eastAsia="SimSun"/>
          <w:b/>
          <w:szCs w:val="24"/>
          <w:lang w:eastAsia="zh-CN"/>
        </w:rPr>
        <w:t>в работе семьи в рамках</w:t>
      </w:r>
      <w:r>
        <w:rPr>
          <w:rFonts w:eastAsia="SimSun"/>
          <w:b/>
          <w:szCs w:val="24"/>
          <w:lang w:eastAsia="zh-CN"/>
        </w:rPr>
        <w:t xml:space="preserve"> </w:t>
      </w:r>
      <w:r w:rsidRPr="00EF4B40">
        <w:rPr>
          <w:rFonts w:eastAsia="SimSun"/>
          <w:b/>
          <w:szCs w:val="24"/>
          <w:lang w:eastAsia="zh-CN"/>
        </w:rPr>
        <w:t>домашнего хозяйства, на фермах или в предпринимательской деятельности</w:t>
      </w:r>
    </w:p>
    <w:p w:rsidR="002400FD" w:rsidRDefault="002400FD" w:rsidP="002400FD">
      <w:pPr>
        <w:tabs>
          <w:tab w:val="clear" w:pos="567"/>
          <w:tab w:val="clear" w:pos="1134"/>
          <w:tab w:val="clear" w:pos="1701"/>
          <w:tab w:val="clear" w:pos="2268"/>
          <w:tab w:val="clear" w:pos="6237"/>
          <w:tab w:val="left" w:pos="935"/>
        </w:tabs>
        <w:autoSpaceDE w:val="0"/>
        <w:autoSpaceDN w:val="0"/>
        <w:adjustRightInd w:val="0"/>
        <w:ind w:left="935" w:hanging="935"/>
      </w:pPr>
    </w:p>
    <w:p w:rsidR="002400FD" w:rsidRDefault="002400FD" w:rsidP="002400FD">
      <w:r>
        <w:t>470.</w:t>
      </w:r>
      <w:r>
        <w:tab/>
        <w:t>См.  пункт 102.</w:t>
      </w:r>
    </w:p>
    <w:p w:rsidR="002400FD" w:rsidRDefault="002400FD" w:rsidP="002400FD"/>
    <w:p w:rsidR="002400FD" w:rsidRDefault="002400FD" w:rsidP="002400FD">
      <w:r>
        <w:t>471.</w:t>
      </w:r>
      <w:r>
        <w:tab/>
        <w:t xml:space="preserve">Согласно данным Международной организации труда и Национального статистического обзора, касающегося детей в возрасте от пяти до 17 лет, за 2001 год в работе по найму в 2001 году принимали участие 16,2% (4,2 млн.) филиппинских детей и подростков, принадлежащих к этой возрастной группе, из 24,9 млн. человек всего населения страны.  Это соотношение несколько превышает показатель детей, находившихся в 1995 году в неблагоприятном отношении с точки зрения экономического положения (16%, или 3,6 млн.).  Среди работающих детей значительно большая часть приходилась на долю мальчиков, составляя, соответственно, 2,5 млн., или 63,4%, и </w:t>
      </w:r>
      <w:r>
        <w:br/>
        <w:t>1,5 млн., или 36,6%.  Из десяти работающих детей семеро приходится на сельские районы.  Согласно данным последнего обзора рабочей силы за октябрь 2003 - октябрь 2004 года, приблизительно 2 116 млн., или 9,1%, из 25 210 млн. детей в возрасте от пяти до 17 лет занимались трудовой деятельностью.</w:t>
      </w:r>
    </w:p>
    <w:p w:rsidR="002400FD" w:rsidRDefault="002400FD" w:rsidP="002400FD"/>
    <w:p w:rsidR="002400FD" w:rsidRDefault="002400FD" w:rsidP="002400FD">
      <w:r>
        <w:t>472.</w:t>
      </w:r>
      <w:r>
        <w:tab/>
        <w:t xml:space="preserve">Почти 60% работающих детей были заняты в сельском хозяйстве, в сфере охоты и лесного хозяйства, а именно:  59,2% работающих детей в октябре 2003 года и 57,3% - в октябре 2004 года.  На втором месте по уровню использования детского труда стоит оптовая и розничная торговля, за которой следуют частные домашние хозяйства, где занято почти 10% детей.  Менее 2% детей заняты в строительстве и других отраслях промышленности.  Более 50% детей не получали оплату за свой труд, а оплачиваемым трудом занимались по крайней мере одна треть от работающих детей.  В среднем у 23% работающих девочек каждый рабочий день длится более восьми часов, по сравнению с 8,5% работающих мальчиков.  Также по крайней мере одна треть девочек работает </w:t>
      </w:r>
      <w:r>
        <w:br/>
        <w:t>40 часов в неделю, в то время как такое же количество времени работают только около четверти мальчиков.</w:t>
      </w:r>
    </w:p>
    <w:p w:rsidR="002400FD" w:rsidRDefault="002400FD" w:rsidP="002400FD"/>
    <w:p w:rsidR="002400FD" w:rsidRDefault="002400FD" w:rsidP="002400FD">
      <w:r>
        <w:t>473.</w:t>
      </w:r>
      <w:r>
        <w:tab/>
        <w:t xml:space="preserve">В большинстве случаев дети заняты на простых или случайных работах, которые можно выполнять без специальной подготовки, таких, как собирание, сортировка и подборка материалов.  Другие оказывают личные или коммунальные услуги, такие, как мытье легковых и грузовых автомашин, сидение с детьми, чистка обуви и поднос сумок.  Они торгуют в магазинах </w:t>
      </w:r>
      <w:r>
        <w:rPr>
          <w:i/>
        </w:rPr>
        <w:t xml:space="preserve">сари-сари </w:t>
      </w:r>
      <w:r>
        <w:t>(маленьких местных магазинах) и на улицах (уличная торговля).  В сельскохозяйственных районах дети обычно участвуют в традиционных ремесленных производствах, связанных с изготовлением изделий из абаки или плетением циновок.</w:t>
      </w:r>
    </w:p>
    <w:p w:rsidR="002400FD" w:rsidRDefault="002400FD" w:rsidP="002400FD">
      <w:pPr>
        <w:rPr>
          <w:b/>
        </w:rPr>
      </w:pPr>
      <w:r>
        <w:rPr>
          <w:b/>
        </w:rPr>
        <w:t>6.</w:t>
      </w:r>
      <w:r>
        <w:rPr>
          <w:b/>
          <w:lang w:val="en-US"/>
        </w:rPr>
        <w:t>d</w:t>
      </w:r>
      <w:r>
        <w:rPr>
          <w:b/>
        </w:rPr>
        <w:tab/>
        <w:t>Группы детей, находящихся в неблагоприятном положении</w:t>
      </w:r>
    </w:p>
    <w:p w:rsidR="002400FD" w:rsidRPr="001E216B" w:rsidRDefault="002400FD" w:rsidP="002400FD">
      <w:pPr>
        <w:rPr>
          <w:b/>
          <w:sz w:val="20"/>
        </w:rPr>
      </w:pPr>
    </w:p>
    <w:p w:rsidR="002400FD" w:rsidRDefault="002400FD" w:rsidP="002400FD">
      <w:r>
        <w:t>474.</w:t>
      </w:r>
      <w:r>
        <w:tab/>
        <w:t>В 2003 году в общей сложности 2 732 ребенка были разлучены со своими родителями и лишены семейного окружения.  970 детей было помещено в приемные семьи, а 1 902 ребенка были усыновлены внутри страны или в рамках процедуры межгосударственного усыновления/удочерения.</w:t>
      </w:r>
    </w:p>
    <w:p w:rsidR="002400FD" w:rsidRPr="001E216B" w:rsidRDefault="002400FD" w:rsidP="002400FD">
      <w:pPr>
        <w:rPr>
          <w:sz w:val="20"/>
        </w:rPr>
      </w:pPr>
    </w:p>
    <w:p w:rsidR="002400FD" w:rsidRDefault="002400FD" w:rsidP="002400FD">
      <w:r>
        <w:t>475.</w:t>
      </w:r>
      <w:r>
        <w:tab/>
        <w:t>Министерство образования сообщило, что в 2003 году 3 951 ребенок посещал специальные учебные классы в обычных школах, а 120 426 детей было принято в 159 специальных школ по всей стране.</w:t>
      </w:r>
    </w:p>
    <w:p w:rsidR="002400FD" w:rsidRPr="001E216B" w:rsidRDefault="002400FD" w:rsidP="002400FD">
      <w:pPr>
        <w:rPr>
          <w:sz w:val="20"/>
        </w:rPr>
      </w:pPr>
    </w:p>
    <w:p w:rsidR="002400FD" w:rsidRDefault="002400FD" w:rsidP="002400FD">
      <w:r>
        <w:t>476.</w:t>
      </w:r>
      <w:r>
        <w:tab/>
        <w:t>В 2004 году 3 485 правонарушений предположительно было совершено детьми в возрасте от 9 до 17 лет.  Согласно данным МСОР, первую строчку в списке правонарушений, наиболее часто совершаемых детьми, находящимися в конфликте с законом, занимают воровство</w:t>
      </w:r>
      <w:r w:rsidRPr="006A1A21">
        <w:t>/</w:t>
      </w:r>
      <w:r>
        <w:t>воровство с отягчающими обстоятельствами, грабеж</w:t>
      </w:r>
      <w:r w:rsidRPr="00DD5131">
        <w:t>/</w:t>
      </w:r>
      <w:r>
        <w:t>вооруженный грабеж</w:t>
      </w:r>
      <w:r w:rsidRPr="00E2499C">
        <w:t>/</w:t>
      </w:r>
      <w:r>
        <w:t>покушение на грабеж/грабеж с причинением тяжких телесных повреждений, а также изнасилование</w:t>
      </w:r>
      <w:r w:rsidRPr="00642DB4">
        <w:t>/</w:t>
      </w:r>
      <w:r>
        <w:t>попытка изнасилования</w:t>
      </w:r>
      <w:r w:rsidRPr="00F34C38">
        <w:t>/</w:t>
      </w:r>
      <w:r w:rsidRPr="00FF28E9">
        <w:t>изнасилование несовершеннолетнего лица.</w:t>
      </w:r>
    </w:p>
    <w:p w:rsidR="002400FD" w:rsidRPr="001E216B" w:rsidRDefault="002400FD" w:rsidP="002400FD">
      <w:pPr>
        <w:rPr>
          <w:sz w:val="20"/>
        </w:rPr>
      </w:pPr>
    </w:p>
    <w:p w:rsidR="002400FD" w:rsidRDefault="002400FD" w:rsidP="002400FD">
      <w:pPr>
        <w:rPr>
          <w:b/>
        </w:rPr>
      </w:pPr>
      <w:r>
        <w:rPr>
          <w:b/>
        </w:rPr>
        <w:t>6.е</w:t>
      </w:r>
      <w:r>
        <w:rPr>
          <w:b/>
        </w:rPr>
        <w:tab/>
        <w:t>Меры по улучшению положения детей, находящихся в уязвимой ситуации</w:t>
      </w:r>
    </w:p>
    <w:p w:rsidR="002400FD" w:rsidRPr="001E216B" w:rsidRDefault="002400FD" w:rsidP="002400FD">
      <w:pPr>
        <w:rPr>
          <w:b/>
          <w:sz w:val="20"/>
        </w:rPr>
      </w:pPr>
    </w:p>
    <w:p w:rsidR="002400FD" w:rsidRDefault="002400FD" w:rsidP="002400FD">
      <w:r>
        <w:t>477.</w:t>
      </w:r>
      <w:r>
        <w:tab/>
        <w:t>В случае невыполнения родителями своих обязанностей, например, когда их дети занимаются попрошайничеством или работают на улице и попадают в полицейский участок, детей возвращают домой, а родители получают предупреждение от Совета барангая по защите детей (ст. 61 Кодекса законов о защите детей и подростков).  Работники социальной службы проводят индивидуальную работу с семьей в целях урегулирования любого возникшего в семье конфликта, вследствие которого родители перестали выполнять свои родительские обязанности, и в целях воспрепятствования разлучению ребенка с семьей.</w:t>
      </w:r>
    </w:p>
    <w:p w:rsidR="002400FD" w:rsidRPr="001E216B" w:rsidRDefault="002400FD" w:rsidP="002400FD">
      <w:pPr>
        <w:rPr>
          <w:sz w:val="20"/>
        </w:rPr>
      </w:pPr>
    </w:p>
    <w:p w:rsidR="002400FD" w:rsidRDefault="002400FD" w:rsidP="002400FD">
      <w:r>
        <w:t>478.</w:t>
      </w:r>
      <w:r>
        <w:tab/>
        <w:t>В тех случаях, когда дети находятся под защитной опекой МСОР в приюте, в приемной семье или реабилитационных центрах, родители обязаны посещать своих детей для поддержания личных отношений с детьми, если этого требуют наилучшие интересы ребенка.  Для того, чтобы ребенок и его родители могли встретиться, выделяется так называемый семейный день, во время которого работники социальной службы проводят сеансы "семейной терапии".  Однако такие посещения запрещаются тем родителям, которые нарушают нормы поведения, особенно в тех случаях, когда дети отказываются видеться с ними из чувства страха и когда некоторые родители создают для своих детей стрессовые ситуации, например оказывая на ребенка давление, с тем чтобы тот отказался от возбуждения дела против совершившего правонарушение родителя.</w:t>
      </w:r>
    </w:p>
    <w:p w:rsidR="002400FD" w:rsidRDefault="002400FD" w:rsidP="002400FD"/>
    <w:p w:rsidR="002400FD" w:rsidRDefault="002400FD" w:rsidP="002400FD">
      <w:r>
        <w:t>479.</w:t>
      </w:r>
      <w:r>
        <w:tab/>
        <w:t>Что касается случаев применения насилия и конфликтов в семье, вследствие которых ребенок может быть разлучен с семьей, то была разработана Программа предотвращения насилия в семье в качестве общинной стратегии посредничества для предотвращения разлучения ребенка с семьей и</w:t>
      </w:r>
      <w:r w:rsidRPr="00D03114">
        <w:t>/</w:t>
      </w:r>
      <w:r>
        <w:t>или урегулирования проблем</w:t>
      </w:r>
      <w:r w:rsidRPr="00D03114">
        <w:t>/</w:t>
      </w:r>
      <w:r>
        <w:t>конфликтов, влияющих на взаимоотношения в семье.  Одной из стратегий, дающих возможность родителям и детям определить возможные пути разрешения проблемы, является проведение общих семейных встреч.</w:t>
      </w:r>
    </w:p>
    <w:p w:rsidR="002400FD" w:rsidRDefault="002400FD" w:rsidP="002400FD"/>
    <w:p w:rsidR="002400FD" w:rsidRDefault="002400FD" w:rsidP="002400FD">
      <w:r>
        <w:t>480.</w:t>
      </w:r>
      <w:r>
        <w:tab/>
        <w:t>До полного разлучения ребенка с родителями работник социальной службы через средства массовой информации дает объявления и на протяжении шести месяцев, пока ребенок находится в приюте или патронатной семье, полиция и Совет барангая по вопросам защиты детей ведут интенсивный поиск возможных приемных родителей.</w:t>
      </w:r>
    </w:p>
    <w:p w:rsidR="002400FD" w:rsidRDefault="002400FD" w:rsidP="002400FD"/>
    <w:p w:rsidR="002400FD" w:rsidRDefault="002400FD" w:rsidP="002400FD">
      <w:r>
        <w:t>481.</w:t>
      </w:r>
      <w:r>
        <w:tab/>
        <w:t>До процедуры усыновления/удочерения с потенциальным приемным ребенком и детьми приемной семьи проводятся консультации для обеспечения понимания ими характера и последствий усыновления и для того, чтобы они имели возможность выразить свою точку зрения в отношении усыновления/удочерения в соответствии со своим уровнем понимания этого вопроса.</w:t>
      </w:r>
    </w:p>
    <w:p w:rsidR="002400FD" w:rsidRDefault="002400FD" w:rsidP="002400FD"/>
    <w:p w:rsidR="002400FD" w:rsidRDefault="002400FD" w:rsidP="002400FD">
      <w:r>
        <w:t>482.</w:t>
      </w:r>
      <w:r>
        <w:tab/>
        <w:t>Консультативные услуги также предоставляются биологическим родителям, которые отдают своего ребенка на усыновление/удочерение, до и после его рождения во избежание поспешных решений об отказе от выполнения родительских обязанностей в отношении ребенка.  Симуляция рождения ребенка карается в соответствии с положениями пересмотренного Уголовного кодекса.</w:t>
      </w:r>
    </w:p>
    <w:p w:rsidR="002400FD" w:rsidRDefault="002400FD" w:rsidP="002400FD"/>
    <w:p w:rsidR="002400FD" w:rsidRDefault="002400FD" w:rsidP="002400FD">
      <w:r>
        <w:t>483.</w:t>
      </w:r>
      <w:r>
        <w:tab/>
        <w:t>Работник социальной службы помогает ребенку понять, что его родители не в состоянии о нем заботиться, и пытается узнать его чувства в отношении разлучения.</w:t>
      </w:r>
    </w:p>
    <w:p w:rsidR="002400FD" w:rsidRDefault="002400FD" w:rsidP="002400FD"/>
    <w:p w:rsidR="002400FD" w:rsidRDefault="002400FD" w:rsidP="002400FD">
      <w:r>
        <w:t>484.</w:t>
      </w:r>
      <w:r>
        <w:tab/>
        <w:t>Ребенок в возрасте 10 и более лет, которого предлагают усыновить/удочерить, должен дать свое письменное согласие на усыновление/удочерение.</w:t>
      </w:r>
    </w:p>
    <w:p w:rsidR="002400FD" w:rsidRDefault="002400FD" w:rsidP="002400FD"/>
    <w:p w:rsidR="002400FD" w:rsidRDefault="002400FD" w:rsidP="002400FD">
      <w:r>
        <w:t>485.</w:t>
      </w:r>
      <w:r>
        <w:tab/>
        <w:t>Закон о межгосударственном усыновлении/удочерении 1995 года, РЗ № 8043, устанавливает правила, которые регулируют процедуру межгосударственного усыновления/удочерения филиппинских детей и предусматривают меры, направленные на то, чтобы межгосударственные усыновления/удочерения учитывали наилучшие интересы ребенка, а также служили обеспечению и защите его основных прав.  Закон предусматривает создание Совета по межгосударственным усыновлениям/удочерениям, на который возлагаются функции центрального органа по вопросам, связанным с межгосударственными усыновлениями/удочерениями и который осуществляет свою деятельность в консультации и сотрудничестве с МСОР, различными учреждениями по уходу за детьми и их передаче в приемные семьи, учреждениями по вопросам усыновления/удочерения, а также неправительственными организациями, осуществляющими мероприятия по обеспечению ухода за детьми и их передаче в приемные семьи.</w:t>
      </w:r>
    </w:p>
    <w:p w:rsidR="002400FD" w:rsidRDefault="002400FD" w:rsidP="002400FD"/>
    <w:p w:rsidR="002400FD" w:rsidRDefault="002400FD" w:rsidP="002400FD">
      <w:r>
        <w:t>486.</w:t>
      </w:r>
      <w:r>
        <w:tab/>
        <w:t>Усыновление/удочерение, патронатный уход, размещение в приюте или доме-интернате производится только в том случае, если родительская опека является нежелательной или невозможной.  Форма предоставляемого ухода зависит от следующего:  1)  возраста и развивающихся способностей ребенка;  2)  степени отсутствия родительской опеки и поддержки;  и  3)  неспособности родителей выполнять свои родительские обязанности без посторонней помощи.</w:t>
      </w:r>
    </w:p>
    <w:p w:rsidR="002400FD" w:rsidRDefault="002400FD" w:rsidP="002400FD"/>
    <w:p w:rsidR="002400FD" w:rsidRDefault="002400FD" w:rsidP="002400FD">
      <w:r>
        <w:t>487.</w:t>
      </w:r>
      <w:r>
        <w:tab/>
        <w:t>МСОР постоянно проводит работу по расширению возможностей интегрирования детей-инвалидов.  Недавно МСОР разработала проект на базе общин по защите детей-инвалидов.  Эта программа, получившая название</w:t>
      </w:r>
      <w:r w:rsidRPr="004708DB">
        <w:t xml:space="preserve"> </w:t>
      </w:r>
      <w:r>
        <w:t>"</w:t>
      </w:r>
      <w:r>
        <w:rPr>
          <w:lang w:val="en-US"/>
        </w:rPr>
        <w:t>Tuloy</w:t>
      </w:r>
      <w:r w:rsidRPr="004708DB">
        <w:t xml:space="preserve"> </w:t>
      </w:r>
      <w:r>
        <w:rPr>
          <w:lang w:val="en-US"/>
        </w:rPr>
        <w:t>Aral</w:t>
      </w:r>
      <w:r w:rsidRPr="004708DB">
        <w:t xml:space="preserve"> </w:t>
      </w:r>
      <w:r>
        <w:rPr>
          <w:lang w:val="en-US"/>
        </w:rPr>
        <w:t>Walang</w:t>
      </w:r>
      <w:r w:rsidRPr="004708DB">
        <w:t xml:space="preserve"> </w:t>
      </w:r>
      <w:r>
        <w:rPr>
          <w:lang w:val="en-US"/>
        </w:rPr>
        <w:t>Sagabal</w:t>
      </w:r>
      <w:r>
        <w:t>" (</w:t>
      </w:r>
      <w:r>
        <w:rPr>
          <w:lang w:val="en-US"/>
        </w:rPr>
        <w:t>TAWAG</w:t>
      </w:r>
      <w:r w:rsidRPr="004708DB">
        <w:t>)</w:t>
      </w:r>
      <w:r>
        <w:t>, была разработана в качестве руководства для родителей, воспитателей, сотрудников детских центров, добровольцев и других посредников по интегрированию детей и подростков-инвалидов в обычную систему школьного образования и, в конечном счете, - в жизнь общины.</w:t>
      </w:r>
    </w:p>
    <w:p w:rsidR="002400FD" w:rsidRDefault="002400FD" w:rsidP="002400FD"/>
    <w:p w:rsidR="002400FD" w:rsidRDefault="002400FD" w:rsidP="002400FD">
      <w:r>
        <w:t>488.</w:t>
      </w:r>
      <w:r>
        <w:tab/>
        <w:t xml:space="preserve">МСОР также осуществила экспериментальный </w:t>
      </w:r>
      <w:r w:rsidRPr="004708DB">
        <w:t xml:space="preserve"> </w:t>
      </w:r>
      <w:r>
        <w:t>проект по расширению возможностей интегрирования детей-инвалидов в пяти регионах страны.  Этот проект включает в себя набор работников детских центров, которые обладают техническими навыками обращения с детьми-инвалидами.  Проект направлен на воспитание позитивного отношения семей, имеющих детей-инвалидов, и общины, в которой они проживают, к необходимости обеспечения надлежащего ухода за детьми-инвалидами и их лечения.  В рамках этого проекта помощь в рамках образовательных программ была оказана 1 485 детям-инвалидам, а еще 970 детей-инвалидов были направлены в дневные детские центры, специальные образовательные и обычные школы.</w:t>
      </w:r>
    </w:p>
    <w:p w:rsidR="002400FD" w:rsidRDefault="002400FD" w:rsidP="002400FD"/>
    <w:p w:rsidR="002400FD" w:rsidRDefault="002400FD" w:rsidP="002400FD">
      <w:r>
        <w:t>489.</w:t>
      </w:r>
      <w:r>
        <w:tab/>
        <w:t>МСОР также разработала экспериментальную программу общинных центров дневного ухода за детьми, страдающими</w:t>
      </w:r>
      <w:r w:rsidRPr="00EF5956">
        <w:t xml:space="preserve"> аутизмом</w:t>
      </w:r>
      <w:r>
        <w:t>, направленную на организацию развивающих видов деятельности для детей с аутизмом и детей, развитие которых происходит с 3 до 6 лет.</w:t>
      </w:r>
    </w:p>
    <w:p w:rsidR="002400FD" w:rsidRDefault="002400FD" w:rsidP="002400FD"/>
    <w:p w:rsidR="002400FD" w:rsidRDefault="002400FD" w:rsidP="002400FD">
      <w:r>
        <w:t>490.</w:t>
      </w:r>
      <w:r>
        <w:tab/>
        <w:t xml:space="preserve">Республиканский закон № 9344, или </w:t>
      </w:r>
      <w:r>
        <w:rPr>
          <w:i/>
        </w:rPr>
        <w:t xml:space="preserve">Закон об отправлении правосудия в отношении несовершеннолетних и их благосостоянии </w:t>
      </w:r>
      <w:r w:rsidRPr="00F43D6E">
        <w:rPr>
          <w:i/>
        </w:rPr>
        <w:t>2006 года</w:t>
      </w:r>
      <w:r>
        <w:t>, предусматривает безотлагательную передачу детей, находящихся в конфликте с законом, работникам социальной службы после их задержания вместо помещения в тюрьму, как это делалось раньше.  Он также предусматривает передачу дел таких детей общинным реабилитационным программам (программы дивергенции) вместо их направления в суд, программам профилактики детской преступности, а также программам реабилитации и реинтеграции.</w:t>
      </w:r>
    </w:p>
    <w:p w:rsidR="002400FD" w:rsidRDefault="002400FD" w:rsidP="002400FD"/>
    <w:p w:rsidR="002400FD" w:rsidRDefault="002400FD" w:rsidP="002400FD">
      <w:r>
        <w:t>491.</w:t>
      </w:r>
      <w:r>
        <w:tab/>
        <w:t xml:space="preserve">В соответствии с этим законом программа дивергенции предполагает принятие надлежащих социально-культурных и психологических мер и услуг, в которых нуждается ребенок.  На разных этапах процедуры дивергенции, </w:t>
      </w:r>
      <w:r w:rsidRPr="00791AF7">
        <w:rPr>
          <w:i/>
        </w:rPr>
        <w:t>а именно</w:t>
      </w:r>
      <w:r>
        <w:t xml:space="preserve"> на уровне старосты деревни, сотрудника правоохранительного органа и прокурора или суда, дети, находящиеся в конфликте с законом, имеют возможность воспользоваться несколькими программами</w:t>
      </w:r>
      <w:r>
        <w:rPr>
          <w:rStyle w:val="FootnoteReference"/>
        </w:rPr>
        <w:footnoteReference w:id="33"/>
      </w:r>
      <w:r>
        <w:t>.</w:t>
      </w:r>
    </w:p>
    <w:p w:rsidR="004878C5" w:rsidRDefault="004878C5" w:rsidP="004878C5">
      <w:pPr>
        <w:jc w:val="center"/>
        <w:rPr>
          <w:b/>
        </w:rPr>
      </w:pPr>
      <w:r w:rsidRPr="00852AF4">
        <w:rPr>
          <w:b/>
        </w:rPr>
        <w:t>Статья 11</w:t>
      </w:r>
    </w:p>
    <w:p w:rsidR="004878C5" w:rsidRDefault="004878C5" w:rsidP="004878C5">
      <w:pPr>
        <w:jc w:val="center"/>
        <w:rPr>
          <w:b/>
        </w:rPr>
      </w:pPr>
    </w:p>
    <w:p w:rsidR="004878C5" w:rsidRDefault="004878C5" w:rsidP="00694405">
      <w:pPr>
        <w:rPr>
          <w:b/>
        </w:rPr>
      </w:pPr>
      <w:r w:rsidRPr="00852AF4">
        <w:rPr>
          <w:b/>
        </w:rPr>
        <w:t xml:space="preserve">Вопрос № 1. </w:t>
      </w:r>
      <w:r>
        <w:rPr>
          <w:b/>
        </w:rPr>
        <w:t xml:space="preserve"> </w:t>
      </w:r>
      <w:r w:rsidRPr="00852AF4">
        <w:rPr>
          <w:b/>
        </w:rPr>
        <w:t>Уровень жизни</w:t>
      </w:r>
    </w:p>
    <w:p w:rsidR="004878C5" w:rsidRDefault="004878C5" w:rsidP="004878C5">
      <w:pPr>
        <w:jc w:val="center"/>
        <w:rPr>
          <w:b/>
        </w:rPr>
      </w:pPr>
    </w:p>
    <w:p w:rsidR="004878C5" w:rsidRDefault="004878C5" w:rsidP="004878C5">
      <w:pPr>
        <w:rPr>
          <w:b/>
        </w:rPr>
      </w:pPr>
      <w:r w:rsidRPr="00852AF4">
        <w:rPr>
          <w:b/>
        </w:rPr>
        <w:t>1.а</w:t>
      </w:r>
      <w:r w:rsidRPr="00852AF4">
        <w:rPr>
          <w:b/>
        </w:rPr>
        <w:tab/>
      </w:r>
      <w:r>
        <w:rPr>
          <w:b/>
        </w:rPr>
        <w:t>У</w:t>
      </w:r>
      <w:r w:rsidRPr="00852AF4">
        <w:rPr>
          <w:b/>
        </w:rPr>
        <w:t>ровень жизни</w:t>
      </w:r>
      <w:r>
        <w:rPr>
          <w:b/>
        </w:rPr>
        <w:t xml:space="preserve"> в настоящее время</w:t>
      </w:r>
    </w:p>
    <w:p w:rsidR="004878C5" w:rsidRDefault="004878C5" w:rsidP="004878C5">
      <w:pPr>
        <w:rPr>
          <w:b/>
        </w:rPr>
      </w:pPr>
    </w:p>
    <w:p w:rsidR="004878C5" w:rsidRPr="00694405" w:rsidRDefault="004878C5" w:rsidP="004878C5">
      <w:pPr>
        <w:rPr>
          <w:i/>
        </w:rPr>
      </w:pPr>
      <w:r w:rsidRPr="00694405">
        <w:rPr>
          <w:i/>
        </w:rPr>
        <w:t>Положение дел и тенденции:  официальные показатели уровня нищеты за 2003 год</w:t>
      </w:r>
    </w:p>
    <w:p w:rsidR="004878C5" w:rsidRDefault="004878C5" w:rsidP="004878C5">
      <w:pPr>
        <w:rPr>
          <w:u w:val="single"/>
        </w:rPr>
      </w:pPr>
    </w:p>
    <w:p w:rsidR="004878C5" w:rsidRDefault="004878C5" w:rsidP="004878C5">
      <w:r>
        <w:t>492.</w:t>
      </w:r>
      <w:r>
        <w:tab/>
        <w:t>По состоянию на 2003 год малоимущими признаны в общей сложности 24,7% филиппинских семей (или 30,4% филиппинцев), по сравнению с 27,5% (33% населения) в 2000 году.  Доход таких семей был ниже уровня нищеты, который в 2003 году был равен 12 267 филиппинским песо.  Снижение уровня нищеты стало результатом главным образом повышения размеров заработной платы почти всех групп населения во всех районах, за исключением Метро Манила, КАЛАБАРЗОН и Северного Минданао.  Согласно принятому Всемирным банком</w:t>
      </w:r>
      <w:r w:rsidRPr="009E6E96">
        <w:t xml:space="preserve"> </w:t>
      </w:r>
      <w:r>
        <w:t>международному показателю черты бедности, который равен 1 долл. США в день, на Филиппинах процентная доля населения с таким уровнем дохода уменьшилась в период 2000-2003 годов с 13,5 до 11,1%.</w:t>
      </w:r>
    </w:p>
    <w:p w:rsidR="004878C5" w:rsidRDefault="004878C5" w:rsidP="004878C5"/>
    <w:p w:rsidR="004878C5" w:rsidRDefault="004878C5" w:rsidP="004878C5">
      <w:r>
        <w:t>493.</w:t>
      </w:r>
      <w:r>
        <w:tab/>
        <w:t>Официальный годовой подушевой показатель нищеты в 2003 году составил 12 267 филиппинских песо, что на 7,1% больше по сравнению с уровнем 2000 года, который составлял 11 451 филиппинский песо.  Так, семья из пяти человек ежегодно должна иметь доход в размере не менее 5 111 филиппинских песо в месяц, чтобы быть в состоянии удовлетворить минимальные основные продовольственные и непродовольственные потребности.</w:t>
      </w:r>
    </w:p>
    <w:p w:rsidR="004878C5" w:rsidRDefault="004878C5" w:rsidP="004878C5"/>
    <w:p w:rsidR="004878C5" w:rsidRDefault="004878C5" w:rsidP="004878C5">
      <w:r>
        <w:t>494.</w:t>
      </w:r>
      <w:r>
        <w:tab/>
        <w:t>При этом за указанный период ежегодная сумма, требуемая для удовлетворения основных индивидуальных продовольственных потребностей, которая в 2000 году составляла 7 707 филиппинских песо, к 2003 году возросла на 5,5% и составила уже 8 134 филиппинских песо.  Процентная доля семей, в которых доход на одного человека несколько ниже прожиточного минимума или недостаточен для удовлетворения основных продовольственных потребностей, в 2003 году составляла 10,4% (или 13,8% населения), что почти на 2 процентных пункта меньше по сравнению с показателями 2000 года, равными 12,3%.  Прожиточный минимум или порог, определяющий минимальный доход, необходимый семье для удовлетворения потребностей в питании (2 000 килокалорий в день), был установлен в размере 3 389 филиппинских песо в месяц на семью, состоящую в среднем из пяти человек (8 134 филиппинских песо на человека в год).  Это означает, что в 2003 году около 1 664 млн. семей не зарабатывали достаточно средств для того, чтобы удовлетворить свои основные продовольственные потребности, что свидетельствует о некотором уменьшении данного показателя, который ранее составлял 1 850 млн. семей.  Доля семей, имеющих крайне низкий доход или проживающих в нищете, несколько сократилась по сравнению с 2000 годом, когда она составляла 12,3%.</w:t>
      </w:r>
    </w:p>
    <w:p w:rsidR="004878C5" w:rsidRDefault="004878C5" w:rsidP="004878C5"/>
    <w:p w:rsidR="004878C5" w:rsidRDefault="004878C5" w:rsidP="004878C5">
      <w:r>
        <w:t>495.</w:t>
      </w:r>
      <w:r>
        <w:tab/>
        <w:t>Предварительные итоги проведенного в 2003 году обследования уровня доходов и расходов семей показывают, что средства семейного бюджета, выделяемые на продовольственные нужды, снизились с 43% в 2000 году до 42% в 2003 году.  Средства, затрачиваемые семьей на питание дома, также уменьшились с 38% в 2000 году до 37% в 2003 году.  С другой стороны, расходы на питание вне дома, составлявшие в 2000 году 5%, в 2003 году возросли до 5,3%, что говорит об изменении образа жизни филиппинских семей с точки зрения домашнего питания.</w:t>
      </w:r>
    </w:p>
    <w:p w:rsidR="004878C5" w:rsidRDefault="004878C5" w:rsidP="004878C5"/>
    <w:p w:rsidR="004878C5" w:rsidRPr="00694405" w:rsidRDefault="004878C5" w:rsidP="004878C5">
      <w:pPr>
        <w:rPr>
          <w:i/>
        </w:rPr>
      </w:pPr>
      <w:r w:rsidRPr="00694405">
        <w:rPr>
          <w:i/>
        </w:rPr>
        <w:t>Уровень нищеты в 1980-2000 годах</w:t>
      </w:r>
    </w:p>
    <w:p w:rsidR="004878C5" w:rsidRDefault="004878C5" w:rsidP="004878C5">
      <w:pPr>
        <w:rPr>
          <w:u w:val="single"/>
        </w:rPr>
      </w:pPr>
    </w:p>
    <w:p w:rsidR="004878C5" w:rsidRDefault="004878C5" w:rsidP="004878C5">
      <w:r>
        <w:t>496.</w:t>
      </w:r>
      <w:r>
        <w:tab/>
        <w:t>Начиная с 1980 года на Филиппинах отмечается постепенное сокращение показателей уровня нищеты.  По официальным данным  Национального статистического координационного совета (НСКС), в 1985 году показатели нищеты</w:t>
      </w:r>
      <w:r>
        <w:rPr>
          <w:rStyle w:val="FootnoteReference"/>
        </w:rPr>
        <w:footnoteReference w:id="34"/>
      </w:r>
      <w:r>
        <w:t xml:space="preserve"> составили 44,2%, а в 1997 году </w:t>
      </w:r>
      <w:r>
        <w:sym w:font="Symbol" w:char="F02D"/>
      </w:r>
      <w:r>
        <w:t xml:space="preserve"> 31,8%.</w:t>
      </w:r>
    </w:p>
    <w:p w:rsidR="004878C5" w:rsidRDefault="004878C5" w:rsidP="004878C5"/>
    <w:p w:rsidR="004878C5" w:rsidRDefault="004878C5" w:rsidP="004878C5">
      <w:r>
        <w:t>497.</w:t>
      </w:r>
      <w:r>
        <w:tab/>
        <w:t>Для разных периодов времени характерны различные показатели сокращения уровня нищеты.  За три трехлетних периода</w:t>
      </w:r>
      <w:r>
        <w:rPr>
          <w:rStyle w:val="FootnoteReference"/>
        </w:rPr>
        <w:footnoteReference w:id="35"/>
      </w:r>
      <w:r>
        <w:t xml:space="preserve"> - с 1985 по 1998 год, с 1991 по 1994 год и с 1994 по 1997 год - отмечено существенное сокращение этих показателей, при этом уровень нищеты уменьшился на 3,5-4,5%.  В эти периоды наблюдался значительный рост экономики и увеличение расходов в расчете на домашние хозяйства и душу населения.  Снижение уровня нищеты в указанные периоды было обусловлено экономическим развитием.</w:t>
      </w:r>
    </w:p>
    <w:p w:rsidR="004878C5" w:rsidRDefault="004878C5" w:rsidP="004878C5"/>
    <w:p w:rsidR="004878C5" w:rsidRDefault="004878C5" w:rsidP="004878C5">
      <w:r>
        <w:t>498.</w:t>
      </w:r>
      <w:r>
        <w:tab/>
        <w:t>В период 1988-1991 годов масштабы нищеты сокращались достаточно медленно и соответствующие показатели уменьшились только на 0,3 %.  Согласно результатам различных исследований, основными факторами, препятствующими развитию и, как следствие, сокращению нищеты в указанный период были политическая нестабильность, природные катаклизмы и отсутствие эффективного управления экономикой.  Кроме того, впервые почти за два десятилетия показатели нищеты увеличились в 2000 году в связи с совокупными последствиями финансового кризиса в Восточной Азии и природного явления "Эль</w:t>
      </w:r>
      <w:r>
        <w:noBreakHyphen/>
        <w:t xml:space="preserve">Ниньо".  Если показатели нищеты за 1997 год составили 31,8%, то в 2000 году они были равны уже 33,7 %.  Что касается точных цифр, то к 2000 году впервые в новейшей истории количество малоимущих семей превысило 5 млн.  </w:t>
      </w:r>
    </w:p>
    <w:p w:rsidR="004878C5" w:rsidRDefault="004878C5" w:rsidP="004878C5"/>
    <w:p w:rsidR="004878C5" w:rsidRDefault="004878C5" w:rsidP="004878C5">
      <w:r>
        <w:t>499.</w:t>
      </w:r>
      <w:r>
        <w:tab/>
        <w:t>Изменение процентной доли и количества семей, доход которых недостаточен для удовлетворения минимальных потребностей с точки зрения приобретения необходимого количества продуктов питания надлежащего качества, сопоставимо, хотя и в меньшей степени, с динамикой уровня нищеты.  Процентная доля малоимущего населения, которая во времена кризисов и экономических потрясений увеличивается, в годы экономического роста</w:t>
      </w:r>
      <w:r w:rsidRPr="00523897">
        <w:t xml:space="preserve"> </w:t>
      </w:r>
      <w:r>
        <w:t>существенно сократилась.</w:t>
      </w:r>
    </w:p>
    <w:p w:rsidR="004878C5" w:rsidRDefault="004878C5" w:rsidP="004878C5"/>
    <w:p w:rsidR="004878C5" w:rsidRDefault="004878C5" w:rsidP="004878C5">
      <w:r>
        <w:t>500.</w:t>
      </w:r>
      <w:r>
        <w:tab/>
        <w:t>В численном выражении в 2000 году было зарегистрировано 2 546 486 семей с доходом, недостаточным для удовлетворения в качественном и количественном выражении продовольственных потребностей, что превысило показатели 1985 года.  Самые последние данные свидетельствуют о кардинальном изменении установившейся с 1991 года тенденции постоянного уменьшения показателей.</w:t>
      </w:r>
    </w:p>
    <w:p w:rsidR="004878C5" w:rsidRDefault="004878C5" w:rsidP="004878C5"/>
    <w:p w:rsidR="004878C5" w:rsidRDefault="004878C5" w:rsidP="004878C5">
      <w:pPr>
        <w:rPr>
          <w:color w:val="000000"/>
          <w:szCs w:val="24"/>
        </w:rPr>
      </w:pPr>
      <w:r>
        <w:t>501.</w:t>
      </w:r>
      <w:r>
        <w:tab/>
        <w:t xml:space="preserve">Среди всех островных групп наиболее низкие темпы сокращения нищеты характерны для Минданао.  С 1985 по 2000 год показатели нищеты в данном регионе сократились лишь на три процентных пункта.  Со временем показатели нищеты в этой островной группе превысили средние общенациональные показатели, а на рубеже десятилетия там отмечались самые высокие показатели нищеты среди всех островных групп государства.  В четырех из пяти районов Минданао в 2000 году зафиксированы наивысшие показатели нищеты среди всех районов.  </w:t>
      </w:r>
      <w:r>
        <w:rPr>
          <w:color w:val="000000"/>
          <w:szCs w:val="24"/>
        </w:rPr>
        <w:t>С середины 90-х годов</w:t>
      </w:r>
      <w:r w:rsidRPr="008F6A41">
        <w:rPr>
          <w:bCs/>
          <w:color w:val="000000"/>
          <w:szCs w:val="24"/>
        </w:rPr>
        <w:t xml:space="preserve"> </w:t>
      </w:r>
      <w:r>
        <w:rPr>
          <w:bCs/>
          <w:color w:val="000000"/>
          <w:szCs w:val="24"/>
        </w:rPr>
        <w:t xml:space="preserve">лидером в этом отношении является </w:t>
      </w:r>
      <w:r w:rsidRPr="008F6A41">
        <w:rPr>
          <w:bCs/>
          <w:color w:val="000000"/>
          <w:szCs w:val="24"/>
        </w:rPr>
        <w:t xml:space="preserve">Автономный </w:t>
      </w:r>
      <w:r>
        <w:rPr>
          <w:bCs/>
          <w:color w:val="000000"/>
          <w:szCs w:val="24"/>
        </w:rPr>
        <w:t>район</w:t>
      </w:r>
      <w:r w:rsidRPr="008F6A41">
        <w:rPr>
          <w:bCs/>
          <w:color w:val="000000"/>
          <w:szCs w:val="24"/>
        </w:rPr>
        <w:t xml:space="preserve"> </w:t>
      </w:r>
      <w:r>
        <w:rPr>
          <w:bCs/>
          <w:color w:val="000000"/>
          <w:szCs w:val="24"/>
        </w:rPr>
        <w:t>м</w:t>
      </w:r>
      <w:r w:rsidRPr="008F6A41">
        <w:rPr>
          <w:bCs/>
          <w:color w:val="000000"/>
          <w:szCs w:val="24"/>
        </w:rPr>
        <w:t>усульманского Минданао</w:t>
      </w:r>
      <w:r w:rsidRPr="008F6A41">
        <w:rPr>
          <w:color w:val="000000"/>
          <w:szCs w:val="24"/>
        </w:rPr>
        <w:t xml:space="preserve"> (АРММ)</w:t>
      </w:r>
      <w:r>
        <w:rPr>
          <w:color w:val="000000"/>
          <w:szCs w:val="24"/>
        </w:rPr>
        <w:t xml:space="preserve">, семь из десяти семей которого проживают в условиях нищеты. </w:t>
      </w:r>
    </w:p>
    <w:p w:rsidR="004878C5" w:rsidRDefault="004878C5" w:rsidP="004878C5">
      <w:pPr>
        <w:rPr>
          <w:color w:val="000000"/>
          <w:szCs w:val="24"/>
        </w:rPr>
      </w:pPr>
    </w:p>
    <w:p w:rsidR="004878C5" w:rsidRDefault="004878C5" w:rsidP="004878C5">
      <w:pPr>
        <w:rPr>
          <w:color w:val="000000"/>
          <w:szCs w:val="24"/>
        </w:rPr>
      </w:pPr>
      <w:r>
        <w:rPr>
          <w:color w:val="000000"/>
          <w:szCs w:val="24"/>
        </w:rPr>
        <w:t>502.</w:t>
      </w:r>
      <w:r>
        <w:rPr>
          <w:color w:val="000000"/>
          <w:szCs w:val="24"/>
        </w:rPr>
        <w:tab/>
        <w:t>На Висайских островах, с другой стороны, уровень нищеты снижается быстрее всего:  с 58,8% в 1985 году до 41,7% в 2000 году.  Показатели нищеты во многих районах относительно высоки;  в этом отношении в лучшем положении находятся районы 6, 7 и 8.</w:t>
      </w:r>
    </w:p>
    <w:p w:rsidR="004878C5" w:rsidRDefault="004878C5" w:rsidP="004878C5"/>
    <w:p w:rsidR="004878C5" w:rsidRDefault="004878C5" w:rsidP="004878C5">
      <w:pPr>
        <w:rPr>
          <w:color w:val="000000"/>
          <w:szCs w:val="24"/>
        </w:rPr>
      </w:pPr>
      <w:r>
        <w:rPr>
          <w:color w:val="000000"/>
          <w:szCs w:val="24"/>
        </w:rPr>
        <w:t>503.</w:t>
      </w:r>
      <w:r>
        <w:rPr>
          <w:color w:val="000000"/>
          <w:szCs w:val="24"/>
        </w:rPr>
        <w:tab/>
        <w:t xml:space="preserve">Лучше всего дело обстоит в Лусоне, где показатели нищеты </w:t>
      </w:r>
      <w:r w:rsidRPr="00530290">
        <w:rPr>
          <w:color w:val="000000"/>
          <w:szCs w:val="24"/>
        </w:rPr>
        <w:t>по</w:t>
      </w:r>
      <w:r w:rsidRPr="00530290">
        <w:rPr>
          <w:color w:val="000000"/>
          <w:szCs w:val="24"/>
        </w:rPr>
        <w:noBreakHyphen/>
        <w:t>прежнему</w:t>
      </w:r>
      <w:r>
        <w:rPr>
          <w:color w:val="000000"/>
          <w:szCs w:val="24"/>
        </w:rPr>
        <w:t xml:space="preserve"> являются самыми низкими среди всех остальных районов, за исключением Бикольского района (район 5).  Положение в Бикольском районе практически не улучшилось с восьмидесятых годов.  Как и следовало ожидать, самые низкие показатели нищеты и наиболее быстрое их сокращение отмечены в Столичном районе.</w:t>
      </w:r>
    </w:p>
    <w:p w:rsidR="004878C5" w:rsidRDefault="004878C5" w:rsidP="004878C5">
      <w:pPr>
        <w:rPr>
          <w:color w:val="000000"/>
          <w:szCs w:val="24"/>
        </w:rPr>
      </w:pPr>
    </w:p>
    <w:p w:rsidR="004878C5" w:rsidRPr="00694405" w:rsidRDefault="004878C5" w:rsidP="004878C5">
      <w:pPr>
        <w:rPr>
          <w:i/>
          <w:color w:val="000000"/>
          <w:szCs w:val="24"/>
        </w:rPr>
      </w:pPr>
      <w:r w:rsidRPr="00694405">
        <w:rPr>
          <w:i/>
          <w:color w:val="000000"/>
          <w:szCs w:val="24"/>
        </w:rPr>
        <w:t>Нищета, как явление, характерное для сельских районов</w:t>
      </w:r>
    </w:p>
    <w:p w:rsidR="004878C5" w:rsidRDefault="004878C5" w:rsidP="004878C5">
      <w:pPr>
        <w:rPr>
          <w:color w:val="000000"/>
          <w:szCs w:val="24"/>
          <w:u w:val="single"/>
        </w:rPr>
      </w:pPr>
    </w:p>
    <w:p w:rsidR="004878C5" w:rsidRDefault="004878C5" w:rsidP="004878C5">
      <w:pPr>
        <w:rPr>
          <w:color w:val="000000"/>
          <w:szCs w:val="24"/>
        </w:rPr>
      </w:pPr>
      <w:r>
        <w:rPr>
          <w:color w:val="000000"/>
          <w:szCs w:val="24"/>
        </w:rPr>
        <w:t>504.</w:t>
      </w:r>
      <w:r>
        <w:rPr>
          <w:color w:val="000000"/>
          <w:szCs w:val="24"/>
        </w:rPr>
        <w:tab/>
        <w:t xml:space="preserve">Нищета на Филиппинах </w:t>
      </w:r>
      <w:r w:rsidRPr="00567EEF">
        <w:rPr>
          <w:color w:val="000000"/>
          <w:szCs w:val="24"/>
        </w:rPr>
        <w:t>по-прежнему</w:t>
      </w:r>
      <w:r>
        <w:rPr>
          <w:color w:val="000000"/>
          <w:szCs w:val="24"/>
        </w:rPr>
        <w:t xml:space="preserve"> наиболее распространена в сельских районах.  В количественном и процентном отношении наибольшее число малоимущего населения </w:t>
      </w:r>
      <w:r w:rsidRPr="00530290">
        <w:rPr>
          <w:color w:val="000000"/>
          <w:szCs w:val="24"/>
        </w:rPr>
        <w:t>по</w:t>
      </w:r>
      <w:r w:rsidRPr="00530290">
        <w:rPr>
          <w:color w:val="000000"/>
          <w:szCs w:val="24"/>
        </w:rPr>
        <w:noBreakHyphen/>
        <w:t>прежнему</w:t>
      </w:r>
      <w:r>
        <w:rPr>
          <w:color w:val="000000"/>
          <w:szCs w:val="24"/>
        </w:rPr>
        <w:t xml:space="preserve"> проживает в сельской местности.  Показатели нищеты в сельских районах в период с 1985 по 1997 и 2000 годы неизменно находятся на уровне 45%-50% в отличие от аналогичных показателей в городских районах, которые значительно снизились и если в 1985 году эти показатели составляли 33,6%, то к 1997 они сократились до 17,9%.  За шестилетний период времени - с 1991 по 1997 год - показатели нищеты в городских районах уменьшились почти в два раза - с 31,1% до 17,9%, что говорит о том, что экономический рост в начале девяностых годов в большей степени сказался на городских районах, чем на сельских.</w:t>
      </w:r>
    </w:p>
    <w:p w:rsidR="004878C5" w:rsidRDefault="004878C5" w:rsidP="004878C5">
      <w:pPr>
        <w:rPr>
          <w:color w:val="000000"/>
          <w:szCs w:val="24"/>
        </w:rPr>
      </w:pPr>
    </w:p>
    <w:p w:rsidR="004878C5" w:rsidRPr="00694405" w:rsidRDefault="004878C5" w:rsidP="004878C5">
      <w:pPr>
        <w:rPr>
          <w:i/>
          <w:color w:val="000000"/>
          <w:szCs w:val="24"/>
        </w:rPr>
      </w:pPr>
      <w:r w:rsidRPr="00694405">
        <w:rPr>
          <w:i/>
          <w:color w:val="000000"/>
          <w:szCs w:val="24"/>
        </w:rPr>
        <w:t>Неравномерное распределение доходов</w:t>
      </w:r>
    </w:p>
    <w:p w:rsidR="004878C5" w:rsidRDefault="004878C5" w:rsidP="004878C5">
      <w:pPr>
        <w:rPr>
          <w:color w:val="000000"/>
          <w:szCs w:val="24"/>
          <w:u w:val="single"/>
        </w:rPr>
      </w:pPr>
    </w:p>
    <w:p w:rsidR="004878C5" w:rsidRDefault="004878C5" w:rsidP="004878C5">
      <w:pPr>
        <w:rPr>
          <w:color w:val="000000"/>
          <w:szCs w:val="24"/>
        </w:rPr>
      </w:pPr>
      <w:r>
        <w:rPr>
          <w:color w:val="000000"/>
          <w:szCs w:val="24"/>
        </w:rPr>
        <w:t>505.</w:t>
      </w:r>
      <w:r>
        <w:rPr>
          <w:color w:val="000000"/>
          <w:szCs w:val="24"/>
        </w:rPr>
        <w:tab/>
        <w:t xml:space="preserve">Еще одним фактором, помимо экономического развития, существенно влияющим на сокращение масштабов нищеты, является неравенство.  Неравенство в области доходов отчасти обусловливает распределение благ экономического роста среди групп населения с различным уровнем доходов.  При этом следует отметить неизменно высокий уровень неравенства в стране.  </w:t>
      </w:r>
    </w:p>
    <w:p w:rsidR="004878C5" w:rsidRDefault="004878C5" w:rsidP="004878C5">
      <w:pPr>
        <w:rPr>
          <w:color w:val="000000"/>
          <w:szCs w:val="24"/>
        </w:rPr>
      </w:pPr>
    </w:p>
    <w:p w:rsidR="004878C5" w:rsidRDefault="004878C5" w:rsidP="004878C5">
      <w:pPr>
        <w:rPr>
          <w:color w:val="000000"/>
          <w:szCs w:val="24"/>
        </w:rPr>
      </w:pPr>
      <w:r>
        <w:rPr>
          <w:color w:val="000000"/>
          <w:szCs w:val="24"/>
        </w:rPr>
        <w:t>506.</w:t>
      </w:r>
      <w:r>
        <w:rPr>
          <w:color w:val="000000"/>
          <w:szCs w:val="24"/>
        </w:rPr>
        <w:tab/>
        <w:t>В 2000 году увеличились масштабы нищеты, но при этом уменьшилось неравенство, что можно объяснить характером кризиса, который в большей степени затронул группы населения с более высоким уровнем доходов.</w:t>
      </w:r>
    </w:p>
    <w:p w:rsidR="004878C5" w:rsidRDefault="004878C5" w:rsidP="004878C5">
      <w:pPr>
        <w:rPr>
          <w:color w:val="000000"/>
          <w:szCs w:val="24"/>
        </w:rPr>
      </w:pPr>
    </w:p>
    <w:p w:rsidR="004878C5" w:rsidRDefault="004878C5" w:rsidP="004878C5">
      <w:pPr>
        <w:rPr>
          <w:color w:val="000000"/>
          <w:szCs w:val="24"/>
        </w:rPr>
      </w:pPr>
      <w:r>
        <w:rPr>
          <w:color w:val="000000"/>
          <w:szCs w:val="24"/>
        </w:rPr>
        <w:t>507.</w:t>
      </w:r>
      <w:r>
        <w:rPr>
          <w:color w:val="000000"/>
          <w:szCs w:val="24"/>
        </w:rPr>
        <w:tab/>
        <w:t>Сокращение масштабов нищеты не было таким быстрым, как хотелось бы, что отчасти обусловлено неравенством в распределении доходов на протяжении длительного времени.  С 1985 по 1997 год, по официальным оценкам, показатели нищеты могли бы быть сокращены на 20,5%, однако в связи с неравным распределением доходов они уменьшились только на 16,5%.</w:t>
      </w:r>
    </w:p>
    <w:p w:rsidR="004878C5" w:rsidRDefault="004878C5" w:rsidP="004878C5">
      <w:pPr>
        <w:rPr>
          <w:color w:val="000000"/>
          <w:szCs w:val="24"/>
        </w:rPr>
      </w:pPr>
    </w:p>
    <w:p w:rsidR="004878C5" w:rsidRDefault="004878C5" w:rsidP="004878C5">
      <w:pPr>
        <w:rPr>
          <w:color w:val="000000"/>
          <w:szCs w:val="24"/>
          <w:u w:val="single"/>
        </w:rPr>
      </w:pPr>
      <w:r>
        <w:rPr>
          <w:color w:val="000000"/>
          <w:szCs w:val="24"/>
        </w:rPr>
        <w:t>508.</w:t>
      </w:r>
      <w:r>
        <w:rPr>
          <w:color w:val="000000"/>
          <w:szCs w:val="24"/>
        </w:rPr>
        <w:tab/>
        <w:t xml:space="preserve">В большинстве районов страны доходы распределяются неравномерно.  Отмечается, что с 1985 года неравенство усилилось во всех районах страны, за исключением района Караги (район </w:t>
      </w:r>
      <w:r>
        <w:rPr>
          <w:color w:val="000000"/>
          <w:szCs w:val="24"/>
          <w:lang w:val="en-US"/>
        </w:rPr>
        <w:t>XIII</w:t>
      </w:r>
      <w:r>
        <w:rPr>
          <w:color w:val="000000"/>
          <w:szCs w:val="24"/>
        </w:rPr>
        <w:t xml:space="preserve">) и Района 3.  Это явление наиболее характерно для Висайских островов, где в последние годы показатели Джини наиболее высоки.  Хуже всего дела обстоят в Районе 8, где этот показатель возрос с 0,3947 в 1980 году до 0,4901 в 2000 году.  Аналогичная с Висайскими островами ситуация складывается и в Минданао.  В наименьшей степени эта ситуация коснулась АРММ, где коэффициент Джини составляет всего 0,3278.  АРММ является беднейшим районом, большинство населения которого (почти 70%) живет в условиях нищеты и лишь небольшое число проживающих в нем семей можно отнести к группе с высоким доходом.  Хотя в Столичном районе отмечены наименьшие показатели нищеты, степень неравенства в нем довольно </w:t>
      </w:r>
      <w:r w:rsidRPr="001A7A59">
        <w:rPr>
          <w:color w:val="000000"/>
          <w:szCs w:val="24"/>
        </w:rPr>
        <w:t>высока.</w:t>
      </w:r>
    </w:p>
    <w:p w:rsidR="004878C5" w:rsidRPr="00F50EF1" w:rsidRDefault="004878C5" w:rsidP="004878C5">
      <w:pPr>
        <w:rPr>
          <w:color w:val="000000"/>
          <w:szCs w:val="24"/>
          <w:u w:val="single"/>
        </w:rPr>
      </w:pPr>
      <w:r w:rsidRPr="00F50EF1">
        <w:rPr>
          <w:color w:val="000000"/>
          <w:szCs w:val="24"/>
          <w:u w:val="single"/>
        </w:rPr>
        <w:t xml:space="preserve"> </w:t>
      </w:r>
    </w:p>
    <w:p w:rsidR="004878C5" w:rsidRPr="00694405" w:rsidRDefault="004878C5" w:rsidP="004878C5">
      <w:pPr>
        <w:rPr>
          <w:i/>
          <w:color w:val="000000"/>
          <w:szCs w:val="24"/>
        </w:rPr>
      </w:pPr>
      <w:r w:rsidRPr="00694405">
        <w:rPr>
          <w:i/>
          <w:color w:val="000000"/>
          <w:szCs w:val="24"/>
        </w:rPr>
        <w:t>Разрыв в уровне доходов, масштабах нищеты и степени нищеты</w:t>
      </w:r>
    </w:p>
    <w:p w:rsidR="004878C5" w:rsidRDefault="004878C5" w:rsidP="004878C5">
      <w:pPr>
        <w:rPr>
          <w:color w:val="000000"/>
          <w:szCs w:val="24"/>
        </w:rPr>
      </w:pPr>
    </w:p>
    <w:p w:rsidR="004878C5" w:rsidRDefault="004878C5" w:rsidP="004878C5">
      <w:pPr>
        <w:rPr>
          <w:color w:val="000000"/>
          <w:szCs w:val="24"/>
        </w:rPr>
      </w:pPr>
      <w:r>
        <w:rPr>
          <w:color w:val="000000"/>
          <w:szCs w:val="24"/>
        </w:rPr>
        <w:t>509.</w:t>
      </w:r>
      <w:r>
        <w:rPr>
          <w:color w:val="000000"/>
          <w:szCs w:val="24"/>
        </w:rPr>
        <w:tab/>
        <w:t>Другие показатели бедности, также характеризующие остроту этого явления, включают разрыв в уровне доходов, масштабах и степени нищеты.  По этим критериям можно судить о масштабах нищеты и объеме расходов, необходимых для ликвидации нищеты за счет формирования дополнительных доходов.</w:t>
      </w:r>
    </w:p>
    <w:p w:rsidR="004878C5" w:rsidRDefault="004878C5" w:rsidP="004878C5">
      <w:pPr>
        <w:rPr>
          <w:color w:val="000000"/>
          <w:szCs w:val="24"/>
        </w:rPr>
      </w:pPr>
    </w:p>
    <w:p w:rsidR="004878C5" w:rsidRDefault="004878C5" w:rsidP="004878C5">
      <w:pPr>
        <w:rPr>
          <w:color w:val="000000"/>
          <w:szCs w:val="24"/>
        </w:rPr>
      </w:pPr>
      <w:r>
        <w:rPr>
          <w:color w:val="000000"/>
          <w:szCs w:val="24"/>
        </w:rPr>
        <w:t>510.</w:t>
      </w:r>
      <w:r>
        <w:rPr>
          <w:color w:val="000000"/>
          <w:szCs w:val="24"/>
        </w:rPr>
        <w:tab/>
        <w:t xml:space="preserve">В 2000 году разрыв в уровне доходов составлял 29,6%, мало чем отличаясь от соответствующего уровня 1997 года, равного 29,8%.  Это означает, что в среднем доход малоимущих филиппинских семей должен на 29,6% превзойти порог нищеты, чтобы они перестали считаться бедными.  </w:t>
      </w:r>
    </w:p>
    <w:p w:rsidR="004878C5" w:rsidRDefault="004878C5" w:rsidP="004878C5">
      <w:pPr>
        <w:rPr>
          <w:color w:val="000000"/>
          <w:szCs w:val="24"/>
        </w:rPr>
      </w:pPr>
    </w:p>
    <w:p w:rsidR="004878C5" w:rsidRDefault="004878C5" w:rsidP="004878C5">
      <w:pPr>
        <w:rPr>
          <w:color w:val="000000"/>
          <w:szCs w:val="24"/>
        </w:rPr>
      </w:pPr>
      <w:r>
        <w:rPr>
          <w:color w:val="000000"/>
          <w:szCs w:val="24"/>
        </w:rPr>
        <w:t>511.</w:t>
      </w:r>
      <w:r>
        <w:rPr>
          <w:color w:val="000000"/>
          <w:szCs w:val="24"/>
        </w:rPr>
        <w:tab/>
        <w:t>В 2000 году в 27,2% провинций разрыв в уровне доходов колебался от 27,5% до 30,9%.  Более чем в половине провинций фактический разрыв в уровне доходов составлял как минимум 27,5%.  Наибольших масштабов нищета достигла в Сарангани и Горной провинции, где разрыв в уровне доходов составляют 40,4% и 38% соответственно, а наилучшая ситуация в этом отношении сложилась в Батанесе, где аналогичный показатель равен 3,1%.</w:t>
      </w:r>
    </w:p>
    <w:p w:rsidR="004878C5" w:rsidRDefault="004878C5" w:rsidP="004878C5">
      <w:pPr>
        <w:rPr>
          <w:color w:val="000000"/>
          <w:szCs w:val="24"/>
        </w:rPr>
      </w:pPr>
    </w:p>
    <w:p w:rsidR="004878C5" w:rsidRDefault="004878C5" w:rsidP="004878C5">
      <w:pPr>
        <w:rPr>
          <w:color w:val="000000"/>
          <w:szCs w:val="24"/>
        </w:rPr>
      </w:pPr>
      <w:r>
        <w:rPr>
          <w:color w:val="000000"/>
          <w:szCs w:val="24"/>
        </w:rPr>
        <w:t>512.</w:t>
      </w:r>
      <w:r>
        <w:rPr>
          <w:color w:val="000000"/>
          <w:szCs w:val="24"/>
        </w:rPr>
        <w:tab/>
        <w:t>Разрыв в масштабах нищеты, с другой стороны, показывает, на какой процент должны в среднем возрасти доходы филиппинских семей, чтобы показатель нищеты был равен нулю.</w:t>
      </w:r>
    </w:p>
    <w:p w:rsidR="004878C5" w:rsidRDefault="004878C5" w:rsidP="004878C5">
      <w:pPr>
        <w:rPr>
          <w:color w:val="000000"/>
          <w:szCs w:val="24"/>
        </w:rPr>
      </w:pPr>
    </w:p>
    <w:p w:rsidR="003E5D1F" w:rsidRDefault="003E5D1F" w:rsidP="003E5D1F">
      <w:pPr>
        <w:rPr>
          <w:color w:val="000000"/>
          <w:szCs w:val="24"/>
        </w:rPr>
      </w:pPr>
      <w:r>
        <w:rPr>
          <w:color w:val="000000"/>
          <w:szCs w:val="24"/>
        </w:rPr>
        <w:t>513.</w:t>
      </w:r>
      <w:r>
        <w:rPr>
          <w:color w:val="000000"/>
          <w:szCs w:val="24"/>
        </w:rPr>
        <w:tab/>
        <w:t xml:space="preserve">Наконец, показатель степени нищеты касается проблемы неравенства среди малоимущего населения.  В 2000 году положение в этой области было признано наиболее тяжелым в провинции Масбате, хотя по показателям масштабов нищеты она занимает всего второе место.  В 1997 и 2000 годах наивысшие показатели масштабов нищеты были зарегистрированы в Сулу, но она не вошла в перечень десяти беднейших провинций.  Это означает, что, хотя в Сулу количество малоимущих семей больше, доходы большинства таких семей ближе к показателю порога нищеты.  Таким образом, для того чтобы выбраться из нищеты, малоимущим семьям в Сулу потребуется увеличить свои доходы на меньшую сумму, чем бедным семьям в Масбате. </w:t>
      </w:r>
    </w:p>
    <w:p w:rsidR="003E5D1F" w:rsidRDefault="003E5D1F" w:rsidP="003E5D1F">
      <w:pPr>
        <w:rPr>
          <w:color w:val="000000"/>
          <w:szCs w:val="24"/>
        </w:rPr>
      </w:pPr>
    </w:p>
    <w:p w:rsidR="003E5D1F" w:rsidRDefault="003E5D1F" w:rsidP="003E5D1F">
      <w:pPr>
        <w:rPr>
          <w:b/>
          <w:color w:val="000000"/>
          <w:szCs w:val="24"/>
        </w:rPr>
      </w:pPr>
      <w:r w:rsidRPr="00156038">
        <w:rPr>
          <w:b/>
          <w:color w:val="000000"/>
          <w:szCs w:val="24"/>
        </w:rPr>
        <w:t>1.</w:t>
      </w:r>
      <w:r w:rsidRPr="00156038">
        <w:rPr>
          <w:b/>
          <w:color w:val="000000"/>
          <w:szCs w:val="24"/>
          <w:lang w:val="en-US"/>
        </w:rPr>
        <w:t>b</w:t>
      </w:r>
      <w:r>
        <w:rPr>
          <w:b/>
          <w:color w:val="000000"/>
          <w:szCs w:val="24"/>
        </w:rPr>
        <w:tab/>
        <w:t>Д</w:t>
      </w:r>
      <w:r w:rsidRPr="00156038">
        <w:rPr>
          <w:b/>
          <w:color w:val="000000"/>
          <w:szCs w:val="24"/>
        </w:rPr>
        <w:t>оклады</w:t>
      </w:r>
      <w:r>
        <w:rPr>
          <w:b/>
          <w:color w:val="000000"/>
          <w:szCs w:val="24"/>
        </w:rPr>
        <w:t xml:space="preserve"> по смежной проблематике</w:t>
      </w:r>
    </w:p>
    <w:p w:rsidR="003E5D1F" w:rsidRDefault="003E5D1F" w:rsidP="003E5D1F">
      <w:pPr>
        <w:rPr>
          <w:b/>
          <w:color w:val="000000"/>
          <w:szCs w:val="24"/>
        </w:rPr>
      </w:pPr>
    </w:p>
    <w:p w:rsidR="003E5D1F" w:rsidRDefault="003E5D1F" w:rsidP="003E5D1F">
      <w:pPr>
        <w:rPr>
          <w:color w:val="000000"/>
          <w:szCs w:val="24"/>
        </w:rPr>
      </w:pPr>
      <w:r>
        <w:rPr>
          <w:color w:val="000000"/>
          <w:szCs w:val="24"/>
        </w:rPr>
        <w:t>514.</w:t>
      </w:r>
      <w:r>
        <w:rPr>
          <w:color w:val="000000"/>
          <w:szCs w:val="24"/>
        </w:rPr>
        <w:tab/>
        <w:t>См. доклады Филиппин об осуществлении КЛДЖ (</w:t>
      </w:r>
      <w:r>
        <w:rPr>
          <w:color w:val="000000"/>
          <w:szCs w:val="24"/>
          <w:lang w:val="en-US"/>
        </w:rPr>
        <w:t>CEDAW</w:t>
      </w:r>
      <w:r w:rsidRPr="00B37E70">
        <w:rPr>
          <w:color w:val="000000"/>
          <w:szCs w:val="24"/>
        </w:rPr>
        <w:t>/</w:t>
      </w:r>
      <w:r>
        <w:rPr>
          <w:color w:val="000000"/>
          <w:szCs w:val="24"/>
          <w:lang w:val="en-US"/>
        </w:rPr>
        <w:t>C</w:t>
      </w:r>
      <w:r w:rsidRPr="00B37E70">
        <w:rPr>
          <w:color w:val="000000"/>
          <w:szCs w:val="24"/>
        </w:rPr>
        <w:t>/5/</w:t>
      </w:r>
      <w:r>
        <w:rPr>
          <w:color w:val="000000"/>
          <w:szCs w:val="24"/>
          <w:lang w:val="en-US"/>
        </w:rPr>
        <w:t>Add</w:t>
      </w:r>
      <w:r w:rsidRPr="00B37E70">
        <w:rPr>
          <w:color w:val="000000"/>
          <w:szCs w:val="24"/>
        </w:rPr>
        <w:t xml:space="preserve">.6, </w:t>
      </w:r>
      <w:r>
        <w:rPr>
          <w:color w:val="000000"/>
          <w:szCs w:val="24"/>
          <w:lang w:val="en-US"/>
        </w:rPr>
        <w:t>CEDAW</w:t>
      </w:r>
      <w:r w:rsidRPr="00B37E70">
        <w:rPr>
          <w:color w:val="000000"/>
          <w:szCs w:val="24"/>
        </w:rPr>
        <w:t>/</w:t>
      </w:r>
      <w:r>
        <w:rPr>
          <w:color w:val="000000"/>
          <w:szCs w:val="24"/>
          <w:lang w:val="en-US"/>
        </w:rPr>
        <w:t>C</w:t>
      </w:r>
      <w:r w:rsidRPr="00B37E70">
        <w:rPr>
          <w:color w:val="000000"/>
          <w:szCs w:val="24"/>
        </w:rPr>
        <w:t>/</w:t>
      </w:r>
      <w:r>
        <w:rPr>
          <w:color w:val="000000"/>
          <w:szCs w:val="24"/>
        </w:rPr>
        <w:t>13</w:t>
      </w:r>
      <w:r w:rsidRPr="00B37E70">
        <w:rPr>
          <w:color w:val="000000"/>
          <w:szCs w:val="24"/>
        </w:rPr>
        <w:t>/</w:t>
      </w:r>
      <w:r>
        <w:rPr>
          <w:color w:val="000000"/>
          <w:szCs w:val="24"/>
          <w:lang w:val="en-US"/>
        </w:rPr>
        <w:t>Add</w:t>
      </w:r>
      <w:r w:rsidRPr="00B37E70">
        <w:rPr>
          <w:color w:val="000000"/>
          <w:szCs w:val="24"/>
        </w:rPr>
        <w:t>.</w:t>
      </w:r>
      <w:r>
        <w:rPr>
          <w:color w:val="000000"/>
          <w:szCs w:val="24"/>
        </w:rPr>
        <w:t xml:space="preserve">17, </w:t>
      </w:r>
      <w:r>
        <w:rPr>
          <w:color w:val="000000"/>
          <w:szCs w:val="24"/>
          <w:lang w:val="en-US"/>
        </w:rPr>
        <w:t>CEDAW</w:t>
      </w:r>
      <w:r w:rsidRPr="00B37E70">
        <w:rPr>
          <w:color w:val="000000"/>
          <w:szCs w:val="24"/>
        </w:rPr>
        <w:t>/</w:t>
      </w:r>
      <w:r>
        <w:rPr>
          <w:color w:val="000000"/>
          <w:szCs w:val="24"/>
          <w:lang w:val="en-US"/>
        </w:rPr>
        <w:t>C</w:t>
      </w:r>
      <w:r w:rsidRPr="00B37E70">
        <w:rPr>
          <w:color w:val="000000"/>
          <w:szCs w:val="24"/>
        </w:rPr>
        <w:t>/</w:t>
      </w:r>
      <w:r>
        <w:rPr>
          <w:color w:val="000000"/>
          <w:szCs w:val="24"/>
          <w:lang w:val="en-US"/>
        </w:rPr>
        <w:t>PHI</w:t>
      </w:r>
      <w:r w:rsidRPr="00BC51B9">
        <w:rPr>
          <w:color w:val="000000"/>
          <w:szCs w:val="24"/>
        </w:rPr>
        <w:t>/3</w:t>
      </w:r>
      <w:r>
        <w:rPr>
          <w:color w:val="000000"/>
          <w:szCs w:val="24"/>
        </w:rPr>
        <w:t xml:space="preserve">, </w:t>
      </w:r>
      <w:r>
        <w:rPr>
          <w:color w:val="000000"/>
          <w:szCs w:val="24"/>
          <w:lang w:val="en-US"/>
        </w:rPr>
        <w:t>CEDAW</w:t>
      </w:r>
      <w:r w:rsidRPr="00B37E70">
        <w:rPr>
          <w:color w:val="000000"/>
          <w:szCs w:val="24"/>
        </w:rPr>
        <w:t>/</w:t>
      </w:r>
      <w:r>
        <w:rPr>
          <w:color w:val="000000"/>
          <w:szCs w:val="24"/>
          <w:lang w:val="en-US"/>
        </w:rPr>
        <w:t>C</w:t>
      </w:r>
      <w:r w:rsidRPr="00B37E70">
        <w:rPr>
          <w:color w:val="000000"/>
          <w:szCs w:val="24"/>
        </w:rPr>
        <w:t>/</w:t>
      </w:r>
      <w:r>
        <w:rPr>
          <w:color w:val="000000"/>
          <w:szCs w:val="24"/>
          <w:lang w:val="en-US"/>
        </w:rPr>
        <w:t>PHI</w:t>
      </w:r>
      <w:r w:rsidRPr="008E7C03">
        <w:rPr>
          <w:color w:val="000000"/>
          <w:szCs w:val="24"/>
        </w:rPr>
        <w:t xml:space="preserve">/4 </w:t>
      </w:r>
      <w:r>
        <w:rPr>
          <w:color w:val="000000"/>
          <w:szCs w:val="24"/>
        </w:rPr>
        <w:t xml:space="preserve">и </w:t>
      </w:r>
      <w:r>
        <w:rPr>
          <w:color w:val="000000"/>
          <w:szCs w:val="24"/>
          <w:lang w:val="en-US"/>
        </w:rPr>
        <w:t>CEDAW</w:t>
      </w:r>
      <w:r w:rsidRPr="00B37E70">
        <w:rPr>
          <w:color w:val="000000"/>
          <w:szCs w:val="24"/>
        </w:rPr>
        <w:t>/</w:t>
      </w:r>
      <w:r>
        <w:rPr>
          <w:color w:val="000000"/>
          <w:szCs w:val="24"/>
          <w:lang w:val="en-US"/>
        </w:rPr>
        <w:t>C</w:t>
      </w:r>
      <w:r w:rsidRPr="00B37E70">
        <w:rPr>
          <w:color w:val="000000"/>
          <w:szCs w:val="24"/>
        </w:rPr>
        <w:t>/</w:t>
      </w:r>
      <w:r>
        <w:rPr>
          <w:color w:val="000000"/>
          <w:szCs w:val="24"/>
          <w:lang w:val="en-US"/>
        </w:rPr>
        <w:t>PHI</w:t>
      </w:r>
      <w:r w:rsidRPr="00A67A4A">
        <w:rPr>
          <w:color w:val="000000"/>
          <w:szCs w:val="24"/>
        </w:rPr>
        <w:t>/</w:t>
      </w:r>
      <w:r w:rsidRPr="00B37E70">
        <w:rPr>
          <w:color w:val="000000"/>
          <w:szCs w:val="24"/>
        </w:rPr>
        <w:t>5</w:t>
      </w:r>
      <w:r w:rsidRPr="00A67A4A">
        <w:rPr>
          <w:color w:val="000000"/>
          <w:szCs w:val="24"/>
        </w:rPr>
        <w:t>-</w:t>
      </w:r>
      <w:r w:rsidRPr="00B37E70">
        <w:rPr>
          <w:color w:val="000000"/>
          <w:szCs w:val="24"/>
        </w:rPr>
        <w:t>6,</w:t>
      </w:r>
      <w:r w:rsidRPr="00A67A4A">
        <w:rPr>
          <w:color w:val="000000"/>
          <w:szCs w:val="24"/>
        </w:rPr>
        <w:t xml:space="preserve"> </w:t>
      </w:r>
      <w:r>
        <w:rPr>
          <w:color w:val="000000"/>
          <w:szCs w:val="24"/>
        </w:rPr>
        <w:t>а</w:t>
      </w:r>
      <w:r w:rsidRPr="00A67A4A">
        <w:rPr>
          <w:color w:val="000000"/>
          <w:szCs w:val="24"/>
        </w:rPr>
        <w:t xml:space="preserve"> </w:t>
      </w:r>
      <w:r>
        <w:rPr>
          <w:color w:val="000000"/>
          <w:szCs w:val="24"/>
        </w:rPr>
        <w:t>также доклад об осуществлении КПР -</w:t>
      </w:r>
      <w:r w:rsidRPr="00B37E70">
        <w:rPr>
          <w:color w:val="000000"/>
          <w:szCs w:val="24"/>
        </w:rPr>
        <w:t xml:space="preserve"> </w:t>
      </w:r>
      <w:r>
        <w:rPr>
          <w:color w:val="000000"/>
          <w:szCs w:val="24"/>
          <w:lang w:val="en-US"/>
        </w:rPr>
        <w:t>CRC</w:t>
      </w:r>
      <w:r w:rsidRPr="00B37E70">
        <w:rPr>
          <w:color w:val="000000"/>
          <w:szCs w:val="24"/>
        </w:rPr>
        <w:t>/</w:t>
      </w:r>
      <w:r>
        <w:rPr>
          <w:color w:val="000000"/>
          <w:szCs w:val="24"/>
          <w:lang w:val="en-US"/>
        </w:rPr>
        <w:t>C</w:t>
      </w:r>
      <w:r w:rsidRPr="00B37E70">
        <w:rPr>
          <w:color w:val="000000"/>
          <w:szCs w:val="24"/>
        </w:rPr>
        <w:t>/3/</w:t>
      </w:r>
      <w:r>
        <w:rPr>
          <w:color w:val="000000"/>
          <w:szCs w:val="24"/>
          <w:lang w:val="en-US"/>
        </w:rPr>
        <w:t>Add</w:t>
      </w:r>
      <w:r w:rsidRPr="00B37E70">
        <w:rPr>
          <w:color w:val="000000"/>
          <w:szCs w:val="24"/>
        </w:rPr>
        <w:t>.23</w:t>
      </w:r>
      <w:r>
        <w:rPr>
          <w:color w:val="000000"/>
          <w:szCs w:val="24"/>
        </w:rPr>
        <w:t>).</w:t>
      </w:r>
    </w:p>
    <w:p w:rsidR="003E5D1F" w:rsidRDefault="003E5D1F" w:rsidP="003E5D1F">
      <w:pPr>
        <w:rPr>
          <w:color w:val="000000"/>
          <w:szCs w:val="24"/>
        </w:rPr>
      </w:pPr>
    </w:p>
    <w:p w:rsidR="003E5D1F" w:rsidRDefault="003E5D1F" w:rsidP="003E5D1F">
      <w:pPr>
        <w:rPr>
          <w:b/>
          <w:color w:val="000000"/>
          <w:szCs w:val="24"/>
        </w:rPr>
      </w:pPr>
      <w:r w:rsidRPr="00156038">
        <w:rPr>
          <w:b/>
          <w:color w:val="000000"/>
          <w:szCs w:val="24"/>
        </w:rPr>
        <w:t>1</w:t>
      </w:r>
      <w:r>
        <w:rPr>
          <w:b/>
          <w:color w:val="000000"/>
          <w:szCs w:val="24"/>
        </w:rPr>
        <w:t>.</w:t>
      </w:r>
      <w:r w:rsidRPr="00156038">
        <w:rPr>
          <w:b/>
          <w:color w:val="000000"/>
          <w:szCs w:val="24"/>
        </w:rPr>
        <w:t>с</w:t>
      </w:r>
      <w:r w:rsidRPr="00A67A4A">
        <w:rPr>
          <w:b/>
          <w:color w:val="000000"/>
          <w:szCs w:val="24"/>
        </w:rPr>
        <w:tab/>
      </w:r>
      <w:r w:rsidRPr="00156038">
        <w:rPr>
          <w:b/>
          <w:color w:val="000000"/>
          <w:szCs w:val="24"/>
        </w:rPr>
        <w:t>Черта бедности</w:t>
      </w:r>
    </w:p>
    <w:p w:rsidR="003E5D1F" w:rsidRDefault="003E5D1F" w:rsidP="003E5D1F">
      <w:pPr>
        <w:rPr>
          <w:b/>
          <w:color w:val="000000"/>
          <w:szCs w:val="24"/>
        </w:rPr>
      </w:pPr>
    </w:p>
    <w:p w:rsidR="003E5D1F" w:rsidRDefault="003E5D1F" w:rsidP="003E5D1F">
      <w:pPr>
        <w:rPr>
          <w:color w:val="000000"/>
          <w:szCs w:val="24"/>
        </w:rPr>
      </w:pPr>
      <w:r>
        <w:rPr>
          <w:color w:val="000000"/>
          <w:szCs w:val="24"/>
        </w:rPr>
        <w:t>515.</w:t>
      </w:r>
      <w:r>
        <w:rPr>
          <w:color w:val="000000"/>
          <w:szCs w:val="24"/>
        </w:rPr>
        <w:tab/>
        <w:t xml:space="preserve">Черта бедности определяется с учетом возможности удовлетворения основных продовольственных и непродовольственных потребностей.  По официальной филиппинской методологии основные непродовольственные потребности включают расходы на непродовольственные товары в общем объеме расходов.  Таким образом, черту бедности можно рассматривать как минимальный доход, необходимый для удовлетворения продовольственных потребностей и других не связанных с питанием базовых потребностей.  (НСКС;  </w:t>
      </w:r>
      <w:r>
        <w:rPr>
          <w:i/>
          <w:color w:val="000000"/>
          <w:szCs w:val="24"/>
        </w:rPr>
        <w:t>Статистические данные</w:t>
      </w:r>
      <w:r w:rsidRPr="000B26E3">
        <w:rPr>
          <w:i/>
          <w:color w:val="000000"/>
          <w:szCs w:val="24"/>
        </w:rPr>
        <w:t xml:space="preserve"> </w:t>
      </w:r>
      <w:r>
        <w:rPr>
          <w:i/>
          <w:color w:val="000000"/>
          <w:szCs w:val="24"/>
        </w:rPr>
        <w:t xml:space="preserve">о масштабах </w:t>
      </w:r>
      <w:r w:rsidRPr="000B26E3">
        <w:rPr>
          <w:i/>
          <w:color w:val="000000"/>
          <w:szCs w:val="24"/>
        </w:rPr>
        <w:t xml:space="preserve">нищеты </w:t>
      </w:r>
      <w:r>
        <w:rPr>
          <w:i/>
          <w:color w:val="000000"/>
          <w:szCs w:val="24"/>
        </w:rPr>
        <w:t>на</w:t>
      </w:r>
      <w:r w:rsidRPr="000B26E3">
        <w:rPr>
          <w:i/>
          <w:color w:val="000000"/>
          <w:szCs w:val="24"/>
        </w:rPr>
        <w:t xml:space="preserve"> Филиппинах, 1997</w:t>
      </w:r>
      <w:r>
        <w:rPr>
          <w:i/>
          <w:color w:val="000000"/>
          <w:szCs w:val="24"/>
        </w:rPr>
        <w:t xml:space="preserve"> год</w:t>
      </w:r>
      <w:r>
        <w:rPr>
          <w:color w:val="000000"/>
          <w:szCs w:val="24"/>
        </w:rPr>
        <w:t>)</w:t>
      </w:r>
    </w:p>
    <w:p w:rsidR="003E5D1F" w:rsidRDefault="003E5D1F" w:rsidP="003E5D1F">
      <w:pPr>
        <w:rPr>
          <w:color w:val="000000"/>
          <w:szCs w:val="24"/>
        </w:rPr>
      </w:pPr>
    </w:p>
    <w:p w:rsidR="003E5D1F" w:rsidRDefault="003E5D1F" w:rsidP="003E5D1F">
      <w:pPr>
        <w:rPr>
          <w:color w:val="000000"/>
          <w:szCs w:val="24"/>
        </w:rPr>
      </w:pPr>
      <w:r>
        <w:rPr>
          <w:color w:val="000000"/>
          <w:szCs w:val="24"/>
        </w:rPr>
        <w:t>516.</w:t>
      </w:r>
      <w:r>
        <w:rPr>
          <w:color w:val="000000"/>
          <w:szCs w:val="24"/>
        </w:rPr>
        <w:tab/>
        <w:t>По последним официальным данным, в 2003 году около 4 млн. семей, или 23,5 млн. филиппинцев, т.е. более четверти всего населения страны, проживали за чертой бедности.  Эти цифры свидетельствуют об уменьшении соответствующих показателей по сравнению с 2000 годом (4,1 млн. семей, или 25,4 млн. филиппинцев).</w:t>
      </w:r>
    </w:p>
    <w:p w:rsidR="003E5D1F" w:rsidRDefault="003E5D1F" w:rsidP="003E5D1F">
      <w:pPr>
        <w:rPr>
          <w:color w:val="000000"/>
          <w:szCs w:val="24"/>
        </w:rPr>
      </w:pPr>
    </w:p>
    <w:p w:rsidR="003E5D1F" w:rsidRDefault="003E5D1F" w:rsidP="003E5D1F">
      <w:pPr>
        <w:rPr>
          <w:color w:val="000000"/>
          <w:szCs w:val="24"/>
        </w:rPr>
      </w:pPr>
      <w:r>
        <w:rPr>
          <w:color w:val="000000"/>
          <w:szCs w:val="24"/>
        </w:rPr>
        <w:t>517.</w:t>
      </w:r>
      <w:r>
        <w:rPr>
          <w:color w:val="000000"/>
          <w:szCs w:val="24"/>
        </w:rPr>
        <w:tab/>
        <w:t>Три района с наибольшей процентной долей малоимущих семей в 2003 году входили в провинцию Минданао:  Карага (47,3 %), АРММ (45,7 %) и Западный Минданао (Район </w:t>
      </w:r>
      <w:r>
        <w:rPr>
          <w:color w:val="000000"/>
          <w:szCs w:val="24"/>
          <w:lang w:val="en-US"/>
        </w:rPr>
        <w:t>IX</w:t>
      </w:r>
      <w:r>
        <w:rPr>
          <w:color w:val="000000"/>
          <w:szCs w:val="24"/>
        </w:rPr>
        <w:t xml:space="preserve">) (44,1 %).  С другой стороны, три района с самым низким уровнем нищеты расположены в Лусоне:  Столичный район (5 %) и соседние с ним Центральный Лусон (Район </w:t>
      </w:r>
      <w:r>
        <w:rPr>
          <w:color w:val="000000"/>
          <w:szCs w:val="24"/>
          <w:lang w:val="en-US"/>
        </w:rPr>
        <w:t>III</w:t>
      </w:r>
      <w:r>
        <w:rPr>
          <w:color w:val="000000"/>
          <w:szCs w:val="24"/>
        </w:rPr>
        <w:t xml:space="preserve">) (13,7 %) и КАЛАБАРСОН (Район </w:t>
      </w:r>
      <w:r>
        <w:rPr>
          <w:color w:val="000000"/>
          <w:szCs w:val="24"/>
          <w:lang w:val="en-US"/>
        </w:rPr>
        <w:t>IV</w:t>
      </w:r>
      <w:r w:rsidRPr="009F110D">
        <w:rPr>
          <w:color w:val="000000"/>
          <w:szCs w:val="24"/>
        </w:rPr>
        <w:t>-</w:t>
      </w:r>
      <w:r>
        <w:rPr>
          <w:color w:val="000000"/>
          <w:szCs w:val="24"/>
          <w:lang w:val="en-US"/>
        </w:rPr>
        <w:t>A</w:t>
      </w:r>
      <w:r w:rsidRPr="009F110D">
        <w:rPr>
          <w:color w:val="000000"/>
          <w:szCs w:val="24"/>
        </w:rPr>
        <w:t xml:space="preserve">) </w:t>
      </w:r>
      <w:r>
        <w:rPr>
          <w:color w:val="000000"/>
          <w:szCs w:val="24"/>
        </w:rPr>
        <w:t>(14,9 %).</w:t>
      </w:r>
    </w:p>
    <w:p w:rsidR="003E5D1F" w:rsidRDefault="003E5D1F" w:rsidP="003E5D1F">
      <w:pPr>
        <w:rPr>
          <w:color w:val="000000"/>
          <w:szCs w:val="24"/>
        </w:rPr>
      </w:pPr>
    </w:p>
    <w:p w:rsidR="003E5D1F" w:rsidRDefault="003E5D1F" w:rsidP="003E5D1F">
      <w:pPr>
        <w:rPr>
          <w:b/>
          <w:color w:val="000000"/>
          <w:szCs w:val="24"/>
        </w:rPr>
      </w:pPr>
      <w:r w:rsidRPr="00FE78AD">
        <w:rPr>
          <w:b/>
          <w:color w:val="000000"/>
          <w:szCs w:val="24"/>
        </w:rPr>
        <w:t>1.</w:t>
      </w:r>
      <w:r w:rsidRPr="00FE78AD">
        <w:rPr>
          <w:b/>
          <w:color w:val="000000"/>
          <w:szCs w:val="24"/>
          <w:lang w:val="en-US"/>
        </w:rPr>
        <w:t>d</w:t>
      </w:r>
      <w:r>
        <w:rPr>
          <w:b/>
          <w:color w:val="000000"/>
          <w:szCs w:val="24"/>
        </w:rPr>
        <w:tab/>
      </w:r>
      <w:r w:rsidRPr="00FE78AD">
        <w:rPr>
          <w:b/>
          <w:color w:val="000000"/>
          <w:szCs w:val="24"/>
        </w:rPr>
        <w:t xml:space="preserve">Индекс </w:t>
      </w:r>
      <w:r>
        <w:rPr>
          <w:b/>
          <w:color w:val="000000"/>
          <w:szCs w:val="24"/>
        </w:rPr>
        <w:t>качества</w:t>
      </w:r>
      <w:r w:rsidRPr="00FE78AD">
        <w:rPr>
          <w:b/>
          <w:color w:val="000000"/>
          <w:szCs w:val="24"/>
        </w:rPr>
        <w:t xml:space="preserve"> жизни/индекс развития людских ресурсов</w:t>
      </w:r>
    </w:p>
    <w:p w:rsidR="003E5D1F" w:rsidRDefault="003E5D1F" w:rsidP="003E5D1F">
      <w:pPr>
        <w:rPr>
          <w:b/>
          <w:color w:val="000000"/>
          <w:szCs w:val="24"/>
        </w:rPr>
      </w:pPr>
    </w:p>
    <w:p w:rsidR="003E5D1F" w:rsidRDefault="003E5D1F" w:rsidP="003E5D1F">
      <w:pPr>
        <w:rPr>
          <w:color w:val="000000"/>
          <w:szCs w:val="24"/>
        </w:rPr>
      </w:pPr>
      <w:r>
        <w:rPr>
          <w:color w:val="000000"/>
          <w:szCs w:val="24"/>
        </w:rPr>
        <w:t>518.</w:t>
      </w:r>
      <w:r>
        <w:rPr>
          <w:color w:val="000000"/>
          <w:szCs w:val="24"/>
        </w:rPr>
        <w:tab/>
        <w:t>На Филиппинах любой прогресс или изменение с точки зрения человеческого развития измеряется не "Индексом качества жизни", а "Индексом развития людских ресурсов", или ИРЛР.  Этот индекс используется для оценки комплексного понятия человеческого развития путем измерения уровня развития отдельных аспектов человеческой жизни.</w:t>
      </w:r>
    </w:p>
    <w:p w:rsidR="003E5D1F" w:rsidRDefault="003E5D1F" w:rsidP="003E5D1F">
      <w:pPr>
        <w:rPr>
          <w:color w:val="000000"/>
          <w:szCs w:val="24"/>
        </w:rPr>
      </w:pPr>
    </w:p>
    <w:p w:rsidR="003E5D1F" w:rsidRDefault="003E5D1F" w:rsidP="003E5D1F">
      <w:pPr>
        <w:rPr>
          <w:color w:val="000000"/>
          <w:szCs w:val="24"/>
        </w:rPr>
      </w:pPr>
      <w:r>
        <w:rPr>
          <w:color w:val="000000"/>
          <w:szCs w:val="24"/>
        </w:rPr>
        <w:t>519.</w:t>
      </w:r>
      <w:r>
        <w:rPr>
          <w:color w:val="000000"/>
          <w:szCs w:val="24"/>
        </w:rPr>
        <w:tab/>
        <w:t>ИРЛР основан на невзвешенном среднем значении трех показателей благосостояния: средней вероятной продолжительности жизни, определяемой при рождении;  уровня образования, определяемого совокупностью уровня грамотности взрослого населения</w:t>
      </w:r>
      <w:r w:rsidR="00B337E7">
        <w:rPr>
          <w:color w:val="000000"/>
          <w:szCs w:val="24"/>
        </w:rPr>
        <w:br/>
      </w:r>
      <w:r>
        <w:rPr>
          <w:color w:val="000000"/>
          <w:szCs w:val="24"/>
        </w:rPr>
        <w:t>(две трети показателя), и общего показателя посещения учебных заведений начального, среднего и высшего звена (одна треть показателя);  и качества жизни, определяемого в зависимости от чистого ВВП на душу населения.</w:t>
      </w:r>
    </w:p>
    <w:p w:rsidR="003E5D1F" w:rsidRDefault="003E5D1F" w:rsidP="003E5D1F">
      <w:pPr>
        <w:rPr>
          <w:color w:val="000000"/>
          <w:szCs w:val="24"/>
        </w:rPr>
      </w:pPr>
    </w:p>
    <w:p w:rsidR="003E5D1F" w:rsidRDefault="003E5D1F" w:rsidP="003E5D1F">
      <w:pPr>
        <w:rPr>
          <w:color w:val="000000"/>
          <w:szCs w:val="24"/>
        </w:rPr>
      </w:pPr>
      <w:r>
        <w:rPr>
          <w:color w:val="000000"/>
          <w:szCs w:val="24"/>
        </w:rPr>
        <w:t>520.</w:t>
      </w:r>
      <w:r>
        <w:rPr>
          <w:color w:val="000000"/>
          <w:szCs w:val="24"/>
        </w:rPr>
        <w:tab/>
        <w:t xml:space="preserve">Хотя впервые этот индекс был применен в 1994 году, использовать его официально Национальный статистический координационный совет начал только в 1997 году.  Первый доклад был выпущен в марте </w:t>
      </w:r>
      <w:r w:rsidRPr="00932675">
        <w:rPr>
          <w:color w:val="000000"/>
          <w:szCs w:val="24"/>
        </w:rPr>
        <w:t>2000 года</w:t>
      </w:r>
      <w:r>
        <w:rPr>
          <w:color w:val="000000"/>
          <w:szCs w:val="24"/>
        </w:rPr>
        <w:t>;  следующие доклады, как ожидается, будут публиковаться каждые три года.</w:t>
      </w:r>
    </w:p>
    <w:p w:rsidR="003E5D1F" w:rsidRDefault="003E5D1F" w:rsidP="003E5D1F">
      <w:pPr>
        <w:rPr>
          <w:color w:val="000000"/>
          <w:szCs w:val="24"/>
        </w:rPr>
      </w:pPr>
    </w:p>
    <w:p w:rsidR="003E5D1F" w:rsidRDefault="003E5D1F" w:rsidP="003E5D1F">
      <w:pPr>
        <w:rPr>
          <w:color w:val="000000"/>
          <w:szCs w:val="24"/>
        </w:rPr>
      </w:pPr>
      <w:r>
        <w:rPr>
          <w:color w:val="000000"/>
          <w:szCs w:val="24"/>
        </w:rPr>
        <w:t>521.</w:t>
      </w:r>
      <w:r>
        <w:rPr>
          <w:color w:val="000000"/>
          <w:szCs w:val="24"/>
        </w:rPr>
        <w:tab/>
        <w:t>ИРЛР за 1997 год свидетельствовал об относительном улучшении качества жизни филиппинцев.  В течение этого года ИРЛР составлял 0,625, что на 1,7 % выше, чем в 1994 году, когда он был равен 0,614.</w:t>
      </w:r>
    </w:p>
    <w:p w:rsidR="003E5D1F" w:rsidRDefault="003E5D1F" w:rsidP="003E5D1F">
      <w:pPr>
        <w:rPr>
          <w:color w:val="000000"/>
          <w:szCs w:val="24"/>
        </w:rPr>
      </w:pPr>
    </w:p>
    <w:p w:rsidR="003E5D1F" w:rsidRDefault="003E5D1F" w:rsidP="003E5D1F">
      <w:pPr>
        <w:rPr>
          <w:color w:val="000000"/>
          <w:szCs w:val="24"/>
        </w:rPr>
      </w:pPr>
      <w:r>
        <w:rPr>
          <w:color w:val="000000"/>
          <w:szCs w:val="24"/>
        </w:rPr>
        <w:t>522.</w:t>
      </w:r>
      <w:r>
        <w:rPr>
          <w:color w:val="000000"/>
          <w:szCs w:val="24"/>
        </w:rPr>
        <w:tab/>
        <w:t>Провинции, расположенные вблизи от Метро Манила, имеют более высокие ИРЛР, чем те, которые географически более удалены от столичного региона.  Среди основных групп островов наивысший средний показатель ИРЛР зарегистрирован в Лусоне, где в 1994 году он был равен 0,558, а в настоящее время составляет 0,596.  Далее следуют Висайские острова с ИРЛР, равным 0,531, и Минданао (0,490)</w:t>
      </w:r>
      <w:r>
        <w:rPr>
          <w:rStyle w:val="FootnoteReference"/>
          <w:szCs w:val="24"/>
        </w:rPr>
        <w:footnoteReference w:id="36"/>
      </w:r>
      <w:r>
        <w:rPr>
          <w:color w:val="000000"/>
          <w:szCs w:val="24"/>
        </w:rPr>
        <w:t xml:space="preserve">. </w:t>
      </w:r>
    </w:p>
    <w:p w:rsidR="003E5D1F" w:rsidRDefault="003E5D1F" w:rsidP="003E5D1F">
      <w:pPr>
        <w:rPr>
          <w:color w:val="000000"/>
          <w:szCs w:val="24"/>
        </w:rPr>
      </w:pPr>
    </w:p>
    <w:p w:rsidR="003E5D1F" w:rsidRDefault="003E5D1F" w:rsidP="003E5D1F">
      <w:pPr>
        <w:rPr>
          <w:b/>
          <w:color w:val="000000"/>
          <w:szCs w:val="24"/>
        </w:rPr>
      </w:pPr>
      <w:r>
        <w:rPr>
          <w:color w:val="000000"/>
          <w:szCs w:val="24"/>
        </w:rPr>
        <w:t>523.</w:t>
      </w:r>
      <w:r>
        <w:rPr>
          <w:color w:val="000000"/>
          <w:szCs w:val="24"/>
        </w:rPr>
        <w:tab/>
        <w:t xml:space="preserve">Уровень человеческого развития в государстве повысился к 2000 году;  при этом индекс развития людских ресурсов составлял 0,656, что на 0,027 пункта выше, чем показатель за </w:t>
      </w:r>
      <w:r w:rsidRPr="00DD6C4F">
        <w:rPr>
          <w:color w:val="000000"/>
          <w:szCs w:val="24"/>
        </w:rPr>
        <w:t xml:space="preserve">1997 год, равный 0,629.  Все составные показатели в 2000 году возросли, но самый значительный прогресс был отмечен в плане </w:t>
      </w:r>
      <w:r>
        <w:rPr>
          <w:color w:val="000000"/>
          <w:szCs w:val="24"/>
        </w:rPr>
        <w:t>уровня</w:t>
      </w:r>
      <w:r w:rsidRPr="00DD6C4F">
        <w:rPr>
          <w:color w:val="000000"/>
          <w:szCs w:val="24"/>
        </w:rPr>
        <w:t xml:space="preserve"> доходов.</w:t>
      </w:r>
    </w:p>
    <w:p w:rsidR="003E5D1F" w:rsidRDefault="003E5D1F" w:rsidP="003E5D1F">
      <w:pPr>
        <w:rPr>
          <w:b/>
          <w:color w:val="000000"/>
          <w:szCs w:val="24"/>
        </w:rPr>
      </w:pPr>
    </w:p>
    <w:p w:rsidR="003E5D1F" w:rsidRDefault="003E5D1F" w:rsidP="003E5D1F">
      <w:pPr>
        <w:rPr>
          <w:color w:val="000000"/>
          <w:szCs w:val="24"/>
        </w:rPr>
      </w:pPr>
      <w:r w:rsidRPr="00DD6C4F">
        <w:rPr>
          <w:b/>
          <w:color w:val="000000"/>
          <w:szCs w:val="24"/>
        </w:rPr>
        <w:t>Вопрос № 2.</w:t>
      </w:r>
      <w:r>
        <w:rPr>
          <w:b/>
          <w:color w:val="000000"/>
          <w:szCs w:val="24"/>
        </w:rPr>
        <w:tab/>
      </w:r>
      <w:r w:rsidRPr="00DD6C4F">
        <w:rPr>
          <w:b/>
          <w:color w:val="000000"/>
          <w:szCs w:val="24"/>
        </w:rPr>
        <w:t>Право на достаточное питание</w:t>
      </w:r>
    </w:p>
    <w:p w:rsidR="003E5D1F" w:rsidRDefault="003E5D1F" w:rsidP="003E5D1F">
      <w:pPr>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b/>
          <w:szCs w:val="24"/>
        </w:rPr>
      </w:pPr>
      <w:r w:rsidRPr="00DD6C4F">
        <w:rPr>
          <w:b/>
          <w:color w:val="000000"/>
          <w:szCs w:val="24"/>
        </w:rPr>
        <w:t>2.а</w:t>
      </w:r>
      <w:r>
        <w:rPr>
          <w:b/>
          <w:color w:val="000000"/>
          <w:szCs w:val="24"/>
        </w:rPr>
        <w:tab/>
      </w:r>
      <w:r w:rsidRPr="00DD6C4F">
        <w:rPr>
          <w:b/>
          <w:szCs w:val="24"/>
        </w:rPr>
        <w:t>Общ</w:t>
      </w:r>
      <w:r>
        <w:rPr>
          <w:b/>
          <w:szCs w:val="24"/>
        </w:rPr>
        <w:t>ая оценка степени осуществления</w:t>
      </w:r>
      <w:r w:rsidRPr="00DD6C4F">
        <w:rPr>
          <w:b/>
          <w:szCs w:val="24"/>
        </w:rPr>
        <w:t xml:space="preserve"> права на достаточное питание</w:t>
      </w:r>
    </w:p>
    <w:p w:rsidR="003E5D1F" w:rsidRDefault="003E5D1F" w:rsidP="003E5D1F">
      <w:pPr>
        <w:tabs>
          <w:tab w:val="clear" w:pos="567"/>
          <w:tab w:val="clear" w:pos="1134"/>
          <w:tab w:val="clear" w:pos="1701"/>
          <w:tab w:val="clear" w:pos="2268"/>
          <w:tab w:val="clear" w:pos="6237"/>
        </w:tabs>
        <w:autoSpaceDE w:val="0"/>
        <w:autoSpaceDN w:val="0"/>
        <w:adjustRightInd w:val="0"/>
        <w:rPr>
          <w:b/>
          <w:szCs w:val="24"/>
        </w:rPr>
      </w:pPr>
    </w:p>
    <w:p w:rsidR="003E5D1F" w:rsidRPr="002765FF" w:rsidRDefault="003E5D1F" w:rsidP="003E5D1F">
      <w:pPr>
        <w:tabs>
          <w:tab w:val="clear" w:pos="567"/>
          <w:tab w:val="clear" w:pos="1134"/>
          <w:tab w:val="clear" w:pos="1701"/>
          <w:tab w:val="clear" w:pos="2268"/>
          <w:tab w:val="clear" w:pos="6237"/>
        </w:tabs>
        <w:autoSpaceDE w:val="0"/>
        <w:autoSpaceDN w:val="0"/>
        <w:adjustRightInd w:val="0"/>
        <w:rPr>
          <w:i/>
          <w:szCs w:val="24"/>
        </w:rPr>
      </w:pPr>
      <w:r w:rsidRPr="002765FF">
        <w:rPr>
          <w:i/>
          <w:szCs w:val="24"/>
        </w:rPr>
        <w:t>Общая ситуация в области снабжения продуктами питания</w:t>
      </w:r>
    </w:p>
    <w:p w:rsidR="003E5D1F" w:rsidRDefault="003E5D1F" w:rsidP="003E5D1F">
      <w:pPr>
        <w:tabs>
          <w:tab w:val="clear" w:pos="567"/>
          <w:tab w:val="clear" w:pos="1134"/>
          <w:tab w:val="clear" w:pos="1701"/>
          <w:tab w:val="clear" w:pos="2268"/>
          <w:tab w:val="clear" w:pos="6237"/>
        </w:tabs>
        <w:autoSpaceDE w:val="0"/>
        <w:autoSpaceDN w:val="0"/>
        <w:adjustRightInd w:val="0"/>
        <w:rPr>
          <w:szCs w:val="24"/>
          <w:u w:val="single"/>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524.</w:t>
      </w:r>
      <w:r>
        <w:rPr>
          <w:color w:val="000000"/>
          <w:szCs w:val="24"/>
        </w:rPr>
        <w:tab/>
        <w:t>Статистические данные в отношении так называемой продовольственной бедности</w:t>
      </w:r>
      <w:r w:rsidR="00B337E7">
        <w:rPr>
          <w:color w:val="000000"/>
          <w:szCs w:val="24"/>
        </w:rPr>
        <w:t> </w:t>
      </w:r>
      <w:r>
        <w:rPr>
          <w:color w:val="000000"/>
          <w:szCs w:val="24"/>
        </w:rPr>
        <w:t>за 2003 год свидетельствуют о небольшом улучшении ситуации по сравнению с</w:t>
      </w:r>
      <w:r w:rsidR="00B337E7">
        <w:rPr>
          <w:color w:val="000000"/>
          <w:szCs w:val="24"/>
        </w:rPr>
        <w:t> </w:t>
      </w:r>
      <w:r>
        <w:rPr>
          <w:color w:val="000000"/>
          <w:szCs w:val="24"/>
        </w:rPr>
        <w:t>2000 годом.  В серии докладов о состоянии продовольственного баланса страны Национального статистического координационного совета отмечалось, что снабжение населения продовольствием является удовлетворительным.  Вместе с тем отмечались более чем скромные достижения в области решения проблем голода (и нищеты) по сравнению с соседними странами, которые быстрее развиваются в этом направлении.</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525.</w:t>
      </w:r>
      <w:r>
        <w:rPr>
          <w:color w:val="000000"/>
          <w:szCs w:val="24"/>
        </w:rPr>
        <w:tab/>
        <w:t xml:space="preserve">Общая </w:t>
      </w:r>
      <w:r w:rsidR="008C1217">
        <w:rPr>
          <w:color w:val="000000"/>
          <w:szCs w:val="24"/>
        </w:rPr>
        <w:t>продовольственная</w:t>
      </w:r>
      <w:r>
        <w:rPr>
          <w:color w:val="000000"/>
          <w:szCs w:val="24"/>
        </w:rPr>
        <w:t xml:space="preserve"> ситуация в стране в 2001 году позволяла удовлетворить все потребности населения в питании.  Несмотря на незначительное уменьшение на 0,2 % с 1191,2 граммов в 2000 году до 1188,4 граммов в 2001 году, подушевое обеспечение продовольствием населения превышало рекомендованный пищевой рацион (РПР), равный 1031 грамму (</w:t>
      </w:r>
      <w:r>
        <w:rPr>
          <w:i/>
          <w:color w:val="000000"/>
          <w:szCs w:val="24"/>
        </w:rPr>
        <w:t xml:space="preserve">на основании </w:t>
      </w:r>
      <w:r w:rsidRPr="00742A7E">
        <w:rPr>
          <w:i/>
          <w:color w:val="000000"/>
          <w:szCs w:val="24"/>
        </w:rPr>
        <w:t xml:space="preserve">РПР, установленном </w:t>
      </w:r>
      <w:r>
        <w:rPr>
          <w:i/>
          <w:color w:val="000000"/>
          <w:szCs w:val="24"/>
        </w:rPr>
        <w:t>Научно-исследовательским и</w:t>
      </w:r>
      <w:r w:rsidRPr="00742A7E">
        <w:rPr>
          <w:i/>
          <w:color w:val="000000"/>
          <w:szCs w:val="24"/>
        </w:rPr>
        <w:t xml:space="preserve">нститутом </w:t>
      </w:r>
      <w:r>
        <w:rPr>
          <w:i/>
          <w:color w:val="000000"/>
          <w:szCs w:val="24"/>
        </w:rPr>
        <w:t xml:space="preserve">продуктов </w:t>
      </w:r>
      <w:r w:rsidRPr="00742A7E">
        <w:rPr>
          <w:i/>
          <w:color w:val="000000"/>
          <w:szCs w:val="24"/>
        </w:rPr>
        <w:t xml:space="preserve">питания </w:t>
      </w:r>
      <w:r>
        <w:rPr>
          <w:i/>
          <w:color w:val="000000"/>
          <w:szCs w:val="24"/>
        </w:rPr>
        <w:t>м</w:t>
      </w:r>
      <w:r w:rsidRPr="00742A7E">
        <w:rPr>
          <w:i/>
          <w:color w:val="000000"/>
          <w:szCs w:val="24"/>
        </w:rPr>
        <w:t>инистерства науки и технологий, 1989 год</w:t>
      </w:r>
      <w:r>
        <w:rPr>
          <w:color w:val="000000"/>
          <w:szCs w:val="24"/>
        </w:rPr>
        <w:t xml:space="preserve">). </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526.</w:t>
      </w:r>
      <w:r>
        <w:rPr>
          <w:color w:val="000000"/>
          <w:szCs w:val="24"/>
        </w:rPr>
        <w:tab/>
        <w:t xml:space="preserve">В 2004 году производство продуктов животного происхождения превышало производство растительных продуктов питания.  При этом на 9,6 % возросло производство рыбопродуктов и на 4,2 % </w:t>
      </w:r>
      <w:r>
        <w:rPr>
          <w:color w:val="000000"/>
          <w:szCs w:val="24"/>
        </w:rPr>
        <w:sym w:font="Symbol" w:char="F02D"/>
      </w:r>
      <w:r>
        <w:rPr>
          <w:color w:val="000000"/>
          <w:szCs w:val="24"/>
        </w:rPr>
        <w:t xml:space="preserve"> мяса птицы, что компенсировало спад производства в животноводческом секторе.  Объем производства растительных продуктов питания, напротив, сократился почти на 7 %.</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527.</w:t>
      </w:r>
      <w:r>
        <w:rPr>
          <w:color w:val="000000"/>
          <w:szCs w:val="24"/>
        </w:rPr>
        <w:tab/>
        <w:t>В период 2002-2004 годов отмечалось сокращение объемов чистого импорта продуктов питания.  Отрицательные темпы роста отмечаются в отношении продуктов питания животного происхождения, особенно живого скота и птицы, в то время как объемы импортируемых продуктов растительного происхождения за тот же период сократились незначительно.</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528.</w:t>
      </w:r>
      <w:r>
        <w:rPr>
          <w:color w:val="000000"/>
          <w:szCs w:val="24"/>
        </w:rPr>
        <w:tab/>
        <w:t>Несмотря на наличие и доступность продовольствия, многие лица не располагают достаточными средствами для приобретения необходимых</w:t>
      </w:r>
      <w:r w:rsidRPr="006F43C8">
        <w:rPr>
          <w:color w:val="000000"/>
          <w:szCs w:val="24"/>
        </w:rPr>
        <w:t xml:space="preserve"> </w:t>
      </w:r>
      <w:r>
        <w:rPr>
          <w:color w:val="000000"/>
          <w:szCs w:val="24"/>
        </w:rPr>
        <w:t>продуктов питания.  Нищета является основным фактором недоедания, особенно в сельских районах.  Доступ к продуктам питания бедных общин остается нерешенной проблемой, особенно в условиях роста цен на продовольствие, о чем свидетельствуют показатели работы пищевой промышленности, согласно которым значение ежегодного индекса производства в обрабатывающей промышленности увеличилось в 2005 году на 13 % по сравнению с показателями за прошлый год, а стоимость производства продуктов питания возросла на 18,2 %.</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Pr="002765FF" w:rsidRDefault="003E5D1F" w:rsidP="003E5D1F">
      <w:pPr>
        <w:tabs>
          <w:tab w:val="clear" w:pos="567"/>
          <w:tab w:val="clear" w:pos="1134"/>
          <w:tab w:val="clear" w:pos="1701"/>
          <w:tab w:val="clear" w:pos="2268"/>
          <w:tab w:val="clear" w:pos="6237"/>
        </w:tabs>
        <w:autoSpaceDE w:val="0"/>
        <w:autoSpaceDN w:val="0"/>
        <w:adjustRightInd w:val="0"/>
        <w:rPr>
          <w:i/>
          <w:color w:val="000000"/>
          <w:szCs w:val="24"/>
        </w:rPr>
      </w:pPr>
      <w:r w:rsidRPr="002765FF">
        <w:rPr>
          <w:i/>
          <w:color w:val="000000"/>
          <w:szCs w:val="24"/>
        </w:rPr>
        <w:t>Калорийность питания</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u w:val="single"/>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529.</w:t>
      </w:r>
      <w:r>
        <w:rPr>
          <w:color w:val="000000"/>
          <w:szCs w:val="24"/>
        </w:rPr>
        <w:tab/>
        <w:t>Результаты четвертого Национального обследования в области питания, проведенного в 1993 году Научно-исследовательским институтом продуктов питания министерства науки и технологий, показывают, что средний уровень потребления филиппинцами продовольствия и питательных веществ в целом является недостаточным.  Тенденции в этой области свидетельствуют об общем сокращении потребления различных видов продовольствия.  Средние подушевые показатели ежедневного потребления продовольствия снизились с 869 граммов в 1987 году до 803 граммов в 1993 году, а средние показатели ежедневного потребления калорий на душу населения за тот же период времени сократились с 1753 до 1684 килокалорий.  Потребление калорий, железа, кальция и витамина С существенно сократилось в период 1987-1993 годов, из чего можно сделать вывод об общей тенденции к уменьшению за этот период потребления продовольствия, в частности риса, а также рыбы и мяса.</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530.</w:t>
      </w:r>
      <w:r>
        <w:rPr>
          <w:color w:val="000000"/>
          <w:szCs w:val="24"/>
        </w:rPr>
        <w:tab/>
        <w:t>Вместе с тем результаты проведенного в 2004 году Научно-исследовательским институтом продуктов питания обследования домашних хозяйств с точки зрения потребления продуктов питания продемонстрировали изменение этой тенденции в лучшую сторону.  С 1993 по 2003 год средние подушевые показатели потребления продовольствия и калорий увеличились с 869 до 879 граммов и с 1 684 до 1 887 килокалорий, соответственно.  Продукты животноводства составляют бо</w:t>
      </w:r>
      <w:r>
        <w:rPr>
          <w:rFonts w:ascii="Tahoma" w:hAnsi="Tahoma"/>
          <w:color w:val="000000"/>
          <w:szCs w:val="24"/>
        </w:rPr>
        <w:t></w:t>
      </w:r>
      <w:r>
        <w:rPr>
          <w:color w:val="000000"/>
          <w:szCs w:val="24"/>
        </w:rPr>
        <w:t>льшую часть в общем потреблении продовольствия и протеинов.  Как было отмечено, возрос уровень потребления жиров, масла и витаминов, за исключением железа и витамина С.</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531.</w:t>
      </w:r>
      <w:r>
        <w:rPr>
          <w:color w:val="000000"/>
          <w:szCs w:val="24"/>
        </w:rPr>
        <w:tab/>
        <w:t>Процентная доля филиппинских домашних хозяйств, в которых калорийность потребляемого каждым членом семьи продовольствия составляет менее 100 % от нормы, сократилась с 69,4 % в 1993 году до 57,2 % в 2003 году, т.е. в среднем за год она уменьшалась на 1,22 процентных пункта.  Вместе с тем следует отметить, что при проведении обследования домашних хозяйств применялись другие стандарты оценки уровня калорийности питания, т.е. в 2003 году использовался так называемый рекомендованный коэффициент потребления калорий и питательных веществ, а не норма рекомендованного пищевого рациона (РПР), как в 1993 году, чтобы подчеркнуть, что в основе этих стандартов лежит понятие потребляемых питательных веществ, а не продовольствия и рациона, как в случае РПР.</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Pr="002765FF" w:rsidRDefault="003E5D1F" w:rsidP="003E5D1F">
      <w:pPr>
        <w:tabs>
          <w:tab w:val="clear" w:pos="567"/>
          <w:tab w:val="clear" w:pos="1134"/>
          <w:tab w:val="clear" w:pos="1701"/>
          <w:tab w:val="clear" w:pos="2268"/>
          <w:tab w:val="clear" w:pos="6237"/>
        </w:tabs>
        <w:autoSpaceDE w:val="0"/>
        <w:autoSpaceDN w:val="0"/>
        <w:adjustRightInd w:val="0"/>
        <w:rPr>
          <w:i/>
          <w:color w:val="000000"/>
          <w:szCs w:val="24"/>
        </w:rPr>
      </w:pPr>
      <w:r w:rsidRPr="002765FF">
        <w:rPr>
          <w:i/>
          <w:color w:val="000000"/>
          <w:szCs w:val="24"/>
        </w:rPr>
        <w:t>Национальная программа йодирования соли</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u w:val="single"/>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532.</w:t>
      </w:r>
      <w:r>
        <w:rPr>
          <w:color w:val="000000"/>
          <w:szCs w:val="24"/>
        </w:rPr>
        <w:tab/>
        <w:t>Будучи стороной, подписавшей Всемирную декларацию по проблемам питания и Глобальный план действий в области питания во время Международной конференции по вопросам питания, состоявшейся в декабре 1992 года в Риме, правительство стремится решить проблемы недостаточного питания, включая заболевания, вызванные нехваткой йода.   Филиппинские планы действий в области питания на 1993-1998 и на 1999</w:t>
      </w:r>
      <w:r>
        <w:rPr>
          <w:color w:val="000000"/>
          <w:szCs w:val="24"/>
        </w:rPr>
        <w:noBreakHyphen/>
        <w:t>2004 годы содержали четко выраженную задачу ликвидации в стране болезней, вызванных нехваткой йода.</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533.</w:t>
      </w:r>
      <w:r>
        <w:rPr>
          <w:color w:val="000000"/>
          <w:szCs w:val="24"/>
        </w:rPr>
        <w:tab/>
        <w:t>В этой связи конгрессом Филиппин был принят Республиканский закон (РЗ) 8172, известный под названием "Закон о поощрении йодирования соли в масштабах государства и других задачах".  РЗ 8172 предусматривает йодирование всей пищевой соли, предназначенной для потребления людьми или животными.  Он также обязывает всех производителей и импортеров соли, а также предприятия, осуществляющие торговлю солью, обеспечивать ее йодирование и доступность для всего населения Филиппин.</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534.</w:t>
      </w:r>
      <w:r>
        <w:rPr>
          <w:color w:val="000000"/>
          <w:szCs w:val="24"/>
        </w:rPr>
        <w:tab/>
        <w:t>Министерство здравоохранения, назначенное РЗ 8172 основным исполнителем данной задачи, отвечает за осуществление по всей стране Национальной программы йодирования соли, которая включает в себя четыре компонента:  1)  производство;  2)  маркетинг и распространение;  3)  меры поощрения и пропаганды;  и  4)  управление и координацию.</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Pr="002765FF" w:rsidRDefault="003E5D1F" w:rsidP="00586F50">
      <w:pPr>
        <w:keepNext/>
        <w:tabs>
          <w:tab w:val="clear" w:pos="567"/>
          <w:tab w:val="clear" w:pos="1134"/>
          <w:tab w:val="clear" w:pos="1701"/>
          <w:tab w:val="clear" w:pos="2268"/>
          <w:tab w:val="clear" w:pos="6237"/>
        </w:tabs>
        <w:autoSpaceDE w:val="0"/>
        <w:autoSpaceDN w:val="0"/>
        <w:adjustRightInd w:val="0"/>
        <w:rPr>
          <w:i/>
          <w:color w:val="000000"/>
          <w:szCs w:val="24"/>
        </w:rPr>
      </w:pPr>
      <w:r w:rsidRPr="002765FF">
        <w:rPr>
          <w:i/>
          <w:color w:val="000000"/>
          <w:szCs w:val="24"/>
        </w:rPr>
        <w:t>Повышение питательности пищевых продуктов</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u w:val="single"/>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535.</w:t>
      </w:r>
      <w:r>
        <w:rPr>
          <w:color w:val="000000"/>
          <w:szCs w:val="24"/>
        </w:rPr>
        <w:tab/>
        <w:t>Филиппинская программа повышения питательности пищевых продуктов состоит из двух основных компонентов.  Первый компонент - добровольная программа повышения питательности продуктов, обязывающая производителей продовольствия принимать меры по повышению питательности пищевых продуктов в целях борьбы с недостатком питательных микроэлементов в рамках осуществляемой министерством здравоохранения программы "Сангкап Пиной".  Второй элемент - это обязательная программа, предполагающая добавление витамина А и железа в пшеничную муку, обогащение сахара и пищевого масла витамином А и обогащение риса железом.</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536.</w:t>
      </w:r>
      <w:r>
        <w:rPr>
          <w:color w:val="000000"/>
          <w:szCs w:val="24"/>
        </w:rPr>
        <w:tab/>
        <w:t>Обогащение продуктов питания микроэлементами признано наиболее затратоэффективной долговременной стратегией восполнения дефицита питательных микроэлементов.  Кроме того, она приемлема с социальной точки зрения, практически не требует изменений в привычках и особенностях питания и позволяет обеспечить микроэлементами наибольшую процентную долю населения.</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537.</w:t>
      </w:r>
      <w:r>
        <w:rPr>
          <w:color w:val="000000"/>
          <w:szCs w:val="24"/>
        </w:rPr>
        <w:tab/>
        <w:t>Программа "Сангкап Пиной" разработана министерством здравоохранения с целью стимулирования предприятий пищевой промышленности к обогащению продуктов питания основными микроэлементами до уровней, утвержденных министерством.  Во исполнение этой программы министерство здравоохранения разрешает производителям пищевых продуктов маркировать продукты, соответствующие определенным критериям, знаком "Сангкап Пиной".  Этот знак означает, что данный продукт признан министерством здравоохранения в качестве средства обеспечения микроэлементами и тем самым способствует решению проблемы их нехватки.</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Pr="002765FF" w:rsidRDefault="003E5D1F" w:rsidP="003E5D1F">
      <w:pPr>
        <w:tabs>
          <w:tab w:val="clear" w:pos="567"/>
          <w:tab w:val="clear" w:pos="1134"/>
          <w:tab w:val="clear" w:pos="1701"/>
          <w:tab w:val="clear" w:pos="2268"/>
          <w:tab w:val="clear" w:pos="6237"/>
        </w:tabs>
        <w:autoSpaceDE w:val="0"/>
        <w:autoSpaceDN w:val="0"/>
        <w:adjustRightInd w:val="0"/>
        <w:rPr>
          <w:i/>
          <w:szCs w:val="24"/>
        </w:rPr>
      </w:pPr>
      <w:r w:rsidRPr="002765FF">
        <w:rPr>
          <w:i/>
          <w:szCs w:val="24"/>
        </w:rPr>
        <w:t>Проведение обзоров в области питания и других мероприятий по контролю</w:t>
      </w:r>
    </w:p>
    <w:p w:rsidR="003E5D1F" w:rsidRDefault="003E5D1F" w:rsidP="003E5D1F">
      <w:pPr>
        <w:tabs>
          <w:tab w:val="clear" w:pos="567"/>
          <w:tab w:val="clear" w:pos="1134"/>
          <w:tab w:val="clear" w:pos="1701"/>
          <w:tab w:val="clear" w:pos="2268"/>
          <w:tab w:val="clear" w:pos="6237"/>
        </w:tabs>
        <w:autoSpaceDE w:val="0"/>
        <w:autoSpaceDN w:val="0"/>
        <w:adjustRightInd w:val="0"/>
        <w:rPr>
          <w:szCs w:val="24"/>
          <w:u w:val="single"/>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538.</w:t>
      </w:r>
      <w:r>
        <w:rPr>
          <w:color w:val="000000"/>
          <w:szCs w:val="24"/>
        </w:rPr>
        <w:tab/>
        <w:t>В соответствии с Президентским указом № 491, известным под названием "Филиппинский закон о питании", подготовка программы в области питания поручена Национальному совету по вопросам питания.  Совет, являющийся основным правительственным учреждением, которому поручена разработка комплексной национальной программы в области питания, состоит из представителей МСХ, МЗ, МСОР, МО, МВДМС, МТЗ, министерства науки и технологий (МНТ), министерства бюджета и управления (МБУ) и Национальной службы по вопросам экономики и развития (НСЭР).</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539.</w:t>
      </w:r>
      <w:r>
        <w:rPr>
          <w:color w:val="000000"/>
          <w:szCs w:val="24"/>
        </w:rPr>
        <w:tab/>
        <w:t xml:space="preserve">С момента принятия Закона о питании в конце 70-х в стране было разработано шесть Планов действий по вопросам питания (ПДП), самым последним из которых является </w:t>
      </w:r>
      <w:r w:rsidRPr="000E1C05">
        <w:rPr>
          <w:i/>
          <w:color w:val="000000"/>
          <w:szCs w:val="24"/>
        </w:rPr>
        <w:t>Среднесрочный план действий по вопросам питания</w:t>
      </w:r>
      <w:r>
        <w:rPr>
          <w:i/>
          <w:color w:val="000000"/>
          <w:szCs w:val="24"/>
        </w:rPr>
        <w:t xml:space="preserve"> на</w:t>
      </w:r>
      <w:r w:rsidRPr="000E1C05">
        <w:rPr>
          <w:i/>
          <w:color w:val="000000"/>
          <w:szCs w:val="24"/>
        </w:rPr>
        <w:t xml:space="preserve"> 1999-2004 годы</w:t>
      </w:r>
      <w:r>
        <w:rPr>
          <w:color w:val="000000"/>
          <w:szCs w:val="24"/>
        </w:rPr>
        <w:t>.</w:t>
      </w: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p>
    <w:p w:rsidR="003E5D1F" w:rsidRDefault="003E5D1F" w:rsidP="003E5D1F">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540.</w:t>
      </w:r>
      <w:r>
        <w:rPr>
          <w:color w:val="000000"/>
          <w:szCs w:val="24"/>
        </w:rPr>
        <w:tab/>
        <w:t>ПДП представляет собой основной план обеспечения всех филиппинцев качественным питанием за счет стимулирования продовольственной безопасности домашних хозяйств и предупреждения, контролирования и устранения нехватки питательных микроэлементов.  Как ожидается, поставленные в ПДП цели будут достигнуты путем поощрения производства продуктов питания в домашних условиях и в общинах, добавления микроэлементов и повышения калорийности пищевых продуктов, предоставления кредитов для обеспечения возможности получения средств к существованию, диетологического воспитания и оказания продовольственной помощи.</w:t>
      </w:r>
    </w:p>
    <w:p w:rsidR="004D5C13" w:rsidRDefault="004D5C13" w:rsidP="004D5C13"/>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541.</w:t>
      </w:r>
      <w:r>
        <w:rPr>
          <w:color w:val="000000"/>
          <w:szCs w:val="24"/>
        </w:rPr>
        <w:tab/>
        <w:t>Научно-исследовательский институт продуктов питания министерства науки и технологий является ведущим государственным учреждением, проводящим исследования в области продовольствия и питания в рамках ПДП;  он отвечает за проведение каждые пять лет Национальных обзоров по вопросам питания (НОП) с целью определения положения населения Филиппин в этой области.</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542.</w:t>
      </w:r>
      <w:r>
        <w:rPr>
          <w:color w:val="000000"/>
          <w:szCs w:val="24"/>
        </w:rPr>
        <w:tab/>
        <w:t xml:space="preserve">НОП включают семь  компонентов:  </w:t>
      </w:r>
      <w:r w:rsidRPr="00FC11EB">
        <w:rPr>
          <w:i/>
          <w:color w:val="000000"/>
          <w:szCs w:val="24"/>
        </w:rPr>
        <w:t>1)</w:t>
      </w:r>
      <w:r>
        <w:rPr>
          <w:i/>
          <w:color w:val="000000"/>
          <w:szCs w:val="24"/>
        </w:rPr>
        <w:t>  </w:t>
      </w:r>
      <w:r w:rsidRPr="00FC11EB">
        <w:rPr>
          <w:i/>
          <w:color w:val="000000"/>
          <w:szCs w:val="24"/>
        </w:rPr>
        <w:t xml:space="preserve">антропометрический обзор в области питания; </w:t>
      </w:r>
      <w:r>
        <w:rPr>
          <w:i/>
          <w:color w:val="000000"/>
          <w:szCs w:val="24"/>
        </w:rPr>
        <w:t xml:space="preserve"> </w:t>
      </w:r>
      <w:r w:rsidRPr="00FC11EB">
        <w:rPr>
          <w:i/>
          <w:color w:val="000000"/>
          <w:szCs w:val="24"/>
        </w:rPr>
        <w:t>2)</w:t>
      </w:r>
      <w:r>
        <w:rPr>
          <w:i/>
          <w:color w:val="000000"/>
          <w:szCs w:val="24"/>
        </w:rPr>
        <w:t>  </w:t>
      </w:r>
      <w:r w:rsidRPr="00FC11EB">
        <w:rPr>
          <w:i/>
          <w:color w:val="000000"/>
          <w:szCs w:val="24"/>
        </w:rPr>
        <w:t xml:space="preserve">обследование домашних хозяйств по вопросам потребления продуктов питания; </w:t>
      </w:r>
      <w:r>
        <w:rPr>
          <w:i/>
          <w:color w:val="000000"/>
          <w:szCs w:val="24"/>
        </w:rPr>
        <w:t xml:space="preserve"> </w:t>
      </w:r>
      <w:r w:rsidRPr="00FC11EB">
        <w:rPr>
          <w:i/>
          <w:color w:val="000000"/>
          <w:szCs w:val="24"/>
        </w:rPr>
        <w:t>3)</w:t>
      </w:r>
      <w:r>
        <w:rPr>
          <w:i/>
          <w:color w:val="000000"/>
          <w:szCs w:val="24"/>
        </w:rPr>
        <w:t>  </w:t>
      </w:r>
      <w:r w:rsidRPr="00FC11EB">
        <w:rPr>
          <w:i/>
          <w:color w:val="000000"/>
          <w:szCs w:val="24"/>
        </w:rPr>
        <w:t>оценк</w:t>
      </w:r>
      <w:r>
        <w:rPr>
          <w:i/>
          <w:color w:val="000000"/>
          <w:szCs w:val="24"/>
        </w:rPr>
        <w:t>у</w:t>
      </w:r>
      <w:r w:rsidRPr="00FC11EB">
        <w:rPr>
          <w:i/>
          <w:color w:val="000000"/>
          <w:szCs w:val="24"/>
        </w:rPr>
        <w:t xml:space="preserve"> рациона</w:t>
      </w:r>
      <w:r>
        <w:rPr>
          <w:i/>
          <w:color w:val="000000"/>
          <w:szCs w:val="24"/>
        </w:rPr>
        <w:t xml:space="preserve"> питания </w:t>
      </w:r>
      <w:r w:rsidRPr="00FC11EB">
        <w:rPr>
          <w:i/>
          <w:color w:val="000000"/>
          <w:szCs w:val="24"/>
        </w:rPr>
        <w:t xml:space="preserve"> детей в возрасте до </w:t>
      </w:r>
      <w:r>
        <w:rPr>
          <w:i/>
          <w:color w:val="000000"/>
          <w:szCs w:val="24"/>
        </w:rPr>
        <w:t xml:space="preserve">пяти лет, детей в возрасте от шести </w:t>
      </w:r>
      <w:r w:rsidRPr="00FC11EB">
        <w:rPr>
          <w:i/>
          <w:color w:val="000000"/>
          <w:szCs w:val="24"/>
        </w:rPr>
        <w:t xml:space="preserve">до </w:t>
      </w:r>
      <w:r>
        <w:rPr>
          <w:i/>
          <w:color w:val="000000"/>
          <w:szCs w:val="24"/>
        </w:rPr>
        <w:t xml:space="preserve">одиннадцати </w:t>
      </w:r>
      <w:r w:rsidRPr="00FC11EB">
        <w:rPr>
          <w:i/>
          <w:color w:val="000000"/>
          <w:szCs w:val="24"/>
        </w:rPr>
        <w:t xml:space="preserve">лет, беременных и кормящих матерей; </w:t>
      </w:r>
      <w:r>
        <w:rPr>
          <w:i/>
          <w:color w:val="000000"/>
          <w:szCs w:val="24"/>
        </w:rPr>
        <w:t xml:space="preserve"> </w:t>
      </w:r>
      <w:r w:rsidRPr="00FC11EB">
        <w:rPr>
          <w:i/>
          <w:color w:val="000000"/>
          <w:szCs w:val="24"/>
        </w:rPr>
        <w:t>4</w:t>
      </w:r>
      <w:r>
        <w:rPr>
          <w:i/>
          <w:color w:val="000000"/>
          <w:szCs w:val="24"/>
        </w:rPr>
        <w:t>)  </w:t>
      </w:r>
      <w:r w:rsidRPr="00FC11EB">
        <w:rPr>
          <w:i/>
          <w:color w:val="000000"/>
          <w:szCs w:val="24"/>
        </w:rPr>
        <w:t xml:space="preserve">обзор в области продовольственной безопасности домашних хозяйств; </w:t>
      </w:r>
      <w:r>
        <w:rPr>
          <w:i/>
          <w:color w:val="000000"/>
          <w:szCs w:val="24"/>
        </w:rPr>
        <w:t xml:space="preserve"> </w:t>
      </w:r>
      <w:r w:rsidRPr="00FC11EB">
        <w:rPr>
          <w:i/>
          <w:color w:val="000000"/>
          <w:szCs w:val="24"/>
        </w:rPr>
        <w:t>5)</w:t>
      </w:r>
      <w:r>
        <w:rPr>
          <w:i/>
          <w:color w:val="000000"/>
          <w:szCs w:val="24"/>
        </w:rPr>
        <w:t>  </w:t>
      </w:r>
      <w:r w:rsidRPr="00FC11EB">
        <w:rPr>
          <w:i/>
          <w:color w:val="000000"/>
          <w:szCs w:val="24"/>
        </w:rPr>
        <w:t xml:space="preserve">обзор по вопросам осведомленности и использования обогащенных продуктов питания и продуктов, </w:t>
      </w:r>
      <w:r>
        <w:rPr>
          <w:i/>
          <w:color w:val="000000"/>
          <w:szCs w:val="24"/>
        </w:rPr>
        <w:t xml:space="preserve">уровень калорийности </w:t>
      </w:r>
      <w:r w:rsidRPr="00FC11EB">
        <w:rPr>
          <w:i/>
          <w:color w:val="000000"/>
          <w:szCs w:val="24"/>
        </w:rPr>
        <w:t>которы</w:t>
      </w:r>
      <w:r>
        <w:rPr>
          <w:i/>
          <w:color w:val="000000"/>
          <w:szCs w:val="24"/>
        </w:rPr>
        <w:t>х</w:t>
      </w:r>
      <w:r w:rsidRPr="00FC11EB">
        <w:rPr>
          <w:i/>
          <w:color w:val="000000"/>
          <w:szCs w:val="24"/>
        </w:rPr>
        <w:t xml:space="preserve"> мо</w:t>
      </w:r>
      <w:r>
        <w:rPr>
          <w:i/>
          <w:color w:val="000000"/>
          <w:szCs w:val="24"/>
        </w:rPr>
        <w:t>жет</w:t>
      </w:r>
      <w:r w:rsidRPr="00FC11EB">
        <w:rPr>
          <w:i/>
          <w:color w:val="000000"/>
          <w:szCs w:val="24"/>
        </w:rPr>
        <w:t xml:space="preserve"> быть </w:t>
      </w:r>
      <w:r>
        <w:rPr>
          <w:i/>
          <w:color w:val="000000"/>
          <w:szCs w:val="24"/>
        </w:rPr>
        <w:t>повышен</w:t>
      </w:r>
      <w:r w:rsidRPr="00FC11EB">
        <w:rPr>
          <w:i/>
          <w:color w:val="000000"/>
          <w:szCs w:val="24"/>
        </w:rPr>
        <w:t xml:space="preserve">; </w:t>
      </w:r>
      <w:r>
        <w:rPr>
          <w:i/>
          <w:color w:val="000000"/>
          <w:szCs w:val="24"/>
        </w:rPr>
        <w:t xml:space="preserve"> </w:t>
      </w:r>
      <w:r w:rsidRPr="00FC11EB">
        <w:rPr>
          <w:i/>
          <w:color w:val="000000"/>
          <w:szCs w:val="24"/>
        </w:rPr>
        <w:t>6)</w:t>
      </w:r>
      <w:r>
        <w:rPr>
          <w:i/>
          <w:color w:val="000000"/>
          <w:szCs w:val="24"/>
        </w:rPr>
        <w:t>  </w:t>
      </w:r>
      <w:r w:rsidRPr="00FC11EB">
        <w:rPr>
          <w:i/>
          <w:color w:val="000000"/>
          <w:szCs w:val="24"/>
        </w:rPr>
        <w:t xml:space="preserve">обзор биохимического состава </w:t>
      </w:r>
      <w:r>
        <w:rPr>
          <w:i/>
          <w:color w:val="000000"/>
          <w:szCs w:val="24"/>
        </w:rPr>
        <w:t xml:space="preserve">продуктов </w:t>
      </w:r>
      <w:r w:rsidRPr="00FC11EB">
        <w:rPr>
          <w:i/>
          <w:color w:val="000000"/>
          <w:szCs w:val="24"/>
        </w:rPr>
        <w:t>питания;</w:t>
      </w:r>
      <w:r>
        <w:rPr>
          <w:i/>
          <w:color w:val="000000"/>
          <w:szCs w:val="24"/>
        </w:rPr>
        <w:t xml:space="preserve"> </w:t>
      </w:r>
      <w:r w:rsidRPr="00FC11EB">
        <w:rPr>
          <w:i/>
          <w:color w:val="000000"/>
          <w:szCs w:val="24"/>
        </w:rPr>
        <w:t xml:space="preserve"> и </w:t>
      </w:r>
      <w:r>
        <w:rPr>
          <w:i/>
          <w:color w:val="000000"/>
          <w:szCs w:val="24"/>
        </w:rPr>
        <w:t xml:space="preserve"> 7)  медицинский </w:t>
      </w:r>
      <w:r w:rsidRPr="00FC11EB">
        <w:rPr>
          <w:i/>
          <w:color w:val="000000"/>
          <w:szCs w:val="24"/>
        </w:rPr>
        <w:t>этап:</w:t>
      </w:r>
      <w:r>
        <w:rPr>
          <w:i/>
          <w:color w:val="000000"/>
          <w:szCs w:val="24"/>
        </w:rPr>
        <w:t xml:space="preserve"> </w:t>
      </w:r>
      <w:r w:rsidRPr="00FC11EB">
        <w:rPr>
          <w:i/>
          <w:color w:val="000000"/>
          <w:szCs w:val="24"/>
        </w:rPr>
        <w:t xml:space="preserve"> национальный обзор по вопросам питания и здоровья.</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543.</w:t>
      </w:r>
      <w:r>
        <w:rPr>
          <w:color w:val="000000"/>
          <w:szCs w:val="24"/>
        </w:rPr>
        <w:tab/>
        <w:t xml:space="preserve">К настоящему времени было проведено шесть НОП </w:t>
      </w:r>
      <w:r>
        <w:rPr>
          <w:color w:val="000000"/>
          <w:szCs w:val="24"/>
        </w:rPr>
        <w:sym w:font="Symbol" w:char="F02D"/>
      </w:r>
      <w:r>
        <w:rPr>
          <w:color w:val="000000"/>
          <w:szCs w:val="24"/>
        </w:rPr>
        <w:t xml:space="preserve"> в 1978, 1982, 1987, 1993, 1998 и 2003 годах.  Обзором </w:t>
      </w:r>
      <w:r w:rsidRPr="00FC11EB">
        <w:rPr>
          <w:color w:val="000000"/>
          <w:szCs w:val="24"/>
        </w:rPr>
        <w:t>2003 года</w:t>
      </w:r>
      <w:r>
        <w:rPr>
          <w:color w:val="000000"/>
          <w:szCs w:val="24"/>
        </w:rPr>
        <w:t xml:space="preserve"> было охвачено около 70 000 человек всех возрастов, отобранных в 99 районах.  В их число вошли 77 провинций (за исключением Басилиана) из 15 районов страны, 5 крупных городов и 5 областных групп в Столичном районе, 10 городов с высокой степенью урбанизации (ГВУ) и 2 города Центрального Минданао.</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586F50">
      <w:pPr>
        <w:keepNext/>
        <w:tabs>
          <w:tab w:val="clear" w:pos="567"/>
          <w:tab w:val="clear" w:pos="1134"/>
          <w:tab w:val="clear" w:pos="1701"/>
          <w:tab w:val="clear" w:pos="2268"/>
          <w:tab w:val="clear" w:pos="6237"/>
        </w:tabs>
        <w:autoSpaceDE w:val="0"/>
        <w:autoSpaceDN w:val="0"/>
        <w:adjustRightInd w:val="0"/>
        <w:rPr>
          <w:b/>
          <w:color w:val="000000"/>
          <w:szCs w:val="24"/>
        </w:rPr>
      </w:pPr>
      <w:r w:rsidRPr="00790B42">
        <w:rPr>
          <w:b/>
          <w:color w:val="000000"/>
          <w:szCs w:val="24"/>
        </w:rPr>
        <w:t>2.</w:t>
      </w:r>
      <w:r w:rsidRPr="00790B42">
        <w:rPr>
          <w:b/>
          <w:color w:val="000000"/>
          <w:szCs w:val="24"/>
          <w:lang w:val="fr-FR"/>
        </w:rPr>
        <w:t>b</w:t>
      </w:r>
      <w:r w:rsidR="00586F50">
        <w:rPr>
          <w:b/>
          <w:color w:val="000000"/>
          <w:szCs w:val="24"/>
        </w:rPr>
        <w:tab/>
      </w:r>
      <w:r w:rsidRPr="00790B42">
        <w:rPr>
          <w:b/>
          <w:color w:val="000000"/>
          <w:szCs w:val="24"/>
        </w:rPr>
        <w:t>Голод и недостаточное питание</w:t>
      </w:r>
    </w:p>
    <w:p w:rsidR="004D5C13" w:rsidRDefault="004D5C13" w:rsidP="00586F50">
      <w:pPr>
        <w:keepNext/>
        <w:tabs>
          <w:tab w:val="clear" w:pos="567"/>
          <w:tab w:val="clear" w:pos="1134"/>
          <w:tab w:val="clear" w:pos="1701"/>
          <w:tab w:val="clear" w:pos="2268"/>
          <w:tab w:val="clear" w:pos="6237"/>
        </w:tabs>
        <w:autoSpaceDE w:val="0"/>
        <w:autoSpaceDN w:val="0"/>
        <w:adjustRightInd w:val="0"/>
        <w:rPr>
          <w:b/>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544.</w:t>
      </w:r>
      <w:r>
        <w:rPr>
          <w:color w:val="000000"/>
          <w:szCs w:val="24"/>
        </w:rPr>
        <w:tab/>
        <w:t xml:space="preserve">Обследование на основе временных рядов, проведенное Общественной метеорологической станцией (ОМС), свидетельствует об увеличении случаев голодания в период с </w:t>
      </w:r>
      <w:r w:rsidRPr="00D66972">
        <w:rPr>
          <w:color w:val="000000"/>
          <w:szCs w:val="24"/>
        </w:rPr>
        <w:t>2003 года</w:t>
      </w:r>
      <w:r>
        <w:rPr>
          <w:color w:val="000000"/>
          <w:szCs w:val="24"/>
        </w:rPr>
        <w:t xml:space="preserve"> по настоящее время.  В наибольшей степени это затронуло такие районы, как Минданао (21%), Национальный столичный район (18,3%), Висайские острова (16%) и Баланс Лусон (14,7%).  Согласно результатам последних обследований ОМС, около 3,6 млн</w:t>
      </w:r>
      <w:r w:rsidR="008C1217">
        <w:rPr>
          <w:color w:val="000000"/>
          <w:szCs w:val="24"/>
        </w:rPr>
        <w:t>.</w:t>
      </w:r>
      <w:r>
        <w:rPr>
          <w:color w:val="000000"/>
          <w:szCs w:val="24"/>
        </w:rPr>
        <w:t xml:space="preserve"> филиппинцев голодают.  Кроме того, результаты шестого НОП, осуществленного в 2003 году, говорят о том, что 1,8 млн. детей проживают в условиях отсутствия продовольственной безопасности,  а около 9,7 млн. филиппинцев испытывают нехватку калорий.</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545.</w:t>
      </w:r>
      <w:r>
        <w:rPr>
          <w:color w:val="000000"/>
          <w:szCs w:val="24"/>
        </w:rPr>
        <w:tab/>
        <w:t xml:space="preserve">Вместе с тем, объемы производства риса свидетельствуют о том, что страна приближается к 96% обеспеченности этим продуктом питания.  Кроме того, учитывая рекомендуемую ежедневную норму потребления калорий на основе рисового рациона, филиппинцы потребляют в день больше калорий (1 143 калории), чем требуется (800 калорий).  В то же время, что касается продуктов птицеводства, в частности курицы, то страна обеспечена ими на 176%.  Это говорит о наличии излишков продуктов из птицы, которые можно было бы экспортировать </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546.</w:t>
      </w:r>
      <w:r>
        <w:rPr>
          <w:color w:val="000000"/>
          <w:szCs w:val="24"/>
        </w:rPr>
        <w:tab/>
        <w:t>В секторе питания тенденции в области обеспеченности основными продуктами питания свидетельствуют о значительном увеличении случаев голодания, но при этом калорийная обеспеченность с точки зрения уровня потребления риса - подушевое потребление в 2005 году покрывало 48,5% энергетических потребностей - свидетельствует о том, что нормы питания превышают требуемые стандарты.</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Pr="002765FF" w:rsidRDefault="004D5C13" w:rsidP="004D5C13">
      <w:pPr>
        <w:tabs>
          <w:tab w:val="clear" w:pos="567"/>
          <w:tab w:val="clear" w:pos="1134"/>
          <w:tab w:val="clear" w:pos="1701"/>
          <w:tab w:val="clear" w:pos="2268"/>
          <w:tab w:val="clear" w:pos="6237"/>
        </w:tabs>
        <w:autoSpaceDE w:val="0"/>
        <w:autoSpaceDN w:val="0"/>
        <w:adjustRightInd w:val="0"/>
        <w:rPr>
          <w:i/>
          <w:color w:val="000000"/>
          <w:szCs w:val="24"/>
        </w:rPr>
      </w:pPr>
      <w:r w:rsidRPr="002765FF">
        <w:rPr>
          <w:i/>
          <w:color w:val="000000"/>
          <w:szCs w:val="24"/>
        </w:rPr>
        <w:t>Положение в области детского</w:t>
      </w:r>
      <w:r w:rsidR="002765FF">
        <w:rPr>
          <w:i/>
          <w:color w:val="000000"/>
          <w:szCs w:val="24"/>
        </w:rPr>
        <w:t xml:space="preserve"> питания</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u w:val="single"/>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547.</w:t>
      </w:r>
      <w:r>
        <w:rPr>
          <w:color w:val="000000"/>
          <w:szCs w:val="24"/>
        </w:rPr>
        <w:tab/>
        <w:t>Результаты обследования, проведенного в 2001 году НИПП-МНТ, показали, что процентная доля детей дошкольного возраста с недостаточным весом составляет 30,6%, с</w:t>
      </w:r>
      <w:r w:rsidR="00D87E2B">
        <w:rPr>
          <w:color w:val="000000"/>
          <w:szCs w:val="24"/>
        </w:rPr>
        <w:t> </w:t>
      </w:r>
      <w:r>
        <w:rPr>
          <w:color w:val="000000"/>
          <w:szCs w:val="24"/>
        </w:rPr>
        <w:t xml:space="preserve">недостаточным ростом </w:t>
      </w:r>
      <w:r>
        <w:rPr>
          <w:color w:val="000000"/>
          <w:szCs w:val="24"/>
        </w:rPr>
        <w:sym w:font="Symbol" w:char="F02D"/>
      </w:r>
      <w:r>
        <w:rPr>
          <w:color w:val="000000"/>
          <w:szCs w:val="24"/>
        </w:rPr>
        <w:t xml:space="preserve"> 31.4% и страдающих истощением </w:t>
      </w:r>
      <w:r>
        <w:rPr>
          <w:color w:val="000000"/>
          <w:szCs w:val="24"/>
        </w:rPr>
        <w:sym w:font="Symbol" w:char="F02D"/>
      </w:r>
      <w:r>
        <w:rPr>
          <w:color w:val="000000"/>
          <w:szCs w:val="24"/>
        </w:rPr>
        <w:t xml:space="preserve"> 6,3%.  Среди детей школьного возраста соответствующие показатели составляют 32,9, 41,1 и 6,5%.  По сравнению с данными обследования 1998 года показатели отставания в весе и росте среди детей в возрасте до пяти лет в целом уменьшились, а показатели истощения и избыточного веса, наоборот, увеличились.  Вместе с тем среди детей в возрасте от шести до 10 лет наблюдалось общее увеличение показателей отставания в весе, в росте и показателей избыточного веса.  В разбивке по возрасту наиболее высокие показатели всех форм неполноценного питания сохраняются среди дошкольников в возрасте от одного года до двух лет.  Уровень недоедания среди мальчиков и девочек дошкольного возраста различался незначительно.  Вместе с тем, что касается детей школьного возраста, то мальчики в большей степени, чем девочки, проявляют все три признака неполноценного питания.  Наивысшие показатели отставания в весе отмечались в Бикольском районе, отставания в росте - в АРММ, а истощения - в Долине Кагаян.</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548.</w:t>
      </w:r>
      <w:r>
        <w:rPr>
          <w:color w:val="000000"/>
          <w:szCs w:val="24"/>
        </w:rPr>
        <w:tab/>
        <w:t>НОП, проведенный в 2003 году НИПП-МНТ, свидетельствовал об улучшении ситуации.  Доля детей с отставанием в весе в возрасте до пяти лет сократилась на 4,4% по сравнению с официальными статистическими данными 1998 года, составлявшими 27,6%.  Доля детей, отстающих в росте, также уменьшилась на 3,6% по сравнению с 30,4% в 1998 году.  Уровень истощения среди детей раннего возраста составил 5,5%, что на 0,5 процентных пункта меньше показателей 1998 года.</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549.</w:t>
      </w:r>
      <w:r>
        <w:rPr>
          <w:color w:val="000000"/>
          <w:szCs w:val="24"/>
        </w:rPr>
        <w:tab/>
        <w:t>Результаты данного обследования говорят об общем улучшении питания детей раннего возраста на Филиппинах за последние пять лет начиная с 1998 года.  Показатели соотношения между ростом и возрастом и массой тела и возрастом связаны с обстоятельствами, которые могут влиять на питание детей, включая экономические показатели страны в период 1998-2003 годов.  Это может также быть обусловлено мерами по улучшению положения, принятыми в области здравоохранения и благосостояния населения.  Нынешний уровень питания детей раннего возраста, оцениваемый на основе показателя соотношения массы тела и роста, претерпел незначительные изменения в период 1998-2003 годов и может объясняться сезонностью доступных продуктов питания в домашних хозяйствах и случаями инфекционных заболеваний детей во втором и третьем кварталах года, когда были проведены оба обзора.</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Pr="002765FF" w:rsidRDefault="004D5C13" w:rsidP="004D5C13">
      <w:pPr>
        <w:tabs>
          <w:tab w:val="clear" w:pos="567"/>
          <w:tab w:val="clear" w:pos="1134"/>
          <w:tab w:val="clear" w:pos="1701"/>
          <w:tab w:val="clear" w:pos="2268"/>
          <w:tab w:val="clear" w:pos="6237"/>
        </w:tabs>
        <w:autoSpaceDE w:val="0"/>
        <w:autoSpaceDN w:val="0"/>
        <w:adjustRightInd w:val="0"/>
        <w:rPr>
          <w:i/>
          <w:color w:val="000000"/>
          <w:szCs w:val="24"/>
        </w:rPr>
      </w:pPr>
      <w:r w:rsidRPr="002765FF">
        <w:rPr>
          <w:i/>
          <w:color w:val="000000"/>
          <w:szCs w:val="24"/>
        </w:rPr>
        <w:t>Общее положение в области питания различных групп населения</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u w:val="single"/>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550.</w:t>
      </w:r>
      <w:r>
        <w:rPr>
          <w:color w:val="000000"/>
          <w:szCs w:val="24"/>
        </w:rPr>
        <w:tab/>
        <w:t>Результаты НОП 2003 года свидетельствовали об общем улучшении структуры питания различных групп населения в период 1998-2003 годов.  Уменьшились показатели отставания в весе среди беременных женщин и кормящих матерей, а также показатели хронического дефицита калорий среди взрослого населения.  Вместе с тем отмечается тенденция к повышению показателей избыточного веса среди взрослого населения и детей.  П</w:t>
      </w:r>
      <w:r w:rsidRPr="00122337">
        <w:rPr>
          <w:color w:val="000000"/>
          <w:szCs w:val="24"/>
        </w:rPr>
        <w:t>о</w:t>
      </w:r>
      <w:r w:rsidRPr="00122337">
        <w:rPr>
          <w:color w:val="000000"/>
          <w:szCs w:val="24"/>
        </w:rPr>
        <w:noBreakHyphen/>
        <w:t>прежнему</w:t>
      </w:r>
      <w:r>
        <w:rPr>
          <w:color w:val="000000"/>
          <w:szCs w:val="24"/>
        </w:rPr>
        <w:t xml:space="preserve"> остро стоит проблема анемии, особенно среди грудных детей от шести месяцев до одного года, годовалых детей и детей в возрасте одиннадцати месяцев, а также беременных женщин и кормящих матерей.</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Pr="002765FF" w:rsidRDefault="004D5C13" w:rsidP="00586F50">
      <w:pPr>
        <w:keepNext/>
        <w:tabs>
          <w:tab w:val="clear" w:pos="567"/>
          <w:tab w:val="clear" w:pos="1134"/>
          <w:tab w:val="clear" w:pos="1701"/>
          <w:tab w:val="clear" w:pos="2268"/>
          <w:tab w:val="clear" w:pos="6237"/>
        </w:tabs>
        <w:autoSpaceDE w:val="0"/>
        <w:autoSpaceDN w:val="0"/>
        <w:adjustRightInd w:val="0"/>
        <w:rPr>
          <w:i/>
          <w:color w:val="000000"/>
          <w:szCs w:val="24"/>
        </w:rPr>
      </w:pPr>
      <w:r w:rsidRPr="002765FF">
        <w:rPr>
          <w:i/>
          <w:color w:val="000000"/>
          <w:szCs w:val="24"/>
        </w:rPr>
        <w:t>Нехватка питательных микроэлементов</w:t>
      </w:r>
    </w:p>
    <w:p w:rsidR="004D5C13" w:rsidRDefault="004D5C13" w:rsidP="00586F50">
      <w:pPr>
        <w:keepNext/>
        <w:tabs>
          <w:tab w:val="clear" w:pos="567"/>
          <w:tab w:val="clear" w:pos="1134"/>
          <w:tab w:val="clear" w:pos="1701"/>
          <w:tab w:val="clear" w:pos="2268"/>
          <w:tab w:val="clear" w:pos="6237"/>
        </w:tabs>
        <w:autoSpaceDE w:val="0"/>
        <w:autoSpaceDN w:val="0"/>
        <w:adjustRightInd w:val="0"/>
        <w:rPr>
          <w:color w:val="000000"/>
          <w:szCs w:val="24"/>
          <w:u w:val="single"/>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551.</w:t>
      </w:r>
      <w:r>
        <w:rPr>
          <w:color w:val="000000"/>
          <w:szCs w:val="24"/>
        </w:rPr>
        <w:tab/>
        <w:t>На Филиппинах отмечается дефицит питательных микроэлементов, особенно витамина А, железа и йода.  Это может иметь серьезные последствия для здоровья, что впоследствии негативно сказывается на национальном развитии.</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b/>
          <w:color w:val="000000"/>
          <w:szCs w:val="24"/>
        </w:rPr>
      </w:pPr>
      <w:r w:rsidRPr="00983640">
        <w:rPr>
          <w:b/>
          <w:color w:val="000000"/>
          <w:szCs w:val="24"/>
        </w:rPr>
        <w:t>2.</w:t>
      </w:r>
      <w:r w:rsidRPr="00983640">
        <w:rPr>
          <w:b/>
          <w:color w:val="000000"/>
          <w:szCs w:val="24"/>
          <w:lang w:val="en-US"/>
        </w:rPr>
        <w:t>d</w:t>
      </w:r>
      <w:r>
        <w:rPr>
          <w:b/>
          <w:color w:val="000000"/>
          <w:szCs w:val="24"/>
        </w:rPr>
        <w:tab/>
      </w:r>
      <w:r w:rsidRPr="00983640">
        <w:rPr>
          <w:b/>
          <w:color w:val="000000"/>
          <w:szCs w:val="24"/>
        </w:rPr>
        <w:t>Меры, необходимые для обеспечения доступа к достаточному питанию</w:t>
      </w:r>
    </w:p>
    <w:p w:rsidR="004D5C13" w:rsidRDefault="004D5C13" w:rsidP="004D5C13">
      <w:pPr>
        <w:tabs>
          <w:tab w:val="clear" w:pos="567"/>
          <w:tab w:val="clear" w:pos="1134"/>
          <w:tab w:val="clear" w:pos="1701"/>
          <w:tab w:val="clear" w:pos="2268"/>
          <w:tab w:val="clear" w:pos="6237"/>
        </w:tabs>
        <w:autoSpaceDE w:val="0"/>
        <w:autoSpaceDN w:val="0"/>
        <w:adjustRightInd w:val="0"/>
        <w:rPr>
          <w:b/>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552.</w:t>
      </w:r>
      <w:r>
        <w:rPr>
          <w:color w:val="000000"/>
          <w:szCs w:val="24"/>
        </w:rPr>
        <w:tab/>
        <w:t>В рамках деятельности по обеспечению доступа к полноценному питанию правительство Филиппин уделяет приоритетное внимание продовольственной безопасности и сокращению масштабов нищеты.  В этой связи принимаются меры по обеспечению наличия продуктов питания и их доступности для всех потребителей при одновременной защите благосостояния филиппинских фермеров.</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Pr="002765FF" w:rsidRDefault="004D5C13" w:rsidP="004D5C13">
      <w:pPr>
        <w:tabs>
          <w:tab w:val="clear" w:pos="567"/>
          <w:tab w:val="clear" w:pos="1134"/>
          <w:tab w:val="clear" w:pos="1701"/>
          <w:tab w:val="clear" w:pos="2268"/>
          <w:tab w:val="clear" w:pos="6237"/>
        </w:tabs>
        <w:autoSpaceDE w:val="0"/>
        <w:autoSpaceDN w:val="0"/>
        <w:adjustRightInd w:val="0"/>
        <w:rPr>
          <w:i/>
          <w:color w:val="000000"/>
          <w:szCs w:val="24"/>
        </w:rPr>
      </w:pPr>
      <w:r w:rsidRPr="002765FF">
        <w:rPr>
          <w:i/>
          <w:color w:val="000000"/>
          <w:szCs w:val="24"/>
        </w:rPr>
        <w:t>Меры, принимаемые в целях поощрения расширения прав женщин в экономической сфере</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553.</w:t>
      </w:r>
      <w:r>
        <w:rPr>
          <w:color w:val="000000"/>
          <w:szCs w:val="24"/>
        </w:rPr>
        <w:tab/>
        <w:t xml:space="preserve">В 2001 году президент страны Глория Макапагал-Арройо </w:t>
      </w:r>
      <w:r>
        <w:t>заявила, что в борьбе с бедностью ее администрация возлагает основные надежды на микрофинансирование, и в этой связи она дала указ</w:t>
      </w:r>
      <w:r>
        <w:t>а</w:t>
      </w:r>
      <w:r>
        <w:t>ние Финансовой корпорации кредитования населения (ФККН) выделить средства для 1 млн. заемщиков до июня 2004 года.  В период с июня 2001 года по декабрь 2003 года</w:t>
      </w:r>
      <w:r w:rsidRPr="003E1AD6">
        <w:t xml:space="preserve"> </w:t>
      </w:r>
      <w:r>
        <w:t>ФККН сообщила, что она выдала кр</w:t>
      </w:r>
      <w:r>
        <w:t>е</w:t>
      </w:r>
      <w:r>
        <w:t>диты уже 864 956 заемщикам, 98</w:t>
      </w:r>
      <w:r w:rsidRPr="003968F5">
        <w:t>%</w:t>
      </w:r>
      <w:r>
        <w:t xml:space="preserve"> которых составляют же</w:t>
      </w:r>
      <w:r>
        <w:t>н</w:t>
      </w:r>
      <w:r>
        <w:t>щины.</w:t>
      </w:r>
    </w:p>
    <w:p w:rsidR="004D5C13" w:rsidRDefault="004D5C13" w:rsidP="004D5C13">
      <w:pPr>
        <w:tabs>
          <w:tab w:val="clear" w:pos="567"/>
          <w:tab w:val="clear" w:pos="1134"/>
          <w:tab w:val="clear" w:pos="1701"/>
          <w:tab w:val="clear" w:pos="2268"/>
          <w:tab w:val="clear" w:pos="6237"/>
        </w:tabs>
        <w:autoSpaceDE w:val="0"/>
        <w:autoSpaceDN w:val="0"/>
        <w:adjustRightInd w:val="0"/>
        <w:rPr>
          <w:color w:val="000000"/>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i/>
          <w:szCs w:val="24"/>
        </w:rPr>
      </w:pPr>
      <w:r>
        <w:rPr>
          <w:color w:val="000000"/>
          <w:szCs w:val="24"/>
        </w:rPr>
        <w:t>554.</w:t>
      </w:r>
      <w:r>
        <w:rPr>
          <w:color w:val="000000"/>
          <w:szCs w:val="24"/>
        </w:rPr>
        <w:tab/>
        <w:t xml:space="preserve">МСОР реализует несколько программ, направленных на оказание содействия женщинам, живущим в условиях нищеты, включая: </w:t>
      </w:r>
      <w:r w:rsidRPr="006B7CB4">
        <w:rPr>
          <w:color w:val="000000"/>
          <w:szCs w:val="24"/>
        </w:rPr>
        <w:t xml:space="preserve"> </w:t>
      </w:r>
      <w:r>
        <w:rPr>
          <w:i/>
          <w:szCs w:val="24"/>
        </w:rPr>
        <w:t>П</w:t>
      </w:r>
      <w:r w:rsidRPr="00617C77">
        <w:rPr>
          <w:i/>
          <w:szCs w:val="24"/>
        </w:rPr>
        <w:t>рограмм</w:t>
      </w:r>
      <w:r>
        <w:rPr>
          <w:i/>
          <w:szCs w:val="24"/>
        </w:rPr>
        <w:t>у</w:t>
      </w:r>
      <w:r w:rsidRPr="00617C77">
        <w:rPr>
          <w:i/>
          <w:szCs w:val="24"/>
        </w:rPr>
        <w:t xml:space="preserve"> поддержки индивидуальной трудовой деятельности – Каунларан (ПИТДК)</w:t>
      </w:r>
      <w:r w:rsidRPr="006B7CB4">
        <w:rPr>
          <w:szCs w:val="24"/>
        </w:rPr>
        <w:t xml:space="preserve"> </w:t>
      </w:r>
      <w:r>
        <w:rPr>
          <w:szCs w:val="24"/>
        </w:rPr>
        <w:t xml:space="preserve">и </w:t>
      </w:r>
      <w:r>
        <w:rPr>
          <w:i/>
          <w:szCs w:val="24"/>
        </w:rPr>
        <w:t>П</w:t>
      </w:r>
      <w:r w:rsidRPr="00617C77">
        <w:rPr>
          <w:i/>
          <w:szCs w:val="24"/>
        </w:rPr>
        <w:t>рограмм</w:t>
      </w:r>
      <w:r>
        <w:rPr>
          <w:i/>
          <w:szCs w:val="24"/>
        </w:rPr>
        <w:t>у</w:t>
      </w:r>
      <w:r>
        <w:rPr>
          <w:szCs w:val="24"/>
        </w:rPr>
        <w:t xml:space="preserve"> </w:t>
      </w:r>
      <w:r w:rsidRPr="000C1571">
        <w:rPr>
          <w:i/>
          <w:szCs w:val="24"/>
        </w:rPr>
        <w:t>"</w:t>
      </w:r>
      <w:r w:rsidRPr="00617C77">
        <w:rPr>
          <w:i/>
          <w:szCs w:val="24"/>
        </w:rPr>
        <w:t>Повышение роли и статуса филиппинских женщин в области социального развития</w:t>
      </w:r>
      <w:r>
        <w:rPr>
          <w:i/>
          <w:szCs w:val="24"/>
        </w:rPr>
        <w:t>".</w:t>
      </w:r>
    </w:p>
    <w:p w:rsidR="004D5C13" w:rsidRDefault="004D5C13" w:rsidP="004D5C13">
      <w:pPr>
        <w:tabs>
          <w:tab w:val="clear" w:pos="567"/>
          <w:tab w:val="clear" w:pos="1134"/>
          <w:tab w:val="clear" w:pos="1701"/>
          <w:tab w:val="clear" w:pos="2268"/>
          <w:tab w:val="clear" w:pos="6237"/>
        </w:tabs>
        <w:autoSpaceDE w:val="0"/>
        <w:autoSpaceDN w:val="0"/>
        <w:adjustRightInd w:val="0"/>
        <w:rPr>
          <w:i/>
          <w:szCs w:val="24"/>
        </w:rPr>
      </w:pPr>
    </w:p>
    <w:p w:rsidR="004D5C13" w:rsidRPr="00C27E87" w:rsidRDefault="004D5C13" w:rsidP="004D5C13">
      <w:pPr>
        <w:tabs>
          <w:tab w:val="clear" w:pos="567"/>
          <w:tab w:val="clear" w:pos="1134"/>
          <w:tab w:val="clear" w:pos="1701"/>
          <w:tab w:val="clear" w:pos="2268"/>
          <w:tab w:val="clear" w:pos="6237"/>
        </w:tabs>
        <w:autoSpaceDE w:val="0"/>
        <w:autoSpaceDN w:val="0"/>
        <w:adjustRightInd w:val="0"/>
        <w:rPr>
          <w:szCs w:val="24"/>
        </w:rPr>
      </w:pPr>
      <w:r>
        <w:rPr>
          <w:szCs w:val="24"/>
        </w:rPr>
        <w:t>555.</w:t>
      </w:r>
      <w:r>
        <w:rPr>
          <w:szCs w:val="24"/>
        </w:rPr>
        <w:tab/>
        <w:t xml:space="preserve">В соответствии с комплексной программой </w:t>
      </w:r>
      <w:r w:rsidRPr="006252CC">
        <w:rPr>
          <w:szCs w:val="24"/>
        </w:rPr>
        <w:t>ПИТД-Каунларан</w:t>
      </w:r>
      <w:r>
        <w:rPr>
          <w:szCs w:val="24"/>
        </w:rPr>
        <w:t xml:space="preserve"> семьи могут объединяться и создавать собственные ассоциации, называемые </w:t>
      </w:r>
      <w:r w:rsidRPr="00AB248E">
        <w:rPr>
          <w:szCs w:val="24"/>
        </w:rPr>
        <w:t>ПИТД-Кабаянс</w:t>
      </w:r>
      <w:r>
        <w:rPr>
          <w:szCs w:val="24"/>
        </w:rPr>
        <w:t xml:space="preserve">, которые, в свою очередь, могут </w:t>
      </w:r>
      <w:r w:rsidRPr="00F02512">
        <w:rPr>
          <w:szCs w:val="24"/>
        </w:rPr>
        <w:t xml:space="preserve">получать доступ к более крупным </w:t>
      </w:r>
      <w:r>
        <w:rPr>
          <w:szCs w:val="24"/>
        </w:rPr>
        <w:t xml:space="preserve">кредитам </w:t>
      </w:r>
      <w:r w:rsidRPr="00F02512">
        <w:rPr>
          <w:szCs w:val="24"/>
        </w:rPr>
        <w:t>на</w:t>
      </w:r>
      <w:r>
        <w:rPr>
          <w:szCs w:val="24"/>
        </w:rPr>
        <w:t xml:space="preserve"> ц</w:t>
      </w:r>
      <w:r w:rsidRPr="00F02512">
        <w:rPr>
          <w:szCs w:val="24"/>
        </w:rPr>
        <w:t>ели создания микропредприятий</w:t>
      </w:r>
      <w:r>
        <w:rPr>
          <w:szCs w:val="24"/>
        </w:rPr>
        <w:t>.</w:t>
      </w:r>
    </w:p>
    <w:p w:rsidR="004D5C13" w:rsidRPr="00C27E87" w:rsidRDefault="004D5C13" w:rsidP="004D5C13">
      <w:pPr>
        <w:tabs>
          <w:tab w:val="clear" w:pos="567"/>
          <w:tab w:val="clear" w:pos="1134"/>
          <w:tab w:val="clear" w:pos="1701"/>
          <w:tab w:val="clear" w:pos="2268"/>
          <w:tab w:val="clear" w:pos="6237"/>
        </w:tabs>
        <w:autoSpaceDE w:val="0"/>
        <w:autoSpaceDN w:val="0"/>
        <w:adjustRightInd w:val="0"/>
        <w:rPr>
          <w:szCs w:val="24"/>
        </w:rPr>
      </w:pPr>
    </w:p>
    <w:p w:rsidR="004D5C13" w:rsidRDefault="004D5C13" w:rsidP="004D5C13">
      <w:pPr>
        <w:tabs>
          <w:tab w:val="clear" w:pos="567"/>
          <w:tab w:val="clear" w:pos="1134"/>
          <w:tab w:val="clear" w:pos="1701"/>
          <w:tab w:val="clear" w:pos="2268"/>
          <w:tab w:val="clear" w:pos="6237"/>
        </w:tabs>
        <w:autoSpaceDE w:val="0"/>
        <w:autoSpaceDN w:val="0"/>
        <w:adjustRightInd w:val="0"/>
        <w:rPr>
          <w:szCs w:val="24"/>
        </w:rPr>
      </w:pPr>
      <w:r w:rsidRPr="000C1FC0">
        <w:rPr>
          <w:szCs w:val="24"/>
        </w:rPr>
        <w:t>556</w:t>
      </w:r>
      <w:r>
        <w:rPr>
          <w:szCs w:val="24"/>
        </w:rPr>
        <w:t>.</w:t>
      </w:r>
      <w:r>
        <w:rPr>
          <w:szCs w:val="24"/>
        </w:rPr>
        <w:tab/>
        <w:t xml:space="preserve">В рамках </w:t>
      </w:r>
      <w:r>
        <w:rPr>
          <w:i/>
          <w:szCs w:val="24"/>
        </w:rPr>
        <w:t>П</w:t>
      </w:r>
      <w:r w:rsidRPr="00617C77">
        <w:rPr>
          <w:i/>
          <w:szCs w:val="24"/>
        </w:rPr>
        <w:t>рограмм</w:t>
      </w:r>
      <w:r>
        <w:rPr>
          <w:i/>
          <w:szCs w:val="24"/>
        </w:rPr>
        <w:t>ы</w:t>
      </w:r>
      <w:r>
        <w:rPr>
          <w:szCs w:val="24"/>
        </w:rPr>
        <w:t xml:space="preserve"> "</w:t>
      </w:r>
      <w:r w:rsidRPr="00617C77">
        <w:rPr>
          <w:i/>
          <w:szCs w:val="24"/>
        </w:rPr>
        <w:t>Повышение роли и статуса филиппинских женщин в области социального развития</w:t>
      </w:r>
      <w:r w:rsidRPr="007024FF">
        <w:rPr>
          <w:szCs w:val="24"/>
        </w:rPr>
        <w:t xml:space="preserve">" </w:t>
      </w:r>
      <w:r>
        <w:rPr>
          <w:szCs w:val="24"/>
        </w:rPr>
        <w:t>обеспечивается доступность кредитных учреждений для женщин и поощряется создание общинных организаций, которые могут осуществлять программы устойчивого кредитования в интересах своих членов.</w:t>
      </w:r>
    </w:p>
    <w:p w:rsidR="004C7748" w:rsidRDefault="004C7748" w:rsidP="004C7748"/>
    <w:p w:rsidR="004C7748" w:rsidRDefault="004C7748" w:rsidP="004C7748">
      <w:pPr>
        <w:tabs>
          <w:tab w:val="clear" w:pos="567"/>
          <w:tab w:val="clear" w:pos="1134"/>
          <w:tab w:val="clear" w:pos="1701"/>
          <w:tab w:val="clear" w:pos="2268"/>
          <w:tab w:val="clear" w:pos="6237"/>
        </w:tabs>
        <w:autoSpaceDE w:val="0"/>
        <w:autoSpaceDN w:val="0"/>
        <w:adjustRightInd w:val="0"/>
      </w:pPr>
      <w:r>
        <w:rPr>
          <w:szCs w:val="24"/>
        </w:rPr>
        <w:t>557.</w:t>
      </w:r>
      <w:r>
        <w:rPr>
          <w:szCs w:val="24"/>
        </w:rPr>
        <w:tab/>
        <w:t xml:space="preserve">Со своей стороны, МСХ </w:t>
      </w:r>
      <w:r>
        <w:t xml:space="preserve">в рамках своей программы </w:t>
      </w:r>
      <w:r>
        <w:rPr>
          <w:i/>
          <w:iCs/>
        </w:rPr>
        <w:t>Гининтуанг Масагананг Ани</w:t>
      </w:r>
      <w:r>
        <w:t xml:space="preserve"> (Золотой урожай), касающейся стимулирования занятости в сельских районах, предоставляет кредиты и займы женщинам, проживающим в сельской местности.  В соответствии с этой программой корпорация "Кеданкор" выделила около 1,6 млрд. филиппинских песо на предоставление сельскохозяйственных кредитов и займов 45 173 женщинам по всей стране.  МСХ также предоставило ссуды 113 обществам по улучшению положения сельского населения, которыми воспользовался 2 691 член этих обществ, а также 19 группам из 174 заемщиков в рамках Программы расширения домашнего хозяйства.</w:t>
      </w:r>
    </w:p>
    <w:p w:rsidR="004C7748" w:rsidRDefault="004C7748" w:rsidP="004C7748">
      <w:pPr>
        <w:tabs>
          <w:tab w:val="clear" w:pos="567"/>
          <w:tab w:val="clear" w:pos="1134"/>
          <w:tab w:val="clear" w:pos="1701"/>
          <w:tab w:val="clear" w:pos="2268"/>
          <w:tab w:val="clear" w:pos="6237"/>
        </w:tabs>
        <w:autoSpaceDE w:val="0"/>
        <w:autoSpaceDN w:val="0"/>
        <w:adjustRightInd w:val="0"/>
      </w:pPr>
    </w:p>
    <w:p w:rsidR="004C7748" w:rsidRDefault="004C7748" w:rsidP="004C7748">
      <w:pPr>
        <w:tabs>
          <w:tab w:val="clear" w:pos="567"/>
          <w:tab w:val="clear" w:pos="1134"/>
          <w:tab w:val="clear" w:pos="1701"/>
          <w:tab w:val="clear" w:pos="2268"/>
          <w:tab w:val="clear" w:pos="6237"/>
        </w:tabs>
        <w:autoSpaceDE w:val="0"/>
        <w:autoSpaceDN w:val="0"/>
        <w:adjustRightInd w:val="0"/>
      </w:pPr>
      <w:r>
        <w:t>558.</w:t>
      </w:r>
      <w:r>
        <w:tab/>
        <w:t>МТП учредило программу "Один город – один продукт" (ОГОП) с целью расширения экономических прав лиц, живущих в сельских районах.  В рамках этой программы руководители муниципалитетов выявляют, разрабатывают и занимаются продвижением на рынок конкретного продукта или услуги</w:t>
      </w:r>
      <w:r w:rsidRPr="005F60EB">
        <w:t xml:space="preserve"> </w:t>
      </w:r>
      <w:r>
        <w:t>их района, которые обладают конкурентным преимуществом.  В 2005 году МТП провело в общей сложности 2 203 маркетинговых мероприятия.  В тот же период на торговых ярмарках были организованы стенды ОГОП с целью демонстрации этой продукции и услуг.  Кроме того, в настоящее время продукция, произведенная в рамках этой программы, продается в 663 торговых точках и 83 центрах (пасалубонг) по всей стране.</w:t>
      </w:r>
    </w:p>
    <w:p w:rsidR="004C7748" w:rsidRDefault="004C7748" w:rsidP="004C7748">
      <w:pPr>
        <w:tabs>
          <w:tab w:val="clear" w:pos="567"/>
          <w:tab w:val="clear" w:pos="1134"/>
          <w:tab w:val="clear" w:pos="1701"/>
          <w:tab w:val="clear" w:pos="2268"/>
          <w:tab w:val="clear" w:pos="6237"/>
        </w:tabs>
        <w:autoSpaceDE w:val="0"/>
        <w:autoSpaceDN w:val="0"/>
        <w:adjustRightInd w:val="0"/>
      </w:pPr>
    </w:p>
    <w:p w:rsidR="004C7748" w:rsidRDefault="004C7748" w:rsidP="004C7748">
      <w:pPr>
        <w:tabs>
          <w:tab w:val="clear" w:pos="567"/>
          <w:tab w:val="clear" w:pos="1134"/>
          <w:tab w:val="clear" w:pos="1701"/>
          <w:tab w:val="clear" w:pos="2268"/>
          <w:tab w:val="clear" w:pos="6237"/>
        </w:tabs>
        <w:autoSpaceDE w:val="0"/>
        <w:autoSpaceDN w:val="0"/>
        <w:adjustRightInd w:val="0"/>
      </w:pPr>
      <w:r>
        <w:t>559.</w:t>
      </w:r>
      <w:r>
        <w:tab/>
        <w:t xml:space="preserve">МТП совместно с Национальной комиссией по борьбе с нищетой и при участии органов местного самоуправления (ОМС) осуществляет </w:t>
      </w:r>
      <w:r w:rsidRPr="002E5F60">
        <w:rPr>
          <w:i/>
        </w:rPr>
        <w:t>Программу содействия развитию с</w:t>
      </w:r>
      <w:r>
        <w:rPr>
          <w:i/>
        </w:rPr>
        <w:t>ельских микропредприятий</w:t>
      </w:r>
      <w:r w:rsidRPr="00671037">
        <w:t xml:space="preserve"> (ПСРСМ)</w:t>
      </w:r>
      <w:r>
        <w:t>, которая направлена на сокращение масштабов нищеты, создание рабочих мест и увеличение доходов малоимущих жителей сельских районов за счет оказания помощи владельцам действующих и только что созданных микропредприятий с целью полной реализации ими своего потенциала путем расширения возможностей, укрепления рыночных связей и улучшения экономической политики.</w:t>
      </w:r>
    </w:p>
    <w:p w:rsidR="004C7748" w:rsidRDefault="004C7748" w:rsidP="004C7748">
      <w:pPr>
        <w:tabs>
          <w:tab w:val="clear" w:pos="567"/>
          <w:tab w:val="clear" w:pos="1134"/>
          <w:tab w:val="clear" w:pos="1701"/>
          <w:tab w:val="clear" w:pos="2268"/>
          <w:tab w:val="clear" w:pos="6237"/>
        </w:tabs>
        <w:autoSpaceDE w:val="0"/>
        <w:autoSpaceDN w:val="0"/>
        <w:adjustRightInd w:val="0"/>
      </w:pPr>
    </w:p>
    <w:p w:rsidR="004C7748" w:rsidRDefault="004C7748" w:rsidP="002765FF">
      <w:pPr>
        <w:tabs>
          <w:tab w:val="clear" w:pos="567"/>
          <w:tab w:val="clear" w:pos="1134"/>
          <w:tab w:val="clear" w:pos="1701"/>
          <w:tab w:val="clear" w:pos="2268"/>
          <w:tab w:val="clear" w:pos="6237"/>
        </w:tabs>
        <w:autoSpaceDE w:val="0"/>
        <w:autoSpaceDN w:val="0"/>
        <w:adjustRightInd w:val="0"/>
        <w:ind w:left="720" w:hanging="720"/>
        <w:rPr>
          <w:b/>
        </w:rPr>
      </w:pPr>
      <w:r w:rsidRPr="00BF2357">
        <w:rPr>
          <w:b/>
        </w:rPr>
        <w:t>2.е</w:t>
      </w:r>
      <w:r>
        <w:rPr>
          <w:b/>
        </w:rPr>
        <w:tab/>
      </w:r>
      <w:r w:rsidRPr="00BF2357">
        <w:rPr>
          <w:b/>
        </w:rPr>
        <w:t>Меры</w:t>
      </w:r>
      <w:r>
        <w:rPr>
          <w:b/>
        </w:rPr>
        <w:t xml:space="preserve"> по </w:t>
      </w:r>
      <w:r w:rsidRPr="00BF2357">
        <w:rPr>
          <w:b/>
        </w:rPr>
        <w:t>улучшени</w:t>
      </w:r>
      <w:r>
        <w:rPr>
          <w:b/>
        </w:rPr>
        <w:t>ю</w:t>
      </w:r>
      <w:r w:rsidRPr="00BF2357">
        <w:rPr>
          <w:b/>
        </w:rPr>
        <w:t xml:space="preserve"> методов производства и распр</w:t>
      </w:r>
      <w:r>
        <w:rPr>
          <w:b/>
        </w:rPr>
        <w:t>еделе</w:t>
      </w:r>
      <w:r w:rsidRPr="00BF2357">
        <w:rPr>
          <w:b/>
        </w:rPr>
        <w:t>ния продуктов питания</w:t>
      </w:r>
    </w:p>
    <w:p w:rsidR="004C7748" w:rsidRDefault="004C7748" w:rsidP="004C7748">
      <w:pPr>
        <w:tabs>
          <w:tab w:val="clear" w:pos="567"/>
          <w:tab w:val="clear" w:pos="1134"/>
          <w:tab w:val="clear" w:pos="1701"/>
          <w:tab w:val="clear" w:pos="2268"/>
          <w:tab w:val="clear" w:pos="6237"/>
        </w:tabs>
        <w:autoSpaceDE w:val="0"/>
        <w:autoSpaceDN w:val="0"/>
        <w:adjustRightInd w:val="0"/>
        <w:rPr>
          <w:b/>
        </w:rPr>
      </w:pPr>
    </w:p>
    <w:p w:rsidR="004C7748" w:rsidRPr="002765FF" w:rsidRDefault="004C7748" w:rsidP="004C7748">
      <w:pPr>
        <w:tabs>
          <w:tab w:val="clear" w:pos="567"/>
          <w:tab w:val="clear" w:pos="1134"/>
          <w:tab w:val="clear" w:pos="1701"/>
          <w:tab w:val="clear" w:pos="2268"/>
          <w:tab w:val="clear" w:pos="6237"/>
        </w:tabs>
        <w:autoSpaceDE w:val="0"/>
        <w:autoSpaceDN w:val="0"/>
        <w:adjustRightInd w:val="0"/>
        <w:rPr>
          <w:i/>
          <w:color w:val="000000"/>
          <w:szCs w:val="24"/>
        </w:rPr>
      </w:pPr>
      <w:r w:rsidRPr="002765FF">
        <w:rPr>
          <w:i/>
          <w:color w:val="000000"/>
          <w:szCs w:val="24"/>
        </w:rPr>
        <w:t>Методы производства</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u w:val="single"/>
        </w:rPr>
      </w:pPr>
    </w:p>
    <w:p w:rsidR="004C7748" w:rsidRDefault="004C7748" w:rsidP="004C7748">
      <w:pPr>
        <w:tabs>
          <w:tab w:val="clear" w:pos="567"/>
          <w:tab w:val="clear" w:pos="1134"/>
          <w:tab w:val="clear" w:pos="1701"/>
          <w:tab w:val="clear" w:pos="2268"/>
          <w:tab w:val="clear" w:pos="6237"/>
        </w:tabs>
        <w:autoSpaceDE w:val="0"/>
        <w:autoSpaceDN w:val="0"/>
        <w:adjustRightInd w:val="0"/>
        <w:rPr>
          <w:snapToGrid w:val="0"/>
        </w:rPr>
      </w:pPr>
      <w:r>
        <w:rPr>
          <w:color w:val="000000"/>
          <w:szCs w:val="24"/>
        </w:rPr>
        <w:t>560.</w:t>
      </w:r>
      <w:r>
        <w:rPr>
          <w:color w:val="000000"/>
          <w:szCs w:val="24"/>
        </w:rPr>
        <w:tab/>
        <w:t>28 июля 1997 года был принят РЗ 8435 под названием "</w:t>
      </w:r>
      <w:r>
        <w:rPr>
          <w:snapToGrid w:val="0"/>
        </w:rPr>
        <w:t>Закон о модернизации сельского хозяйства и рыболовства"</w:t>
      </w:r>
      <w:r w:rsidRPr="00F941CC">
        <w:rPr>
          <w:snapToGrid w:val="0"/>
        </w:rPr>
        <w:t xml:space="preserve"> </w:t>
      </w:r>
      <w:r>
        <w:rPr>
          <w:snapToGrid w:val="0"/>
        </w:rPr>
        <w:t>(ЗМСР), который предусматривает укрепление и поддержку мер по модернизации сельского хозяйства и рыболовства и расширению прав лиц, в частности мелких землевладельцев, участвующих в процессе устойчивого сельскохозяйственного развития.</w:t>
      </w:r>
    </w:p>
    <w:p w:rsidR="004C7748" w:rsidRDefault="004C7748" w:rsidP="004C7748">
      <w:pPr>
        <w:tabs>
          <w:tab w:val="clear" w:pos="567"/>
          <w:tab w:val="clear" w:pos="1134"/>
          <w:tab w:val="clear" w:pos="1701"/>
          <w:tab w:val="clear" w:pos="2268"/>
          <w:tab w:val="clear" w:pos="6237"/>
        </w:tabs>
        <w:autoSpaceDE w:val="0"/>
        <w:autoSpaceDN w:val="0"/>
        <w:adjustRightInd w:val="0"/>
        <w:rPr>
          <w:snapToGrid w:val="0"/>
        </w:rPr>
      </w:pPr>
    </w:p>
    <w:p w:rsidR="004C7748" w:rsidRDefault="004C7748" w:rsidP="004C7748">
      <w:pPr>
        <w:tabs>
          <w:tab w:val="clear" w:pos="567"/>
          <w:tab w:val="clear" w:pos="1134"/>
          <w:tab w:val="clear" w:pos="1701"/>
          <w:tab w:val="clear" w:pos="2268"/>
          <w:tab w:val="clear" w:pos="6237"/>
        </w:tabs>
        <w:autoSpaceDE w:val="0"/>
        <w:autoSpaceDN w:val="0"/>
        <w:adjustRightInd w:val="0"/>
      </w:pPr>
      <w:r>
        <w:rPr>
          <w:snapToGrid w:val="0"/>
        </w:rPr>
        <w:t>561.</w:t>
      </w:r>
      <w:r>
        <w:rPr>
          <w:snapToGrid w:val="0"/>
        </w:rPr>
        <w:tab/>
        <w:t xml:space="preserve">Для практической реализации ЗМСР министерством сельского хозяйства был разработан проект программы развития сельского хозяйства:  </w:t>
      </w:r>
      <w:r>
        <w:rPr>
          <w:i/>
          <w:iCs/>
        </w:rPr>
        <w:t>Гининтуанг Масагананг Ани</w:t>
      </w:r>
      <w:r>
        <w:t xml:space="preserve"> (ГМА) </w:t>
      </w:r>
      <w:r w:rsidRPr="00900648">
        <w:rPr>
          <w:i/>
        </w:rPr>
        <w:t xml:space="preserve">Макапагпабагонг </w:t>
      </w:r>
      <w:r>
        <w:rPr>
          <w:i/>
        </w:rPr>
        <w:t xml:space="preserve">Программа </w:t>
      </w:r>
      <w:r w:rsidRPr="00900648">
        <w:rPr>
          <w:i/>
        </w:rPr>
        <w:t>Тунго са Масагана ат Маунлад на Агрикултура ат Пангисдаан</w:t>
      </w:r>
      <w:r>
        <w:t xml:space="preserve"> (Золотой урожай </w:t>
      </w:r>
      <w:r>
        <w:sym w:font="Symbol" w:char="F02D"/>
      </w:r>
      <w:r>
        <w:t xml:space="preserve"> Инновационная программа развития прогрессивного и продуктивного сельского хозяйства и аквакультуры).  Основное внимание в рамках данной программы уделяется обеспечению продовольственной безопасности и сокращению масштабов нищеты.  При этом местные органы власти и другие участники разрабатывают собственные проекты и программы, применимые в их соответствующих районах.  Такие программы направлены на обеспечение продовольственной безопасности за счет повышения урожайности на орошаемых территориях и сокращение масштабов нищеты путем предоставления помощи маргинальным районам в расширении прав наименее обеспеченных лиц</w:t>
      </w:r>
      <w:r>
        <w:rPr>
          <w:rStyle w:val="FootnoteReference"/>
        </w:rPr>
        <w:footnoteReference w:id="37"/>
      </w:r>
      <w:r>
        <w:t>.</w:t>
      </w:r>
    </w:p>
    <w:p w:rsidR="004C7748" w:rsidRDefault="004C7748" w:rsidP="004C7748">
      <w:pPr>
        <w:tabs>
          <w:tab w:val="clear" w:pos="567"/>
          <w:tab w:val="clear" w:pos="1134"/>
          <w:tab w:val="clear" w:pos="1701"/>
          <w:tab w:val="clear" w:pos="2268"/>
          <w:tab w:val="clear" w:pos="6237"/>
        </w:tabs>
        <w:autoSpaceDE w:val="0"/>
        <w:autoSpaceDN w:val="0"/>
        <w:adjustRightInd w:val="0"/>
      </w:pPr>
    </w:p>
    <w:p w:rsidR="004C7748" w:rsidRPr="002765FF" w:rsidRDefault="004C7748" w:rsidP="004C7748">
      <w:pPr>
        <w:tabs>
          <w:tab w:val="clear" w:pos="567"/>
          <w:tab w:val="clear" w:pos="1134"/>
          <w:tab w:val="clear" w:pos="1701"/>
          <w:tab w:val="clear" w:pos="2268"/>
          <w:tab w:val="clear" w:pos="6237"/>
        </w:tabs>
        <w:autoSpaceDE w:val="0"/>
        <w:autoSpaceDN w:val="0"/>
        <w:adjustRightInd w:val="0"/>
        <w:rPr>
          <w:i/>
        </w:rPr>
      </w:pPr>
      <w:r w:rsidRPr="002765FF">
        <w:rPr>
          <w:i/>
        </w:rPr>
        <w:t>Реализованная прибыль</w:t>
      </w:r>
    </w:p>
    <w:p w:rsidR="004C7748" w:rsidRDefault="004C7748" w:rsidP="004C7748">
      <w:pPr>
        <w:tabs>
          <w:tab w:val="clear" w:pos="567"/>
          <w:tab w:val="clear" w:pos="1134"/>
          <w:tab w:val="clear" w:pos="1701"/>
          <w:tab w:val="clear" w:pos="2268"/>
          <w:tab w:val="clear" w:pos="6237"/>
        </w:tabs>
        <w:autoSpaceDE w:val="0"/>
        <w:autoSpaceDN w:val="0"/>
        <w:adjustRightInd w:val="0"/>
        <w:rPr>
          <w:u w:val="single"/>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562.</w:t>
      </w:r>
      <w:r>
        <w:rPr>
          <w:color w:val="000000"/>
          <w:szCs w:val="24"/>
        </w:rPr>
        <w:tab/>
        <w:t>В 2004 году прирост объема производства в сельском хозяйстве в сравнении с 2003 годом составил 5,06%.  Несмотря на разрушительные последствия нескольких тайфунов, происшедших в стране в четвертом квартале, в зерновом, птицеводческом и рыбопромысловом подсекторах увеличение объемов производства было стабильным.  Небольшое снижение объемов производства</w:t>
      </w:r>
      <w:r w:rsidRPr="008B7FF4">
        <w:rPr>
          <w:color w:val="000000"/>
          <w:szCs w:val="24"/>
        </w:rPr>
        <w:t xml:space="preserve"> </w:t>
      </w:r>
      <w:r>
        <w:rPr>
          <w:color w:val="000000"/>
          <w:szCs w:val="24"/>
        </w:rPr>
        <w:t>отмечено только в животноводческом подсекторе.  С учетом нынешних цен валовая стоимость сельскохозяйственной продукции составила 783,9 млрд. филиппинских песо, что на 18,4% больше, чем в прошлом году.</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563.</w:t>
      </w:r>
      <w:r>
        <w:rPr>
          <w:color w:val="000000"/>
          <w:szCs w:val="24"/>
        </w:rPr>
        <w:tab/>
        <w:t xml:space="preserve">В зерновом подсекторе в 2004 году объемы производства возросли на 4,89%.  Наилучшие показатели были отмечены в хозяйствах, производящих рис и кукурузу, объемы производства которых возросли на 7,38 и 17,28%, соответственно.  Кроме того, существенно увеличились объемы производства бананов, ананасов, помидоров и каучука.  В целом вклад указанных секторов в сельское хозяйство составил 47,46%, что равно 383,2 млрд. филиппинских песо и что на 15,83% выше показателей </w:t>
      </w:r>
      <w:r w:rsidRPr="00EF45B1">
        <w:rPr>
          <w:color w:val="000000"/>
          <w:szCs w:val="24"/>
        </w:rPr>
        <w:t>2003 года</w:t>
      </w:r>
      <w:r>
        <w:rPr>
          <w:color w:val="000000"/>
          <w:szCs w:val="24"/>
        </w:rPr>
        <w:t>.</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564.</w:t>
      </w:r>
      <w:r>
        <w:rPr>
          <w:color w:val="000000"/>
          <w:szCs w:val="24"/>
        </w:rPr>
        <w:tab/>
        <w:t>В животноводстве, доля которого в общем объеме сельскохозяйственной продукции составила 13,53%, в 2004 году объем производства уменьшился на 0,41%.  Это было вызвано в значительной степени сокращением производства в секторе свиноводства и крупного рогатого скота.  В нынешних ценах валовая стоимость произведенной продукции составила 145,7 млрд. филиппинских песо и в течение года увеличилась на 27,01%.</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565.</w:t>
      </w:r>
      <w:r>
        <w:rPr>
          <w:color w:val="000000"/>
          <w:szCs w:val="24"/>
        </w:rPr>
        <w:tab/>
        <w:t>В подсекторе птицеводства был зафиксирован прирост на 4,23%.  Доля этого подсектора в общем объеме сельскохозяйственной продукции составила 15,57%.  За исключением уток, по всем остальным отраслям птицеводства в течение года был зарегистрирован некоторый прирост.  Валовая стоимость произведенной в подсекторе продукции достигла 116,0 млрд. филиппинских песо в нынешних ценах, что на 19,96% больше, чем в прошлом году.</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566.</w:t>
      </w:r>
      <w:r>
        <w:rPr>
          <w:color w:val="000000"/>
          <w:szCs w:val="24"/>
        </w:rPr>
        <w:tab/>
        <w:t>Увеличение объемов производства на 17,9% в секторе аквакультуры в целом способствовало повышению показателей производства в рыбопромысловом подсекторе на 9,45%.  Объемы продукции коммерческих предприятий рыбной промышленности возросли на 1,86%, а объемы продукции муниципальных рыбных хозяйств - на 2,43%.  Валовой объем производства в указанном подсекторе, составивший 23,44% от общего объема сельскохозяйственной продукции в нынешних ценах, достиг 139,1 млрд. филиппинских песо, что на 16,03% превышает предыдущие показатели.</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567.</w:t>
      </w:r>
      <w:r>
        <w:rPr>
          <w:color w:val="000000"/>
          <w:szCs w:val="24"/>
        </w:rPr>
        <w:tab/>
        <w:t>В среднем цены на продукцию сельского хозяйства повысились на 12,71% по сравнению с 2003 годом.  В наибольшей степени цены возросли в сфере животноводства:  (27,53%).  Цены в подсекторе птицеводства увеличились на 15,10%.  Рост цен в подсекторе зерновых культур</w:t>
      </w:r>
      <w:r w:rsidRPr="00034044">
        <w:rPr>
          <w:color w:val="000000"/>
          <w:szCs w:val="24"/>
        </w:rPr>
        <w:t xml:space="preserve"> </w:t>
      </w:r>
      <w:r>
        <w:rPr>
          <w:color w:val="000000"/>
          <w:szCs w:val="24"/>
        </w:rPr>
        <w:t>также продолжился, и в этом году было зарегистрировано их повышение на 10,43%.  Цены в рыбопромысловом подсекторе стабилизировались по сравнению с отрицательным ростом прошлого года и в 2004 году увеличились на 6,01%.</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568.</w:t>
      </w:r>
      <w:r>
        <w:rPr>
          <w:color w:val="000000"/>
          <w:szCs w:val="24"/>
        </w:rPr>
        <w:tab/>
        <w:t>Меры, принятые в 2004 году в рамках различных программ президента Глории Макапагал-Арройо, включали:  расширение площадей для выращивания гибридных сортов риса;  распределение таких производственных ресурсов, как посевной материал, минеральные удобрения, сеголеток, рыба, рыбная молодь, корма, скот, медикаменты для ветеринарных целей;  создание послеуборочных/производственных сооружений;  и создание питомников для разведения морских водорослей.</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Pr="002765FF" w:rsidRDefault="004C7748" w:rsidP="004C7748">
      <w:pPr>
        <w:tabs>
          <w:tab w:val="clear" w:pos="567"/>
          <w:tab w:val="clear" w:pos="1134"/>
          <w:tab w:val="clear" w:pos="1701"/>
          <w:tab w:val="clear" w:pos="2268"/>
          <w:tab w:val="clear" w:pos="6237"/>
        </w:tabs>
        <w:autoSpaceDE w:val="0"/>
        <w:autoSpaceDN w:val="0"/>
        <w:adjustRightInd w:val="0"/>
        <w:rPr>
          <w:i/>
          <w:color w:val="000000"/>
          <w:szCs w:val="24"/>
        </w:rPr>
      </w:pPr>
      <w:r w:rsidRPr="002765FF">
        <w:rPr>
          <w:i/>
          <w:color w:val="000000"/>
          <w:szCs w:val="24"/>
        </w:rPr>
        <w:t>Способы распределения</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u w:val="single"/>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569.</w:t>
      </w:r>
      <w:r>
        <w:rPr>
          <w:color w:val="000000"/>
          <w:szCs w:val="24"/>
        </w:rPr>
        <w:tab/>
        <w:t>Национальная продовольственная служба (НПС), учрежденная при министерстве сельского хозяйства (МСХ), уполномочена обеспечивать постоянные поставки по стабильным ценам основных видов зерновых культур, включая рис и кукурузу, как на уровне сельскохозяйственных предприятий, так и на уровне потребителей.</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570.</w:t>
      </w:r>
      <w:r>
        <w:rPr>
          <w:color w:val="000000"/>
          <w:szCs w:val="24"/>
        </w:rPr>
        <w:tab/>
        <w:t>НПС применяет стратегии прямой и косвенной рыночной интервенции.  В рамках стратегии прямой рыночной интервенции НПС осуществляет поставки и реализацию зерновых культур через автолавки НПС или через аккредитованных розничных продавцов по ценам, устанавливаемым в соответствии с государственной системой буферного субсидирования.  С другой стороны, посредством косвенной рыночной интервенции</w:t>
      </w:r>
      <w:r w:rsidRPr="00750B84">
        <w:rPr>
          <w:color w:val="000000"/>
          <w:szCs w:val="24"/>
        </w:rPr>
        <w:t xml:space="preserve"> </w:t>
      </w:r>
      <w:r>
        <w:rPr>
          <w:color w:val="000000"/>
          <w:szCs w:val="24"/>
        </w:rPr>
        <w:t>НПС обеспечивает землевладельцам доступ и право собственности в отношении послеуборочных</w:t>
      </w:r>
      <w:r w:rsidRPr="00644CE6">
        <w:rPr>
          <w:color w:val="000000"/>
          <w:szCs w:val="24"/>
        </w:rPr>
        <w:t xml:space="preserve"> </w:t>
      </w:r>
      <w:r>
        <w:rPr>
          <w:color w:val="000000"/>
          <w:szCs w:val="24"/>
        </w:rPr>
        <w:t>сооружений и рыночных и услуг.  Работникам сельскохозяйственной сферы предоставлен приоритетный доступ к складам, зерносушилкам, мукомольным предприятиям, транспорту и весовому оборудованию, имеющимся в распоряжении НПС, по разумным ценам.  Кроме того, НПС оказывает содействие организациям фермеров в строительстве хранилищ с административными помещениями и необходимым специальным оборудованием для обработки и хранения урожая.  Фермерские организации, в свою очередь, обязуются продавать НПС установленный объем своей сезонной продукции.  Плата за пользование хранилищем обычно вносится за период от пяти до 15 лет.</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Default="004C7748" w:rsidP="004C7748">
      <w:pPr>
        <w:tabs>
          <w:tab w:val="clear" w:pos="567"/>
          <w:tab w:val="clear" w:pos="1134"/>
          <w:tab w:val="clear" w:pos="1701"/>
          <w:tab w:val="clear" w:pos="2268"/>
          <w:tab w:val="clear" w:pos="6237"/>
        </w:tabs>
        <w:autoSpaceDE w:val="0"/>
        <w:autoSpaceDN w:val="0"/>
        <w:adjustRightInd w:val="0"/>
        <w:rPr>
          <w:b/>
          <w:color w:val="000000"/>
          <w:szCs w:val="24"/>
        </w:rPr>
      </w:pPr>
      <w:r>
        <w:rPr>
          <w:color w:val="000000"/>
          <w:szCs w:val="24"/>
        </w:rPr>
        <w:t>571.</w:t>
      </w:r>
      <w:r>
        <w:rPr>
          <w:color w:val="000000"/>
          <w:szCs w:val="24"/>
        </w:rPr>
        <w:tab/>
        <w:t xml:space="preserve">Правительственная программа развития наземной и паромной транспортных систем, помимо обеспечения общественного доступа к отдельным туристическим объектам по всей стране, также предусматривает создание альтернативных возможностей для перевозки сельскохозяйственной продукции.  Так называемая Продовольственная магистраль РОРО позволяет производителям сельскохозяйственной продукции и рыбной промышленности осваивать новые производственные площади в районах ее прохождения.  Этот путь представляет собой более эффективный способ перевозки продуктов из Минданао в </w:t>
      </w:r>
      <w:r w:rsidRPr="008A01BB">
        <w:rPr>
          <w:color w:val="000000"/>
          <w:szCs w:val="24"/>
        </w:rPr>
        <w:t>Лусон</w:t>
      </w:r>
      <w:r>
        <w:rPr>
          <w:color w:val="000000"/>
          <w:szCs w:val="24"/>
        </w:rPr>
        <w:t>, что позволяет</w:t>
      </w:r>
      <w:r w:rsidRPr="008A01BB">
        <w:rPr>
          <w:color w:val="000000"/>
          <w:szCs w:val="24"/>
        </w:rPr>
        <w:t xml:space="preserve"> </w:t>
      </w:r>
      <w:r>
        <w:rPr>
          <w:color w:val="000000"/>
          <w:szCs w:val="24"/>
        </w:rPr>
        <w:t>создавать новые и более крупные рынки и более прочные сети</w:t>
      </w:r>
      <w:r w:rsidRPr="008A01BB">
        <w:rPr>
          <w:color w:val="000000"/>
          <w:szCs w:val="24"/>
        </w:rPr>
        <w:t xml:space="preserve"> межостровной торговли между севером и югом.</w:t>
      </w:r>
    </w:p>
    <w:p w:rsidR="004C7748" w:rsidRDefault="004C7748" w:rsidP="004C7748">
      <w:pPr>
        <w:tabs>
          <w:tab w:val="clear" w:pos="567"/>
          <w:tab w:val="clear" w:pos="1134"/>
          <w:tab w:val="clear" w:pos="1701"/>
          <w:tab w:val="clear" w:pos="2268"/>
          <w:tab w:val="clear" w:pos="6237"/>
        </w:tabs>
        <w:autoSpaceDE w:val="0"/>
        <w:autoSpaceDN w:val="0"/>
        <w:adjustRightInd w:val="0"/>
        <w:rPr>
          <w:b/>
          <w:color w:val="000000"/>
          <w:szCs w:val="24"/>
        </w:rPr>
      </w:pP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r w:rsidRPr="008A01BB">
        <w:rPr>
          <w:b/>
          <w:color w:val="000000"/>
          <w:szCs w:val="24"/>
        </w:rPr>
        <w:t>2.</w:t>
      </w:r>
      <w:r w:rsidRPr="008A01BB">
        <w:rPr>
          <w:b/>
          <w:color w:val="000000"/>
          <w:szCs w:val="24"/>
          <w:lang w:val="en-US"/>
        </w:rPr>
        <w:t>f</w:t>
      </w:r>
      <w:r>
        <w:rPr>
          <w:b/>
          <w:color w:val="000000"/>
          <w:szCs w:val="24"/>
        </w:rPr>
        <w:tab/>
      </w:r>
      <w:r w:rsidRPr="008A01BB">
        <w:rPr>
          <w:b/>
          <w:color w:val="000000"/>
          <w:szCs w:val="24"/>
        </w:rPr>
        <w:t>Меры</w:t>
      </w:r>
      <w:r>
        <w:rPr>
          <w:b/>
          <w:color w:val="000000"/>
          <w:szCs w:val="24"/>
        </w:rPr>
        <w:t xml:space="preserve"> по распространению</w:t>
      </w:r>
      <w:r w:rsidRPr="008A01BB">
        <w:rPr>
          <w:b/>
          <w:color w:val="000000"/>
          <w:szCs w:val="24"/>
        </w:rPr>
        <w:t xml:space="preserve"> знаний о принципах питания</w:t>
      </w:r>
    </w:p>
    <w:p w:rsidR="004C7748" w:rsidRDefault="004C7748" w:rsidP="004C7748">
      <w:pPr>
        <w:tabs>
          <w:tab w:val="clear" w:pos="567"/>
          <w:tab w:val="clear" w:pos="1134"/>
          <w:tab w:val="clear" w:pos="1701"/>
          <w:tab w:val="clear" w:pos="2268"/>
          <w:tab w:val="clear" w:pos="6237"/>
        </w:tabs>
        <w:autoSpaceDE w:val="0"/>
        <w:autoSpaceDN w:val="0"/>
        <w:adjustRightInd w:val="0"/>
        <w:rPr>
          <w:color w:val="000000"/>
          <w:szCs w:val="24"/>
        </w:rPr>
      </w:pPr>
    </w:p>
    <w:p w:rsidR="004C7748" w:rsidRDefault="004C7748" w:rsidP="004C7748">
      <w:pPr>
        <w:rPr>
          <w:color w:val="000000"/>
          <w:szCs w:val="24"/>
        </w:rPr>
      </w:pPr>
      <w:r>
        <w:rPr>
          <w:color w:val="000000"/>
          <w:szCs w:val="24"/>
        </w:rPr>
        <w:t>572.</w:t>
      </w:r>
      <w:r>
        <w:rPr>
          <w:color w:val="000000"/>
          <w:szCs w:val="24"/>
        </w:rPr>
        <w:tab/>
        <w:t xml:space="preserve">Просвещение по вопросам питания является важным элементом </w:t>
      </w:r>
      <w:r w:rsidR="008C1217">
        <w:rPr>
          <w:color w:val="000000"/>
          <w:szCs w:val="24"/>
        </w:rPr>
        <w:t>правительственной</w:t>
      </w:r>
      <w:r>
        <w:rPr>
          <w:color w:val="000000"/>
          <w:szCs w:val="24"/>
        </w:rPr>
        <w:t xml:space="preserve"> программы улучшения питания населения.  Ключевым аспектом данной программы является распространение руководящих принципов правильного питания, которые представляют собой простые практические инструкции по вопросам питания, направленные на обеспечение того, чтобы население имело полноценный и сбалансированный рацион питания и вело здоровый образ жизни.  </w:t>
      </w:r>
    </w:p>
    <w:p w:rsidR="004C7748" w:rsidRDefault="004C7748" w:rsidP="004C7748">
      <w:pPr>
        <w:rPr>
          <w:color w:val="000000"/>
          <w:szCs w:val="24"/>
        </w:rPr>
      </w:pPr>
    </w:p>
    <w:p w:rsidR="004C7748" w:rsidRDefault="004C7748" w:rsidP="004C7748">
      <w:pPr>
        <w:rPr>
          <w:color w:val="000000"/>
          <w:szCs w:val="24"/>
        </w:rPr>
      </w:pPr>
      <w:r>
        <w:rPr>
          <w:color w:val="000000"/>
          <w:szCs w:val="24"/>
        </w:rPr>
        <w:t>573.</w:t>
      </w:r>
      <w:r>
        <w:rPr>
          <w:color w:val="000000"/>
          <w:szCs w:val="24"/>
        </w:rPr>
        <w:tab/>
        <w:t xml:space="preserve">НИПП-МНТ в рамках программы "Здоровье для всех" координировал в 1990 году разработку первого сборника </w:t>
      </w:r>
      <w:r w:rsidRPr="004C0137">
        <w:rPr>
          <w:i/>
          <w:color w:val="000000"/>
          <w:szCs w:val="24"/>
        </w:rPr>
        <w:t>"Руковод</w:t>
      </w:r>
      <w:r>
        <w:rPr>
          <w:i/>
          <w:color w:val="000000"/>
          <w:szCs w:val="24"/>
        </w:rPr>
        <w:t>ящих принципов</w:t>
      </w:r>
      <w:r w:rsidRPr="004C0137">
        <w:rPr>
          <w:i/>
          <w:color w:val="000000"/>
          <w:szCs w:val="24"/>
        </w:rPr>
        <w:t xml:space="preserve"> питания для филиппинцев"</w:t>
      </w:r>
      <w:r>
        <w:rPr>
          <w:color w:val="000000"/>
          <w:szCs w:val="24"/>
        </w:rPr>
        <w:t>, состоящего из пяти основных блоков рекомендаций.</w:t>
      </w:r>
    </w:p>
    <w:p w:rsidR="004C7748" w:rsidRDefault="004C7748" w:rsidP="004C7748">
      <w:pPr>
        <w:rPr>
          <w:color w:val="000000"/>
          <w:szCs w:val="24"/>
        </w:rPr>
      </w:pPr>
    </w:p>
    <w:p w:rsidR="004C7748" w:rsidRDefault="004C7748" w:rsidP="004C7748">
      <w:pPr>
        <w:rPr>
          <w:color w:val="000000"/>
          <w:szCs w:val="24"/>
        </w:rPr>
      </w:pPr>
      <w:r>
        <w:rPr>
          <w:color w:val="000000"/>
          <w:szCs w:val="24"/>
        </w:rPr>
        <w:t>574.</w:t>
      </w:r>
      <w:r>
        <w:rPr>
          <w:color w:val="000000"/>
          <w:szCs w:val="24"/>
        </w:rPr>
        <w:tab/>
        <w:t>В 1996 году Национальный совет по вопросам питания организовал пересмотр Руководящих принципов 1990 года.  Спустя четыре года, в 2000 году, были сформулированы новые Руководящие принципы по вопросам питания, содержащие 10 рекомендаций в отношении методов поддержания здоровья за счет надлежащего рациона и правильных привычек питания</w:t>
      </w:r>
      <w:r>
        <w:rPr>
          <w:rStyle w:val="FootnoteReference"/>
          <w:szCs w:val="24"/>
        </w:rPr>
        <w:footnoteReference w:id="38"/>
      </w:r>
      <w:r>
        <w:rPr>
          <w:color w:val="000000"/>
          <w:szCs w:val="24"/>
        </w:rPr>
        <w:t>.</w:t>
      </w:r>
    </w:p>
    <w:p w:rsidR="004C7748" w:rsidRDefault="004C7748" w:rsidP="004C7748"/>
    <w:p w:rsidR="00F64575" w:rsidRDefault="00F64575" w:rsidP="00F64575">
      <w:pPr>
        <w:rPr>
          <w:color w:val="000000"/>
          <w:szCs w:val="24"/>
        </w:rPr>
      </w:pPr>
      <w:r>
        <w:rPr>
          <w:color w:val="000000"/>
          <w:szCs w:val="24"/>
        </w:rPr>
        <w:t>575.</w:t>
      </w:r>
      <w:r>
        <w:rPr>
          <w:color w:val="000000"/>
          <w:szCs w:val="24"/>
        </w:rPr>
        <w:tab/>
        <w:t>Министерство образования со своей стороны приняло и в настоящее время осуществляет Комплексную программу укрепления здоровья и усиленного питания школьников (ПЗПШ) в государственных начальных школах в Метро Манила и отдельных провинциях.  ПЗПШ включает четыре основных компонента:  здоровье и питание; здоровье и обучение принципам правильного питания;  здоровая жизнь в школе и координация связанных со здоровьем вопросов, осуществляемая на уровне школ и общин.  В рамках этой программы преподавателям отводится роль гарантов здоровья детей.  В ходе кампаний по дегельминтации и осуществлению мер по обогащению продуктов питания микроэлементами (такими, как витамин А, железо и йод) особое внимание уделяется детям, страдающим от недоедания.  Каждая школа также обеспечивается информацией о принципах здорового образа жизни и правильного питания.</w:t>
      </w:r>
    </w:p>
    <w:p w:rsidR="00F64575" w:rsidRDefault="00F64575" w:rsidP="00F64575">
      <w:pPr>
        <w:rPr>
          <w:color w:val="000000"/>
          <w:szCs w:val="24"/>
        </w:rPr>
      </w:pPr>
    </w:p>
    <w:p w:rsidR="00F64575" w:rsidRDefault="00F64575" w:rsidP="002765FF">
      <w:pPr>
        <w:tabs>
          <w:tab w:val="clear" w:pos="567"/>
          <w:tab w:val="clear" w:pos="1134"/>
          <w:tab w:val="clear" w:pos="1701"/>
          <w:tab w:val="clear" w:pos="2268"/>
          <w:tab w:val="clear" w:pos="6237"/>
        </w:tabs>
        <w:autoSpaceDE w:val="0"/>
        <w:autoSpaceDN w:val="0"/>
        <w:adjustRightInd w:val="0"/>
        <w:ind w:left="720" w:hanging="720"/>
        <w:rPr>
          <w:b/>
          <w:color w:val="000000"/>
          <w:szCs w:val="24"/>
        </w:rPr>
      </w:pPr>
      <w:r w:rsidRPr="00B04FD5">
        <w:rPr>
          <w:b/>
          <w:color w:val="000000"/>
          <w:szCs w:val="24"/>
        </w:rPr>
        <w:t>2.</w:t>
      </w:r>
      <w:r w:rsidRPr="00B04FD5">
        <w:rPr>
          <w:b/>
          <w:color w:val="000000"/>
          <w:szCs w:val="24"/>
          <w:lang w:val="en-US"/>
        </w:rPr>
        <w:t>g</w:t>
      </w:r>
      <w:r w:rsidR="002765FF">
        <w:rPr>
          <w:b/>
          <w:color w:val="000000"/>
          <w:szCs w:val="24"/>
        </w:rPr>
        <w:tab/>
      </w:r>
      <w:r>
        <w:rPr>
          <w:b/>
          <w:color w:val="000000"/>
          <w:szCs w:val="24"/>
        </w:rPr>
        <w:t>М</w:t>
      </w:r>
      <w:r w:rsidRPr="00B04FD5">
        <w:rPr>
          <w:b/>
          <w:szCs w:val="24"/>
        </w:rPr>
        <w:t>еры, принятые правительством с целью обеспечить справедливое распределение продовольствия</w:t>
      </w:r>
    </w:p>
    <w:p w:rsidR="00F64575" w:rsidRDefault="00F64575" w:rsidP="00F64575">
      <w:pPr>
        <w:tabs>
          <w:tab w:val="clear" w:pos="567"/>
          <w:tab w:val="clear" w:pos="1134"/>
          <w:tab w:val="clear" w:pos="1701"/>
          <w:tab w:val="clear" w:pos="2268"/>
          <w:tab w:val="clear" w:pos="6237"/>
        </w:tabs>
        <w:autoSpaceDE w:val="0"/>
        <w:autoSpaceDN w:val="0"/>
        <w:adjustRightInd w:val="0"/>
        <w:rPr>
          <w:b/>
          <w:color w:val="000000"/>
          <w:szCs w:val="24"/>
        </w:rPr>
      </w:pPr>
    </w:p>
    <w:p w:rsidR="00F64575" w:rsidRPr="002765FF" w:rsidRDefault="00F64575" w:rsidP="00F64575">
      <w:pPr>
        <w:rPr>
          <w:i/>
          <w:color w:val="000000"/>
          <w:szCs w:val="24"/>
        </w:rPr>
      </w:pPr>
      <w:r w:rsidRPr="002765FF">
        <w:rPr>
          <w:i/>
          <w:color w:val="000000"/>
          <w:szCs w:val="24"/>
        </w:rPr>
        <w:t>Аграрная реформа</w:t>
      </w:r>
    </w:p>
    <w:p w:rsidR="00F64575" w:rsidRDefault="00F64575" w:rsidP="00F64575">
      <w:pPr>
        <w:rPr>
          <w:color w:val="000000"/>
          <w:szCs w:val="24"/>
          <w:u w:val="single"/>
        </w:rPr>
      </w:pPr>
    </w:p>
    <w:p w:rsidR="00F64575" w:rsidRDefault="00F64575" w:rsidP="00F64575">
      <w:r>
        <w:rPr>
          <w:color w:val="000000"/>
          <w:szCs w:val="24"/>
        </w:rPr>
        <w:t>576.</w:t>
      </w:r>
      <w:r>
        <w:rPr>
          <w:color w:val="000000"/>
          <w:szCs w:val="24"/>
        </w:rPr>
        <w:tab/>
        <w:t xml:space="preserve">В конце 1980-х годов аграрная реформа рассматривалась как одна из мер, необходимых для удовлетворения требований крестьянства, касающихся социальной справедливости, а также для стимулирования повышения производительности сельского хозяйства и ускорения процесса индустриализации.  В Конституции 1987 года провозглашен принцип комплексного развития сельского хозяйства и проведения аграрной реформы в качестве государственной политики.  Республиканский закон № 6657, или </w:t>
      </w:r>
      <w:r>
        <w:t>Закон о комплексной аграрной реформе 1998 года (ЗКАР) содержит первоочередные задачи, компоненты и механизмы осуществления</w:t>
      </w:r>
      <w:r w:rsidRPr="00374993">
        <w:t xml:space="preserve"> </w:t>
      </w:r>
      <w:r>
        <w:t xml:space="preserve">программы комплексной аграрной реформы (ПКАР), которая направлена на достижение "более справедливого распределения земли и прав собственности на нее… и создание достойных условий для фермеров и работников сельского хозяйства, позволяющих им улучшить качество их жизни за счет повышения урожайности сельскохозяйственных земель".  </w:t>
      </w:r>
    </w:p>
    <w:p w:rsidR="00F64575" w:rsidRDefault="00F64575" w:rsidP="00F64575"/>
    <w:p w:rsidR="00F64575" w:rsidRDefault="00F64575" w:rsidP="00F64575">
      <w:r>
        <w:t>577.</w:t>
      </w:r>
      <w:r>
        <w:tab/>
        <w:t>В соответствии с ЗКАР аграрная реформа определяется как "перераспределение земельных угодий, вне зависимости от производимых на них зерновых и плодовых культур и условий землепользования, среди безземельных фермеров и сельскохозяйственных работников, включая весь комплекс факторов и вспомогательных услуг, призванных улучшить экономическое положение бенефициаров, а также все иные механизмы, альтернативные простому перераспределению земельных угодий, такие, как получение или распределение прибыли, управление людскими ресурсами и перераспределение долей в предприятиях, что позволит бенефициарам получать справедливую долю благ, создаваемых на возделываемой ими земле".</w:t>
      </w:r>
    </w:p>
    <w:p w:rsidR="00F64575" w:rsidRDefault="00F64575" w:rsidP="00F64575"/>
    <w:p w:rsidR="00F64575" w:rsidRPr="002765FF" w:rsidRDefault="00F64575" w:rsidP="00F64575">
      <w:pPr>
        <w:rPr>
          <w:i/>
        </w:rPr>
      </w:pPr>
      <w:r w:rsidRPr="002765FF">
        <w:rPr>
          <w:i/>
        </w:rPr>
        <w:t>Компоненты ПКАР</w:t>
      </w:r>
    </w:p>
    <w:p w:rsidR="00F64575" w:rsidRDefault="00F64575" w:rsidP="00F64575">
      <w:pPr>
        <w:rPr>
          <w:u w:val="single"/>
        </w:rPr>
      </w:pPr>
    </w:p>
    <w:p w:rsidR="00F64575" w:rsidRDefault="00F64575" w:rsidP="00F64575">
      <w:r>
        <w:t>578.</w:t>
      </w:r>
      <w:r>
        <w:tab/>
        <w:t>Таким образом, основными элементами аграрной реформы являются:  земельная реформа или переход права распоряжения и пользования сельскохозяйственными землями мелким фермерам и безземельным сельскохозяйственным работникам;  и комплекс вспомогательных услуг для обеспечения или облегчения доступа бенефициаров к природным ресурсам, финансам, информационным службам, технологиям и информации, сельскохозяйственной инфраструктуре, мощностям по обработке и хранению урожая и рыночным услугам и социальным компонентам инфраструктуры.  Все эти компоненты относятся к двум из трех основных компонентов ПКАР:  улучшение условий землепользования (УУЗ) и развитие услуг для сельского населения (РУС).  Другим важным элементом является осуществление правосудия в области земельного права (ПЗП).</w:t>
      </w:r>
    </w:p>
    <w:p w:rsidR="00F64575" w:rsidRDefault="00F64575" w:rsidP="00F64575"/>
    <w:p w:rsidR="00F64575" w:rsidRDefault="00F64575" w:rsidP="00F64575">
      <w:pPr>
        <w:rPr>
          <w:color w:val="000000"/>
          <w:szCs w:val="24"/>
        </w:rPr>
      </w:pPr>
      <w:r>
        <w:rPr>
          <w:color w:val="000000"/>
          <w:szCs w:val="24"/>
        </w:rPr>
        <w:t>579.</w:t>
      </w:r>
      <w:r>
        <w:rPr>
          <w:color w:val="000000"/>
          <w:szCs w:val="24"/>
        </w:rPr>
        <w:tab/>
        <w:t>Важное место в рамках УУЗ отведено перераспределению среди пяти миллионов фермеров или бенефициаров аграрной реформы (БАР) около 8,17 млн. га частных и государственных сельскохозяйственных угодий, что составляет от 80 % общей площади всех обрабатываемых земель в стране.  54 % от общей площади, или 4,29 млн. га находятся в ведении министерства аграрной реформы (МАР), а остальные 46 %, или 3,77 млн. га земли, состоящие из отчуждаемых и переданных в пользование частному сектору государственных земельных угодий, подпадают под юрисдикцию министерства по охране окружающей среды и природных ресурсов (МОПР).</w:t>
      </w:r>
    </w:p>
    <w:p w:rsidR="00F64575" w:rsidRDefault="00F64575" w:rsidP="00F64575">
      <w:pPr>
        <w:rPr>
          <w:color w:val="000000"/>
          <w:szCs w:val="24"/>
        </w:rPr>
      </w:pPr>
    </w:p>
    <w:p w:rsidR="00F64575" w:rsidRDefault="00F64575" w:rsidP="00F64575">
      <w:pPr>
        <w:rPr>
          <w:color w:val="000000"/>
          <w:szCs w:val="24"/>
        </w:rPr>
      </w:pPr>
      <w:r>
        <w:rPr>
          <w:color w:val="000000"/>
          <w:szCs w:val="24"/>
        </w:rPr>
        <w:t>580.</w:t>
      </w:r>
      <w:r>
        <w:rPr>
          <w:color w:val="000000"/>
          <w:szCs w:val="24"/>
        </w:rPr>
        <w:tab/>
        <w:t>Что касается земельной собственности, то в Законе указано, что "запрещается прямо или косвенно приобретать в собственность или занимать любые государственные или частные сельскохозяйственные земельные наделы, площадь которых превышает установленные нормы, зависящие от таких факторов, определяющих экономическую жизнеспособность семейных фермерских хозяйств, как производимая сельскохозяйственная продукция, особенности рельефа, инфраструктура и плодородность почвы… при этом площадь принадлежащего собственнику надела не может превышать пяти гектаров.  Каждому из детей землевладельца может быть предоставлено в собственность по три гектара земельных угодий при соблюдении следующих условий:  1)  ребенок должен достичь 15-летнего возраста;  и 2)  он должен принимать непосредственное участие в возделывании земли или управлении фермерским хозяйством".</w:t>
      </w:r>
    </w:p>
    <w:p w:rsidR="00F64575" w:rsidRDefault="00F64575" w:rsidP="00F64575">
      <w:pPr>
        <w:rPr>
          <w:color w:val="000000"/>
          <w:szCs w:val="24"/>
        </w:rPr>
      </w:pPr>
    </w:p>
    <w:p w:rsidR="00F64575" w:rsidRDefault="00F64575" w:rsidP="00F64575">
      <w:pPr>
        <w:rPr>
          <w:color w:val="000000"/>
          <w:szCs w:val="24"/>
        </w:rPr>
      </w:pPr>
      <w:r>
        <w:rPr>
          <w:color w:val="000000"/>
          <w:szCs w:val="24"/>
        </w:rPr>
        <w:t>581.</w:t>
      </w:r>
      <w:r>
        <w:rPr>
          <w:color w:val="000000"/>
          <w:szCs w:val="24"/>
        </w:rPr>
        <w:tab/>
        <w:t>УУЗ включает также такие программы, не связанные с переходом прав собственности на землю, как передача земельного участка в аренду, получение и раздел прибыли и распределение долей в предприятии, которые не предполагают распределения земли, но обеспечивают безопасность землевладения фермеров и сельскохозяйственных работников.</w:t>
      </w:r>
    </w:p>
    <w:p w:rsidR="00F64575" w:rsidRDefault="00F64575" w:rsidP="00F64575">
      <w:pPr>
        <w:rPr>
          <w:color w:val="000000"/>
          <w:szCs w:val="24"/>
        </w:rPr>
      </w:pPr>
    </w:p>
    <w:p w:rsidR="00F64575" w:rsidRDefault="00F64575" w:rsidP="00F64575">
      <w:r>
        <w:rPr>
          <w:color w:val="000000"/>
          <w:szCs w:val="24"/>
        </w:rPr>
        <w:t>582.</w:t>
      </w:r>
      <w:r>
        <w:rPr>
          <w:color w:val="000000"/>
          <w:szCs w:val="24"/>
        </w:rPr>
        <w:tab/>
        <w:t xml:space="preserve">ПЗП занимается рассмотрением земельных споров, возникающих в связи с осуществлением </w:t>
      </w:r>
      <w:r>
        <w:t>ЗКАР и предоставлением юридической помощи бенефициарам аграрной реформы.  Сюда входит определение стоимости земли в судебном порядке и разрешение конфликтов, вытекающих из земельных отношений, представленных на рассмотрение Комитета по земельным спорам МАР.  В рамках ПЗП также предоставляется бесплатная юридическая помощь и консультации бенефициарам аграрной реформы, в частности через посредничество, урегулирование и разрешение споров, связанных с осуществлением Закона о реформе.</w:t>
      </w:r>
    </w:p>
    <w:p w:rsidR="00F64575" w:rsidRDefault="00F64575" w:rsidP="00F64575"/>
    <w:p w:rsidR="003D65F8" w:rsidRDefault="003D65F8" w:rsidP="003D65F8">
      <w:r>
        <w:t>583.</w:t>
      </w:r>
      <w:r>
        <w:tab/>
        <w:t>Компонент РУС предусматривает предоставление услуг по экономическому и социальному развитию бенефициарам аграрной реформы посредством увеличения объемов производства и производительности, а также увеличения доходов.  Для обеспечения экономической продуктивности выделенных земельных угодий бенефициарам</w:t>
      </w:r>
      <w:r w:rsidRPr="00AC356B">
        <w:t xml:space="preserve"> </w:t>
      </w:r>
      <w:r>
        <w:t>должны предоставляться требуемые средства и услуги, которых они могли быть лишены при бывших землевладельцах.  Компонент РУС реализуется через укрепление социальной инфраструктуры и потенциала (УСИП), устойчивое развитие агробизнеса и предприятий в сельской местности (УРАПС) и облегчение/расширение доступа к экономическим вспомогательным услугам (техническим средствам, кредитованию, сельскохозяйственной инфраструктуре, рыночной информации) и основным социальным услугам (здравоохранению, системам обеспечения питьевой водой).</w:t>
      </w:r>
    </w:p>
    <w:p w:rsidR="003D65F8" w:rsidRDefault="003D65F8" w:rsidP="003D65F8"/>
    <w:p w:rsidR="003D65F8" w:rsidRPr="002765FF" w:rsidRDefault="003D65F8" w:rsidP="003D65F8">
      <w:pPr>
        <w:rPr>
          <w:i/>
        </w:rPr>
      </w:pPr>
      <w:r w:rsidRPr="002765FF">
        <w:rPr>
          <w:i/>
        </w:rPr>
        <w:t>Государственные учреждения, уполномоченные участвовать в программе</w:t>
      </w:r>
    </w:p>
    <w:p w:rsidR="003D65F8" w:rsidRDefault="003D65F8" w:rsidP="003D65F8">
      <w:pPr>
        <w:rPr>
          <w:u w:val="single"/>
        </w:rPr>
      </w:pPr>
    </w:p>
    <w:p w:rsidR="003D65F8" w:rsidRDefault="003D65F8" w:rsidP="003D65F8">
      <w:pPr>
        <w:rPr>
          <w:color w:val="000000"/>
          <w:szCs w:val="24"/>
        </w:rPr>
      </w:pPr>
      <w:r>
        <w:t>584.</w:t>
      </w:r>
      <w:r>
        <w:tab/>
        <w:t xml:space="preserve">Руководство реализацией ПКАР осуществляет Президентский совет по вопросам аграрной реформы (ПСАР) как главный орган формирования политики и координации и </w:t>
      </w:r>
      <w:r>
        <w:rPr>
          <w:color w:val="000000"/>
          <w:szCs w:val="24"/>
        </w:rPr>
        <w:t>министерство аграрной реформы (МАР) как основной правоприменительный орган.  В состав ПСАР, председателем которого является президент, а его заместителем - руководитель МАР, входят исполнительный секретарь и руководители 13 следующих учреждений:  министерства окружающей среды и природных ресурсов (МОСПР), министерства сельского хозяйства (МСХ), министерства бюджета и управления (МБУ), министерства финансов (МФ), министерства юстиции (МЮ), министерства труда и занятости (МТЗ), министерства внутренних дел и местного самоуправления (МВДМС), министерства общественных работ и дорожного строительства (МОРД), министерства транспорта и коммуникаций (МТК), министерства промышленности (МП), Национальной службы по вопросам экономики и развития (НСЭР), филиппинского банка "Лэнд бэнк" и Национальной ирригационной службы (НИС).  Членами ПСАР также являются три представителя землевладельцев и шесть представителей бенефициаров аграрной реформы.</w:t>
      </w:r>
    </w:p>
    <w:p w:rsidR="003D65F8" w:rsidRDefault="003D65F8" w:rsidP="003D65F8">
      <w:pPr>
        <w:rPr>
          <w:color w:val="000000"/>
          <w:szCs w:val="24"/>
        </w:rPr>
      </w:pPr>
    </w:p>
    <w:p w:rsidR="003D65F8" w:rsidRDefault="003D65F8" w:rsidP="003D65F8">
      <w:pPr>
        <w:rPr>
          <w:color w:val="000000"/>
          <w:szCs w:val="24"/>
        </w:rPr>
      </w:pPr>
      <w:r>
        <w:rPr>
          <w:color w:val="000000"/>
          <w:szCs w:val="24"/>
        </w:rPr>
        <w:t>585.</w:t>
      </w:r>
      <w:r>
        <w:rPr>
          <w:color w:val="000000"/>
          <w:szCs w:val="24"/>
        </w:rPr>
        <w:tab/>
        <w:t>МАР отвечает за выполнение трех основных компонентов ПКАР.  При реализации компонента УУЗ оно сотрудничает с МОСПР по вопросам обследования и распределения земель;  с банком "Лэнд бэнк" - по вопросам оценки стоимости земли и компенсационных и амортизационных выплат бенефициарам;  и с Управлением регистрации земель министерства юстиции - по вопросам регистрации прав на землю.  При реализации компонента РУС МАР взаимодействует с МСХ, МП, НИС и МТЗ по вопросам распространения информации;  с "Лэнд бэнк" - по вопросам кредитования;  с МП - по проектам жизнеобеспечения;  и с МОРД и НИС - в области создания необходимой инфраструктуры.  При этом отправление правосудия по земельным вопросам и решение вопросов, не связанных с переходом прав собственности на землю, входят в исключительную компетенцию МАР.</w:t>
      </w:r>
    </w:p>
    <w:p w:rsidR="003D65F8" w:rsidRDefault="003D65F8" w:rsidP="003D65F8">
      <w:pPr>
        <w:rPr>
          <w:color w:val="000000"/>
          <w:szCs w:val="24"/>
        </w:rPr>
      </w:pPr>
    </w:p>
    <w:p w:rsidR="003D65F8" w:rsidRPr="002765FF" w:rsidRDefault="003D65F8" w:rsidP="003D65F8">
      <w:pPr>
        <w:rPr>
          <w:i/>
          <w:color w:val="000000"/>
          <w:szCs w:val="24"/>
        </w:rPr>
      </w:pPr>
      <w:r w:rsidRPr="002765FF">
        <w:rPr>
          <w:i/>
          <w:color w:val="000000"/>
          <w:szCs w:val="24"/>
        </w:rPr>
        <w:t>Ход реализации ПКАР</w:t>
      </w:r>
    </w:p>
    <w:p w:rsidR="003D65F8" w:rsidRDefault="003D65F8" w:rsidP="003D65F8">
      <w:pPr>
        <w:rPr>
          <w:color w:val="000000"/>
          <w:szCs w:val="24"/>
          <w:u w:val="single"/>
        </w:rPr>
      </w:pPr>
    </w:p>
    <w:p w:rsidR="003D65F8" w:rsidRDefault="003D65F8" w:rsidP="003D65F8">
      <w:pPr>
        <w:rPr>
          <w:color w:val="000000"/>
          <w:szCs w:val="24"/>
        </w:rPr>
      </w:pPr>
      <w:r>
        <w:rPr>
          <w:color w:val="000000"/>
          <w:szCs w:val="24"/>
        </w:rPr>
        <w:t>586.</w:t>
      </w:r>
      <w:r>
        <w:rPr>
          <w:color w:val="000000"/>
          <w:szCs w:val="24"/>
        </w:rPr>
        <w:tab/>
        <w:t>В соответствии с РЗ 6657 приобретение и распределение земли будет завершено в течение 10 лет, т.е. с июня 1988 года по июнь 1998 года.  Однако, поскольку к концу нынешнего десятилетнего периода было выполнено только 56 % программы, этот срок был продлен Республиканским законом № 8532, который предусматривает активизацию программы за счет выделения дополнительных финансовых средств на ее осуществление в течение еще 10 лет.</w:t>
      </w:r>
    </w:p>
    <w:p w:rsidR="003D65F8" w:rsidRDefault="003D65F8" w:rsidP="003D65F8">
      <w:pPr>
        <w:rPr>
          <w:color w:val="000000"/>
          <w:szCs w:val="24"/>
        </w:rPr>
      </w:pPr>
    </w:p>
    <w:p w:rsidR="003D65F8" w:rsidRDefault="003D65F8" w:rsidP="003D65F8">
      <w:pPr>
        <w:rPr>
          <w:color w:val="000000"/>
          <w:szCs w:val="24"/>
        </w:rPr>
      </w:pPr>
      <w:r>
        <w:rPr>
          <w:color w:val="000000"/>
          <w:szCs w:val="24"/>
        </w:rPr>
        <w:t>587.</w:t>
      </w:r>
      <w:r>
        <w:rPr>
          <w:color w:val="000000"/>
          <w:szCs w:val="24"/>
        </w:rPr>
        <w:tab/>
        <w:t xml:space="preserve">По состоянию на декабрь </w:t>
      </w:r>
      <w:r w:rsidRPr="007818D2">
        <w:rPr>
          <w:color w:val="000000"/>
          <w:szCs w:val="24"/>
        </w:rPr>
        <w:t>2005 года</w:t>
      </w:r>
      <w:r>
        <w:rPr>
          <w:color w:val="000000"/>
          <w:szCs w:val="24"/>
        </w:rPr>
        <w:t xml:space="preserve"> из общего земельного фонда в размере 4 370 071 га 3 690 956 га, или 85%, было приобретено и распределено МАР.  Что касается МОСПР, то аналогичные показатели равны 2 937 067 из 3 771 441 га, или 78%.  Фонд </w:t>
      </w:r>
      <w:r w:rsidRPr="00786A08">
        <w:rPr>
          <w:color w:val="000000"/>
          <w:spacing w:val="-2"/>
          <w:szCs w:val="24"/>
        </w:rPr>
        <w:t>МАР, включающий 630 280 га, главным образом состоит из частных сельскохозяйственных</w:t>
      </w:r>
      <w:r>
        <w:rPr>
          <w:color w:val="000000"/>
          <w:szCs w:val="24"/>
        </w:rPr>
        <w:t xml:space="preserve"> земельных угодий (79%), перераспределение которых является основной задачей аграрной реформы.  Около 31% фонда, или 196 051 га </w:t>
      </w:r>
      <w:r>
        <w:rPr>
          <w:color w:val="000000"/>
          <w:szCs w:val="24"/>
        </w:rPr>
        <w:sym w:font="Symbol" w:char="F02D"/>
      </w:r>
      <w:r>
        <w:rPr>
          <w:color w:val="000000"/>
          <w:szCs w:val="24"/>
        </w:rPr>
        <w:t xml:space="preserve"> это частные сельскохозяйственные земельные наделы, площадью более 50 га.</w:t>
      </w:r>
    </w:p>
    <w:p w:rsidR="003D65F8" w:rsidRDefault="003D65F8" w:rsidP="003D65F8">
      <w:pPr>
        <w:rPr>
          <w:color w:val="000000"/>
          <w:szCs w:val="24"/>
        </w:rPr>
      </w:pPr>
    </w:p>
    <w:p w:rsidR="003D65F8" w:rsidRDefault="003D65F8" w:rsidP="003D65F8">
      <w:pPr>
        <w:rPr>
          <w:color w:val="000000"/>
          <w:szCs w:val="24"/>
        </w:rPr>
      </w:pPr>
      <w:r>
        <w:rPr>
          <w:color w:val="000000"/>
          <w:szCs w:val="24"/>
        </w:rPr>
        <w:t>588.</w:t>
      </w:r>
      <w:r>
        <w:rPr>
          <w:color w:val="000000"/>
          <w:szCs w:val="24"/>
        </w:rPr>
        <w:tab/>
        <w:t>Большая часть частных сельскохозяйственных земельных наделов используется для выращивания кокосов, за исключением нескольких провинций, основной культурой в которых является сахарный тростник.  Наивысшие показатели зафиксированы в районах</w:t>
      </w:r>
      <w:r w:rsidR="00786A08">
        <w:rPr>
          <w:color w:val="000000"/>
          <w:szCs w:val="24"/>
        </w:rPr>
        <w:t> </w:t>
      </w:r>
      <w:r>
        <w:rPr>
          <w:color w:val="000000"/>
          <w:szCs w:val="24"/>
          <w:lang w:val="en-US"/>
        </w:rPr>
        <w:t>V</w:t>
      </w:r>
      <w:r w:rsidRPr="004A5E36">
        <w:rPr>
          <w:color w:val="000000"/>
          <w:szCs w:val="24"/>
        </w:rPr>
        <w:t>,</w:t>
      </w:r>
      <w:r>
        <w:rPr>
          <w:color w:val="000000"/>
          <w:szCs w:val="24"/>
        </w:rPr>
        <w:t xml:space="preserve"> </w:t>
      </w:r>
      <w:r>
        <w:rPr>
          <w:color w:val="000000"/>
          <w:szCs w:val="24"/>
          <w:lang w:val="en-US"/>
        </w:rPr>
        <w:t>VI</w:t>
      </w:r>
      <w:r w:rsidRPr="004A5E36">
        <w:rPr>
          <w:color w:val="000000"/>
          <w:szCs w:val="24"/>
        </w:rPr>
        <w:t xml:space="preserve">, </w:t>
      </w:r>
      <w:r>
        <w:rPr>
          <w:color w:val="000000"/>
          <w:szCs w:val="24"/>
          <w:lang w:val="en-US"/>
        </w:rPr>
        <w:t>VII</w:t>
      </w:r>
      <w:r>
        <w:rPr>
          <w:color w:val="000000"/>
          <w:szCs w:val="24"/>
          <w:lang w:val="fr-FR"/>
        </w:rPr>
        <w:t>I</w:t>
      </w:r>
      <w:r w:rsidRPr="004A5E36">
        <w:rPr>
          <w:color w:val="000000"/>
          <w:szCs w:val="24"/>
        </w:rPr>
        <w:t xml:space="preserve"> </w:t>
      </w:r>
      <w:r>
        <w:rPr>
          <w:color w:val="000000"/>
          <w:szCs w:val="24"/>
        </w:rPr>
        <w:t xml:space="preserve">и АРММ.  На долю десяти провинций </w:t>
      </w:r>
      <w:r>
        <w:rPr>
          <w:color w:val="000000"/>
          <w:szCs w:val="24"/>
        </w:rPr>
        <w:sym w:font="Symbol" w:char="F02D"/>
      </w:r>
      <w:r>
        <w:rPr>
          <w:color w:val="000000"/>
          <w:szCs w:val="24"/>
        </w:rPr>
        <w:t xml:space="preserve"> Западного Негроса, Южного Камаринеса, Магинданао, Лейте, Масбате, Южного Ланао, Исабелы, Тави-Тави, Северного Котабато и Сарангани </w:t>
      </w:r>
      <w:r>
        <w:rPr>
          <w:color w:val="000000"/>
          <w:szCs w:val="24"/>
        </w:rPr>
        <w:sym w:font="Symbol" w:char="F02D"/>
      </w:r>
      <w:r>
        <w:rPr>
          <w:color w:val="000000"/>
          <w:szCs w:val="24"/>
        </w:rPr>
        <w:t xml:space="preserve"> приходятся остальные 62%.</w:t>
      </w:r>
    </w:p>
    <w:p w:rsidR="003D65F8" w:rsidRDefault="003D65F8" w:rsidP="003D65F8">
      <w:pPr>
        <w:rPr>
          <w:color w:val="000000"/>
          <w:szCs w:val="24"/>
        </w:rPr>
      </w:pPr>
    </w:p>
    <w:p w:rsidR="003D65F8" w:rsidRDefault="003D65F8" w:rsidP="003D65F8">
      <w:pPr>
        <w:rPr>
          <w:color w:val="000000"/>
          <w:szCs w:val="24"/>
        </w:rPr>
      </w:pPr>
      <w:r>
        <w:rPr>
          <w:color w:val="000000"/>
          <w:szCs w:val="24"/>
        </w:rPr>
        <w:t>589.</w:t>
      </w:r>
      <w:r>
        <w:rPr>
          <w:color w:val="000000"/>
          <w:szCs w:val="24"/>
        </w:rPr>
        <w:tab/>
        <w:t xml:space="preserve">Общая площадь земель, переданных в пользование на условиях аренды в рамках основной программы ПКАР, по состоянию на декабрь </w:t>
      </w:r>
      <w:r w:rsidRPr="001E20C8">
        <w:rPr>
          <w:color w:val="000000"/>
          <w:szCs w:val="24"/>
        </w:rPr>
        <w:t>2005 года</w:t>
      </w:r>
      <w:r>
        <w:rPr>
          <w:color w:val="000000"/>
          <w:szCs w:val="24"/>
        </w:rPr>
        <w:t xml:space="preserve"> составила 1 604 364 га.  Данной частью программы смогли воспользоваться 1 157 309 фермеров.  Доля переданных в аренду земельных участков относительно невысока.  Поэтому операции по аренде земельных участков в настоящее время сосредоточены на мониторинге существующих договоров и обеспечении соблюдения 75</w:t>
      </w:r>
      <w:r>
        <w:rPr>
          <w:color w:val="000000"/>
          <w:szCs w:val="24"/>
        </w:rPr>
        <w:noBreakHyphen/>
        <w:t>25 соглашений о порядке раздела, заключенных в интересах БАР.</w:t>
      </w:r>
    </w:p>
    <w:p w:rsidR="003D65F8" w:rsidRDefault="003D65F8" w:rsidP="003D65F8">
      <w:pPr>
        <w:rPr>
          <w:color w:val="000000"/>
          <w:szCs w:val="24"/>
        </w:rPr>
      </w:pPr>
    </w:p>
    <w:p w:rsidR="003D65F8" w:rsidRDefault="003D65F8" w:rsidP="003D65F8">
      <w:pPr>
        <w:rPr>
          <w:color w:val="000000"/>
          <w:szCs w:val="24"/>
        </w:rPr>
      </w:pPr>
      <w:r>
        <w:rPr>
          <w:color w:val="000000"/>
          <w:szCs w:val="24"/>
        </w:rPr>
        <w:t>590.</w:t>
      </w:r>
      <w:r>
        <w:rPr>
          <w:color w:val="000000"/>
          <w:szCs w:val="24"/>
        </w:rPr>
        <w:tab/>
        <w:t>С 1998 года на рассмотрение</w:t>
      </w:r>
      <w:r w:rsidRPr="00B14CF7">
        <w:t xml:space="preserve"> </w:t>
      </w:r>
      <w:r>
        <w:t>Комитета по земельным спорам</w:t>
      </w:r>
      <w:r>
        <w:rPr>
          <w:color w:val="000000"/>
          <w:szCs w:val="24"/>
        </w:rPr>
        <w:t xml:space="preserve"> МАР было представлено 274 585 дел, касающихся земельных отношений, т.е. в среднем по 16 152 дела в год.  По данным за декабрь </w:t>
      </w:r>
      <w:r w:rsidRPr="00CB508A">
        <w:rPr>
          <w:color w:val="000000"/>
          <w:szCs w:val="24"/>
        </w:rPr>
        <w:t>2005 года</w:t>
      </w:r>
      <w:r>
        <w:rPr>
          <w:color w:val="000000"/>
          <w:szCs w:val="24"/>
        </w:rPr>
        <w:t>, было урегулировано 263 516 дел (96%).  В предстоящие годы ожидается увеличение количества подобных дел, поскольку в области частного землевладения возникает все больше споров.</w:t>
      </w:r>
    </w:p>
    <w:p w:rsidR="003D65F8" w:rsidRDefault="003D65F8" w:rsidP="003D65F8">
      <w:pPr>
        <w:rPr>
          <w:color w:val="000000"/>
          <w:szCs w:val="24"/>
        </w:rPr>
      </w:pPr>
    </w:p>
    <w:p w:rsidR="003D65F8" w:rsidRDefault="003D65F8" w:rsidP="003D65F8">
      <w:pPr>
        <w:rPr>
          <w:color w:val="000000"/>
          <w:szCs w:val="24"/>
        </w:rPr>
      </w:pPr>
      <w:r>
        <w:rPr>
          <w:color w:val="000000"/>
          <w:szCs w:val="24"/>
        </w:rPr>
        <w:t>591.</w:t>
      </w:r>
      <w:r>
        <w:rPr>
          <w:color w:val="000000"/>
          <w:szCs w:val="24"/>
        </w:rPr>
        <w:tab/>
        <w:t>Реализация компонента РУС является сложной и дорогостоящей, поскольку речь идет об удовлетворении потребностей сельского сектора, включающих, в частности, строительство дорог, соединяющих фермерские хозяйства и рынки, создание ирригационных систем, предоставление услуг по пропаганде сельскохозяйственных знаний, строительство объектов для хранения и переработке урожая, создание социальной инфраструктуры и наращивание потенциала.  Учитывая финансовые сложности, прогресс в деле осуществления данного компонента незначителен.  В исследованиях, посвященных результативности ПКАР, отмечалось, что для компонента РУС "характерны импровизация, изобретательность и готовность ключевых исполнительных учреждений и персонала делать все от них зависящее при ограниченности имеющихся финансовых средств и мандатов".</w:t>
      </w:r>
    </w:p>
    <w:p w:rsidR="003D65F8" w:rsidRDefault="003D65F8" w:rsidP="003D65F8">
      <w:pPr>
        <w:rPr>
          <w:color w:val="000000"/>
          <w:szCs w:val="24"/>
        </w:rPr>
      </w:pPr>
    </w:p>
    <w:p w:rsidR="003D65F8" w:rsidRPr="002765FF" w:rsidRDefault="003D65F8" w:rsidP="003D65F8">
      <w:pPr>
        <w:rPr>
          <w:i/>
          <w:color w:val="000000"/>
          <w:szCs w:val="24"/>
        </w:rPr>
      </w:pPr>
      <w:r w:rsidRPr="002765FF">
        <w:rPr>
          <w:i/>
          <w:color w:val="000000"/>
          <w:szCs w:val="24"/>
        </w:rPr>
        <w:t>Стратегия развития общин в целях реализации аграрной реформы</w:t>
      </w:r>
    </w:p>
    <w:p w:rsidR="003D65F8" w:rsidRDefault="003D65F8" w:rsidP="003D65F8">
      <w:pPr>
        <w:rPr>
          <w:color w:val="000000"/>
          <w:szCs w:val="24"/>
          <w:u w:val="single"/>
        </w:rPr>
      </w:pPr>
    </w:p>
    <w:p w:rsidR="003D65F8" w:rsidRDefault="003D65F8" w:rsidP="003D65F8">
      <w:pPr>
        <w:rPr>
          <w:color w:val="000000"/>
          <w:szCs w:val="24"/>
        </w:rPr>
      </w:pPr>
      <w:r>
        <w:rPr>
          <w:color w:val="000000"/>
          <w:szCs w:val="24"/>
        </w:rPr>
        <w:t>592.</w:t>
      </w:r>
      <w:r>
        <w:rPr>
          <w:color w:val="000000"/>
          <w:szCs w:val="24"/>
        </w:rPr>
        <w:tab/>
        <w:t>В 1993 году МАР при осуществлении компонента РУС приняло подход на основе районирования.  Для повышения эффективности предоставления вспомогательных услуг путем объединения усилий и средств органов, занимающихся реализацией ПКАР, министерство выявило общины в целях реализации аграрной реформы (ОАР) в составе одной или нескольких деревень, где проживает наибольшее количество бенефициаров реформы, заинтересованных в создании организаций и участии в комплексном развитии их района и/или их организации/кооператива.</w:t>
      </w:r>
    </w:p>
    <w:p w:rsidR="003D65F8" w:rsidRDefault="003D65F8" w:rsidP="003D65F8">
      <w:pPr>
        <w:rPr>
          <w:color w:val="000000"/>
          <w:szCs w:val="24"/>
        </w:rPr>
      </w:pPr>
    </w:p>
    <w:p w:rsidR="003D65F8" w:rsidRDefault="003D65F8" w:rsidP="003D65F8">
      <w:pPr>
        <w:rPr>
          <w:color w:val="000000"/>
          <w:szCs w:val="24"/>
        </w:rPr>
      </w:pPr>
      <w:r>
        <w:rPr>
          <w:color w:val="000000"/>
          <w:szCs w:val="24"/>
        </w:rPr>
        <w:t>593.</w:t>
      </w:r>
      <w:r>
        <w:rPr>
          <w:color w:val="000000"/>
          <w:szCs w:val="24"/>
        </w:rPr>
        <w:tab/>
        <w:t>Правовым основанием для создания ОАР служит Республиканский закон № 7905, в котором МАР поручено сформировать, как минимум, одну ОАР в каждом избирательном округе и определить, какие фермерские организации станут лидерами в развитии сельского хозяйства в соответствующих районах.  Эти ОАР служат центрами развития или объединения партнерских групп в целях реализации программ формирования БАР и их организаций.  Партнерские связи между основными субъектами правительства, гражданского общества и делового сектора во многом способствовали более эффективному осуществлению компонента РУС.</w:t>
      </w:r>
    </w:p>
    <w:p w:rsidR="003D65F8" w:rsidRDefault="003D65F8" w:rsidP="003D65F8">
      <w:pPr>
        <w:rPr>
          <w:color w:val="000000"/>
          <w:szCs w:val="24"/>
        </w:rPr>
      </w:pPr>
    </w:p>
    <w:p w:rsidR="003D65F8" w:rsidRDefault="003D65F8" w:rsidP="003D65F8">
      <w:pPr>
        <w:rPr>
          <w:color w:val="000000"/>
          <w:szCs w:val="24"/>
        </w:rPr>
      </w:pPr>
      <w:r>
        <w:rPr>
          <w:color w:val="000000"/>
          <w:szCs w:val="24"/>
        </w:rPr>
        <w:t>594.</w:t>
      </w:r>
      <w:r w:rsidR="00722ED8">
        <w:rPr>
          <w:color w:val="000000"/>
          <w:szCs w:val="24"/>
        </w:rPr>
        <w:tab/>
      </w:r>
      <w:r>
        <w:rPr>
          <w:color w:val="000000"/>
          <w:szCs w:val="24"/>
        </w:rPr>
        <w:t>Программа развития ОАР включает следующие компоненты:</w:t>
      </w:r>
    </w:p>
    <w:p w:rsidR="003D65F8" w:rsidRDefault="003D65F8" w:rsidP="003D65F8">
      <w:pPr>
        <w:rPr>
          <w:color w:val="000000"/>
          <w:szCs w:val="24"/>
        </w:rPr>
      </w:pPr>
    </w:p>
    <w:p w:rsidR="003D65F8" w:rsidRDefault="003D65F8" w:rsidP="003D65F8">
      <w:pPr>
        <w:numPr>
          <w:ilvl w:val="0"/>
          <w:numId w:val="23"/>
        </w:numPr>
        <w:rPr>
          <w:color w:val="000000"/>
          <w:szCs w:val="24"/>
        </w:rPr>
      </w:pPr>
      <w:r>
        <w:rPr>
          <w:color w:val="000000"/>
          <w:szCs w:val="24"/>
        </w:rPr>
        <w:t>масштабное вмешательство на районном уровне, охватывающее несколько деревень и основанное на реализации УУЗ, расширении количества бенефициаров реформы, экономических и природных возможностях и уровне социально-политического развития;</w:t>
      </w:r>
    </w:p>
    <w:p w:rsidR="003D65F8" w:rsidRDefault="003D65F8" w:rsidP="003D65F8">
      <w:pPr>
        <w:rPr>
          <w:color w:val="000000"/>
          <w:szCs w:val="24"/>
        </w:rPr>
      </w:pPr>
    </w:p>
    <w:p w:rsidR="003D65F8" w:rsidRDefault="003D65F8" w:rsidP="003D65F8">
      <w:pPr>
        <w:numPr>
          <w:ilvl w:val="0"/>
          <w:numId w:val="23"/>
        </w:numPr>
        <w:rPr>
          <w:color w:val="000000"/>
          <w:szCs w:val="24"/>
        </w:rPr>
      </w:pPr>
      <w:r>
        <w:rPr>
          <w:color w:val="000000"/>
          <w:szCs w:val="24"/>
        </w:rPr>
        <w:t>целенаправленный гендерный подход, направленный на предоставление прав малочисленным и маргинальным группам (мелкие фермеры, сельскохозяйственные работники, арендаторы сельскохозяйственных земель, рыбаки, коренные народы и женщины, живущие в сельской местности) и создание социальной инфраструктуры в сельских общинах;</w:t>
      </w:r>
    </w:p>
    <w:p w:rsidR="003D65F8" w:rsidRDefault="003D65F8" w:rsidP="003D65F8">
      <w:pPr>
        <w:rPr>
          <w:color w:val="000000"/>
          <w:szCs w:val="24"/>
        </w:rPr>
      </w:pPr>
    </w:p>
    <w:p w:rsidR="003D65F8" w:rsidRDefault="003D65F8" w:rsidP="003D65F8">
      <w:pPr>
        <w:numPr>
          <w:ilvl w:val="0"/>
          <w:numId w:val="23"/>
        </w:numPr>
        <w:rPr>
          <w:color w:val="000000"/>
          <w:szCs w:val="24"/>
        </w:rPr>
      </w:pPr>
      <w:r>
        <w:rPr>
          <w:color w:val="000000"/>
          <w:szCs w:val="24"/>
        </w:rPr>
        <w:t>комплексное развитие районов, направленное на создание более прочных связей между бенефициарами реформы, принадлежащими к одним экономическим и экологическим системам;</w:t>
      </w:r>
    </w:p>
    <w:p w:rsidR="003D65F8" w:rsidRDefault="003D65F8" w:rsidP="003D65F8">
      <w:pPr>
        <w:rPr>
          <w:color w:val="000000"/>
          <w:szCs w:val="24"/>
        </w:rPr>
      </w:pPr>
    </w:p>
    <w:p w:rsidR="00367FD3" w:rsidRDefault="00367FD3" w:rsidP="00367FD3">
      <w:pPr>
        <w:rPr>
          <w:color w:val="000000"/>
          <w:szCs w:val="24"/>
        </w:rPr>
      </w:pPr>
      <w:r>
        <w:rPr>
          <w:color w:val="000000"/>
          <w:szCs w:val="24"/>
        </w:rPr>
        <w:t>595.</w:t>
      </w:r>
      <w:r>
        <w:rPr>
          <w:color w:val="000000"/>
          <w:szCs w:val="24"/>
        </w:rPr>
        <w:tab/>
        <w:t>МАР создало 1 784 ОАР по всей стране, при этом 990 из них получают поддержку от различных проектов иностранной помощи.  Общее количество организаций БАР в ОАР достигло 5 053 единиц, 47% из которых являются высокоразвитыми, т.е. они достигли 3, 4 и 5 уровней из пяти возможных уровней развития, установленных МАР.  В этих организациях в общей сложности состоит почти 500 000 фермеров.</w:t>
      </w:r>
    </w:p>
    <w:p w:rsidR="00367FD3" w:rsidRDefault="00367FD3" w:rsidP="00367FD3">
      <w:pPr>
        <w:rPr>
          <w:color w:val="000000"/>
          <w:szCs w:val="24"/>
        </w:rPr>
      </w:pPr>
    </w:p>
    <w:p w:rsidR="00367FD3" w:rsidRDefault="00367FD3" w:rsidP="00367FD3">
      <w:pPr>
        <w:rPr>
          <w:color w:val="000000"/>
          <w:szCs w:val="24"/>
        </w:rPr>
      </w:pPr>
      <w:r>
        <w:rPr>
          <w:color w:val="000000"/>
          <w:szCs w:val="24"/>
        </w:rPr>
        <w:t>596.</w:t>
      </w:r>
      <w:r>
        <w:rPr>
          <w:color w:val="000000"/>
          <w:szCs w:val="24"/>
        </w:rPr>
        <w:tab/>
        <w:t xml:space="preserve">Другие услуги по оказанию помощи включают строительство 10 734 км дорог от фермерских хозяйств к рынкам, создание ирригационных систем на площади в 141 823 га, строительство 95 мостов, 174 хранилищ, 689 систем снабжения питьевой водой и 136 многоцелевых зданий.  Среди построенных объектов инфраструктуры для БАР следует отметить больницы, школьные здания, дамбы, системы электрификации сельской местности и канализационные системы.  Среди объектов, не относящихся к физической </w:t>
      </w:r>
      <w:r w:rsidRPr="00786A08">
        <w:rPr>
          <w:color w:val="000000"/>
          <w:spacing w:val="-4"/>
          <w:szCs w:val="24"/>
        </w:rPr>
        <w:t>инфраструктуре, можно назвать демонстрационные хозяйства и сельские микропредприятия,</w:t>
      </w:r>
      <w:r w:rsidRPr="008800D0">
        <w:rPr>
          <w:color w:val="000000"/>
          <w:spacing w:val="-2"/>
          <w:szCs w:val="24"/>
        </w:rPr>
        <w:t xml:space="preserve"> </w:t>
      </w:r>
      <w:r>
        <w:rPr>
          <w:color w:val="000000"/>
          <w:szCs w:val="24"/>
        </w:rPr>
        <w:t>а среди мероприятий - обучение активистов БАР и сотрудников МАР, ответственных за реализацию реформы, а также создание служб здравоохранения и питания.</w:t>
      </w:r>
    </w:p>
    <w:p w:rsidR="00367FD3" w:rsidRDefault="00367FD3" w:rsidP="00367FD3">
      <w:pPr>
        <w:rPr>
          <w:color w:val="000000"/>
          <w:szCs w:val="24"/>
        </w:rPr>
      </w:pPr>
    </w:p>
    <w:p w:rsidR="00367FD3" w:rsidRDefault="00367FD3" w:rsidP="00367FD3">
      <w:pPr>
        <w:rPr>
          <w:color w:val="000000"/>
          <w:szCs w:val="24"/>
        </w:rPr>
      </w:pPr>
      <w:r>
        <w:rPr>
          <w:color w:val="000000"/>
          <w:szCs w:val="24"/>
        </w:rPr>
        <w:t>597.</w:t>
      </w:r>
      <w:r>
        <w:rPr>
          <w:color w:val="000000"/>
          <w:szCs w:val="24"/>
        </w:rPr>
        <w:tab/>
        <w:t>Результаты оценки ПКАР (</w:t>
      </w:r>
      <w:r>
        <w:rPr>
          <w:color w:val="000000"/>
          <w:szCs w:val="24"/>
          <w:lang w:val="en-US"/>
        </w:rPr>
        <w:t>Reyes</w:t>
      </w:r>
      <w:r w:rsidRPr="002255A4">
        <w:rPr>
          <w:color w:val="000000"/>
          <w:szCs w:val="24"/>
        </w:rPr>
        <w:t>, 2000</w:t>
      </w:r>
      <w:r>
        <w:rPr>
          <w:color w:val="000000"/>
          <w:szCs w:val="24"/>
        </w:rPr>
        <w:t xml:space="preserve">) показали, что "аграрная реформа </w:t>
      </w:r>
      <w:r w:rsidRPr="001D6476">
        <w:rPr>
          <w:color w:val="000000"/>
          <w:spacing w:val="-2"/>
          <w:szCs w:val="24"/>
        </w:rPr>
        <w:t xml:space="preserve">положительно сказалась на положении фермеров-бенефициаров.  В период 1990-2000 годов </w:t>
      </w:r>
      <w:r>
        <w:rPr>
          <w:color w:val="000000"/>
          <w:szCs w:val="24"/>
        </w:rPr>
        <w:t>она позволила увеличить реальный подушевой доход и уменьшить масштабы нищеты.  По сравнению с фермерами, не охваченными программами реформы, ее бенефициары, как правило, получают более высокие доходы и имеют более низкий процент малоимущего населения.  Вместе с тем показатели уровня нищеты среди бенефициаров аграрной реформы остаются более высокими, чем в целом по стране".</w:t>
      </w:r>
    </w:p>
    <w:p w:rsidR="00367FD3" w:rsidRDefault="00367FD3" w:rsidP="00367FD3">
      <w:pPr>
        <w:rPr>
          <w:color w:val="000000"/>
          <w:szCs w:val="24"/>
        </w:rPr>
      </w:pPr>
    </w:p>
    <w:p w:rsidR="00367FD3" w:rsidRPr="00FC33D2" w:rsidRDefault="00367FD3" w:rsidP="00367FD3">
      <w:pPr>
        <w:rPr>
          <w:i/>
          <w:color w:val="000000"/>
          <w:szCs w:val="24"/>
        </w:rPr>
      </w:pPr>
      <w:r w:rsidRPr="00FC33D2">
        <w:rPr>
          <w:i/>
          <w:color w:val="000000"/>
          <w:szCs w:val="24"/>
        </w:rPr>
        <w:t>Состояние торговли сельскохозяйственной продукцией</w:t>
      </w:r>
    </w:p>
    <w:p w:rsidR="00367FD3" w:rsidRDefault="00367FD3" w:rsidP="00367FD3">
      <w:pPr>
        <w:rPr>
          <w:color w:val="000000"/>
          <w:szCs w:val="24"/>
          <w:u w:val="single"/>
        </w:rPr>
      </w:pPr>
    </w:p>
    <w:p w:rsidR="00367FD3" w:rsidRDefault="00367FD3" w:rsidP="00367FD3">
      <w:pPr>
        <w:rPr>
          <w:color w:val="000000"/>
          <w:szCs w:val="24"/>
        </w:rPr>
      </w:pPr>
      <w:r>
        <w:rPr>
          <w:color w:val="000000"/>
          <w:szCs w:val="24"/>
        </w:rPr>
        <w:t>598.</w:t>
      </w:r>
      <w:r>
        <w:rPr>
          <w:color w:val="000000"/>
          <w:szCs w:val="24"/>
        </w:rPr>
        <w:tab/>
        <w:t xml:space="preserve">Объем агроэкспорта возрос на 7,4%;  основными его статьями являются кокосовое масло, бананы и креветки, при этом его доля в общем объеме экспорта увеличилась с 6,3% в 2004 году до 6,5% в 2005 году.  Вместе с тем темпы роста импорта были выше, составив 8,9%, главным образом, за счет риса, молочных продуктов и пшеницы, вследствие чего можно сделать вывод о том, что данный сектор является нетто-импортером.  В течение третьего квартала </w:t>
      </w:r>
      <w:r w:rsidRPr="001504E9">
        <w:rPr>
          <w:color w:val="000000"/>
          <w:szCs w:val="24"/>
        </w:rPr>
        <w:t>2005 года</w:t>
      </w:r>
      <w:r>
        <w:rPr>
          <w:color w:val="000000"/>
          <w:szCs w:val="24"/>
        </w:rPr>
        <w:t xml:space="preserve"> показатель роста объема внутренней торговли продовольственными товарами и живым скотом в стоимостном выражении был равен 25,6%, а его доля в общем объеме внутренней торговли составила 29,6% против 28,6% за</w:t>
      </w:r>
      <w:r w:rsidR="00786A08">
        <w:rPr>
          <w:color w:val="000000"/>
          <w:szCs w:val="24"/>
        </w:rPr>
        <w:t> </w:t>
      </w:r>
      <w:r>
        <w:rPr>
          <w:color w:val="000000"/>
          <w:szCs w:val="24"/>
        </w:rPr>
        <w:t>год.</w:t>
      </w:r>
    </w:p>
    <w:p w:rsidR="00367FD3" w:rsidRDefault="00367FD3" w:rsidP="00367FD3">
      <w:pPr>
        <w:rPr>
          <w:color w:val="000000"/>
          <w:szCs w:val="24"/>
        </w:rPr>
      </w:pPr>
    </w:p>
    <w:p w:rsidR="00367FD3" w:rsidRPr="00FC33D2" w:rsidRDefault="00367FD3" w:rsidP="00367FD3">
      <w:pPr>
        <w:keepNext/>
        <w:rPr>
          <w:i/>
          <w:color w:val="000000"/>
          <w:szCs w:val="24"/>
        </w:rPr>
      </w:pPr>
      <w:r w:rsidRPr="00FC33D2">
        <w:rPr>
          <w:i/>
          <w:color w:val="000000"/>
          <w:szCs w:val="24"/>
        </w:rPr>
        <w:t>Другие меры</w:t>
      </w:r>
    </w:p>
    <w:p w:rsidR="00367FD3" w:rsidRDefault="00367FD3" w:rsidP="00367FD3">
      <w:pPr>
        <w:keepNext/>
        <w:rPr>
          <w:color w:val="000000"/>
          <w:szCs w:val="24"/>
          <w:u w:val="single"/>
        </w:rPr>
      </w:pPr>
    </w:p>
    <w:p w:rsidR="00367FD3" w:rsidRDefault="00367FD3" w:rsidP="00367FD3">
      <w:pPr>
        <w:keepNext/>
        <w:tabs>
          <w:tab w:val="clear" w:pos="567"/>
          <w:tab w:val="clear" w:pos="1134"/>
          <w:tab w:val="clear" w:pos="1701"/>
          <w:tab w:val="clear" w:pos="2268"/>
          <w:tab w:val="clear" w:pos="6237"/>
        </w:tabs>
        <w:autoSpaceDE w:val="0"/>
        <w:autoSpaceDN w:val="0"/>
        <w:adjustRightInd w:val="0"/>
        <w:rPr>
          <w:szCs w:val="24"/>
        </w:rPr>
      </w:pPr>
      <w:r>
        <w:rPr>
          <w:color w:val="000000"/>
          <w:szCs w:val="24"/>
        </w:rPr>
        <w:t>599.</w:t>
      </w:r>
      <w:r>
        <w:rPr>
          <w:color w:val="000000"/>
          <w:szCs w:val="24"/>
        </w:rPr>
        <w:tab/>
        <w:t xml:space="preserve">Были завершены двусторонние торговые переговоры по программе ранней уборки урожая (ПРУ) в рамках Соглашения о свободной торговле АСЕАН-Китай (с принятием соответствующих исполнительных постановлений), а также Соглашения об экономическим партнерстве между Японией и Филиппинами;  переговоры были инициированы с целью заключения соответствующих соглашений АСЕАН - Корея, Индия, Австралия и Новая Зеландия.  Для содействия осуществлению программ торговли сельскохозяйственной продукцией в декабре </w:t>
      </w:r>
      <w:r w:rsidRPr="008F481D">
        <w:rPr>
          <w:color w:val="000000"/>
          <w:szCs w:val="24"/>
        </w:rPr>
        <w:t>2005 года</w:t>
      </w:r>
      <w:r>
        <w:rPr>
          <w:color w:val="000000"/>
          <w:szCs w:val="24"/>
        </w:rPr>
        <w:t xml:space="preserve"> в Гонконге состоялась шестая </w:t>
      </w:r>
      <w:r w:rsidRPr="00FC2566">
        <w:rPr>
          <w:szCs w:val="24"/>
        </w:rPr>
        <w:t>Конференци</w:t>
      </w:r>
      <w:r>
        <w:rPr>
          <w:szCs w:val="24"/>
        </w:rPr>
        <w:t>я</w:t>
      </w:r>
      <w:r w:rsidRPr="00FC2566">
        <w:rPr>
          <w:szCs w:val="24"/>
        </w:rPr>
        <w:t xml:space="preserve"> министров</w:t>
      </w:r>
      <w:r>
        <w:rPr>
          <w:szCs w:val="24"/>
        </w:rPr>
        <w:t xml:space="preserve"> </w:t>
      </w:r>
      <w:r w:rsidRPr="00FC2566">
        <w:rPr>
          <w:szCs w:val="24"/>
        </w:rPr>
        <w:t>Всемирной торговой организации</w:t>
      </w:r>
      <w:r>
        <w:rPr>
          <w:szCs w:val="24"/>
        </w:rPr>
        <w:t>, на которой удалось достигнуть позитивных результатов по вопросам графика ликвидации субсидий на экспортных рынках данного сектора (например, Европейский союз), требований о снижении размера внутренних субсидий, гибкости в определении тарифных ставок для особых зон и внутренних тарифов на продукцию рыбного хозяйства.</w:t>
      </w:r>
    </w:p>
    <w:p w:rsidR="00367FD3" w:rsidRDefault="00367FD3" w:rsidP="00367FD3">
      <w:pPr>
        <w:tabs>
          <w:tab w:val="clear" w:pos="567"/>
          <w:tab w:val="clear" w:pos="1134"/>
          <w:tab w:val="clear" w:pos="1701"/>
          <w:tab w:val="clear" w:pos="2268"/>
          <w:tab w:val="clear" w:pos="6237"/>
        </w:tabs>
        <w:autoSpaceDE w:val="0"/>
        <w:autoSpaceDN w:val="0"/>
        <w:adjustRightInd w:val="0"/>
        <w:rPr>
          <w:szCs w:val="24"/>
        </w:rPr>
      </w:pPr>
    </w:p>
    <w:p w:rsidR="00367FD3" w:rsidRDefault="00367FD3" w:rsidP="00367FD3">
      <w:pPr>
        <w:tabs>
          <w:tab w:val="clear" w:pos="567"/>
          <w:tab w:val="clear" w:pos="1134"/>
          <w:tab w:val="clear" w:pos="1701"/>
          <w:tab w:val="clear" w:pos="2268"/>
          <w:tab w:val="clear" w:pos="6237"/>
        </w:tabs>
        <w:autoSpaceDE w:val="0"/>
        <w:autoSpaceDN w:val="0"/>
        <w:adjustRightInd w:val="0"/>
        <w:rPr>
          <w:b/>
          <w:szCs w:val="24"/>
        </w:rPr>
      </w:pPr>
      <w:r>
        <w:rPr>
          <w:b/>
          <w:szCs w:val="24"/>
        </w:rPr>
        <w:t>Вопрос № 3.</w:t>
      </w:r>
      <w:r>
        <w:rPr>
          <w:b/>
          <w:szCs w:val="24"/>
        </w:rPr>
        <w:tab/>
      </w:r>
      <w:r w:rsidRPr="00615B09">
        <w:rPr>
          <w:b/>
          <w:szCs w:val="24"/>
        </w:rPr>
        <w:t>Право на достаточное жилище</w:t>
      </w:r>
    </w:p>
    <w:p w:rsidR="00367FD3" w:rsidRDefault="00367FD3" w:rsidP="00367FD3">
      <w:pPr>
        <w:tabs>
          <w:tab w:val="clear" w:pos="567"/>
          <w:tab w:val="clear" w:pos="1134"/>
          <w:tab w:val="clear" w:pos="1701"/>
          <w:tab w:val="clear" w:pos="2268"/>
          <w:tab w:val="clear" w:pos="6237"/>
        </w:tabs>
        <w:autoSpaceDE w:val="0"/>
        <w:autoSpaceDN w:val="0"/>
        <w:adjustRightInd w:val="0"/>
        <w:rPr>
          <w:b/>
          <w:szCs w:val="24"/>
        </w:rPr>
      </w:pPr>
    </w:p>
    <w:p w:rsidR="00367FD3" w:rsidRDefault="00367FD3" w:rsidP="00367FD3">
      <w:pPr>
        <w:tabs>
          <w:tab w:val="clear" w:pos="567"/>
          <w:tab w:val="clear" w:pos="1134"/>
          <w:tab w:val="clear" w:pos="1701"/>
          <w:tab w:val="clear" w:pos="2268"/>
          <w:tab w:val="clear" w:pos="6237"/>
        </w:tabs>
        <w:autoSpaceDE w:val="0"/>
        <w:autoSpaceDN w:val="0"/>
        <w:adjustRightInd w:val="0"/>
        <w:rPr>
          <w:szCs w:val="24"/>
        </w:rPr>
      </w:pPr>
      <w:r w:rsidRPr="00615B09">
        <w:rPr>
          <w:b/>
          <w:szCs w:val="24"/>
        </w:rPr>
        <w:t>3</w:t>
      </w:r>
      <w:r>
        <w:rPr>
          <w:b/>
          <w:szCs w:val="24"/>
        </w:rPr>
        <w:t>.</w:t>
      </w:r>
      <w:r w:rsidRPr="00615B09">
        <w:rPr>
          <w:b/>
          <w:szCs w:val="24"/>
        </w:rPr>
        <w:t>а</w:t>
      </w:r>
      <w:r>
        <w:rPr>
          <w:b/>
          <w:szCs w:val="24"/>
        </w:rPr>
        <w:tab/>
        <w:t>Жилищная с</w:t>
      </w:r>
      <w:r w:rsidRPr="00615B09">
        <w:rPr>
          <w:b/>
          <w:szCs w:val="24"/>
        </w:rPr>
        <w:t>итуация в стране</w:t>
      </w:r>
    </w:p>
    <w:p w:rsidR="00367FD3" w:rsidRDefault="00367FD3" w:rsidP="00367FD3">
      <w:pPr>
        <w:tabs>
          <w:tab w:val="clear" w:pos="567"/>
          <w:tab w:val="clear" w:pos="1134"/>
          <w:tab w:val="clear" w:pos="1701"/>
          <w:tab w:val="clear" w:pos="2268"/>
          <w:tab w:val="clear" w:pos="6237"/>
        </w:tabs>
        <w:autoSpaceDE w:val="0"/>
        <w:autoSpaceDN w:val="0"/>
        <w:adjustRightInd w:val="0"/>
        <w:rPr>
          <w:szCs w:val="24"/>
        </w:rPr>
      </w:pPr>
    </w:p>
    <w:p w:rsidR="00367FD3" w:rsidRDefault="00367FD3" w:rsidP="00367FD3">
      <w:pPr>
        <w:tabs>
          <w:tab w:val="clear" w:pos="567"/>
          <w:tab w:val="clear" w:pos="1134"/>
          <w:tab w:val="clear" w:pos="1701"/>
          <w:tab w:val="clear" w:pos="2268"/>
          <w:tab w:val="clear" w:pos="6237"/>
        </w:tabs>
        <w:autoSpaceDE w:val="0"/>
        <w:autoSpaceDN w:val="0"/>
        <w:adjustRightInd w:val="0"/>
        <w:rPr>
          <w:i/>
          <w:color w:val="000000"/>
          <w:szCs w:val="24"/>
        </w:rPr>
      </w:pPr>
      <w:r w:rsidRPr="00FC33D2">
        <w:rPr>
          <w:i/>
          <w:color w:val="000000"/>
          <w:szCs w:val="24"/>
        </w:rPr>
        <w:t>Положение дел с обеспечением жильем на Филиппинах</w:t>
      </w:r>
    </w:p>
    <w:p w:rsidR="00FC33D2" w:rsidRPr="00FC33D2" w:rsidRDefault="00FC33D2" w:rsidP="00367FD3">
      <w:pPr>
        <w:tabs>
          <w:tab w:val="clear" w:pos="567"/>
          <w:tab w:val="clear" w:pos="1134"/>
          <w:tab w:val="clear" w:pos="1701"/>
          <w:tab w:val="clear" w:pos="2268"/>
          <w:tab w:val="clear" w:pos="6237"/>
        </w:tabs>
        <w:autoSpaceDE w:val="0"/>
        <w:autoSpaceDN w:val="0"/>
        <w:adjustRightInd w:val="0"/>
        <w:rPr>
          <w:i/>
        </w:rPr>
      </w:pP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600.</w:t>
      </w:r>
      <w:r>
        <w:rPr>
          <w:color w:val="000000"/>
          <w:szCs w:val="24"/>
        </w:rPr>
        <w:tab/>
        <w:t xml:space="preserve">Объем жилищного строительства на фоне огромной потребности в жилье (3,6 млн. в 2001–2004 годах) относительно невелик.  По отношению к целевому показателю в размере 1,2 млн. единиц жилья в рамках жилищной помощи или социального жилья (куда входят дома, дома и земельные участки или только земельные участки) жилищный сектор по состоянию на июнь </w:t>
      </w:r>
      <w:r w:rsidRPr="0014011A">
        <w:rPr>
          <w:color w:val="000000"/>
          <w:szCs w:val="24"/>
        </w:rPr>
        <w:t>2004 года</w:t>
      </w:r>
      <w:r>
        <w:rPr>
          <w:color w:val="000000"/>
          <w:szCs w:val="24"/>
        </w:rPr>
        <w:t xml:space="preserve"> посредством Национальной программы обеспечения жильем смог предоставить лишь 882 823 единицы социального жилья, что составило 73,6%.  В период 1998–2000 годов результаты массового обеспечения жильем были весьма скромными.  Жилищный подсектор пытался обеспечить социальным жильем, в частности, малоимущее население, путем предоставления гарантий арендаторам жилья.</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601.</w:t>
      </w:r>
      <w:r>
        <w:rPr>
          <w:color w:val="000000"/>
          <w:szCs w:val="24"/>
        </w:rPr>
        <w:tab/>
        <w:t>Проблема несоответствия спроса и предложения жилья стоит как никогда остро в контексте стремительной урбанизации, усугубленной миграцией в города, быстрым ростом населения и появлением новых домохозяйств, а также экономическим спадом.</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p>
    <w:p w:rsidR="00062739" w:rsidRPr="00FC33D2" w:rsidRDefault="00062739" w:rsidP="00062739">
      <w:pPr>
        <w:tabs>
          <w:tab w:val="clear" w:pos="567"/>
          <w:tab w:val="clear" w:pos="1134"/>
          <w:tab w:val="clear" w:pos="1701"/>
          <w:tab w:val="clear" w:pos="2268"/>
          <w:tab w:val="clear" w:pos="6237"/>
        </w:tabs>
        <w:autoSpaceDE w:val="0"/>
        <w:autoSpaceDN w:val="0"/>
        <w:adjustRightInd w:val="0"/>
        <w:rPr>
          <w:i/>
          <w:color w:val="000000"/>
          <w:szCs w:val="24"/>
        </w:rPr>
      </w:pPr>
      <w:r w:rsidRPr="00FC33D2">
        <w:rPr>
          <w:i/>
          <w:color w:val="000000"/>
          <w:szCs w:val="24"/>
        </w:rPr>
        <w:t>Потребности в жилищной помощи</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u w:val="single"/>
        </w:rPr>
      </w:pP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602.</w:t>
      </w:r>
      <w:r>
        <w:rPr>
          <w:color w:val="000000"/>
          <w:szCs w:val="24"/>
        </w:rPr>
        <w:tab/>
        <w:t>Быстрый рост численности населения Филиппин происходит параллельно со спросом на жилье.  Все это происходит на фоне крайне ограниченных государственных ресурсов, а в рамках большинства государственных программ, как правило, предлагаются варианты жилья, которые в основном недоступны для бедных.  Годовой прирост населения составляет порядка 2,36%, а темпы урбанизации (т.е. соотношение территории городских районов и общей территории страны) – 52%.  Согласно прогнозам в период 2005–2010 годов потребность в жилье составит 3,75 млн. единиц.</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603.</w:t>
      </w:r>
      <w:r>
        <w:rPr>
          <w:color w:val="000000"/>
          <w:szCs w:val="24"/>
        </w:rPr>
        <w:tab/>
        <w:t>С географической точки зрения более половины всех жилищных потребностей (56%) приходится на Южный Тагалог, Манилу и Центральный Лусон, 21% – на Висайские острова, а остальные оставшиеся 23% – на Минданао.</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p>
    <w:p w:rsidR="00062739" w:rsidRPr="00FC33D2" w:rsidRDefault="00062739" w:rsidP="00722ED8">
      <w:pPr>
        <w:keepNext/>
        <w:tabs>
          <w:tab w:val="clear" w:pos="567"/>
          <w:tab w:val="clear" w:pos="1134"/>
          <w:tab w:val="clear" w:pos="1701"/>
          <w:tab w:val="clear" w:pos="2268"/>
          <w:tab w:val="clear" w:pos="6237"/>
        </w:tabs>
        <w:autoSpaceDE w:val="0"/>
        <w:autoSpaceDN w:val="0"/>
        <w:adjustRightInd w:val="0"/>
        <w:rPr>
          <w:i/>
          <w:color w:val="000000"/>
          <w:szCs w:val="24"/>
        </w:rPr>
      </w:pPr>
      <w:r w:rsidRPr="00FC33D2">
        <w:rPr>
          <w:i/>
          <w:color w:val="000000"/>
          <w:szCs w:val="24"/>
        </w:rPr>
        <w:t>Группы, находящиеся в неблагоприятном положении</w:t>
      </w:r>
    </w:p>
    <w:p w:rsidR="00062739" w:rsidRDefault="00062739" w:rsidP="00722ED8">
      <w:pPr>
        <w:keepNext/>
        <w:tabs>
          <w:tab w:val="clear" w:pos="567"/>
          <w:tab w:val="clear" w:pos="1134"/>
          <w:tab w:val="clear" w:pos="1701"/>
          <w:tab w:val="clear" w:pos="2268"/>
          <w:tab w:val="clear" w:pos="6237"/>
        </w:tabs>
        <w:autoSpaceDE w:val="0"/>
        <w:autoSpaceDN w:val="0"/>
        <w:adjustRightInd w:val="0"/>
        <w:rPr>
          <w:color w:val="000000"/>
          <w:szCs w:val="24"/>
          <w:u w:val="single"/>
        </w:rPr>
      </w:pP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604.</w:t>
      </w:r>
      <w:r>
        <w:rPr>
          <w:color w:val="000000"/>
          <w:szCs w:val="24"/>
        </w:rPr>
        <w:tab/>
        <w:t>В 2002 году, по оценкам правительства, в стране зарегистрировано 588 853 семьи неофициальных поселенцев и домохозяйств скваттеров.  Более половины неофициальных поселенцев (51%) проживают в НРС, Районе </w:t>
      </w:r>
      <w:r>
        <w:rPr>
          <w:color w:val="000000"/>
          <w:szCs w:val="24"/>
          <w:lang w:val="en-US"/>
        </w:rPr>
        <w:t>VI</w:t>
      </w:r>
      <w:r w:rsidRPr="00EE44CB">
        <w:rPr>
          <w:color w:val="000000"/>
          <w:szCs w:val="24"/>
        </w:rPr>
        <w:t xml:space="preserve"> </w:t>
      </w:r>
      <w:r>
        <w:rPr>
          <w:color w:val="000000"/>
          <w:szCs w:val="24"/>
        </w:rPr>
        <w:t>и Районе </w:t>
      </w:r>
      <w:r>
        <w:rPr>
          <w:color w:val="000000"/>
          <w:szCs w:val="24"/>
          <w:lang w:val="en-US"/>
        </w:rPr>
        <w:t>IV</w:t>
      </w:r>
      <w:r>
        <w:rPr>
          <w:color w:val="000000"/>
          <w:szCs w:val="24"/>
        </w:rPr>
        <w:t>.  Наименьшее же количество зарегистрировано в Кордильерском административном районе (КАР), Районе </w:t>
      </w:r>
      <w:r>
        <w:rPr>
          <w:color w:val="000000"/>
          <w:szCs w:val="24"/>
          <w:lang w:val="en-US"/>
        </w:rPr>
        <w:t>I</w:t>
      </w:r>
      <w:r w:rsidRPr="00EE44CB">
        <w:rPr>
          <w:color w:val="000000"/>
          <w:szCs w:val="24"/>
        </w:rPr>
        <w:t xml:space="preserve"> </w:t>
      </w:r>
      <w:r>
        <w:rPr>
          <w:color w:val="000000"/>
          <w:szCs w:val="24"/>
        </w:rPr>
        <w:t xml:space="preserve">и АРММ.  Эти неофициальные поселенцы проживают в жилье, которое не отвечает установленным нормам и срок эксплуатации которого не превышает пяти лет.  Большей частью это – </w:t>
      </w:r>
      <w:r w:rsidRPr="00786A08">
        <w:rPr>
          <w:color w:val="000000"/>
          <w:spacing w:val="-2"/>
          <w:szCs w:val="24"/>
        </w:rPr>
        <w:t>городские трущобы, где практически полностью отсутствуют базовая или вспомогательная</w:t>
      </w:r>
      <w:r>
        <w:rPr>
          <w:color w:val="000000"/>
          <w:szCs w:val="24"/>
        </w:rPr>
        <w:t xml:space="preserve"> инфраструктура, в частности водоснабжение, больницы, начальные и средние школы и возможности для получения средств для достойного существования.</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p>
    <w:p w:rsidR="00062739" w:rsidRPr="00FC33D2" w:rsidRDefault="00062739" w:rsidP="00062739">
      <w:pPr>
        <w:tabs>
          <w:tab w:val="clear" w:pos="567"/>
          <w:tab w:val="clear" w:pos="1134"/>
          <w:tab w:val="clear" w:pos="1701"/>
          <w:tab w:val="clear" w:pos="2268"/>
          <w:tab w:val="clear" w:pos="6237"/>
        </w:tabs>
        <w:autoSpaceDE w:val="0"/>
        <w:autoSpaceDN w:val="0"/>
        <w:adjustRightInd w:val="0"/>
        <w:rPr>
          <w:i/>
          <w:color w:val="000000"/>
          <w:szCs w:val="24"/>
        </w:rPr>
      </w:pPr>
      <w:r w:rsidRPr="00FC33D2">
        <w:rPr>
          <w:i/>
          <w:color w:val="000000"/>
          <w:szCs w:val="24"/>
        </w:rPr>
        <w:t>Соответствующее законодательство:  освоение земель и строительство жилья</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u w:val="single"/>
        </w:rPr>
      </w:pP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605.</w:t>
      </w:r>
      <w:r>
        <w:rPr>
          <w:color w:val="000000"/>
          <w:szCs w:val="24"/>
        </w:rPr>
        <w:tab/>
        <w:t xml:space="preserve">"Батас Памбанса Блг. 220", или </w:t>
      </w:r>
      <w:r w:rsidRPr="00FD0607">
        <w:rPr>
          <w:i/>
          <w:color w:val="000000"/>
          <w:szCs w:val="24"/>
        </w:rPr>
        <w:t>Закон о социальном жилье</w:t>
      </w:r>
      <w:r>
        <w:rPr>
          <w:color w:val="000000"/>
          <w:szCs w:val="24"/>
        </w:rPr>
        <w:t>, расширяет возможности застройки земельных участков и предусматривает либерализацию строительных норм в целях строительства дешевого жилья.</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606.</w:t>
      </w:r>
      <w:r>
        <w:rPr>
          <w:color w:val="000000"/>
          <w:szCs w:val="24"/>
        </w:rPr>
        <w:tab/>
        <w:t xml:space="preserve">Президентский указ № 399, известный как </w:t>
      </w:r>
      <w:r w:rsidRPr="00A819CA">
        <w:rPr>
          <w:i/>
          <w:color w:val="000000"/>
          <w:szCs w:val="24"/>
        </w:rPr>
        <w:t>Закон о земельных зонах</w:t>
      </w:r>
      <w:r>
        <w:rPr>
          <w:color w:val="000000"/>
          <w:szCs w:val="24"/>
        </w:rPr>
        <w:t>, предусматривает сохранение участков земли вдоль государственных и провинциальных дорог в пределах 1000 метров для городского строительства и расселения людей.</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r>
        <w:rPr>
          <w:color w:val="000000"/>
          <w:szCs w:val="24"/>
        </w:rPr>
        <w:t>607.</w:t>
      </w:r>
      <w:r>
        <w:rPr>
          <w:color w:val="000000"/>
          <w:szCs w:val="24"/>
        </w:rPr>
        <w:tab/>
        <w:t xml:space="preserve">Республиканский закон № 7279, или </w:t>
      </w:r>
      <w:r w:rsidRPr="00F6031E">
        <w:rPr>
          <w:i/>
          <w:color w:val="000000"/>
          <w:szCs w:val="24"/>
        </w:rPr>
        <w:t>Закон о городском и жилищном строительстве</w:t>
      </w:r>
      <w:r>
        <w:rPr>
          <w:color w:val="000000"/>
          <w:szCs w:val="24"/>
        </w:rPr>
        <w:t xml:space="preserve"> (ЗГЖ</w:t>
      </w:r>
      <w:r w:rsidR="008C1217">
        <w:rPr>
          <w:color w:val="000000"/>
          <w:szCs w:val="24"/>
        </w:rPr>
        <w:t>С</w:t>
      </w:r>
      <w:r>
        <w:rPr>
          <w:color w:val="000000"/>
          <w:szCs w:val="24"/>
        </w:rPr>
        <w:t xml:space="preserve">), содержит программу, состоящую из трех пунктов:  а)  поощрение участия людей в городском строительстве;  </w:t>
      </w:r>
      <w:r>
        <w:rPr>
          <w:color w:val="000000"/>
          <w:szCs w:val="24"/>
          <w:lang w:val="en-US"/>
        </w:rPr>
        <w:t>b</w:t>
      </w:r>
      <w:r>
        <w:rPr>
          <w:color w:val="000000"/>
          <w:szCs w:val="24"/>
        </w:rPr>
        <w:t>)  расширение прав органов местного самоуправления для решения вопросов городского строительства, включая, в частности, проблему бездомности;  и  с)  участие частного сектора в национальной программе обеспечения жильем в обмен на определенные льготы.  Этот закон придает стимул строительству социального жилья за счет льгот, выделения финансовых средств, создания механизмов идентификации земель и обращения к застройщикам с требованием выделять часть построенного жилья на социальные нужды.</w:t>
      </w:r>
    </w:p>
    <w:p w:rsidR="00062739" w:rsidRDefault="00062739" w:rsidP="00062739">
      <w:pPr>
        <w:tabs>
          <w:tab w:val="clear" w:pos="567"/>
          <w:tab w:val="clear" w:pos="1134"/>
          <w:tab w:val="clear" w:pos="1701"/>
          <w:tab w:val="clear" w:pos="2268"/>
          <w:tab w:val="clear" w:pos="6237"/>
        </w:tabs>
        <w:autoSpaceDE w:val="0"/>
        <w:autoSpaceDN w:val="0"/>
        <w:adjustRightInd w:val="0"/>
        <w:rPr>
          <w:color w:val="000000"/>
          <w:szCs w:val="24"/>
        </w:rPr>
      </w:pPr>
    </w:p>
    <w:p w:rsidR="00062739" w:rsidRPr="00FC33D2" w:rsidRDefault="00062739" w:rsidP="00062739">
      <w:pPr>
        <w:rPr>
          <w:i/>
          <w:color w:val="000000"/>
          <w:szCs w:val="24"/>
        </w:rPr>
      </w:pPr>
      <w:r w:rsidRPr="00FC33D2">
        <w:rPr>
          <w:i/>
          <w:color w:val="000000"/>
          <w:szCs w:val="24"/>
        </w:rPr>
        <w:t>Законодательство о самовольных заселениях и выселениях</w:t>
      </w:r>
    </w:p>
    <w:p w:rsidR="00062739" w:rsidRDefault="00062739" w:rsidP="00062739">
      <w:pPr>
        <w:rPr>
          <w:color w:val="000000"/>
          <w:szCs w:val="24"/>
          <w:u w:val="single"/>
        </w:rPr>
      </w:pPr>
    </w:p>
    <w:p w:rsidR="00062739" w:rsidRDefault="00062739" w:rsidP="00062739">
      <w:pPr>
        <w:rPr>
          <w:color w:val="000000"/>
          <w:szCs w:val="24"/>
        </w:rPr>
      </w:pPr>
      <w:r>
        <w:rPr>
          <w:color w:val="000000"/>
          <w:szCs w:val="24"/>
        </w:rPr>
        <w:t>608.</w:t>
      </w:r>
      <w:r>
        <w:rPr>
          <w:color w:val="000000"/>
          <w:szCs w:val="24"/>
        </w:rPr>
        <w:tab/>
        <w:t>Другой важной характеристикой ЗГЖС является запрещение практики выселений или сноса жилья.  Выселения допускаются только при соблюдении следующих условий:  проживание в небезопасных районах;  реализация государственных проектов строительства инфраструктуры при наличии соответствующих финансовых средств, вынесение судебного решения о выселении или сносе жилья.  Закон также содержит руководящие принципы, касающиеся выселения, которые включают обеспечение основных услуг и жилых объектов в местах переселения, предоставление средств к существованию, целевое участие и предоставление социальной помощи пострадавшим семьям, тесное взаимодействие между направляющими и принимающими государственными учреждениями на местах, возмещение вреда и смежные аспекты.</w:t>
      </w:r>
    </w:p>
    <w:p w:rsidR="00D81B65" w:rsidRDefault="00D81B65" w:rsidP="00D81B65"/>
    <w:p w:rsidR="00D81B65" w:rsidRDefault="00D81B65" w:rsidP="00D81B65">
      <w:pPr>
        <w:rPr>
          <w:color w:val="000000"/>
          <w:szCs w:val="24"/>
        </w:rPr>
      </w:pPr>
      <w:r>
        <w:rPr>
          <w:color w:val="000000"/>
          <w:szCs w:val="24"/>
        </w:rPr>
        <w:t>609.</w:t>
      </w:r>
      <w:r>
        <w:rPr>
          <w:color w:val="000000"/>
          <w:szCs w:val="24"/>
        </w:rPr>
        <w:tab/>
        <w:t xml:space="preserve">Республиканский закон № 8368, или </w:t>
      </w:r>
      <w:r w:rsidRPr="005B5367">
        <w:rPr>
          <w:i/>
          <w:color w:val="000000"/>
          <w:szCs w:val="24"/>
        </w:rPr>
        <w:t>Закон</w:t>
      </w:r>
      <w:r w:rsidRPr="00F31BDA">
        <w:rPr>
          <w:i/>
          <w:color w:val="000000"/>
          <w:szCs w:val="24"/>
        </w:rPr>
        <w:t xml:space="preserve"> </w:t>
      </w:r>
      <w:r w:rsidRPr="005B5367">
        <w:rPr>
          <w:i/>
          <w:color w:val="000000"/>
          <w:szCs w:val="24"/>
        </w:rPr>
        <w:t>1997</w:t>
      </w:r>
      <w:r>
        <w:rPr>
          <w:color w:val="000000"/>
          <w:szCs w:val="24"/>
        </w:rPr>
        <w:t xml:space="preserve"> </w:t>
      </w:r>
      <w:r w:rsidRPr="005B5367">
        <w:rPr>
          <w:i/>
          <w:color w:val="000000"/>
          <w:szCs w:val="24"/>
        </w:rPr>
        <w:t>года о</w:t>
      </w:r>
      <w:r>
        <w:rPr>
          <w:i/>
          <w:color w:val="000000"/>
          <w:szCs w:val="24"/>
        </w:rPr>
        <w:t>б отмене запрета</w:t>
      </w:r>
      <w:r w:rsidRPr="005B5367">
        <w:rPr>
          <w:i/>
          <w:color w:val="000000"/>
          <w:szCs w:val="24"/>
        </w:rPr>
        <w:t xml:space="preserve"> </w:t>
      </w:r>
      <w:r>
        <w:rPr>
          <w:i/>
          <w:color w:val="000000"/>
          <w:szCs w:val="24"/>
        </w:rPr>
        <w:t>на незаконные</w:t>
      </w:r>
      <w:r w:rsidRPr="005B5367">
        <w:rPr>
          <w:i/>
          <w:color w:val="000000"/>
          <w:szCs w:val="24"/>
        </w:rPr>
        <w:t xml:space="preserve"> заселени</w:t>
      </w:r>
      <w:r>
        <w:rPr>
          <w:i/>
          <w:color w:val="000000"/>
          <w:szCs w:val="24"/>
        </w:rPr>
        <w:t>я</w:t>
      </w:r>
      <w:r>
        <w:rPr>
          <w:color w:val="000000"/>
          <w:szCs w:val="24"/>
        </w:rPr>
        <w:t>, отменил Президентский указ № 772, в котором предусматривалась ответственность за незаконные заселения и другие подобные действия.  Этот закон также отменил уголовную ответственность за незаконные поселения.</w:t>
      </w:r>
    </w:p>
    <w:p w:rsidR="00D81B65" w:rsidRDefault="00D81B65" w:rsidP="00D81B65">
      <w:pPr>
        <w:rPr>
          <w:color w:val="000000"/>
          <w:szCs w:val="24"/>
        </w:rPr>
      </w:pPr>
    </w:p>
    <w:p w:rsidR="00D81B65" w:rsidRDefault="00D81B65" w:rsidP="00D81B65">
      <w:pPr>
        <w:rPr>
          <w:color w:val="000000"/>
          <w:szCs w:val="24"/>
        </w:rPr>
      </w:pPr>
      <w:r>
        <w:rPr>
          <w:color w:val="000000"/>
          <w:szCs w:val="24"/>
        </w:rPr>
        <w:t>610.</w:t>
      </w:r>
      <w:r>
        <w:rPr>
          <w:color w:val="000000"/>
          <w:szCs w:val="24"/>
        </w:rPr>
        <w:tab/>
        <w:t>Исполнительное постановление № 129 создало институциональный механизм в целях ограничения деятельности профессиональных синдикатов "скваттеров" и профессиональных "скваттеров" и усилило борьбу с ними.  Цель этого постановления заключается в защите законных бенефициаров ЗГЖС от синдикатов и профессиональных "скваттеров", которые продолжают использовать их в своих интересах, распространяя ложные сведения, незаконно взимая плату за жилье и создавая для ни</w:t>
      </w:r>
      <w:r w:rsidR="00786A08">
        <w:rPr>
          <w:color w:val="000000"/>
          <w:szCs w:val="24"/>
        </w:rPr>
        <w:t>х иные трудности.</w:t>
      </w:r>
    </w:p>
    <w:p w:rsidR="00D81B65" w:rsidRDefault="00D81B65" w:rsidP="00D81B65">
      <w:pPr>
        <w:rPr>
          <w:color w:val="000000"/>
          <w:szCs w:val="24"/>
        </w:rPr>
      </w:pPr>
    </w:p>
    <w:p w:rsidR="00D81B65" w:rsidRDefault="00D81B65" w:rsidP="00D81B65">
      <w:pPr>
        <w:rPr>
          <w:color w:val="000000"/>
          <w:szCs w:val="24"/>
        </w:rPr>
      </w:pPr>
      <w:r>
        <w:rPr>
          <w:color w:val="000000"/>
          <w:szCs w:val="24"/>
        </w:rPr>
        <w:t>611.</w:t>
      </w:r>
      <w:r>
        <w:rPr>
          <w:color w:val="000000"/>
          <w:szCs w:val="24"/>
        </w:rPr>
        <w:tab/>
        <w:t xml:space="preserve">Исполнительное постановление № 152 (от 10 декабря </w:t>
      </w:r>
      <w:r w:rsidRPr="003E4F40">
        <w:rPr>
          <w:color w:val="000000"/>
          <w:szCs w:val="24"/>
        </w:rPr>
        <w:t>2002 года</w:t>
      </w:r>
      <w:r>
        <w:rPr>
          <w:color w:val="000000"/>
          <w:szCs w:val="24"/>
        </w:rPr>
        <w:t>) о создании Президентской комиссии по делам малоимущего городского населения (ПКМГН) в качестве единственного координационного центра, занимающегося вопросами сноса жилья и выселений, действий, затрагивающих интересы бездомных и малоимущих граждан.  В этих целях был учрежден механизм обеспечения строгого соблюдения требований справедливости и гуманности при сносе жилья и выселениях на основании Закона о городском и жилищном строительстве 1992 года, а также для других целей.  Указанное постановление позволило сократить количество случаев произвольного сноса жилья и незаконных выселений.</w:t>
      </w:r>
    </w:p>
    <w:p w:rsidR="00D81B65" w:rsidRDefault="00D81B65" w:rsidP="00D81B65">
      <w:pPr>
        <w:rPr>
          <w:color w:val="000000"/>
          <w:szCs w:val="24"/>
        </w:rPr>
      </w:pPr>
    </w:p>
    <w:p w:rsidR="00D81B65" w:rsidRDefault="00D81B65" w:rsidP="00D81B65">
      <w:pPr>
        <w:rPr>
          <w:color w:val="000000"/>
          <w:szCs w:val="24"/>
        </w:rPr>
      </w:pPr>
      <w:r>
        <w:rPr>
          <w:color w:val="000000"/>
          <w:szCs w:val="24"/>
        </w:rPr>
        <w:t>612.</w:t>
      </w:r>
      <w:r>
        <w:rPr>
          <w:color w:val="000000"/>
          <w:szCs w:val="24"/>
        </w:rPr>
        <w:tab/>
        <w:t xml:space="preserve">Исполнительное постановление № 153 (от 10 декабря </w:t>
      </w:r>
      <w:r w:rsidRPr="00BB18A5">
        <w:rPr>
          <w:color w:val="000000"/>
          <w:szCs w:val="24"/>
        </w:rPr>
        <w:t>2002 года</w:t>
      </w:r>
      <w:r>
        <w:rPr>
          <w:color w:val="000000"/>
          <w:szCs w:val="24"/>
        </w:rPr>
        <w:t xml:space="preserve">) об институционализации национальной кампании по предупреждению и искоренению деятельности синдикатов "скваттеров" и профессиональных "скваттеров", дополняющее исполнительные постановления № 178 </w:t>
      </w:r>
      <w:r>
        <w:rPr>
          <w:color w:val="000000"/>
          <w:szCs w:val="24"/>
          <w:lang w:val="en-US"/>
        </w:rPr>
        <w:t>S</w:t>
      </w:r>
      <w:r w:rsidRPr="00AE498F">
        <w:rPr>
          <w:color w:val="000000"/>
          <w:szCs w:val="24"/>
        </w:rPr>
        <w:t>.</w:t>
      </w:r>
      <w:r>
        <w:rPr>
          <w:color w:val="000000"/>
          <w:szCs w:val="24"/>
        </w:rPr>
        <w:t xml:space="preserve"> от </w:t>
      </w:r>
      <w:r w:rsidRPr="00AE498F">
        <w:rPr>
          <w:color w:val="000000"/>
          <w:szCs w:val="24"/>
        </w:rPr>
        <w:t>1999</w:t>
      </w:r>
      <w:r w:rsidRPr="00AE498F">
        <w:rPr>
          <w:color w:val="000000"/>
          <w:szCs w:val="24"/>
          <w:lang w:val="en-US"/>
        </w:rPr>
        <w:t> </w:t>
      </w:r>
      <w:r w:rsidRPr="00AE498F">
        <w:rPr>
          <w:color w:val="000000"/>
          <w:szCs w:val="24"/>
        </w:rPr>
        <w:t>года</w:t>
      </w:r>
      <w:r>
        <w:rPr>
          <w:color w:val="000000"/>
          <w:szCs w:val="24"/>
        </w:rPr>
        <w:t xml:space="preserve"> и 129 </w:t>
      </w:r>
      <w:r>
        <w:rPr>
          <w:color w:val="000000"/>
          <w:szCs w:val="24"/>
          <w:lang w:val="en-US"/>
        </w:rPr>
        <w:t>S</w:t>
      </w:r>
      <w:r w:rsidRPr="00AE498F">
        <w:rPr>
          <w:color w:val="000000"/>
          <w:szCs w:val="24"/>
        </w:rPr>
        <w:t>.</w:t>
      </w:r>
      <w:r>
        <w:rPr>
          <w:color w:val="000000"/>
          <w:szCs w:val="24"/>
        </w:rPr>
        <w:t xml:space="preserve"> от 1993 года, гарантирует, что бенефициарами государственных программ строительства жилья могут быть только лица, официально признанные бездомными и малоимущими.</w:t>
      </w:r>
    </w:p>
    <w:p w:rsidR="00D81B65" w:rsidRDefault="00D81B65" w:rsidP="00D81B65">
      <w:pPr>
        <w:rPr>
          <w:color w:val="000000"/>
          <w:szCs w:val="24"/>
        </w:rPr>
      </w:pPr>
    </w:p>
    <w:p w:rsidR="00D81B65" w:rsidRDefault="00D81B65" w:rsidP="00D81B65">
      <w:pPr>
        <w:rPr>
          <w:color w:val="000000"/>
          <w:szCs w:val="24"/>
        </w:rPr>
      </w:pPr>
      <w:r>
        <w:rPr>
          <w:color w:val="000000"/>
          <w:szCs w:val="24"/>
        </w:rPr>
        <w:t>613.</w:t>
      </w:r>
      <w:r>
        <w:rPr>
          <w:color w:val="000000"/>
          <w:szCs w:val="24"/>
        </w:rPr>
        <w:tab/>
        <w:t>Исполнительное постановление № 178 предусматривает создание специального подразделения в рамках национальной полиции по борьбе с профессиональными "скваттерами" и синдикатами "скваттеров".  Его сотрудники будут заниматься задержанием и судебным преследованием "скваттеров" и их синдикатов по всей стране.</w:t>
      </w:r>
    </w:p>
    <w:p w:rsidR="00D81B65" w:rsidRDefault="00D81B65" w:rsidP="00D81B65">
      <w:pPr>
        <w:rPr>
          <w:color w:val="000000"/>
          <w:szCs w:val="24"/>
        </w:rPr>
      </w:pPr>
    </w:p>
    <w:p w:rsidR="00D81B65" w:rsidRDefault="00D81B65" w:rsidP="00D81B65">
      <w:pPr>
        <w:rPr>
          <w:color w:val="000000"/>
          <w:szCs w:val="24"/>
        </w:rPr>
      </w:pPr>
      <w:r>
        <w:rPr>
          <w:color w:val="000000"/>
          <w:szCs w:val="24"/>
        </w:rPr>
        <w:t>614.</w:t>
      </w:r>
      <w:r>
        <w:rPr>
          <w:color w:val="000000"/>
          <w:szCs w:val="24"/>
        </w:rPr>
        <w:tab/>
        <w:t>Республиканский закон № 8974 (от 7 ноября 2000 года) о содействии приобретению земельных участков или территорий для осуществления государственных проектов строительства инфраструктуры и для других целей способствует переселению скваттеров, затрагиваемых указанными проектами.</w:t>
      </w:r>
    </w:p>
    <w:p w:rsidR="00D81B65" w:rsidRDefault="00D81B65" w:rsidP="00D81B65">
      <w:pPr>
        <w:rPr>
          <w:color w:val="000000"/>
          <w:szCs w:val="24"/>
        </w:rPr>
      </w:pPr>
    </w:p>
    <w:p w:rsidR="00D81B65" w:rsidRPr="00FC33D2" w:rsidRDefault="00D81B65" w:rsidP="00D81B65">
      <w:pPr>
        <w:rPr>
          <w:i/>
          <w:color w:val="000000"/>
          <w:szCs w:val="24"/>
        </w:rPr>
      </w:pPr>
      <w:r w:rsidRPr="00FC33D2">
        <w:rPr>
          <w:i/>
          <w:color w:val="000000"/>
          <w:szCs w:val="24"/>
        </w:rPr>
        <w:t>Законодательство, регулирующее земельные и имущественные отношения</w:t>
      </w:r>
    </w:p>
    <w:p w:rsidR="00D81B65" w:rsidRDefault="00D81B65" w:rsidP="00D81B65">
      <w:pPr>
        <w:rPr>
          <w:color w:val="000000"/>
          <w:szCs w:val="24"/>
          <w:u w:val="single"/>
        </w:rPr>
      </w:pPr>
    </w:p>
    <w:p w:rsidR="00D81B65" w:rsidRDefault="00D81B65" w:rsidP="00D81B65">
      <w:pPr>
        <w:rPr>
          <w:color w:val="000000"/>
          <w:szCs w:val="24"/>
        </w:rPr>
      </w:pPr>
      <w:r>
        <w:rPr>
          <w:color w:val="000000"/>
          <w:szCs w:val="24"/>
        </w:rPr>
        <w:t>615.</w:t>
      </w:r>
      <w:r>
        <w:rPr>
          <w:color w:val="000000"/>
          <w:szCs w:val="24"/>
        </w:rPr>
        <w:tab/>
        <w:t xml:space="preserve">Президентский указ № 957, или </w:t>
      </w:r>
      <w:r w:rsidRPr="00644949">
        <w:rPr>
          <w:i/>
          <w:color w:val="000000"/>
          <w:szCs w:val="24"/>
        </w:rPr>
        <w:t>Указ о защите прав покупателей, приобретающих собственность на условиях долевого участия или кондоминиума</w:t>
      </w:r>
      <w:r>
        <w:rPr>
          <w:color w:val="000000"/>
          <w:szCs w:val="24"/>
        </w:rPr>
        <w:t>, устанавливает подробные правила и нормы, регулирующие разработку и реализацию проектов долевой собственности и кондоминиумов и продажу жилья на таких условиях.</w:t>
      </w:r>
    </w:p>
    <w:p w:rsidR="00D81B65" w:rsidRDefault="00D81B65" w:rsidP="00D81B65">
      <w:pPr>
        <w:rPr>
          <w:color w:val="000000"/>
          <w:szCs w:val="24"/>
        </w:rPr>
      </w:pPr>
    </w:p>
    <w:p w:rsidR="00D81B65" w:rsidRDefault="00D81B65" w:rsidP="00D81B65">
      <w:pPr>
        <w:rPr>
          <w:color w:val="000000"/>
          <w:szCs w:val="24"/>
        </w:rPr>
      </w:pPr>
      <w:r>
        <w:rPr>
          <w:color w:val="000000"/>
          <w:szCs w:val="24"/>
        </w:rPr>
        <w:t>616.</w:t>
      </w:r>
      <w:r>
        <w:rPr>
          <w:color w:val="000000"/>
          <w:szCs w:val="24"/>
        </w:rPr>
        <w:tab/>
        <w:t xml:space="preserve">Президентский указ № 1098, именуемый </w:t>
      </w:r>
      <w:r w:rsidRPr="00C03695">
        <w:rPr>
          <w:i/>
          <w:color w:val="000000"/>
          <w:szCs w:val="24"/>
        </w:rPr>
        <w:t>Строительным кодексом</w:t>
      </w:r>
      <w:r>
        <w:rPr>
          <w:color w:val="000000"/>
          <w:szCs w:val="24"/>
        </w:rPr>
        <w:t>, кодифицирует все законы, правила и нормы строительства.</w:t>
      </w:r>
    </w:p>
    <w:p w:rsidR="00D81B65" w:rsidRDefault="00D81B65" w:rsidP="00D81B65">
      <w:pPr>
        <w:rPr>
          <w:color w:val="000000"/>
          <w:szCs w:val="24"/>
        </w:rPr>
      </w:pPr>
    </w:p>
    <w:p w:rsidR="00D81B65" w:rsidRDefault="00D81B65" w:rsidP="00D81B65">
      <w:pPr>
        <w:rPr>
          <w:color w:val="000000"/>
          <w:szCs w:val="24"/>
        </w:rPr>
      </w:pPr>
      <w:r>
        <w:rPr>
          <w:color w:val="000000"/>
          <w:szCs w:val="24"/>
        </w:rPr>
        <w:t>617.</w:t>
      </w:r>
      <w:r>
        <w:rPr>
          <w:color w:val="000000"/>
          <w:szCs w:val="24"/>
        </w:rPr>
        <w:tab/>
        <w:t xml:space="preserve">Президентский указ № 1216, или </w:t>
      </w:r>
      <w:r w:rsidRPr="007A5C6D">
        <w:rPr>
          <w:i/>
          <w:color w:val="000000"/>
          <w:szCs w:val="24"/>
        </w:rPr>
        <w:t>Требование открытого пространства</w:t>
      </w:r>
      <w:r>
        <w:rPr>
          <w:color w:val="000000"/>
          <w:szCs w:val="24"/>
        </w:rPr>
        <w:t>, вносит изменения в Президентский указ № 957, предусматривая требование о сохранении открытых пространств при строительстве жилья, передаваемого в собственность в режиме долевого участия, и варианты использования таких пространств.</w:t>
      </w:r>
    </w:p>
    <w:p w:rsidR="00D81B65" w:rsidRDefault="00D81B65" w:rsidP="00D81B65">
      <w:pPr>
        <w:rPr>
          <w:color w:val="000000"/>
          <w:szCs w:val="24"/>
        </w:rPr>
      </w:pPr>
    </w:p>
    <w:p w:rsidR="00D81B65" w:rsidRDefault="00D81B65" w:rsidP="00D81B65">
      <w:pPr>
        <w:rPr>
          <w:color w:val="000000"/>
          <w:szCs w:val="24"/>
        </w:rPr>
      </w:pPr>
      <w:r>
        <w:rPr>
          <w:color w:val="000000"/>
          <w:szCs w:val="24"/>
        </w:rPr>
        <w:t>618.</w:t>
      </w:r>
      <w:r>
        <w:rPr>
          <w:color w:val="000000"/>
          <w:szCs w:val="24"/>
        </w:rPr>
        <w:tab/>
        <w:t xml:space="preserve">Республиканский закон № 4762, или </w:t>
      </w:r>
      <w:r w:rsidRPr="007A5C6D">
        <w:rPr>
          <w:i/>
          <w:color w:val="000000"/>
          <w:szCs w:val="24"/>
        </w:rPr>
        <w:t>Закон о кондоминиуме</w:t>
      </w:r>
      <w:r>
        <w:rPr>
          <w:color w:val="000000"/>
          <w:szCs w:val="24"/>
        </w:rPr>
        <w:t>, представляет собой правовую базу для создания корпораций кондоминиумов и предусматривает всеобъемлющие правила совместной собственности, регистрации титулов и управления кондоминиумом.</w:t>
      </w:r>
    </w:p>
    <w:p w:rsidR="00D81B65" w:rsidRDefault="00D81B65" w:rsidP="00D81B65">
      <w:pPr>
        <w:rPr>
          <w:color w:val="000000"/>
          <w:szCs w:val="24"/>
        </w:rPr>
      </w:pPr>
    </w:p>
    <w:p w:rsidR="00D81B65" w:rsidRDefault="00D81B65" w:rsidP="00D81B65">
      <w:pPr>
        <w:rPr>
          <w:color w:val="000000"/>
          <w:szCs w:val="24"/>
        </w:rPr>
      </w:pPr>
      <w:r>
        <w:rPr>
          <w:color w:val="000000"/>
          <w:szCs w:val="24"/>
        </w:rPr>
        <w:t>619.</w:t>
      </w:r>
      <w:r>
        <w:rPr>
          <w:color w:val="000000"/>
          <w:szCs w:val="24"/>
        </w:rPr>
        <w:tab/>
        <w:t xml:space="preserve">Республиканский закон № 6552, или </w:t>
      </w:r>
      <w:r w:rsidRPr="004D63EA">
        <w:rPr>
          <w:i/>
          <w:color w:val="000000"/>
          <w:szCs w:val="24"/>
        </w:rPr>
        <w:t>Закон о защите покупателей, приобретающих жилье в рассрочку</w:t>
      </w:r>
      <w:r>
        <w:rPr>
          <w:color w:val="000000"/>
          <w:szCs w:val="24"/>
        </w:rPr>
        <w:t>, предусматривает защиту прав покупателей жилья от чересчур обременительных и несправедливых условий таких сделок.  Согласно закону, в случае невыплаты очередного взноса договор не подлежит безоговорочному расторжению, а покупателю предоставляется отсрочка продолжительностью в один месяц без начисления дополнительных процентов.  Если покупатель не в состоянии погасить задолженность в течение дополнительного времени и договор отменяется, покупатель не лишается всех внесенных средств, поскольку он вправе получить возмещение в размере 50% от суммы всех выплаченных взносов.</w:t>
      </w:r>
    </w:p>
    <w:p w:rsidR="00D81B65" w:rsidRDefault="00D81B65" w:rsidP="00D81B65">
      <w:pPr>
        <w:rPr>
          <w:color w:val="000000"/>
          <w:szCs w:val="24"/>
        </w:rPr>
      </w:pPr>
    </w:p>
    <w:p w:rsidR="00D81B65" w:rsidRDefault="00D81B65" w:rsidP="00D81B65">
      <w:pPr>
        <w:rPr>
          <w:color w:val="000000"/>
          <w:szCs w:val="24"/>
        </w:rPr>
      </w:pPr>
      <w:r>
        <w:rPr>
          <w:color w:val="000000"/>
          <w:szCs w:val="24"/>
        </w:rPr>
        <w:t>620.</w:t>
      </w:r>
      <w:r>
        <w:rPr>
          <w:color w:val="000000"/>
          <w:szCs w:val="24"/>
        </w:rPr>
        <w:tab/>
        <w:t xml:space="preserve">Республиканский закон № 7160, или </w:t>
      </w:r>
      <w:r w:rsidRPr="00243D5C">
        <w:rPr>
          <w:i/>
          <w:color w:val="000000"/>
          <w:szCs w:val="24"/>
        </w:rPr>
        <w:t>Кодекс местного самоуправления 1991 года</w:t>
      </w:r>
      <w:r>
        <w:rPr>
          <w:color w:val="000000"/>
          <w:szCs w:val="24"/>
        </w:rPr>
        <w:t>, устанавливает полномочия органов местного самоуправления принимать постановления о районировании и переводить сельскохозяйственные земли в категорию несельскохозяйственных.</w:t>
      </w:r>
    </w:p>
    <w:p w:rsidR="00E33A7E" w:rsidRDefault="00E33A7E" w:rsidP="00E33A7E"/>
    <w:p w:rsidR="00E33A7E" w:rsidRDefault="00E33A7E" w:rsidP="00E33A7E">
      <w:pPr>
        <w:rPr>
          <w:color w:val="000000"/>
          <w:szCs w:val="24"/>
        </w:rPr>
      </w:pPr>
      <w:r>
        <w:rPr>
          <w:color w:val="000000"/>
          <w:szCs w:val="24"/>
        </w:rPr>
        <w:t>621.</w:t>
      </w:r>
      <w:r>
        <w:rPr>
          <w:color w:val="000000"/>
          <w:szCs w:val="24"/>
        </w:rPr>
        <w:tab/>
        <w:t xml:space="preserve">Республиканский закон № 9161, известный как </w:t>
      </w:r>
      <w:r w:rsidRPr="007667AD">
        <w:rPr>
          <w:i/>
          <w:color w:val="000000"/>
          <w:szCs w:val="24"/>
        </w:rPr>
        <w:t xml:space="preserve">Закон </w:t>
      </w:r>
      <w:r w:rsidRPr="00DD2EED">
        <w:rPr>
          <w:i/>
          <w:color w:val="000000"/>
          <w:szCs w:val="24"/>
        </w:rPr>
        <w:t>2002 года</w:t>
      </w:r>
      <w:r>
        <w:rPr>
          <w:i/>
          <w:color w:val="000000"/>
          <w:szCs w:val="24"/>
        </w:rPr>
        <w:t xml:space="preserve"> </w:t>
      </w:r>
      <w:r w:rsidRPr="007667AD">
        <w:rPr>
          <w:i/>
          <w:color w:val="000000"/>
          <w:szCs w:val="24"/>
        </w:rPr>
        <w:t>о</w:t>
      </w:r>
      <w:r>
        <w:rPr>
          <w:i/>
          <w:color w:val="000000"/>
          <w:szCs w:val="24"/>
        </w:rPr>
        <w:t xml:space="preserve"> р</w:t>
      </w:r>
      <w:r w:rsidRPr="007667AD">
        <w:rPr>
          <w:i/>
          <w:color w:val="000000"/>
          <w:szCs w:val="24"/>
        </w:rPr>
        <w:t>еформе</w:t>
      </w:r>
      <w:r>
        <w:rPr>
          <w:i/>
          <w:color w:val="000000"/>
          <w:szCs w:val="24"/>
        </w:rPr>
        <w:t xml:space="preserve"> механизма аренды</w:t>
      </w:r>
      <w:r>
        <w:rPr>
          <w:color w:val="000000"/>
          <w:szCs w:val="24"/>
        </w:rPr>
        <w:t>, устанавливает ограничения и требования в отношении арендной платы за пользование жильем в городских районах.</w:t>
      </w:r>
    </w:p>
    <w:p w:rsidR="00E33A7E" w:rsidRDefault="00E33A7E" w:rsidP="00E33A7E">
      <w:pPr>
        <w:rPr>
          <w:color w:val="000000"/>
          <w:szCs w:val="24"/>
        </w:rPr>
      </w:pPr>
    </w:p>
    <w:p w:rsidR="00E33A7E" w:rsidRDefault="00E33A7E" w:rsidP="00E33A7E">
      <w:pPr>
        <w:rPr>
          <w:color w:val="000000"/>
          <w:szCs w:val="24"/>
        </w:rPr>
      </w:pPr>
      <w:r>
        <w:rPr>
          <w:color w:val="000000"/>
          <w:szCs w:val="24"/>
        </w:rPr>
        <w:t>622.</w:t>
      </w:r>
      <w:r>
        <w:rPr>
          <w:color w:val="000000"/>
          <w:szCs w:val="24"/>
        </w:rPr>
        <w:tab/>
        <w:t xml:space="preserve">Республиканский закон № 9275, известный как </w:t>
      </w:r>
      <w:r w:rsidRPr="00880204">
        <w:rPr>
          <w:i/>
          <w:color w:val="000000"/>
          <w:szCs w:val="24"/>
        </w:rPr>
        <w:t xml:space="preserve">Закон </w:t>
      </w:r>
      <w:r w:rsidRPr="00DD2EED">
        <w:rPr>
          <w:i/>
          <w:color w:val="000000"/>
          <w:szCs w:val="24"/>
        </w:rPr>
        <w:t>2004 года</w:t>
      </w:r>
      <w:r>
        <w:rPr>
          <w:i/>
          <w:color w:val="000000"/>
          <w:szCs w:val="24"/>
        </w:rPr>
        <w:t xml:space="preserve"> </w:t>
      </w:r>
      <w:r w:rsidRPr="00880204">
        <w:rPr>
          <w:i/>
          <w:color w:val="000000"/>
          <w:szCs w:val="24"/>
        </w:rPr>
        <w:t>о чистой воде</w:t>
      </w:r>
      <w:r>
        <w:rPr>
          <w:color w:val="000000"/>
          <w:szCs w:val="24"/>
        </w:rPr>
        <w:t xml:space="preserve">, предусматривает, в частности, а)  объединение канализационных систем жилых, промышленных и торговых объектов;  </w:t>
      </w:r>
      <w:r>
        <w:rPr>
          <w:color w:val="000000"/>
          <w:szCs w:val="24"/>
          <w:lang w:val="en-US"/>
        </w:rPr>
        <w:t>b</w:t>
      </w:r>
      <w:r>
        <w:rPr>
          <w:color w:val="000000"/>
          <w:szCs w:val="24"/>
        </w:rPr>
        <w:t>)  регулирование промышленных выбросов;  и с)  стимулирование предприятий к финансированию деятельности по водоочистке или строительству очистных сооружений.</w:t>
      </w:r>
    </w:p>
    <w:p w:rsidR="00E33A7E" w:rsidRDefault="00E33A7E" w:rsidP="00E33A7E">
      <w:pPr>
        <w:rPr>
          <w:color w:val="000000"/>
          <w:szCs w:val="24"/>
        </w:rPr>
      </w:pPr>
    </w:p>
    <w:p w:rsidR="00E33A7E" w:rsidRPr="00FC33D2" w:rsidRDefault="00E33A7E" w:rsidP="00E33A7E">
      <w:pPr>
        <w:rPr>
          <w:i/>
          <w:color w:val="000000"/>
          <w:szCs w:val="24"/>
        </w:rPr>
      </w:pPr>
      <w:r w:rsidRPr="00FC33D2">
        <w:rPr>
          <w:i/>
          <w:color w:val="000000"/>
          <w:szCs w:val="24"/>
        </w:rPr>
        <w:t>Законодательство, регулирующее земельное и жилищное финансирование</w:t>
      </w:r>
    </w:p>
    <w:p w:rsidR="00E33A7E" w:rsidRDefault="00E33A7E" w:rsidP="00E33A7E">
      <w:pPr>
        <w:rPr>
          <w:color w:val="000000"/>
          <w:szCs w:val="24"/>
          <w:u w:val="single"/>
        </w:rPr>
      </w:pPr>
    </w:p>
    <w:p w:rsidR="00E33A7E" w:rsidRDefault="00E33A7E" w:rsidP="00E33A7E">
      <w:pPr>
        <w:rPr>
          <w:color w:val="000000"/>
          <w:szCs w:val="24"/>
        </w:rPr>
      </w:pPr>
      <w:r>
        <w:rPr>
          <w:color w:val="000000"/>
          <w:szCs w:val="24"/>
        </w:rPr>
        <w:t>623.</w:t>
      </w:r>
      <w:r>
        <w:rPr>
          <w:color w:val="000000"/>
          <w:szCs w:val="24"/>
        </w:rPr>
        <w:tab/>
        <w:t xml:space="preserve">Президентский указ № 1530 предусматривает учреждение </w:t>
      </w:r>
      <w:r w:rsidRPr="007D7724">
        <w:rPr>
          <w:i/>
          <w:color w:val="000000"/>
          <w:szCs w:val="24"/>
        </w:rPr>
        <w:t>Фонда Паг-Ибиг</w:t>
      </w:r>
      <w:r>
        <w:rPr>
          <w:i/>
          <w:color w:val="000000"/>
          <w:szCs w:val="24"/>
        </w:rPr>
        <w:t xml:space="preserve">, </w:t>
      </w:r>
      <w:r>
        <w:rPr>
          <w:color w:val="000000"/>
          <w:szCs w:val="24"/>
        </w:rPr>
        <w:t xml:space="preserve">который формируется за счет взносов правительства и сотрудников частных компаний, а также параллельных взносов работодателей в рамках объединенного фонда, 70% средств которого предназначены для предоставления жилищных кредитов членам фонда.  Фонд Паг-Ибиг является самым крупным учреждением жилищного кредитования в стране.   По состоянию на декабрь </w:t>
      </w:r>
      <w:r w:rsidRPr="00764570">
        <w:rPr>
          <w:color w:val="000000"/>
          <w:szCs w:val="24"/>
        </w:rPr>
        <w:t>2005 года</w:t>
      </w:r>
      <w:r>
        <w:rPr>
          <w:color w:val="000000"/>
          <w:szCs w:val="24"/>
        </w:rPr>
        <w:t>, его средства составили 34,94% от общей суммы финансовых операций, осуществленных за счет различных государственных и частных финансовых учреждений.  Эта сумма составляет 94,32 млрд.</w:t>
      </w:r>
      <w:r w:rsidR="00786A08">
        <w:rPr>
          <w:color w:val="000000"/>
          <w:szCs w:val="24"/>
        </w:rPr>
        <w:t xml:space="preserve"> филиппинских песо.</w:t>
      </w:r>
    </w:p>
    <w:p w:rsidR="00E33A7E" w:rsidRDefault="00E33A7E" w:rsidP="00E33A7E">
      <w:pPr>
        <w:rPr>
          <w:color w:val="000000"/>
          <w:szCs w:val="24"/>
        </w:rPr>
      </w:pPr>
    </w:p>
    <w:p w:rsidR="00E33A7E" w:rsidRDefault="00E33A7E" w:rsidP="00E33A7E">
      <w:pPr>
        <w:rPr>
          <w:color w:val="000000"/>
          <w:szCs w:val="24"/>
        </w:rPr>
      </w:pPr>
      <w:r>
        <w:rPr>
          <w:color w:val="000000"/>
          <w:szCs w:val="24"/>
        </w:rPr>
        <w:t>624.</w:t>
      </w:r>
      <w:r>
        <w:rPr>
          <w:color w:val="000000"/>
          <w:szCs w:val="24"/>
        </w:rPr>
        <w:tab/>
        <w:t xml:space="preserve">Республиканский закон № 7835, также известный как </w:t>
      </w:r>
      <w:r w:rsidRPr="003875FD">
        <w:rPr>
          <w:i/>
          <w:color w:val="000000"/>
          <w:szCs w:val="24"/>
        </w:rPr>
        <w:t>Всеобъемлющий и комплексный закон о финансировании жилищного сектора</w:t>
      </w:r>
      <w:r>
        <w:rPr>
          <w:color w:val="000000"/>
          <w:szCs w:val="24"/>
        </w:rPr>
        <w:t>, предусматривает выделение ассигнований и увеличение бюджетных ресурсов на программы жилищных агентств, касающиеся ипотечного кредитования и развития жилищного строительства.</w:t>
      </w:r>
    </w:p>
    <w:p w:rsidR="00E33A7E" w:rsidRDefault="00E33A7E" w:rsidP="00E33A7E">
      <w:pPr>
        <w:rPr>
          <w:color w:val="000000"/>
          <w:szCs w:val="24"/>
        </w:rPr>
      </w:pPr>
    </w:p>
    <w:p w:rsidR="00E33A7E" w:rsidRPr="00FC33D2" w:rsidRDefault="00E33A7E" w:rsidP="00E33A7E">
      <w:pPr>
        <w:rPr>
          <w:i/>
          <w:color w:val="000000"/>
          <w:szCs w:val="24"/>
        </w:rPr>
      </w:pPr>
      <w:r w:rsidRPr="00FC33D2">
        <w:rPr>
          <w:i/>
          <w:color w:val="000000"/>
          <w:szCs w:val="24"/>
        </w:rPr>
        <w:t>Симон и др. против Комиссии по правам человека, Г.Р. № 100150, 5 января 1994 года</w:t>
      </w:r>
    </w:p>
    <w:p w:rsidR="00E33A7E" w:rsidRDefault="00E33A7E" w:rsidP="00E33A7E">
      <w:pPr>
        <w:rPr>
          <w:color w:val="000000"/>
          <w:szCs w:val="24"/>
          <w:u w:val="single"/>
        </w:rPr>
      </w:pPr>
    </w:p>
    <w:p w:rsidR="00E33A7E" w:rsidRDefault="00E33A7E" w:rsidP="00E33A7E">
      <w:pPr>
        <w:rPr>
          <w:color w:val="000000"/>
          <w:szCs w:val="24"/>
        </w:rPr>
      </w:pPr>
      <w:r>
        <w:rPr>
          <w:color w:val="000000"/>
          <w:szCs w:val="24"/>
        </w:rPr>
        <w:t>625.</w:t>
      </w:r>
      <w:r>
        <w:rPr>
          <w:color w:val="000000"/>
          <w:szCs w:val="24"/>
        </w:rPr>
        <w:tab/>
        <w:t xml:space="preserve"> На основании жалобы продавцов и скваттеров, занимающих объекты недвижимости, расположенные в городе Квезон, Филиппинская комиссия по правам человека приняла решение, обязывающее администрацию города Квезон "прекратить снос торговых палаток и времянок до вынесения Комиссией окончательного решения по жалобе продавцов/скваттеров".  Однако мэр Квезон Сити и его заместители продолжили снос зданий, в связи с чем Комиссия привлекла их к ответственности за невыполнение решения и наложила на каждого нарушителя штраф в размере 5 000 филиппинских песо.  Мэр и его заместители обратились в Верховный суд</w:t>
      </w:r>
      <w:r w:rsidRPr="0001041B">
        <w:rPr>
          <w:color w:val="000000"/>
          <w:szCs w:val="24"/>
        </w:rPr>
        <w:t xml:space="preserve"> </w:t>
      </w:r>
      <w:r>
        <w:rPr>
          <w:color w:val="000000"/>
          <w:szCs w:val="24"/>
        </w:rPr>
        <w:t>с иском, оспаривающим право Комиссии принимать к рассмотрению такие дела и привлекать лиц к ответственности за невыполнение ее решений.</w:t>
      </w:r>
    </w:p>
    <w:p w:rsidR="00E33A7E" w:rsidRDefault="00E33A7E" w:rsidP="00E33A7E">
      <w:pPr>
        <w:rPr>
          <w:color w:val="000000"/>
          <w:szCs w:val="24"/>
        </w:rPr>
      </w:pPr>
    </w:p>
    <w:p w:rsidR="00E33A7E" w:rsidRDefault="00E33A7E" w:rsidP="00E33A7E">
      <w:pPr>
        <w:rPr>
          <w:color w:val="000000"/>
          <w:szCs w:val="24"/>
        </w:rPr>
      </w:pPr>
      <w:r>
        <w:rPr>
          <w:color w:val="000000"/>
          <w:szCs w:val="24"/>
        </w:rPr>
        <w:t>626.</w:t>
      </w:r>
      <w:r>
        <w:rPr>
          <w:color w:val="000000"/>
          <w:szCs w:val="24"/>
        </w:rPr>
        <w:tab/>
        <w:t>Верховный суд постановил, что в соответствии с Конституцией Комиссия по правам человека наделена полномочиями: "по расследованию по собственной инициативе или по жалобе какой-либо стороны любых нарушений гражданских или политических прав" (раздел 1).  Понятие "гражданские права" относится к "правам, которыми обладает каждый гражданин государства или страны или, в широком смысле, все жители;  эти права не связаны с организацией или функционированием государственной власти".  Понятие "политические права", с другой стороны, толкуется как "право прямо или косвенно участвовать в формировании или функционировании органов государственной власти, право участвовать в голосовании, занимать должности в государственных органах, право подавать петиции и, в целом, как права, вытекающие из гражданства и касающиеся системы государственного управления".</w:t>
      </w:r>
    </w:p>
    <w:p w:rsidR="00E33A7E" w:rsidRDefault="00E33A7E" w:rsidP="00E33A7E">
      <w:pPr>
        <w:rPr>
          <w:color w:val="000000"/>
          <w:szCs w:val="24"/>
        </w:rPr>
      </w:pPr>
    </w:p>
    <w:p w:rsidR="00E33A7E" w:rsidRDefault="00E33A7E" w:rsidP="00E33A7E">
      <w:pPr>
        <w:rPr>
          <w:color w:val="000000"/>
          <w:szCs w:val="24"/>
        </w:rPr>
      </w:pPr>
      <w:r>
        <w:rPr>
          <w:color w:val="000000"/>
          <w:szCs w:val="24"/>
        </w:rPr>
        <w:t>627.</w:t>
      </w:r>
      <w:r>
        <w:rPr>
          <w:color w:val="000000"/>
          <w:szCs w:val="24"/>
        </w:rPr>
        <w:tab/>
        <w:t>В соответствии с решением суда распоряжение о сносе торговых палаток и помещений не затрагивает "гражданских или политических прав", предусмотренных в Конституции.</w:t>
      </w:r>
    </w:p>
    <w:p w:rsidR="00E33A7E" w:rsidRDefault="00E33A7E" w:rsidP="00E33A7E">
      <w:pPr>
        <w:rPr>
          <w:color w:val="000000"/>
          <w:szCs w:val="24"/>
        </w:rPr>
      </w:pPr>
    </w:p>
    <w:p w:rsidR="00E33A7E" w:rsidRDefault="00E33A7E" w:rsidP="00E33A7E">
      <w:pPr>
        <w:rPr>
          <w:color w:val="000000"/>
          <w:szCs w:val="24"/>
        </w:rPr>
      </w:pPr>
      <w:r>
        <w:rPr>
          <w:color w:val="000000"/>
          <w:szCs w:val="24"/>
        </w:rPr>
        <w:t>628.</w:t>
      </w:r>
      <w:r>
        <w:rPr>
          <w:color w:val="000000"/>
          <w:szCs w:val="24"/>
        </w:rPr>
        <w:tab/>
        <w:t>Суд постановил следующее:</w:t>
      </w:r>
    </w:p>
    <w:p w:rsidR="00E33A7E" w:rsidRDefault="00E33A7E" w:rsidP="00E33A7E">
      <w:pPr>
        <w:rPr>
          <w:color w:val="000000"/>
          <w:szCs w:val="24"/>
        </w:rPr>
      </w:pPr>
    </w:p>
    <w:p w:rsidR="00E33A7E" w:rsidRDefault="00E33A7E" w:rsidP="00E33A7E">
      <w:pPr>
        <w:ind w:left="567"/>
        <w:rPr>
          <w:i/>
          <w:color w:val="000000"/>
          <w:szCs w:val="24"/>
        </w:rPr>
      </w:pPr>
      <w:r>
        <w:rPr>
          <w:color w:val="000000"/>
          <w:szCs w:val="24"/>
        </w:rPr>
        <w:tab/>
      </w:r>
      <w:r w:rsidRPr="009C1567">
        <w:rPr>
          <w:i/>
          <w:color w:val="000000"/>
          <w:szCs w:val="24"/>
        </w:rPr>
        <w:t xml:space="preserve">"Всеобщая декларация прав человека, а также Международный пакт об экономических, социальных и культурных правах и Международный пакт о гражданских и политических правах предусматривают, что под правами человека можно понимать права, относящиеся к индивидуальным социальным, экономическим, культурным, политическим и гражданским отношениям.  Таким образом, можно определить этот термин как общепринятые характеристики и качества личности, наряду с </w:t>
      </w:r>
      <w:r>
        <w:rPr>
          <w:i/>
          <w:color w:val="000000"/>
          <w:szCs w:val="24"/>
        </w:rPr>
        <w:t xml:space="preserve">так называемыми </w:t>
      </w:r>
      <w:r w:rsidRPr="009C1567">
        <w:rPr>
          <w:i/>
          <w:color w:val="000000"/>
          <w:szCs w:val="24"/>
        </w:rPr>
        <w:t>врожденными и неотъемлемыми правами, охватывающими практически все аспекты жизни".</w:t>
      </w:r>
    </w:p>
    <w:p w:rsidR="00E33A7E" w:rsidRDefault="00E33A7E" w:rsidP="00E33A7E">
      <w:pPr>
        <w:rPr>
          <w:i/>
          <w:color w:val="000000"/>
          <w:szCs w:val="24"/>
        </w:rPr>
      </w:pPr>
    </w:p>
    <w:p w:rsidR="00E33A7E" w:rsidRDefault="00E33A7E" w:rsidP="00E33A7E">
      <w:pPr>
        <w:rPr>
          <w:b/>
          <w:color w:val="000000"/>
          <w:szCs w:val="24"/>
        </w:rPr>
      </w:pPr>
      <w:r w:rsidRPr="009C1567">
        <w:rPr>
          <w:b/>
          <w:color w:val="000000"/>
          <w:szCs w:val="24"/>
        </w:rPr>
        <w:t>Иные меры, принимаемые в целях осуществления права на жилище</w:t>
      </w:r>
    </w:p>
    <w:p w:rsidR="00E33A7E" w:rsidRDefault="00E33A7E" w:rsidP="00E33A7E">
      <w:pPr>
        <w:rPr>
          <w:b/>
          <w:color w:val="000000"/>
          <w:szCs w:val="24"/>
        </w:rPr>
      </w:pPr>
    </w:p>
    <w:p w:rsidR="00E33A7E" w:rsidRPr="00FC33D2" w:rsidRDefault="00E33A7E" w:rsidP="00E33A7E">
      <w:pPr>
        <w:rPr>
          <w:i/>
          <w:color w:val="000000"/>
          <w:szCs w:val="24"/>
        </w:rPr>
      </w:pPr>
      <w:r w:rsidRPr="00FC33D2">
        <w:rPr>
          <w:i/>
          <w:color w:val="000000"/>
          <w:szCs w:val="24"/>
        </w:rPr>
        <w:t>Создание жилищных агентств</w:t>
      </w:r>
    </w:p>
    <w:p w:rsidR="00E33A7E" w:rsidRDefault="00E33A7E" w:rsidP="00E33A7E">
      <w:pPr>
        <w:rPr>
          <w:color w:val="000000"/>
          <w:szCs w:val="24"/>
          <w:u w:val="single"/>
        </w:rPr>
      </w:pPr>
    </w:p>
    <w:p w:rsidR="00E33A7E" w:rsidRDefault="00E33A7E" w:rsidP="00E33A7E">
      <w:pPr>
        <w:rPr>
          <w:color w:val="000000"/>
          <w:szCs w:val="24"/>
        </w:rPr>
      </w:pPr>
      <w:r>
        <w:rPr>
          <w:color w:val="000000"/>
          <w:szCs w:val="24"/>
        </w:rPr>
        <w:t>629.</w:t>
      </w:r>
      <w:r>
        <w:rPr>
          <w:color w:val="000000"/>
          <w:szCs w:val="24"/>
        </w:rPr>
        <w:tab/>
        <w:t>Создание нескольких жилищных агентств говорит о твердой приверженности правительства содействовать обеспечению права на жилище.</w:t>
      </w:r>
    </w:p>
    <w:p w:rsidR="00E33A7E" w:rsidRDefault="00E33A7E" w:rsidP="00E33A7E">
      <w:pPr>
        <w:rPr>
          <w:color w:val="000000"/>
          <w:szCs w:val="24"/>
        </w:rPr>
      </w:pPr>
    </w:p>
    <w:p w:rsidR="00E33A7E" w:rsidRDefault="00E33A7E" w:rsidP="00E33A7E">
      <w:pPr>
        <w:rPr>
          <w:color w:val="000000"/>
          <w:szCs w:val="24"/>
        </w:rPr>
      </w:pPr>
      <w:r>
        <w:rPr>
          <w:color w:val="000000"/>
          <w:szCs w:val="24"/>
        </w:rPr>
        <w:t>630.</w:t>
      </w:r>
      <w:r>
        <w:rPr>
          <w:color w:val="000000"/>
          <w:szCs w:val="24"/>
        </w:rPr>
        <w:tab/>
        <w:t>Координационный совет по жилищному и городскому строительству (КСЖГС), учрежденный в соответствии с Исполнительным постановлением 90, является основным органом формирования политики и координации в жилищной сфере.  Совет представляет собой головную организацию, в состав которой входят руководители четырех жилищных агентств:  Национальной службы жилищного строительства (НСЖС), Корпорации гарантированного жилья (КГЖ), Национальной корпорации ипотечного кредитования (НКИК) и Совета по регулированию жилищного строительства и землепользования (СРЖСЗ);  руководители трех финансирующих агентств:  Системы социального обеспечения (ССО), Системы страхования государственных служащих (ССГС) и Взаимного фонда жилищного строительства (ВФЖС);  руководители семи вспомогательных государственных агентств:  Управления делами президента (УДП), министерства финансов (МФ), министерства бюджета и управления (МБУ), Национальной службы по вопросам экономики и развития (НСЭР), Филиппинского банка развития, Государственной службы развития Манилы (ГСРМ);  и двух представителей частного сектора:  НПО и частных застройщиков.</w:t>
      </w:r>
    </w:p>
    <w:p w:rsidR="00E33A7E" w:rsidRDefault="00E33A7E" w:rsidP="00E33A7E">
      <w:pPr>
        <w:rPr>
          <w:color w:val="000000"/>
          <w:szCs w:val="24"/>
        </w:rPr>
      </w:pPr>
    </w:p>
    <w:p w:rsidR="00E33A7E" w:rsidRDefault="00E33A7E" w:rsidP="00E33A7E">
      <w:pPr>
        <w:rPr>
          <w:color w:val="000000"/>
          <w:szCs w:val="24"/>
        </w:rPr>
      </w:pPr>
      <w:r>
        <w:rPr>
          <w:color w:val="000000"/>
          <w:szCs w:val="24"/>
        </w:rPr>
        <w:t>631.</w:t>
      </w:r>
      <w:r>
        <w:rPr>
          <w:color w:val="000000"/>
          <w:szCs w:val="24"/>
        </w:rPr>
        <w:tab/>
        <w:t>Совет по регулированию жилищного строительства и землепользования (СРЖСЗ), находится под административным надзором КСЖГС и является единым органом управления в области жилищного строительства и землепользования.  В его компетенцию входит поощрение частного сектора к более активному участию в строительстве дешевого жилья путем либерализации строительных норм, упрощения правил и децентрализации порядка получения разрешений и лицензий.</w:t>
      </w:r>
    </w:p>
    <w:p w:rsidR="00E33A7E" w:rsidRDefault="00E33A7E" w:rsidP="00E33A7E">
      <w:pPr>
        <w:rPr>
          <w:color w:val="000000"/>
          <w:szCs w:val="24"/>
        </w:rPr>
      </w:pPr>
    </w:p>
    <w:p w:rsidR="00E33A7E" w:rsidRDefault="00E33A7E" w:rsidP="00E33A7E">
      <w:pPr>
        <w:rPr>
          <w:color w:val="000000"/>
          <w:szCs w:val="24"/>
        </w:rPr>
      </w:pPr>
      <w:r>
        <w:rPr>
          <w:color w:val="000000"/>
          <w:szCs w:val="24"/>
        </w:rPr>
        <w:t>632.</w:t>
      </w:r>
      <w:r>
        <w:rPr>
          <w:color w:val="000000"/>
          <w:szCs w:val="24"/>
        </w:rPr>
        <w:tab/>
        <w:t xml:space="preserve">Национальная служба жилищного строительства (НСЖС) - государственное учреждение, подотчетное КСЖГС, является государственным агентством, которое непосредственно решает вопросы обеспечения жильем путем:  а)  разработки и осуществления всеобъемлющей и комплексной программы строительства жилья и расселения;  </w:t>
      </w:r>
      <w:r>
        <w:rPr>
          <w:color w:val="000000"/>
          <w:szCs w:val="24"/>
          <w:lang w:val="en-US"/>
        </w:rPr>
        <w:t>b</w:t>
      </w:r>
      <w:r>
        <w:rPr>
          <w:color w:val="000000"/>
          <w:szCs w:val="24"/>
        </w:rPr>
        <w:t xml:space="preserve">)  формирования и реализации общей и конкретной политики строительства жилья и расселения;  с)  выявления и освоения государственных земель, пригодных для строительства жилья;  </w:t>
      </w:r>
      <w:r>
        <w:rPr>
          <w:color w:val="000000"/>
          <w:szCs w:val="24"/>
          <w:lang w:val="en-US"/>
        </w:rPr>
        <w:t>d</w:t>
      </w:r>
      <w:r>
        <w:rPr>
          <w:color w:val="000000"/>
          <w:szCs w:val="24"/>
        </w:rPr>
        <w:t>)  принудительного отчуждения частной собственности или приобретения частных земель в целях строительства жилья, расселения и связанных с этим услуг и инфраструктуры;  е)  защиты стабильности фондов социального жилья, в том числе, за счет возмещения издержек.</w:t>
      </w:r>
    </w:p>
    <w:p w:rsidR="00E33A7E" w:rsidRDefault="00E33A7E" w:rsidP="00E33A7E">
      <w:pPr>
        <w:rPr>
          <w:color w:val="000000"/>
          <w:szCs w:val="24"/>
        </w:rPr>
      </w:pPr>
    </w:p>
    <w:p w:rsidR="00E33A7E" w:rsidRDefault="00E33A7E" w:rsidP="00E33A7E">
      <w:pPr>
        <w:rPr>
          <w:color w:val="000000"/>
          <w:szCs w:val="24"/>
        </w:rPr>
      </w:pPr>
      <w:r>
        <w:rPr>
          <w:color w:val="000000"/>
          <w:szCs w:val="24"/>
        </w:rPr>
        <w:t>633.</w:t>
      </w:r>
      <w:r>
        <w:rPr>
          <w:color w:val="000000"/>
          <w:szCs w:val="24"/>
        </w:rPr>
        <w:tab/>
        <w:t xml:space="preserve">В компетенцию Корпорации гарантированного жилья (КГЖ) входит реализация программы кредитного гарантирования в поддержку усилий правительства по поощрению приобретения жилья в собственность.  С момента своего создания в 1950 году в качестве Комиссии по финансированию приобретения жилья КГЖ создала жизнеспособную систему кредитных гарантий, которая стала неотъемлемым компонентом государственной программы обеспечения жильем.  КГЖ является единственным в своем роде органом в этой сфере жилищного финансирования.  В отсутствие соответствующего закона информацию о покрываемых КГЖ рисках и предоставляемых налоговых льготах нельзя получить в каком-либо другом государственном учреждении или административном органе.   КГЖ предоставляет гарантии по рискам и налоговые льготы в отношении ипотечных кредитов, выдаваемых финансирующими учреждениями, тем самым стимулируя приток средств из государственного и частного секторов в систему жилищного и городского строительства.  Кроме того, КГЖ обеспечивает страхование займов, предоставляет гарантии и иные льготы в целях оказания содействия частным строительным компаниям в строительстве жилья, ориентированного на население с низким и средним уровнем доходов, и стимулирования финансовых организаций и коммерческих ссудодателей к финансированию таких проектов. </w:t>
      </w:r>
    </w:p>
    <w:p w:rsidR="00E33A7E" w:rsidRDefault="00E33A7E" w:rsidP="00E33A7E">
      <w:pPr>
        <w:rPr>
          <w:color w:val="000000"/>
          <w:szCs w:val="24"/>
        </w:rPr>
      </w:pPr>
    </w:p>
    <w:p w:rsidR="00E33A7E" w:rsidRDefault="00E33A7E" w:rsidP="00E33A7E">
      <w:pPr>
        <w:rPr>
          <w:color w:val="000000"/>
          <w:szCs w:val="24"/>
        </w:rPr>
      </w:pPr>
      <w:r>
        <w:rPr>
          <w:color w:val="000000"/>
          <w:szCs w:val="24"/>
        </w:rPr>
        <w:t>634.</w:t>
      </w:r>
      <w:r>
        <w:rPr>
          <w:color w:val="000000"/>
          <w:szCs w:val="24"/>
        </w:rPr>
        <w:tab/>
        <w:t xml:space="preserve">Национальная корпорация ипотечного кредитования (НКИК) </w:t>
      </w:r>
      <w:r>
        <w:rPr>
          <w:color w:val="000000"/>
          <w:szCs w:val="24"/>
        </w:rPr>
        <w:sym w:font="Symbol" w:char="F02D"/>
      </w:r>
      <w:r>
        <w:rPr>
          <w:color w:val="000000"/>
          <w:szCs w:val="24"/>
        </w:rPr>
        <w:t xml:space="preserve"> основное государственное учреждение, занимающееся развитием вторичного ипотечного рынка.</w:t>
      </w:r>
    </w:p>
    <w:p w:rsidR="00E33A7E" w:rsidRDefault="00E33A7E" w:rsidP="00E33A7E"/>
    <w:p w:rsidR="00486C10" w:rsidRDefault="00486C10" w:rsidP="00486C10">
      <w:pPr>
        <w:rPr>
          <w:color w:val="000000"/>
          <w:szCs w:val="24"/>
        </w:rPr>
      </w:pPr>
      <w:r>
        <w:rPr>
          <w:color w:val="000000"/>
          <w:szCs w:val="24"/>
        </w:rPr>
        <w:t>635.</w:t>
      </w:r>
      <w:r>
        <w:rPr>
          <w:color w:val="000000"/>
          <w:szCs w:val="24"/>
        </w:rPr>
        <w:tab/>
        <w:t xml:space="preserve">Взаимный фонд жилищного строительства (ВФЖС), более известный как Фонд </w:t>
      </w:r>
      <w:r>
        <w:rPr>
          <w:color w:val="000000"/>
          <w:szCs w:val="24"/>
        </w:rPr>
        <w:br/>
        <w:t>Паг-Ибиг, отвечает за разработку программы накопления сбережений для приобретения жилья государственными служащими и сотрудниками частных компаний.</w:t>
      </w:r>
    </w:p>
    <w:p w:rsidR="00486C10" w:rsidRDefault="00486C10" w:rsidP="00486C10">
      <w:pPr>
        <w:rPr>
          <w:color w:val="000000"/>
          <w:szCs w:val="24"/>
        </w:rPr>
      </w:pPr>
    </w:p>
    <w:p w:rsidR="00486C10" w:rsidRDefault="00486C10" w:rsidP="00486C10">
      <w:pPr>
        <w:rPr>
          <w:color w:val="000000"/>
          <w:szCs w:val="24"/>
        </w:rPr>
      </w:pPr>
      <w:r>
        <w:rPr>
          <w:color w:val="000000"/>
          <w:szCs w:val="24"/>
        </w:rPr>
        <w:t>636.</w:t>
      </w:r>
      <w:r>
        <w:rPr>
          <w:color w:val="000000"/>
          <w:szCs w:val="24"/>
        </w:rPr>
        <w:tab/>
        <w:t>В целях дальнейшего расширения доступа к жилью малоимущих слоев населения Исполнительным постановлением 272 </w:t>
      </w:r>
      <w:r w:rsidRPr="00194139">
        <w:rPr>
          <w:color w:val="000000"/>
          <w:szCs w:val="24"/>
        </w:rPr>
        <w:t>2004 года</w:t>
      </w:r>
      <w:r>
        <w:rPr>
          <w:color w:val="000000"/>
          <w:szCs w:val="24"/>
        </w:rPr>
        <w:t xml:space="preserve"> предусматривается создание Корпорации по финансированию социального жилья (КФСЖ), которая призвана обеспечить жильем 30% малоимущего населения.  Исполнительным постановлением 272 также предусмотрена передача Программы ипотечного кредитования общин и Программы </w:t>
      </w:r>
      <w:r>
        <w:rPr>
          <w:color w:val="000000"/>
          <w:szCs w:val="24"/>
        </w:rPr>
        <w:br/>
        <w:t>Абот-Кайя Пабахай из ведения НКИК в ведение его дочерней структуры КФСЖ.</w:t>
      </w:r>
    </w:p>
    <w:p w:rsidR="00486C10" w:rsidRDefault="00486C10" w:rsidP="00486C10">
      <w:pPr>
        <w:rPr>
          <w:color w:val="000000"/>
          <w:szCs w:val="24"/>
        </w:rPr>
      </w:pPr>
    </w:p>
    <w:p w:rsidR="00486C10" w:rsidRPr="00FC33D2" w:rsidRDefault="00486C10" w:rsidP="00486C10">
      <w:pPr>
        <w:rPr>
          <w:i/>
          <w:color w:val="000000"/>
          <w:szCs w:val="24"/>
        </w:rPr>
      </w:pPr>
      <w:r w:rsidRPr="00FC33D2">
        <w:rPr>
          <w:i/>
          <w:color w:val="000000"/>
          <w:szCs w:val="24"/>
        </w:rPr>
        <w:t>Стратегии и программы</w:t>
      </w:r>
    </w:p>
    <w:p w:rsidR="00486C10" w:rsidRDefault="00486C10" w:rsidP="00486C10">
      <w:pPr>
        <w:rPr>
          <w:color w:val="000000"/>
          <w:szCs w:val="24"/>
          <w:u w:val="single"/>
        </w:rPr>
      </w:pPr>
    </w:p>
    <w:p w:rsidR="00486C10" w:rsidRDefault="00486C10" w:rsidP="00486C10">
      <w:pPr>
        <w:rPr>
          <w:color w:val="000000"/>
          <w:szCs w:val="24"/>
        </w:rPr>
      </w:pPr>
      <w:r>
        <w:rPr>
          <w:color w:val="000000"/>
          <w:szCs w:val="24"/>
        </w:rPr>
        <w:t>637.</w:t>
      </w:r>
      <w:r>
        <w:rPr>
          <w:color w:val="000000"/>
          <w:szCs w:val="24"/>
        </w:rPr>
        <w:tab/>
        <w:t xml:space="preserve">Усилия, предпринимаемые правительством в жилищном секторе, направлены на достижение трех основных целей:  непосредственного обеспечения жильем, опосредованного обеспечения жильем и выполнения норм.  Непосредственное обеспечение жильем включает защиту права владения жильем от незаконных поселенцев, а также предоставление дешевого жилья и доступного финансирования, особенно для семей, принадлежащих к 30% населения с самым низким уровнем доходов.  В этих целях правительство реализует различные программы распределения земли, переселения, ипотечного кредитования и жилищного строительства.  В рамках этих программ начиная с </w:t>
      </w:r>
      <w:r w:rsidRPr="00045112">
        <w:rPr>
          <w:color w:val="000000"/>
          <w:szCs w:val="24"/>
        </w:rPr>
        <w:t>2001 года</w:t>
      </w:r>
      <w:r>
        <w:rPr>
          <w:color w:val="000000"/>
          <w:szCs w:val="24"/>
        </w:rPr>
        <w:t xml:space="preserve"> жильем было обеспечено свыше 614 000 семей.</w:t>
      </w:r>
    </w:p>
    <w:p w:rsidR="00486C10" w:rsidRDefault="00486C10" w:rsidP="00486C10">
      <w:pPr>
        <w:rPr>
          <w:color w:val="000000"/>
          <w:szCs w:val="24"/>
        </w:rPr>
      </w:pPr>
    </w:p>
    <w:p w:rsidR="00486C10" w:rsidRDefault="00486C10" w:rsidP="00486C10">
      <w:pPr>
        <w:rPr>
          <w:color w:val="000000"/>
          <w:szCs w:val="24"/>
        </w:rPr>
      </w:pPr>
      <w:r>
        <w:rPr>
          <w:color w:val="000000"/>
          <w:szCs w:val="24"/>
        </w:rPr>
        <w:t>638.</w:t>
      </w:r>
      <w:r>
        <w:rPr>
          <w:color w:val="000000"/>
          <w:szCs w:val="24"/>
        </w:rPr>
        <w:tab/>
        <w:t>Одна из программ, активно осуществляемых правительством, заключается в предоставлении неиспользуемой собственности для жилищных целей.  Это дало начало программе реформирования активов, которая направлена на преобразование неиспользуемых земель, находящихся в государственной собственности, в районы жилой застройки.  Были изданы распоряжения президента с указанием конкретных объектов, подлежащих передаче определенным бенефициарам.  Поскольку неофициальные поселенцы уже занимают многие из неиспользуемых государственных земель, встал вопрос о формализации их права на пользование землей и предоставлении им возможности законного владения земельными наделами и приобретения их в собственность.  К настоящему времени было издано 96 таких распоряжений, которые гарантируют права владения 195 445 семей.</w:t>
      </w:r>
    </w:p>
    <w:p w:rsidR="00486C10" w:rsidRDefault="00486C10" w:rsidP="00486C10">
      <w:pPr>
        <w:rPr>
          <w:color w:val="000000"/>
          <w:szCs w:val="24"/>
        </w:rPr>
      </w:pPr>
    </w:p>
    <w:p w:rsidR="00486C10" w:rsidRDefault="00486C10" w:rsidP="00486C10">
      <w:pPr>
        <w:rPr>
          <w:color w:val="000000"/>
          <w:szCs w:val="24"/>
        </w:rPr>
      </w:pPr>
      <w:r>
        <w:rPr>
          <w:color w:val="000000"/>
          <w:szCs w:val="24"/>
        </w:rPr>
        <w:t>639.</w:t>
      </w:r>
      <w:r>
        <w:rPr>
          <w:color w:val="000000"/>
          <w:szCs w:val="24"/>
        </w:rPr>
        <w:tab/>
        <w:t xml:space="preserve">Одной из принятых правительством масштабных мер, которая позволила гарантировать жилищные права значительного числа незаконных поселенцев, является проект переселения лиц, живущих вдоль Северной и Южной железнодорожных линий.  </w:t>
      </w:r>
      <w:r>
        <w:rPr>
          <w:color w:val="000000"/>
          <w:szCs w:val="24"/>
        </w:rPr>
        <w:br/>
        <w:t xml:space="preserve">В районе Северной линии правительство переселило в общей сложности 21 023 семьи из Метро Манилы и Букалана, тем самым завершив первый этап программы по сносу трущоб и переселению их жителей.  Эти семьи в добровольном порядке переехали в выделенное им новое жилье в районе, получившем название Нортвилль.  Это - самый масштабный проект по переселению, реализованный правительством на сегодняшний день, причем КСЖГС удалось избежать серьезных конфликтов, связанных с переселением.  Что касается проекта Южной линии, который предусматривает модернизацию существующей ветки филиппинских национальных железных дорог между Калуканом и Алабангом, то в зонах Манилы, Макати и Кабуйо были переселены в общей сложности 7 404 семьи.  </w:t>
      </w:r>
      <w:r>
        <w:rPr>
          <w:color w:val="000000"/>
          <w:szCs w:val="24"/>
        </w:rPr>
        <w:br/>
        <w:t>В рамках продолжения этой деятельности президент поручил КСЖГС расчистить значительные территории Манилы, а также Тагуига и Мантинлупы.</w:t>
      </w:r>
    </w:p>
    <w:p w:rsidR="00486C10" w:rsidRDefault="00486C10" w:rsidP="00486C10">
      <w:pPr>
        <w:rPr>
          <w:color w:val="000000"/>
          <w:szCs w:val="24"/>
        </w:rPr>
      </w:pPr>
    </w:p>
    <w:p w:rsidR="00486C10" w:rsidRPr="00FC33D2" w:rsidRDefault="00486C10" w:rsidP="00486C10">
      <w:pPr>
        <w:rPr>
          <w:i/>
          <w:color w:val="000000"/>
          <w:szCs w:val="24"/>
        </w:rPr>
      </w:pPr>
      <w:r w:rsidRPr="00FC33D2">
        <w:rPr>
          <w:i/>
          <w:color w:val="000000"/>
          <w:szCs w:val="24"/>
        </w:rPr>
        <w:t>Инициативы в области городского строительства</w:t>
      </w:r>
    </w:p>
    <w:p w:rsidR="00486C10" w:rsidRDefault="00486C10" w:rsidP="00486C10">
      <w:pPr>
        <w:rPr>
          <w:color w:val="000000"/>
          <w:szCs w:val="24"/>
          <w:u w:val="single"/>
        </w:rPr>
      </w:pPr>
    </w:p>
    <w:p w:rsidR="00486C10" w:rsidRDefault="00486C10" w:rsidP="00486C10">
      <w:pPr>
        <w:rPr>
          <w:color w:val="000000"/>
          <w:szCs w:val="24"/>
        </w:rPr>
      </w:pPr>
      <w:r>
        <w:rPr>
          <w:color w:val="000000"/>
          <w:szCs w:val="24"/>
        </w:rPr>
        <w:t>640.</w:t>
      </w:r>
      <w:r>
        <w:rPr>
          <w:color w:val="000000"/>
          <w:szCs w:val="24"/>
        </w:rPr>
        <w:tab/>
        <w:t xml:space="preserve">Одна из инициатив в этой области касается постройки на 416 га территории тюрьмы Новый Билибид в Тагуиге комплекса зданий жилого, торгового и административного предназначения.  Президент Арройо уже подписала соответствующее распоряжение и указ о его исполнении.  КСЖГС отводится ведущая роль в составлении плана этого проекта, а функции по его реализации возлагаются на НСЖС.  Вторая инициатива </w:t>
      </w:r>
      <w:r>
        <w:rPr>
          <w:color w:val="000000"/>
          <w:szCs w:val="24"/>
        </w:rPr>
        <w:sym w:font="Symbol" w:char="F02D"/>
      </w:r>
      <w:r>
        <w:rPr>
          <w:color w:val="000000"/>
          <w:szCs w:val="24"/>
        </w:rPr>
        <w:t xml:space="preserve"> это проект по застройке Северо-Восточного треугольника, который предусматривает строительство в этом районе комплекса торговых, административных и жилых зданий.  Реализация данного проекта сопряжена с особыми трудностями с учетом проблемного статуса соответствующих участков, где проживают неофициальные поселенцы.  В рамках третьей инициативы на КСЖГС также возлагается задача развития других зон, например территории площадью в 1 500 га в Сан-Мигеле, строительства комплекса правительственных зданий в Булакане, различных торговых объектов, развития района клиники Фабела-Центрального рынка, создания торгового комплекса Монементо и района Субик.</w:t>
      </w:r>
    </w:p>
    <w:p w:rsidR="00486C10" w:rsidRDefault="00486C10" w:rsidP="00486C10">
      <w:pPr>
        <w:rPr>
          <w:color w:val="000000"/>
          <w:szCs w:val="24"/>
        </w:rPr>
      </w:pPr>
    </w:p>
    <w:p w:rsidR="00486C10" w:rsidRPr="00FC33D2" w:rsidRDefault="00486C10" w:rsidP="00486C10">
      <w:pPr>
        <w:rPr>
          <w:i/>
          <w:color w:val="000000"/>
          <w:szCs w:val="24"/>
        </w:rPr>
      </w:pPr>
      <w:r w:rsidRPr="00FC33D2">
        <w:rPr>
          <w:i/>
          <w:color w:val="000000"/>
          <w:szCs w:val="24"/>
        </w:rPr>
        <w:t>Программа общинного ипотечного кредитования</w:t>
      </w:r>
    </w:p>
    <w:p w:rsidR="00486C10" w:rsidRDefault="00486C10" w:rsidP="00486C10">
      <w:pPr>
        <w:rPr>
          <w:color w:val="000000"/>
          <w:szCs w:val="24"/>
          <w:u w:val="single"/>
        </w:rPr>
      </w:pPr>
    </w:p>
    <w:p w:rsidR="00486C10" w:rsidRDefault="00486C10" w:rsidP="00486C10">
      <w:pPr>
        <w:rPr>
          <w:color w:val="000000"/>
          <w:szCs w:val="24"/>
        </w:rPr>
      </w:pPr>
      <w:r>
        <w:rPr>
          <w:color w:val="000000"/>
          <w:szCs w:val="24"/>
        </w:rPr>
        <w:t>641.</w:t>
      </w:r>
      <w:r>
        <w:rPr>
          <w:color w:val="000000"/>
          <w:szCs w:val="24"/>
        </w:rPr>
        <w:tab/>
        <w:t>Программа общинного ипотечного кредитования (ПОИК) основана на инновационной системе ипотечного кредитования, по которой один земельный участок может быть приобретен в собственность несколькими субъектами с использованием концепции общинного владения.  Система ипотечного кредитования общин предназначена, прежде всего, для оказания помощи жителям маргинализованных или деградировавших районов и/или малоимущему городскому населению.</w:t>
      </w:r>
    </w:p>
    <w:p w:rsidR="00486C10" w:rsidRDefault="00486C10" w:rsidP="00486C10">
      <w:pPr>
        <w:rPr>
          <w:color w:val="000000"/>
          <w:szCs w:val="24"/>
        </w:rPr>
      </w:pPr>
    </w:p>
    <w:p w:rsidR="00486C10" w:rsidRDefault="00486C10" w:rsidP="00486C10">
      <w:pPr>
        <w:rPr>
          <w:color w:val="000000"/>
          <w:szCs w:val="24"/>
        </w:rPr>
      </w:pPr>
      <w:r>
        <w:rPr>
          <w:color w:val="000000"/>
          <w:szCs w:val="24"/>
        </w:rPr>
        <w:t>642.</w:t>
      </w:r>
      <w:r>
        <w:rPr>
          <w:color w:val="000000"/>
          <w:szCs w:val="24"/>
        </w:rPr>
        <w:tab/>
        <w:t xml:space="preserve">ПОИК предусматривает предоставление трехтраншевых займов:  на покупку земли, на освоение участка и на строительство дома.  В зависимости от имеющихся возможностей и потребностей общинная ассоциация-заемщик может получить у ПОИК либо трехтраншевый, либо единовременный кредит.  Максимальная сумма кредита в расчете на семью составляет порядка 120 000 филиппинских песо для лиц, проживающих в районе Метро Манила и других зонах с высоким уровням урбанизации, и до </w:t>
      </w:r>
      <w:r>
        <w:rPr>
          <w:color w:val="000000"/>
          <w:szCs w:val="24"/>
        </w:rPr>
        <w:br/>
        <w:t>100 000 филиппинских песо в других районах;  срок погашения кредита составляет до</w:t>
      </w:r>
      <w:r w:rsidR="00D87E2B">
        <w:rPr>
          <w:color w:val="000000"/>
          <w:szCs w:val="24"/>
        </w:rPr>
        <w:t> </w:t>
      </w:r>
      <w:r>
        <w:rPr>
          <w:color w:val="000000"/>
          <w:szCs w:val="24"/>
        </w:rPr>
        <w:t>25</w:t>
      </w:r>
      <w:r w:rsidR="00D87E2B">
        <w:rPr>
          <w:color w:val="000000"/>
          <w:szCs w:val="24"/>
        </w:rPr>
        <w:t> </w:t>
      </w:r>
      <w:r>
        <w:rPr>
          <w:color w:val="000000"/>
          <w:szCs w:val="24"/>
        </w:rPr>
        <w:t>лет с ежегодной процентной ставкой в 6%.</w:t>
      </w:r>
    </w:p>
    <w:p w:rsidR="00486C10" w:rsidRDefault="00486C10" w:rsidP="00486C10">
      <w:pPr>
        <w:rPr>
          <w:color w:val="000000"/>
          <w:szCs w:val="24"/>
        </w:rPr>
      </w:pPr>
    </w:p>
    <w:p w:rsidR="00486C10" w:rsidRDefault="00486C10" w:rsidP="00486C10">
      <w:pPr>
        <w:rPr>
          <w:color w:val="000000"/>
          <w:szCs w:val="24"/>
        </w:rPr>
      </w:pPr>
      <w:r>
        <w:rPr>
          <w:color w:val="000000"/>
          <w:szCs w:val="24"/>
        </w:rPr>
        <w:t>643.</w:t>
      </w:r>
      <w:r>
        <w:rPr>
          <w:color w:val="000000"/>
          <w:szCs w:val="24"/>
        </w:rPr>
        <w:tab/>
        <w:t xml:space="preserve">С января </w:t>
      </w:r>
      <w:r w:rsidRPr="00045396">
        <w:rPr>
          <w:color w:val="000000"/>
          <w:szCs w:val="24"/>
        </w:rPr>
        <w:t>2001 года</w:t>
      </w:r>
      <w:r>
        <w:rPr>
          <w:color w:val="000000"/>
          <w:szCs w:val="24"/>
        </w:rPr>
        <w:t xml:space="preserve"> в рамках ПОИК было предоставлено кредитов в общей сложности на сумму в 3 432 млрд. филиппинских песо.  В период с января по октябрь </w:t>
      </w:r>
      <w:r w:rsidRPr="00045396">
        <w:rPr>
          <w:color w:val="000000"/>
          <w:szCs w:val="24"/>
        </w:rPr>
        <w:t>2006 года</w:t>
      </w:r>
      <w:r>
        <w:rPr>
          <w:color w:val="000000"/>
          <w:szCs w:val="24"/>
        </w:rPr>
        <w:t xml:space="preserve"> 10 992 семьям, проживающим в 89 жилых районах страны, были предоставлены кредиты на сумму в 592 127 312,43 филиппинских песо.  Таким образом, общая сумма кредитов, предоставленных 179 984 незаконным поселенцам в 1 431 жилом районе, составила 6,41 млрд. филиппинских песо.</w:t>
      </w:r>
    </w:p>
    <w:p w:rsidR="00486C10" w:rsidRDefault="00486C10" w:rsidP="00486C10">
      <w:pPr>
        <w:rPr>
          <w:color w:val="000000"/>
          <w:szCs w:val="24"/>
        </w:rPr>
      </w:pPr>
    </w:p>
    <w:p w:rsidR="00722ED8" w:rsidRDefault="00486C10" w:rsidP="00486C10">
      <w:pPr>
        <w:rPr>
          <w:color w:val="000000"/>
          <w:szCs w:val="24"/>
        </w:rPr>
      </w:pPr>
      <w:r>
        <w:rPr>
          <w:color w:val="000000"/>
          <w:szCs w:val="24"/>
        </w:rPr>
        <w:t>644.</w:t>
      </w:r>
      <w:r>
        <w:rPr>
          <w:color w:val="000000"/>
          <w:szCs w:val="24"/>
        </w:rPr>
        <w:tab/>
        <w:t xml:space="preserve">Отличительной чертой программы ПОИК, сделавшей ее особенно значимой для бездомных лиц с низким доходом, является доступность ипотечных кредитов, предоставляемых лицам с недостаточным уровнем доходов.  Согласно официальным данным, средняя сумма кредита, предоставляемого семье - бенефициару ПОИК, составляет 33 331 филиппинский песо.  Ежемесячная выплата по процентам равна </w:t>
      </w:r>
      <w:r>
        <w:rPr>
          <w:color w:val="000000"/>
          <w:szCs w:val="24"/>
        </w:rPr>
        <w:br/>
      </w:r>
    </w:p>
    <w:p w:rsidR="00486C10" w:rsidRDefault="00722ED8" w:rsidP="00486C10">
      <w:pPr>
        <w:rPr>
          <w:color w:val="000000"/>
          <w:szCs w:val="24"/>
        </w:rPr>
      </w:pPr>
      <w:r>
        <w:rPr>
          <w:color w:val="000000"/>
          <w:szCs w:val="24"/>
        </w:rPr>
        <w:br w:type="page"/>
      </w:r>
      <w:r w:rsidR="00486C10">
        <w:rPr>
          <w:color w:val="000000"/>
          <w:szCs w:val="24"/>
        </w:rPr>
        <w:t>239 филиппинским песо, что позволяет лицам, ежемесячный доход которых составляет не более 3 101 филиппинского песо</w:t>
      </w:r>
      <w:r w:rsidR="00486C10">
        <w:rPr>
          <w:rStyle w:val="FootnoteReference"/>
          <w:szCs w:val="24"/>
        </w:rPr>
        <w:footnoteReference w:id="39"/>
      </w:r>
      <w:r w:rsidR="00486C10">
        <w:rPr>
          <w:color w:val="000000"/>
          <w:szCs w:val="24"/>
        </w:rPr>
        <w:t>, взять такой кредит.</w:t>
      </w:r>
    </w:p>
    <w:p w:rsidR="00486C10" w:rsidRDefault="00486C10" w:rsidP="00486C10">
      <w:pPr>
        <w:rPr>
          <w:color w:val="000000"/>
          <w:szCs w:val="24"/>
        </w:rPr>
      </w:pPr>
    </w:p>
    <w:p w:rsidR="00486C10" w:rsidRDefault="00486C10" w:rsidP="00486C10">
      <w:pPr>
        <w:rPr>
          <w:color w:val="000000"/>
          <w:szCs w:val="24"/>
        </w:rPr>
      </w:pPr>
      <w:r>
        <w:rPr>
          <w:color w:val="000000"/>
          <w:szCs w:val="24"/>
        </w:rPr>
        <w:t>645.</w:t>
      </w:r>
      <w:r>
        <w:rPr>
          <w:color w:val="000000"/>
          <w:szCs w:val="24"/>
        </w:rPr>
        <w:tab/>
        <w:t xml:space="preserve">В осуществлении программ ПОИК также приняли участие различные заинтересованные лица от общин, которые объединили свои ресурсы и опыт для оказания помощи бездомным группам населения, признанным "беднейшими из бедных".  Среди таких участников следует отметить общественные и неправительственные организации, участвующие в проектах строительства жилья для городской бедноты;  органы местного самоуправления, несущие основную ответственность за осуществление программ социального жилья в их муниципалитетах;  и правительственные и частные агентства, которые оказывают содействие в организации и формировании общин для ПОИК. </w:t>
      </w:r>
    </w:p>
    <w:p w:rsidR="00486C10" w:rsidRDefault="00486C10" w:rsidP="00486C10">
      <w:pPr>
        <w:rPr>
          <w:color w:val="000000"/>
          <w:szCs w:val="24"/>
        </w:rPr>
      </w:pPr>
    </w:p>
    <w:p w:rsidR="00486C10" w:rsidRDefault="00486C10" w:rsidP="00486C10">
      <w:pPr>
        <w:rPr>
          <w:color w:val="000000"/>
          <w:szCs w:val="24"/>
        </w:rPr>
      </w:pPr>
      <w:r>
        <w:rPr>
          <w:color w:val="000000"/>
          <w:szCs w:val="24"/>
        </w:rPr>
        <w:t>646.</w:t>
      </w:r>
      <w:r>
        <w:rPr>
          <w:color w:val="000000"/>
          <w:szCs w:val="24"/>
        </w:rPr>
        <w:tab/>
        <w:t xml:space="preserve">В рамках своего участия органы местного самоуправления действовали в качестве посредников или сами выдавали кредиты ПОИК, сумма которых в 2005 году составила 141,8 млн. филиппинских песо.  Это - 19,6% от общей суммы предоставленных в </w:t>
      </w:r>
      <w:r>
        <w:rPr>
          <w:color w:val="000000"/>
          <w:szCs w:val="24"/>
        </w:rPr>
        <w:br/>
        <w:t>2005 году ПОИК кредитов в размере 722,4 млн. филиппинских песо.  НПО, выполняющие посреднические функции, оказали содействие в предоставлении более половины всех кредитов, выданных в течение этого года.</w:t>
      </w:r>
    </w:p>
    <w:p w:rsidR="00486C10" w:rsidRDefault="00486C10" w:rsidP="00486C10"/>
    <w:p w:rsidR="00486C10" w:rsidRDefault="00486C10" w:rsidP="00486C10">
      <w:pPr>
        <w:rPr>
          <w:color w:val="000000"/>
          <w:szCs w:val="24"/>
        </w:rPr>
      </w:pPr>
      <w:r>
        <w:rPr>
          <w:color w:val="000000"/>
          <w:szCs w:val="24"/>
        </w:rPr>
        <w:t>647.</w:t>
      </w:r>
      <w:r>
        <w:rPr>
          <w:color w:val="000000"/>
          <w:szCs w:val="24"/>
        </w:rPr>
        <w:tab/>
        <w:t xml:space="preserve">В соответствии с Исполнительным постановлением 272 полномочия по развитию и осуществлению ПОИК Национальной корпорации ипотечного кредитования (НКИК) были переданы Корпорации финансирования социального жилья (КФСЖ), которая официально приступила к выполнению своих обязанностей в октябре </w:t>
      </w:r>
      <w:r w:rsidRPr="0055412D">
        <w:rPr>
          <w:color w:val="000000"/>
          <w:szCs w:val="24"/>
        </w:rPr>
        <w:t>2005 года</w:t>
      </w:r>
      <w:r>
        <w:rPr>
          <w:color w:val="000000"/>
          <w:szCs w:val="24"/>
        </w:rPr>
        <w:t xml:space="preserve"> и в октябре </w:t>
      </w:r>
      <w:r w:rsidRPr="0055412D">
        <w:rPr>
          <w:color w:val="000000"/>
          <w:szCs w:val="24"/>
        </w:rPr>
        <w:t>2006 года</w:t>
      </w:r>
      <w:r>
        <w:rPr>
          <w:color w:val="000000"/>
          <w:szCs w:val="24"/>
        </w:rPr>
        <w:t xml:space="preserve"> отметила первый год своей деятельности.  В течение первого года (октябрь </w:t>
      </w:r>
      <w:r w:rsidRPr="001D0DEE">
        <w:rPr>
          <w:color w:val="000000"/>
          <w:szCs w:val="24"/>
        </w:rPr>
        <w:t>2005 года</w:t>
      </w:r>
      <w:r>
        <w:rPr>
          <w:color w:val="000000"/>
          <w:szCs w:val="24"/>
        </w:rPr>
        <w:t xml:space="preserve"> - сентябрь </w:t>
      </w:r>
      <w:r w:rsidRPr="001D0DEE">
        <w:rPr>
          <w:color w:val="000000"/>
          <w:szCs w:val="24"/>
        </w:rPr>
        <w:t>2006 года</w:t>
      </w:r>
      <w:r>
        <w:rPr>
          <w:color w:val="000000"/>
          <w:szCs w:val="24"/>
        </w:rPr>
        <w:t xml:space="preserve">) КФСЖ продемонстрировала рекордные показатели, предоставив кредиты в рамках ПОИК на сумму в 839,4 млн. филиппинских песо в общей сложности 15 788 заемщикам. </w:t>
      </w:r>
    </w:p>
    <w:p w:rsidR="00486C10" w:rsidRDefault="00486C10" w:rsidP="00486C10">
      <w:pPr>
        <w:rPr>
          <w:color w:val="000000"/>
          <w:szCs w:val="24"/>
        </w:rPr>
      </w:pPr>
    </w:p>
    <w:p w:rsidR="00486C10" w:rsidRPr="00FC33D2" w:rsidRDefault="00486C10" w:rsidP="00486C10">
      <w:pPr>
        <w:rPr>
          <w:i/>
          <w:color w:val="000000"/>
          <w:szCs w:val="24"/>
        </w:rPr>
      </w:pPr>
      <w:r w:rsidRPr="00FC33D2">
        <w:rPr>
          <w:i/>
          <w:color w:val="000000"/>
          <w:szCs w:val="24"/>
        </w:rPr>
        <w:t>Распоряжения президента в жилищной сфере</w:t>
      </w:r>
    </w:p>
    <w:p w:rsidR="00486C10" w:rsidRDefault="00486C10" w:rsidP="00486C10">
      <w:pPr>
        <w:rPr>
          <w:color w:val="000000"/>
          <w:szCs w:val="24"/>
          <w:u w:val="single"/>
        </w:rPr>
      </w:pPr>
    </w:p>
    <w:p w:rsidR="00486C10" w:rsidRDefault="00486C10" w:rsidP="00486C10">
      <w:pPr>
        <w:rPr>
          <w:color w:val="000000"/>
          <w:szCs w:val="24"/>
        </w:rPr>
      </w:pPr>
      <w:r>
        <w:rPr>
          <w:color w:val="000000"/>
          <w:szCs w:val="24"/>
        </w:rPr>
        <w:t>648.</w:t>
      </w:r>
      <w:r>
        <w:rPr>
          <w:color w:val="000000"/>
          <w:szCs w:val="24"/>
        </w:rPr>
        <w:tab/>
        <w:t xml:space="preserve">28 мая </w:t>
      </w:r>
      <w:r w:rsidRPr="003556C1">
        <w:rPr>
          <w:color w:val="000000"/>
          <w:szCs w:val="24"/>
        </w:rPr>
        <w:t>2001 года</w:t>
      </w:r>
      <w:r>
        <w:rPr>
          <w:color w:val="000000"/>
          <w:szCs w:val="24"/>
        </w:rPr>
        <w:t xml:space="preserve"> президент Глория Макапагал-Арройо подписала Указ № 20, в котором вновь подчеркивалось, что масштабное строительство жилья представляет собой ключевой компонент программы правительства по сокращению масштабов нищеты. </w:t>
      </w:r>
    </w:p>
    <w:p w:rsidR="00486C10" w:rsidRDefault="00486C10" w:rsidP="00486C10">
      <w:pPr>
        <w:rPr>
          <w:color w:val="000000"/>
          <w:szCs w:val="24"/>
        </w:rPr>
      </w:pPr>
    </w:p>
    <w:p w:rsidR="00486C10" w:rsidRDefault="00486C10" w:rsidP="00486C10">
      <w:pPr>
        <w:rPr>
          <w:color w:val="000000"/>
          <w:szCs w:val="24"/>
        </w:rPr>
      </w:pPr>
      <w:r>
        <w:rPr>
          <w:color w:val="000000"/>
          <w:szCs w:val="24"/>
        </w:rPr>
        <w:t>649.</w:t>
      </w:r>
      <w:r>
        <w:rPr>
          <w:color w:val="000000"/>
          <w:szCs w:val="24"/>
        </w:rPr>
        <w:tab/>
        <w:t>Для разрешения жилищной проблемы, особенно в отношении лиц, принадлежащих к беднейшим 40% городских домохозяйств, администрация президента Арройо приняла меры по урегулированию земельных прав семей незаконных поселенцев посредством принятия распоряжений, объявляющих участки государственной земли открытыми для приобретения полномочными бенефициарами.  Кроме того, правительство осуществило целевую задачу по преобразованию неиспользуемых или свободных земельных участков в зоны строительства жилья, рассчитанного на низкооплачиваемых государственных служащих, включая военнослужащих и полицейских</w:t>
      </w:r>
      <w:r>
        <w:rPr>
          <w:rStyle w:val="FootnoteReference"/>
          <w:szCs w:val="24"/>
        </w:rPr>
        <w:footnoteReference w:id="40"/>
      </w:r>
      <w:r>
        <w:rPr>
          <w:color w:val="000000"/>
          <w:szCs w:val="24"/>
        </w:rPr>
        <w:t xml:space="preserve">. </w:t>
      </w:r>
    </w:p>
    <w:p w:rsidR="00486C10" w:rsidRDefault="00486C10" w:rsidP="00486C10">
      <w:pPr>
        <w:rPr>
          <w:color w:val="000000"/>
          <w:szCs w:val="24"/>
        </w:rPr>
      </w:pPr>
    </w:p>
    <w:p w:rsidR="00486C10" w:rsidRDefault="00486C10" w:rsidP="00486C10">
      <w:pPr>
        <w:rPr>
          <w:color w:val="000000"/>
          <w:szCs w:val="24"/>
        </w:rPr>
      </w:pPr>
      <w:r>
        <w:rPr>
          <w:color w:val="000000"/>
          <w:szCs w:val="24"/>
        </w:rPr>
        <w:t>650.</w:t>
      </w:r>
      <w:r>
        <w:rPr>
          <w:color w:val="000000"/>
          <w:szCs w:val="24"/>
        </w:rPr>
        <w:tab/>
        <w:t xml:space="preserve">По состоянию на 31 августа </w:t>
      </w:r>
      <w:r w:rsidRPr="00835067">
        <w:rPr>
          <w:color w:val="000000"/>
          <w:szCs w:val="24"/>
        </w:rPr>
        <w:t>2006 года</w:t>
      </w:r>
      <w:r>
        <w:rPr>
          <w:color w:val="000000"/>
          <w:szCs w:val="24"/>
        </w:rPr>
        <w:t xml:space="preserve"> под жилищную застройку было отведено следующее количество участков, в разбивке по регионам:</w:t>
      </w:r>
    </w:p>
    <w:p w:rsidR="00486C10" w:rsidRDefault="00486C10" w:rsidP="00486C10">
      <w:pPr>
        <w:rPr>
          <w:color w:val="000000"/>
          <w:szCs w:val="24"/>
        </w:rPr>
      </w:pPr>
    </w:p>
    <w:tbl>
      <w:tblPr>
        <w:tblStyle w:val="TableGrid"/>
        <w:tblW w:w="0" w:type="auto"/>
        <w:tblInd w:w="108" w:type="dxa"/>
        <w:tblLook w:val="01E0" w:firstRow="1" w:lastRow="1" w:firstColumn="1" w:lastColumn="1" w:noHBand="0" w:noVBand="0"/>
      </w:tblPr>
      <w:tblGrid>
        <w:gridCol w:w="5423"/>
        <w:gridCol w:w="3927"/>
      </w:tblGrid>
      <w:tr w:rsidR="00486C10" w:rsidRPr="00F852CD" w:rsidTr="00AA16B6">
        <w:tc>
          <w:tcPr>
            <w:tcW w:w="5423" w:type="dxa"/>
            <w:tcBorders>
              <w:bottom w:val="single" w:sz="4" w:space="0" w:color="auto"/>
            </w:tcBorders>
          </w:tcPr>
          <w:p w:rsidR="00486C10" w:rsidRPr="00F852CD" w:rsidRDefault="00486C10" w:rsidP="00AA16B6">
            <w:pPr>
              <w:spacing w:line="240" w:lineRule="auto"/>
              <w:jc w:val="center"/>
              <w:rPr>
                <w:b/>
                <w:color w:val="000000"/>
                <w:sz w:val="22"/>
                <w:szCs w:val="22"/>
              </w:rPr>
            </w:pPr>
            <w:r w:rsidRPr="00F852CD">
              <w:rPr>
                <w:b/>
                <w:color w:val="000000"/>
                <w:sz w:val="22"/>
                <w:szCs w:val="22"/>
              </w:rPr>
              <w:t>РАЙОН</w:t>
            </w:r>
          </w:p>
        </w:tc>
        <w:tc>
          <w:tcPr>
            <w:tcW w:w="3927" w:type="dxa"/>
            <w:tcBorders>
              <w:bottom w:val="single" w:sz="4" w:space="0" w:color="auto"/>
            </w:tcBorders>
          </w:tcPr>
          <w:p w:rsidR="00486C10" w:rsidRPr="00F852CD" w:rsidRDefault="00486C10" w:rsidP="00AA16B6">
            <w:pPr>
              <w:spacing w:line="240" w:lineRule="auto"/>
              <w:jc w:val="center"/>
              <w:rPr>
                <w:b/>
                <w:color w:val="000000"/>
                <w:sz w:val="22"/>
                <w:szCs w:val="22"/>
              </w:rPr>
            </w:pPr>
            <w:r w:rsidRPr="00F852CD">
              <w:rPr>
                <w:b/>
                <w:color w:val="000000"/>
                <w:sz w:val="22"/>
                <w:szCs w:val="22"/>
              </w:rPr>
              <w:t>КОЛИЧЕСТВО УЧАСТКОВ</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НСР</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35</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КАР</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7</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Район 3</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5</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Район 4</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15</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Район 5</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3</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Район 6</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7</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Район 7</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8</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Район 8</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2</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Район 9</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5</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Район 11</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3</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Район 12</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2</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КАРАГА</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2</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Лусон (Исполнительное постановление 48 - неиспользуемая собственность ФНЖД)</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1</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Минданао (Исполнительное постановление 98 - собственность ОРЮФ)</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color w:val="000000"/>
                <w:sz w:val="22"/>
                <w:szCs w:val="22"/>
              </w:rPr>
            </w:pPr>
            <w:r w:rsidRPr="00F852CD">
              <w:rPr>
                <w:color w:val="000000"/>
                <w:sz w:val="22"/>
                <w:szCs w:val="22"/>
              </w:rPr>
              <w:t>1</w:t>
            </w:r>
          </w:p>
        </w:tc>
      </w:tr>
      <w:tr w:rsidR="00486C10" w:rsidRPr="00F852CD" w:rsidTr="00AA16B6">
        <w:tc>
          <w:tcPr>
            <w:tcW w:w="5423"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b/>
                <w:color w:val="000000"/>
                <w:sz w:val="22"/>
                <w:szCs w:val="22"/>
              </w:rPr>
            </w:pPr>
            <w:r w:rsidRPr="00F852CD">
              <w:rPr>
                <w:b/>
                <w:color w:val="000000"/>
                <w:sz w:val="22"/>
                <w:szCs w:val="22"/>
              </w:rPr>
              <w:t>ВСЕГО</w:t>
            </w:r>
          </w:p>
        </w:tc>
        <w:tc>
          <w:tcPr>
            <w:tcW w:w="3927" w:type="dxa"/>
            <w:tcBorders>
              <w:top w:val="single" w:sz="4" w:space="0" w:color="auto"/>
              <w:left w:val="single" w:sz="4" w:space="0" w:color="auto"/>
              <w:bottom w:val="single" w:sz="4" w:space="0" w:color="auto"/>
              <w:right w:val="single" w:sz="4" w:space="0" w:color="auto"/>
            </w:tcBorders>
          </w:tcPr>
          <w:p w:rsidR="00486C10" w:rsidRPr="00F852CD" w:rsidRDefault="00486C10" w:rsidP="00AA16B6">
            <w:pPr>
              <w:spacing w:line="240" w:lineRule="auto"/>
              <w:jc w:val="center"/>
              <w:rPr>
                <w:b/>
                <w:color w:val="000000"/>
                <w:sz w:val="22"/>
                <w:szCs w:val="22"/>
              </w:rPr>
            </w:pPr>
            <w:r w:rsidRPr="00F852CD">
              <w:rPr>
                <w:b/>
                <w:color w:val="000000"/>
                <w:sz w:val="22"/>
                <w:szCs w:val="22"/>
              </w:rPr>
              <w:t>96</w:t>
            </w:r>
          </w:p>
        </w:tc>
      </w:tr>
    </w:tbl>
    <w:p w:rsidR="00486C10" w:rsidRDefault="00486C10" w:rsidP="00486C10">
      <w:pPr>
        <w:rPr>
          <w:color w:val="000000"/>
          <w:szCs w:val="24"/>
        </w:rPr>
      </w:pPr>
    </w:p>
    <w:p w:rsidR="00486C10" w:rsidRDefault="00486C10" w:rsidP="0046505E">
      <w:pPr>
        <w:jc w:val="center"/>
        <w:rPr>
          <w:color w:val="000000"/>
          <w:szCs w:val="24"/>
        </w:rPr>
      </w:pPr>
      <w:r>
        <w:rPr>
          <w:color w:val="000000"/>
          <w:szCs w:val="24"/>
        </w:rPr>
        <w:t>КОЛИЧЕСТВО НОРМАТИВНЫХ АКТОВ ПРЕЗИДЕНТА, ОБЩАЯ ПЛОЩАДЬ И ОБЩЕЕ ЧИСЛО БЕНЕФИЦИАРОВ В ГОД</w:t>
      </w:r>
    </w:p>
    <w:p w:rsidR="00486C10" w:rsidRDefault="00486C10" w:rsidP="00486C10">
      <w:pPr>
        <w:rPr>
          <w:color w:val="000000"/>
          <w:szCs w:val="24"/>
        </w:rPr>
      </w:pPr>
    </w:p>
    <w:tbl>
      <w:tblPr>
        <w:tblStyle w:val="TableGrid"/>
        <w:tblW w:w="0" w:type="auto"/>
        <w:tblInd w:w="108" w:type="dxa"/>
        <w:tblLayout w:type="fixed"/>
        <w:tblLook w:val="01E0" w:firstRow="1" w:lastRow="1" w:firstColumn="1" w:lastColumn="1" w:noHBand="0" w:noVBand="0"/>
      </w:tblPr>
      <w:tblGrid>
        <w:gridCol w:w="1022"/>
        <w:gridCol w:w="661"/>
        <w:gridCol w:w="561"/>
        <w:gridCol w:w="748"/>
        <w:gridCol w:w="748"/>
        <w:gridCol w:w="748"/>
        <w:gridCol w:w="1122"/>
        <w:gridCol w:w="1496"/>
        <w:gridCol w:w="1825"/>
      </w:tblGrid>
      <w:tr w:rsidR="00D20F7F" w:rsidRPr="00F852CD" w:rsidTr="00D20F7F">
        <w:trPr>
          <w:trHeight w:val="535"/>
        </w:trPr>
        <w:tc>
          <w:tcPr>
            <w:tcW w:w="1022" w:type="dxa"/>
            <w:vMerge w:val="restart"/>
            <w:vAlign w:val="center"/>
          </w:tcPr>
          <w:p w:rsidR="00D20F7F" w:rsidRPr="00965BA5" w:rsidRDefault="00D20F7F" w:rsidP="00AA16B6">
            <w:pPr>
              <w:spacing w:line="216" w:lineRule="auto"/>
              <w:jc w:val="center"/>
              <w:rPr>
                <w:color w:val="000000"/>
                <w:sz w:val="22"/>
                <w:szCs w:val="22"/>
              </w:rPr>
            </w:pPr>
            <w:r w:rsidRPr="00965BA5">
              <w:rPr>
                <w:color w:val="000000"/>
                <w:sz w:val="22"/>
                <w:szCs w:val="22"/>
              </w:rPr>
              <w:t>Год</w:t>
            </w:r>
          </w:p>
        </w:tc>
        <w:tc>
          <w:tcPr>
            <w:tcW w:w="4588" w:type="dxa"/>
            <w:gridSpan w:val="6"/>
            <w:vAlign w:val="center"/>
          </w:tcPr>
          <w:p w:rsidR="00D20F7F" w:rsidRPr="00965BA5" w:rsidRDefault="00D20F7F" w:rsidP="00AA16B6">
            <w:pPr>
              <w:spacing w:line="216" w:lineRule="auto"/>
              <w:jc w:val="center"/>
              <w:rPr>
                <w:color w:val="000000"/>
                <w:sz w:val="22"/>
                <w:szCs w:val="22"/>
              </w:rPr>
            </w:pPr>
            <w:r w:rsidRPr="00965BA5">
              <w:rPr>
                <w:color w:val="000000"/>
                <w:sz w:val="22"/>
                <w:szCs w:val="22"/>
              </w:rPr>
              <w:t>Количество изданных актов</w:t>
            </w:r>
          </w:p>
        </w:tc>
        <w:tc>
          <w:tcPr>
            <w:tcW w:w="1496" w:type="dxa"/>
            <w:vMerge w:val="restart"/>
            <w:vAlign w:val="center"/>
          </w:tcPr>
          <w:p w:rsidR="00D20F7F" w:rsidRPr="00965BA5" w:rsidRDefault="00D20F7F" w:rsidP="00AA16B6">
            <w:pPr>
              <w:spacing w:line="216" w:lineRule="auto"/>
              <w:jc w:val="center"/>
              <w:rPr>
                <w:color w:val="000000"/>
                <w:sz w:val="22"/>
                <w:szCs w:val="22"/>
              </w:rPr>
            </w:pPr>
            <w:r w:rsidRPr="00965BA5">
              <w:rPr>
                <w:color w:val="000000"/>
                <w:sz w:val="22"/>
                <w:szCs w:val="22"/>
              </w:rPr>
              <w:t>Общая площадь (гектары)</w:t>
            </w:r>
          </w:p>
        </w:tc>
        <w:tc>
          <w:tcPr>
            <w:tcW w:w="1825" w:type="dxa"/>
            <w:vMerge w:val="restart"/>
            <w:vAlign w:val="center"/>
          </w:tcPr>
          <w:p w:rsidR="00D20F7F" w:rsidRPr="00965BA5" w:rsidRDefault="00D20F7F" w:rsidP="00AA16B6">
            <w:pPr>
              <w:spacing w:line="216" w:lineRule="auto"/>
              <w:jc w:val="center"/>
              <w:rPr>
                <w:color w:val="000000"/>
                <w:sz w:val="22"/>
                <w:szCs w:val="22"/>
              </w:rPr>
            </w:pPr>
            <w:r w:rsidRPr="00965BA5">
              <w:rPr>
                <w:color w:val="000000"/>
                <w:sz w:val="22"/>
                <w:szCs w:val="22"/>
              </w:rPr>
              <w:t>Количество бенефициаров</w:t>
            </w:r>
          </w:p>
        </w:tc>
      </w:tr>
      <w:tr w:rsidR="00D20F7F" w:rsidRPr="00F852CD" w:rsidTr="00D20F7F">
        <w:tc>
          <w:tcPr>
            <w:tcW w:w="1022" w:type="dxa"/>
            <w:vMerge/>
          </w:tcPr>
          <w:p w:rsidR="00D20F7F" w:rsidRPr="00965BA5" w:rsidRDefault="00D20F7F" w:rsidP="00AA16B6">
            <w:pPr>
              <w:spacing w:line="240" w:lineRule="auto"/>
              <w:jc w:val="center"/>
              <w:rPr>
                <w:color w:val="000000"/>
                <w:sz w:val="22"/>
                <w:szCs w:val="22"/>
              </w:rPr>
            </w:pPr>
          </w:p>
        </w:tc>
        <w:tc>
          <w:tcPr>
            <w:tcW w:w="661" w:type="dxa"/>
          </w:tcPr>
          <w:p w:rsidR="00D20F7F" w:rsidRPr="00965BA5" w:rsidRDefault="00D20F7F" w:rsidP="00AA16B6">
            <w:pPr>
              <w:spacing w:line="240" w:lineRule="auto"/>
              <w:jc w:val="center"/>
              <w:rPr>
                <w:color w:val="000000"/>
                <w:sz w:val="22"/>
                <w:szCs w:val="22"/>
              </w:rPr>
            </w:pPr>
            <w:r w:rsidRPr="00965BA5">
              <w:rPr>
                <w:color w:val="000000"/>
                <w:sz w:val="22"/>
                <w:szCs w:val="22"/>
              </w:rPr>
              <w:t>РП</w:t>
            </w:r>
          </w:p>
        </w:tc>
        <w:tc>
          <w:tcPr>
            <w:tcW w:w="561" w:type="dxa"/>
          </w:tcPr>
          <w:p w:rsidR="00D20F7F" w:rsidRPr="00965BA5" w:rsidRDefault="00D20F7F" w:rsidP="00AA16B6">
            <w:pPr>
              <w:tabs>
                <w:tab w:val="clear" w:pos="567"/>
                <w:tab w:val="clear" w:pos="1134"/>
                <w:tab w:val="left" w:pos="640"/>
                <w:tab w:val="left" w:pos="1014"/>
              </w:tabs>
              <w:spacing w:line="240" w:lineRule="auto"/>
              <w:jc w:val="center"/>
              <w:rPr>
                <w:color w:val="000000"/>
                <w:sz w:val="22"/>
                <w:szCs w:val="22"/>
              </w:rPr>
            </w:pPr>
            <w:r w:rsidRPr="00965BA5">
              <w:rPr>
                <w:color w:val="000000"/>
                <w:sz w:val="22"/>
                <w:szCs w:val="22"/>
              </w:rPr>
              <w:t>ИП</w:t>
            </w:r>
          </w:p>
        </w:tc>
        <w:tc>
          <w:tcPr>
            <w:tcW w:w="748" w:type="dxa"/>
          </w:tcPr>
          <w:p w:rsidR="00D20F7F" w:rsidRPr="00965BA5" w:rsidRDefault="00D20F7F" w:rsidP="00AA16B6">
            <w:pPr>
              <w:spacing w:line="240" w:lineRule="auto"/>
              <w:jc w:val="center"/>
              <w:rPr>
                <w:color w:val="000000"/>
                <w:sz w:val="22"/>
                <w:szCs w:val="22"/>
              </w:rPr>
            </w:pPr>
            <w:r w:rsidRPr="00965BA5">
              <w:rPr>
                <w:color w:val="000000"/>
                <w:sz w:val="22"/>
                <w:szCs w:val="22"/>
              </w:rPr>
              <w:t>УМ</w:t>
            </w:r>
          </w:p>
        </w:tc>
        <w:tc>
          <w:tcPr>
            <w:tcW w:w="748" w:type="dxa"/>
          </w:tcPr>
          <w:p w:rsidR="00D20F7F" w:rsidRPr="00965BA5" w:rsidRDefault="00D20F7F" w:rsidP="00AA16B6">
            <w:pPr>
              <w:spacing w:line="240" w:lineRule="auto"/>
              <w:jc w:val="center"/>
              <w:rPr>
                <w:color w:val="000000"/>
                <w:sz w:val="22"/>
                <w:szCs w:val="22"/>
              </w:rPr>
            </w:pPr>
            <w:r w:rsidRPr="00965BA5">
              <w:rPr>
                <w:color w:val="000000"/>
                <w:sz w:val="22"/>
                <w:szCs w:val="22"/>
              </w:rPr>
              <w:t>АП</w:t>
            </w:r>
          </w:p>
        </w:tc>
        <w:tc>
          <w:tcPr>
            <w:tcW w:w="748" w:type="dxa"/>
          </w:tcPr>
          <w:p w:rsidR="00D20F7F" w:rsidRPr="00965BA5" w:rsidRDefault="00D20F7F" w:rsidP="00AA16B6">
            <w:pPr>
              <w:spacing w:line="240" w:lineRule="auto"/>
              <w:jc w:val="center"/>
              <w:rPr>
                <w:color w:val="000000"/>
                <w:sz w:val="22"/>
                <w:szCs w:val="22"/>
              </w:rPr>
            </w:pPr>
            <w:r w:rsidRPr="00965BA5">
              <w:rPr>
                <w:color w:val="000000"/>
                <w:sz w:val="22"/>
                <w:szCs w:val="22"/>
              </w:rPr>
              <w:t>АО</w:t>
            </w:r>
          </w:p>
        </w:tc>
        <w:tc>
          <w:tcPr>
            <w:tcW w:w="1122" w:type="dxa"/>
          </w:tcPr>
          <w:p w:rsidR="00D20F7F" w:rsidRPr="00965BA5" w:rsidRDefault="00D20F7F" w:rsidP="00AA16B6">
            <w:pPr>
              <w:spacing w:line="240" w:lineRule="auto"/>
              <w:jc w:val="center"/>
              <w:rPr>
                <w:color w:val="000000"/>
                <w:sz w:val="22"/>
                <w:szCs w:val="22"/>
              </w:rPr>
            </w:pPr>
            <w:r w:rsidRPr="00965BA5">
              <w:rPr>
                <w:color w:val="000000"/>
                <w:sz w:val="22"/>
                <w:szCs w:val="22"/>
              </w:rPr>
              <w:t>Всего</w:t>
            </w:r>
          </w:p>
        </w:tc>
        <w:tc>
          <w:tcPr>
            <w:tcW w:w="1496" w:type="dxa"/>
            <w:vMerge/>
          </w:tcPr>
          <w:p w:rsidR="00D20F7F" w:rsidRPr="00965BA5" w:rsidRDefault="00D20F7F" w:rsidP="00AA16B6">
            <w:pPr>
              <w:spacing w:line="240" w:lineRule="auto"/>
              <w:rPr>
                <w:color w:val="000000"/>
                <w:sz w:val="22"/>
                <w:szCs w:val="22"/>
              </w:rPr>
            </w:pPr>
          </w:p>
        </w:tc>
        <w:tc>
          <w:tcPr>
            <w:tcW w:w="1825" w:type="dxa"/>
            <w:vMerge/>
          </w:tcPr>
          <w:p w:rsidR="00D20F7F" w:rsidRPr="00965BA5" w:rsidRDefault="00D20F7F" w:rsidP="00AA16B6">
            <w:pPr>
              <w:spacing w:line="240" w:lineRule="auto"/>
              <w:rPr>
                <w:color w:val="000000"/>
                <w:sz w:val="22"/>
                <w:szCs w:val="22"/>
              </w:rPr>
            </w:pPr>
          </w:p>
        </w:tc>
      </w:tr>
      <w:tr w:rsidR="00486C10" w:rsidRPr="00F852CD" w:rsidTr="00D20F7F">
        <w:tc>
          <w:tcPr>
            <w:tcW w:w="1022" w:type="dxa"/>
          </w:tcPr>
          <w:p w:rsidR="00486C10" w:rsidRPr="00F852CD" w:rsidRDefault="00486C10" w:rsidP="00AA16B6">
            <w:pPr>
              <w:spacing w:line="240" w:lineRule="auto"/>
              <w:jc w:val="center"/>
              <w:rPr>
                <w:color w:val="000000"/>
                <w:sz w:val="22"/>
                <w:szCs w:val="22"/>
              </w:rPr>
            </w:pPr>
            <w:r w:rsidRPr="00F852CD">
              <w:rPr>
                <w:color w:val="000000"/>
                <w:sz w:val="22"/>
                <w:szCs w:val="22"/>
              </w:rPr>
              <w:t>2001</w:t>
            </w:r>
          </w:p>
        </w:tc>
        <w:tc>
          <w:tcPr>
            <w:tcW w:w="6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6</w:t>
            </w:r>
          </w:p>
        </w:tc>
        <w:tc>
          <w:tcPr>
            <w:tcW w:w="5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5</w:t>
            </w: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1</w:t>
            </w: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1122" w:type="dxa"/>
            <w:shd w:val="clear" w:color="auto" w:fill="auto"/>
            <w:tcMar>
              <w:left w:w="0" w:type="dxa"/>
              <w:right w:w="340" w:type="dxa"/>
            </w:tcMar>
          </w:tcPr>
          <w:p w:rsidR="00486C10" w:rsidRPr="00D20F7F" w:rsidRDefault="00486C10" w:rsidP="00AA16B6">
            <w:pPr>
              <w:spacing w:line="240" w:lineRule="auto"/>
              <w:jc w:val="right"/>
              <w:rPr>
                <w:color w:val="000000"/>
                <w:sz w:val="22"/>
                <w:szCs w:val="22"/>
              </w:rPr>
            </w:pPr>
            <w:r w:rsidRPr="00D20F7F">
              <w:rPr>
                <w:color w:val="000000"/>
                <w:sz w:val="22"/>
                <w:szCs w:val="22"/>
              </w:rPr>
              <w:t>12</w:t>
            </w:r>
          </w:p>
        </w:tc>
        <w:tc>
          <w:tcPr>
            <w:tcW w:w="1496"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1 478,72</w:t>
            </w:r>
          </w:p>
        </w:tc>
        <w:tc>
          <w:tcPr>
            <w:tcW w:w="1825"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35 662</w:t>
            </w:r>
          </w:p>
        </w:tc>
      </w:tr>
      <w:tr w:rsidR="00486C10" w:rsidRPr="00F852CD" w:rsidTr="00D20F7F">
        <w:tc>
          <w:tcPr>
            <w:tcW w:w="1022" w:type="dxa"/>
          </w:tcPr>
          <w:p w:rsidR="00486C10" w:rsidRPr="00F852CD" w:rsidRDefault="00486C10" w:rsidP="00AA16B6">
            <w:pPr>
              <w:spacing w:line="240" w:lineRule="auto"/>
              <w:jc w:val="center"/>
              <w:rPr>
                <w:color w:val="000000"/>
                <w:sz w:val="22"/>
                <w:szCs w:val="22"/>
              </w:rPr>
            </w:pPr>
            <w:r w:rsidRPr="00F852CD">
              <w:rPr>
                <w:color w:val="000000"/>
                <w:sz w:val="22"/>
                <w:szCs w:val="22"/>
              </w:rPr>
              <w:t>2002</w:t>
            </w:r>
          </w:p>
        </w:tc>
        <w:tc>
          <w:tcPr>
            <w:tcW w:w="6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8</w:t>
            </w:r>
          </w:p>
        </w:tc>
        <w:tc>
          <w:tcPr>
            <w:tcW w:w="5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9</w:t>
            </w: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2</w:t>
            </w: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2</w:t>
            </w:r>
          </w:p>
        </w:tc>
        <w:tc>
          <w:tcPr>
            <w:tcW w:w="1122" w:type="dxa"/>
            <w:shd w:val="clear" w:color="auto" w:fill="auto"/>
            <w:tcMar>
              <w:left w:w="0" w:type="dxa"/>
              <w:right w:w="340" w:type="dxa"/>
            </w:tcMar>
          </w:tcPr>
          <w:p w:rsidR="00486C10" w:rsidRPr="00D20F7F" w:rsidRDefault="00486C10" w:rsidP="00AA16B6">
            <w:pPr>
              <w:spacing w:line="240" w:lineRule="auto"/>
              <w:jc w:val="right"/>
              <w:rPr>
                <w:color w:val="000000"/>
                <w:sz w:val="22"/>
                <w:szCs w:val="22"/>
              </w:rPr>
            </w:pPr>
            <w:r w:rsidRPr="00D20F7F">
              <w:rPr>
                <w:color w:val="000000"/>
                <w:sz w:val="22"/>
                <w:szCs w:val="22"/>
              </w:rPr>
              <w:t>21</w:t>
            </w:r>
          </w:p>
        </w:tc>
        <w:tc>
          <w:tcPr>
            <w:tcW w:w="1496"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20 701,90</w:t>
            </w:r>
          </w:p>
        </w:tc>
        <w:tc>
          <w:tcPr>
            <w:tcW w:w="1825"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78 112</w:t>
            </w:r>
          </w:p>
        </w:tc>
      </w:tr>
      <w:tr w:rsidR="00486C10" w:rsidRPr="00F852CD" w:rsidTr="00D20F7F">
        <w:tc>
          <w:tcPr>
            <w:tcW w:w="1022" w:type="dxa"/>
          </w:tcPr>
          <w:p w:rsidR="00486C10" w:rsidRPr="00F852CD" w:rsidRDefault="00486C10" w:rsidP="00AA16B6">
            <w:pPr>
              <w:spacing w:line="240" w:lineRule="auto"/>
              <w:jc w:val="center"/>
              <w:rPr>
                <w:color w:val="000000"/>
                <w:sz w:val="22"/>
                <w:szCs w:val="22"/>
              </w:rPr>
            </w:pPr>
            <w:r w:rsidRPr="00F852CD">
              <w:rPr>
                <w:color w:val="000000"/>
                <w:sz w:val="22"/>
                <w:szCs w:val="22"/>
              </w:rPr>
              <w:t>2003</w:t>
            </w:r>
          </w:p>
        </w:tc>
        <w:tc>
          <w:tcPr>
            <w:tcW w:w="6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13</w:t>
            </w:r>
          </w:p>
        </w:tc>
        <w:tc>
          <w:tcPr>
            <w:tcW w:w="5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1</w:t>
            </w: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1122" w:type="dxa"/>
            <w:shd w:val="clear" w:color="auto" w:fill="auto"/>
            <w:tcMar>
              <w:left w:w="0" w:type="dxa"/>
              <w:right w:w="340" w:type="dxa"/>
            </w:tcMar>
          </w:tcPr>
          <w:p w:rsidR="00486C10" w:rsidRPr="00D20F7F" w:rsidRDefault="00486C10" w:rsidP="00AA16B6">
            <w:pPr>
              <w:spacing w:line="240" w:lineRule="auto"/>
              <w:jc w:val="right"/>
              <w:rPr>
                <w:color w:val="000000"/>
                <w:sz w:val="22"/>
                <w:szCs w:val="22"/>
              </w:rPr>
            </w:pPr>
            <w:r w:rsidRPr="00D20F7F">
              <w:rPr>
                <w:color w:val="000000"/>
                <w:sz w:val="22"/>
                <w:szCs w:val="22"/>
              </w:rPr>
              <w:t>14</w:t>
            </w:r>
          </w:p>
        </w:tc>
        <w:tc>
          <w:tcPr>
            <w:tcW w:w="1496"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242,59</w:t>
            </w:r>
          </w:p>
        </w:tc>
        <w:tc>
          <w:tcPr>
            <w:tcW w:w="1825"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13 636</w:t>
            </w:r>
          </w:p>
        </w:tc>
      </w:tr>
      <w:tr w:rsidR="00486C10" w:rsidRPr="00F852CD" w:rsidTr="00D20F7F">
        <w:tc>
          <w:tcPr>
            <w:tcW w:w="1022" w:type="dxa"/>
          </w:tcPr>
          <w:p w:rsidR="00486C10" w:rsidRPr="00F852CD" w:rsidRDefault="00486C10" w:rsidP="00AA16B6">
            <w:pPr>
              <w:spacing w:line="240" w:lineRule="auto"/>
              <w:jc w:val="center"/>
              <w:rPr>
                <w:color w:val="000000"/>
                <w:sz w:val="22"/>
                <w:szCs w:val="22"/>
              </w:rPr>
            </w:pPr>
            <w:r w:rsidRPr="00F852CD">
              <w:rPr>
                <w:color w:val="000000"/>
                <w:sz w:val="22"/>
                <w:szCs w:val="22"/>
              </w:rPr>
              <w:t>2004</w:t>
            </w:r>
          </w:p>
        </w:tc>
        <w:tc>
          <w:tcPr>
            <w:tcW w:w="6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35</w:t>
            </w:r>
          </w:p>
        </w:tc>
        <w:tc>
          <w:tcPr>
            <w:tcW w:w="5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1</w:t>
            </w: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1122" w:type="dxa"/>
            <w:shd w:val="clear" w:color="auto" w:fill="auto"/>
            <w:tcMar>
              <w:left w:w="0" w:type="dxa"/>
              <w:right w:w="340" w:type="dxa"/>
            </w:tcMar>
          </w:tcPr>
          <w:p w:rsidR="00486C10" w:rsidRPr="00D20F7F" w:rsidRDefault="00486C10" w:rsidP="00AA16B6">
            <w:pPr>
              <w:spacing w:line="240" w:lineRule="auto"/>
              <w:jc w:val="right"/>
              <w:rPr>
                <w:color w:val="000000"/>
                <w:sz w:val="22"/>
                <w:szCs w:val="22"/>
              </w:rPr>
            </w:pPr>
            <w:r w:rsidRPr="00D20F7F">
              <w:rPr>
                <w:color w:val="000000"/>
                <w:sz w:val="22"/>
                <w:szCs w:val="22"/>
              </w:rPr>
              <w:t>36</w:t>
            </w:r>
          </w:p>
        </w:tc>
        <w:tc>
          <w:tcPr>
            <w:tcW w:w="1496"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3 271,95</w:t>
            </w:r>
          </w:p>
        </w:tc>
        <w:tc>
          <w:tcPr>
            <w:tcW w:w="1825"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40 280</w:t>
            </w:r>
          </w:p>
        </w:tc>
      </w:tr>
      <w:tr w:rsidR="00486C10" w:rsidRPr="00F852CD" w:rsidTr="00D20F7F">
        <w:tc>
          <w:tcPr>
            <w:tcW w:w="1022" w:type="dxa"/>
          </w:tcPr>
          <w:p w:rsidR="00486C10" w:rsidRPr="00F852CD" w:rsidRDefault="00486C10" w:rsidP="00AA16B6">
            <w:pPr>
              <w:spacing w:line="240" w:lineRule="auto"/>
              <w:jc w:val="center"/>
              <w:rPr>
                <w:color w:val="000000"/>
                <w:sz w:val="22"/>
                <w:szCs w:val="22"/>
              </w:rPr>
            </w:pPr>
            <w:r w:rsidRPr="00F852CD">
              <w:rPr>
                <w:color w:val="000000"/>
                <w:sz w:val="22"/>
                <w:szCs w:val="22"/>
              </w:rPr>
              <w:t>2005</w:t>
            </w:r>
          </w:p>
        </w:tc>
        <w:tc>
          <w:tcPr>
            <w:tcW w:w="6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4</w:t>
            </w:r>
          </w:p>
        </w:tc>
        <w:tc>
          <w:tcPr>
            <w:tcW w:w="5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1</w:t>
            </w: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1122" w:type="dxa"/>
            <w:shd w:val="clear" w:color="auto" w:fill="auto"/>
            <w:tcMar>
              <w:left w:w="0" w:type="dxa"/>
              <w:right w:w="340" w:type="dxa"/>
            </w:tcMar>
          </w:tcPr>
          <w:p w:rsidR="00486C10" w:rsidRPr="00D20F7F" w:rsidRDefault="00486C10" w:rsidP="00AA16B6">
            <w:pPr>
              <w:spacing w:line="240" w:lineRule="auto"/>
              <w:jc w:val="right"/>
              <w:rPr>
                <w:color w:val="000000"/>
                <w:sz w:val="22"/>
                <w:szCs w:val="22"/>
              </w:rPr>
            </w:pPr>
            <w:r w:rsidRPr="00D20F7F">
              <w:rPr>
                <w:color w:val="000000"/>
                <w:sz w:val="22"/>
                <w:szCs w:val="22"/>
              </w:rPr>
              <w:t>5</w:t>
            </w:r>
          </w:p>
        </w:tc>
        <w:tc>
          <w:tcPr>
            <w:tcW w:w="1496"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209,61</w:t>
            </w:r>
          </w:p>
        </w:tc>
        <w:tc>
          <w:tcPr>
            <w:tcW w:w="1825"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7 807</w:t>
            </w:r>
          </w:p>
        </w:tc>
      </w:tr>
      <w:tr w:rsidR="00486C10" w:rsidRPr="00F852CD" w:rsidTr="00D20F7F">
        <w:tc>
          <w:tcPr>
            <w:tcW w:w="1022" w:type="dxa"/>
          </w:tcPr>
          <w:p w:rsidR="00486C10" w:rsidRPr="00F852CD" w:rsidRDefault="00486C10" w:rsidP="00AA16B6">
            <w:pPr>
              <w:spacing w:line="240" w:lineRule="auto"/>
              <w:jc w:val="center"/>
              <w:rPr>
                <w:color w:val="000000"/>
                <w:sz w:val="22"/>
                <w:szCs w:val="22"/>
              </w:rPr>
            </w:pPr>
            <w:r w:rsidRPr="00F852CD">
              <w:rPr>
                <w:color w:val="000000"/>
                <w:sz w:val="22"/>
                <w:szCs w:val="22"/>
              </w:rPr>
              <w:t>2006</w:t>
            </w:r>
          </w:p>
        </w:tc>
        <w:tc>
          <w:tcPr>
            <w:tcW w:w="6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6</w:t>
            </w:r>
          </w:p>
        </w:tc>
        <w:tc>
          <w:tcPr>
            <w:tcW w:w="561"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2</w:t>
            </w: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748" w:type="dxa"/>
            <w:shd w:val="clear" w:color="auto" w:fill="auto"/>
            <w:tcMar>
              <w:left w:w="0" w:type="dxa"/>
              <w:right w:w="340" w:type="dxa"/>
            </w:tcMar>
          </w:tcPr>
          <w:p w:rsidR="00486C10" w:rsidRPr="00F852CD" w:rsidRDefault="00486C10" w:rsidP="00AA16B6">
            <w:pPr>
              <w:spacing w:line="240" w:lineRule="auto"/>
              <w:jc w:val="right"/>
              <w:rPr>
                <w:color w:val="000000"/>
                <w:sz w:val="22"/>
                <w:szCs w:val="22"/>
              </w:rPr>
            </w:pPr>
          </w:p>
        </w:tc>
        <w:tc>
          <w:tcPr>
            <w:tcW w:w="1122" w:type="dxa"/>
            <w:shd w:val="clear" w:color="auto" w:fill="auto"/>
            <w:tcMar>
              <w:left w:w="0" w:type="dxa"/>
              <w:right w:w="340" w:type="dxa"/>
            </w:tcMar>
          </w:tcPr>
          <w:p w:rsidR="00486C10" w:rsidRPr="00D20F7F" w:rsidRDefault="00486C10" w:rsidP="00AA16B6">
            <w:pPr>
              <w:spacing w:line="240" w:lineRule="auto"/>
              <w:jc w:val="right"/>
              <w:rPr>
                <w:color w:val="000000"/>
                <w:sz w:val="22"/>
                <w:szCs w:val="22"/>
              </w:rPr>
            </w:pPr>
            <w:r w:rsidRPr="00D20F7F">
              <w:rPr>
                <w:color w:val="000000"/>
                <w:sz w:val="22"/>
                <w:szCs w:val="22"/>
              </w:rPr>
              <w:t>8</w:t>
            </w:r>
          </w:p>
        </w:tc>
        <w:tc>
          <w:tcPr>
            <w:tcW w:w="1496"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430,88</w:t>
            </w:r>
          </w:p>
        </w:tc>
        <w:tc>
          <w:tcPr>
            <w:tcW w:w="1825" w:type="dxa"/>
            <w:tcMar>
              <w:left w:w="0" w:type="dxa"/>
              <w:right w:w="340" w:type="dxa"/>
            </w:tcMar>
          </w:tcPr>
          <w:p w:rsidR="00486C10" w:rsidRPr="00F852CD" w:rsidRDefault="00486C10" w:rsidP="00AA16B6">
            <w:pPr>
              <w:spacing w:line="240" w:lineRule="auto"/>
              <w:jc w:val="right"/>
              <w:rPr>
                <w:color w:val="000000"/>
                <w:sz w:val="22"/>
                <w:szCs w:val="22"/>
              </w:rPr>
            </w:pPr>
            <w:r w:rsidRPr="00F852CD">
              <w:rPr>
                <w:color w:val="000000"/>
                <w:sz w:val="22"/>
                <w:szCs w:val="22"/>
              </w:rPr>
              <w:t>19 948</w:t>
            </w:r>
          </w:p>
        </w:tc>
      </w:tr>
      <w:tr w:rsidR="00486C10" w:rsidRPr="00F852CD" w:rsidTr="00D20F7F">
        <w:tc>
          <w:tcPr>
            <w:tcW w:w="1022" w:type="dxa"/>
          </w:tcPr>
          <w:p w:rsidR="00486C10" w:rsidRPr="00965BA5" w:rsidRDefault="00486C10" w:rsidP="00AA16B6">
            <w:pPr>
              <w:spacing w:line="240" w:lineRule="auto"/>
              <w:jc w:val="center"/>
              <w:rPr>
                <w:color w:val="000000"/>
                <w:sz w:val="22"/>
                <w:szCs w:val="22"/>
              </w:rPr>
            </w:pPr>
            <w:r w:rsidRPr="00965BA5">
              <w:rPr>
                <w:color w:val="000000"/>
                <w:sz w:val="22"/>
                <w:szCs w:val="22"/>
              </w:rPr>
              <w:t>В</w:t>
            </w:r>
            <w:r w:rsidR="00D20F7F" w:rsidRPr="00965BA5">
              <w:rPr>
                <w:color w:val="000000"/>
                <w:sz w:val="22"/>
                <w:szCs w:val="22"/>
              </w:rPr>
              <w:t>сего</w:t>
            </w:r>
          </w:p>
        </w:tc>
        <w:tc>
          <w:tcPr>
            <w:tcW w:w="661" w:type="dxa"/>
            <w:shd w:val="clear" w:color="auto" w:fill="auto"/>
            <w:tcMar>
              <w:left w:w="0" w:type="dxa"/>
              <w:right w:w="340" w:type="dxa"/>
            </w:tcMar>
          </w:tcPr>
          <w:p w:rsidR="00486C10" w:rsidRPr="00965BA5" w:rsidRDefault="00486C10" w:rsidP="00AA16B6">
            <w:pPr>
              <w:spacing w:line="240" w:lineRule="auto"/>
              <w:jc w:val="right"/>
              <w:rPr>
                <w:color w:val="000000"/>
                <w:sz w:val="22"/>
                <w:szCs w:val="22"/>
              </w:rPr>
            </w:pPr>
            <w:r w:rsidRPr="00965BA5">
              <w:rPr>
                <w:color w:val="000000"/>
                <w:sz w:val="22"/>
                <w:szCs w:val="22"/>
              </w:rPr>
              <w:t>72</w:t>
            </w:r>
          </w:p>
        </w:tc>
        <w:tc>
          <w:tcPr>
            <w:tcW w:w="561" w:type="dxa"/>
            <w:shd w:val="clear" w:color="auto" w:fill="auto"/>
            <w:tcMar>
              <w:left w:w="0" w:type="dxa"/>
              <w:right w:w="340" w:type="dxa"/>
            </w:tcMar>
          </w:tcPr>
          <w:p w:rsidR="00486C10" w:rsidRPr="00965BA5" w:rsidRDefault="00486C10" w:rsidP="00AA16B6">
            <w:pPr>
              <w:spacing w:line="240" w:lineRule="auto"/>
              <w:jc w:val="right"/>
              <w:rPr>
                <w:color w:val="000000"/>
                <w:sz w:val="22"/>
                <w:szCs w:val="22"/>
              </w:rPr>
            </w:pPr>
            <w:r w:rsidRPr="00965BA5">
              <w:rPr>
                <w:color w:val="000000"/>
                <w:sz w:val="22"/>
                <w:szCs w:val="22"/>
              </w:rPr>
              <w:t>17</w:t>
            </w:r>
          </w:p>
        </w:tc>
        <w:tc>
          <w:tcPr>
            <w:tcW w:w="748" w:type="dxa"/>
            <w:shd w:val="clear" w:color="auto" w:fill="auto"/>
            <w:tcMar>
              <w:left w:w="0" w:type="dxa"/>
              <w:right w:w="340" w:type="dxa"/>
            </w:tcMar>
          </w:tcPr>
          <w:p w:rsidR="00486C10" w:rsidRPr="00965BA5" w:rsidRDefault="00486C10" w:rsidP="00AA16B6">
            <w:pPr>
              <w:spacing w:line="240" w:lineRule="auto"/>
              <w:jc w:val="right"/>
              <w:rPr>
                <w:color w:val="000000"/>
                <w:sz w:val="22"/>
                <w:szCs w:val="22"/>
              </w:rPr>
            </w:pPr>
            <w:r w:rsidRPr="00965BA5">
              <w:rPr>
                <w:color w:val="000000"/>
                <w:sz w:val="22"/>
                <w:szCs w:val="22"/>
              </w:rPr>
              <w:t>4</w:t>
            </w:r>
          </w:p>
        </w:tc>
        <w:tc>
          <w:tcPr>
            <w:tcW w:w="748" w:type="dxa"/>
            <w:shd w:val="clear" w:color="auto" w:fill="auto"/>
            <w:tcMar>
              <w:left w:w="0" w:type="dxa"/>
              <w:right w:w="340" w:type="dxa"/>
            </w:tcMar>
          </w:tcPr>
          <w:p w:rsidR="00486C10" w:rsidRPr="00965BA5" w:rsidRDefault="00486C10" w:rsidP="00AA16B6">
            <w:pPr>
              <w:spacing w:line="240" w:lineRule="auto"/>
              <w:jc w:val="right"/>
              <w:rPr>
                <w:color w:val="000000"/>
                <w:sz w:val="22"/>
                <w:szCs w:val="22"/>
              </w:rPr>
            </w:pPr>
            <w:r w:rsidRPr="00965BA5">
              <w:rPr>
                <w:color w:val="000000"/>
                <w:sz w:val="22"/>
                <w:szCs w:val="22"/>
              </w:rPr>
              <w:t>1</w:t>
            </w:r>
          </w:p>
        </w:tc>
        <w:tc>
          <w:tcPr>
            <w:tcW w:w="748" w:type="dxa"/>
            <w:shd w:val="clear" w:color="auto" w:fill="auto"/>
            <w:tcMar>
              <w:left w:w="0" w:type="dxa"/>
              <w:right w:w="340" w:type="dxa"/>
            </w:tcMar>
          </w:tcPr>
          <w:p w:rsidR="00486C10" w:rsidRPr="00965BA5" w:rsidRDefault="00486C10" w:rsidP="00AA16B6">
            <w:pPr>
              <w:spacing w:line="240" w:lineRule="auto"/>
              <w:jc w:val="right"/>
              <w:rPr>
                <w:color w:val="000000"/>
                <w:sz w:val="22"/>
                <w:szCs w:val="22"/>
              </w:rPr>
            </w:pPr>
            <w:r w:rsidRPr="00965BA5">
              <w:rPr>
                <w:color w:val="000000"/>
                <w:sz w:val="22"/>
                <w:szCs w:val="22"/>
              </w:rPr>
              <w:t>2</w:t>
            </w:r>
          </w:p>
        </w:tc>
        <w:tc>
          <w:tcPr>
            <w:tcW w:w="1122" w:type="dxa"/>
            <w:shd w:val="clear" w:color="auto" w:fill="auto"/>
            <w:tcMar>
              <w:left w:w="0" w:type="dxa"/>
              <w:right w:w="340" w:type="dxa"/>
            </w:tcMar>
          </w:tcPr>
          <w:p w:rsidR="00486C10" w:rsidRPr="00965BA5" w:rsidRDefault="00486C10" w:rsidP="00AA16B6">
            <w:pPr>
              <w:spacing w:line="240" w:lineRule="auto"/>
              <w:jc w:val="right"/>
              <w:rPr>
                <w:color w:val="000000"/>
                <w:sz w:val="22"/>
                <w:szCs w:val="22"/>
              </w:rPr>
            </w:pPr>
            <w:r w:rsidRPr="00965BA5">
              <w:rPr>
                <w:color w:val="000000"/>
                <w:sz w:val="22"/>
                <w:szCs w:val="22"/>
              </w:rPr>
              <w:t>96</w:t>
            </w:r>
          </w:p>
        </w:tc>
        <w:tc>
          <w:tcPr>
            <w:tcW w:w="1496" w:type="dxa"/>
            <w:tcMar>
              <w:left w:w="0" w:type="dxa"/>
              <w:right w:w="340" w:type="dxa"/>
            </w:tcMar>
          </w:tcPr>
          <w:p w:rsidR="00486C10" w:rsidRPr="00965BA5" w:rsidRDefault="00486C10" w:rsidP="00AA16B6">
            <w:pPr>
              <w:spacing w:line="240" w:lineRule="auto"/>
              <w:jc w:val="right"/>
              <w:rPr>
                <w:color w:val="000000"/>
                <w:sz w:val="22"/>
                <w:szCs w:val="22"/>
              </w:rPr>
            </w:pPr>
            <w:r w:rsidRPr="00965BA5">
              <w:rPr>
                <w:color w:val="000000"/>
                <w:sz w:val="22"/>
                <w:szCs w:val="22"/>
              </w:rPr>
              <w:t>26 336,65</w:t>
            </w:r>
          </w:p>
        </w:tc>
        <w:tc>
          <w:tcPr>
            <w:tcW w:w="1825" w:type="dxa"/>
            <w:tcMar>
              <w:left w:w="0" w:type="dxa"/>
              <w:right w:w="340" w:type="dxa"/>
            </w:tcMar>
          </w:tcPr>
          <w:p w:rsidR="00486C10" w:rsidRPr="00965BA5" w:rsidRDefault="00486C10" w:rsidP="00AA16B6">
            <w:pPr>
              <w:spacing w:line="240" w:lineRule="auto"/>
              <w:jc w:val="right"/>
              <w:rPr>
                <w:color w:val="000000"/>
                <w:sz w:val="22"/>
                <w:szCs w:val="22"/>
              </w:rPr>
            </w:pPr>
            <w:r w:rsidRPr="00965BA5">
              <w:rPr>
                <w:color w:val="000000"/>
                <w:sz w:val="22"/>
                <w:szCs w:val="22"/>
              </w:rPr>
              <w:t>195 445</w:t>
            </w:r>
          </w:p>
        </w:tc>
      </w:tr>
    </w:tbl>
    <w:p w:rsidR="00486C10" w:rsidRDefault="00486C10" w:rsidP="00486C10">
      <w:pPr>
        <w:rPr>
          <w:color w:val="000000"/>
          <w:szCs w:val="24"/>
        </w:rPr>
      </w:pPr>
    </w:p>
    <w:p w:rsidR="00486C10" w:rsidRPr="00D33F1B" w:rsidRDefault="00965BA5" w:rsidP="0046505E">
      <w:pPr>
        <w:tabs>
          <w:tab w:val="clear" w:pos="2268"/>
          <w:tab w:val="left" w:pos="1985"/>
        </w:tabs>
        <w:spacing w:line="216" w:lineRule="auto"/>
        <w:ind w:left="567"/>
        <w:rPr>
          <w:color w:val="000000"/>
          <w:sz w:val="22"/>
          <w:szCs w:val="22"/>
        </w:rPr>
      </w:pPr>
      <w:r w:rsidRPr="00965BA5">
        <w:rPr>
          <w:i/>
          <w:color w:val="000000"/>
          <w:sz w:val="22"/>
          <w:szCs w:val="22"/>
        </w:rPr>
        <w:t>Примечание:</w:t>
      </w:r>
      <w:r w:rsidR="0046505E">
        <w:rPr>
          <w:i/>
          <w:color w:val="000000"/>
          <w:sz w:val="22"/>
          <w:szCs w:val="22"/>
        </w:rPr>
        <w:tab/>
      </w:r>
      <w:r w:rsidR="00486C10" w:rsidRPr="00D33F1B">
        <w:rPr>
          <w:color w:val="000000"/>
          <w:sz w:val="22"/>
          <w:szCs w:val="22"/>
        </w:rPr>
        <w:t>РП - Распоряжение президента</w:t>
      </w:r>
    </w:p>
    <w:p w:rsidR="00486C10" w:rsidRPr="00D33F1B" w:rsidRDefault="00486C10" w:rsidP="0046505E">
      <w:pPr>
        <w:tabs>
          <w:tab w:val="clear" w:pos="2268"/>
          <w:tab w:val="left" w:pos="1985"/>
        </w:tabs>
        <w:spacing w:line="216" w:lineRule="auto"/>
        <w:ind w:left="1985"/>
        <w:rPr>
          <w:color w:val="000000"/>
          <w:sz w:val="22"/>
          <w:szCs w:val="22"/>
        </w:rPr>
      </w:pPr>
      <w:r w:rsidRPr="00D33F1B">
        <w:rPr>
          <w:color w:val="000000"/>
          <w:sz w:val="22"/>
          <w:szCs w:val="22"/>
        </w:rPr>
        <w:t>АП - Административное постановление</w:t>
      </w:r>
    </w:p>
    <w:p w:rsidR="00486C10" w:rsidRPr="00D33F1B" w:rsidRDefault="00486C10" w:rsidP="0046505E">
      <w:pPr>
        <w:tabs>
          <w:tab w:val="clear" w:pos="2268"/>
          <w:tab w:val="left" w:pos="1985"/>
        </w:tabs>
        <w:spacing w:line="216" w:lineRule="auto"/>
        <w:ind w:left="1985"/>
        <w:rPr>
          <w:color w:val="000000"/>
          <w:sz w:val="22"/>
          <w:szCs w:val="22"/>
        </w:rPr>
      </w:pPr>
      <w:r w:rsidRPr="00D33F1B">
        <w:rPr>
          <w:color w:val="000000"/>
          <w:sz w:val="22"/>
          <w:szCs w:val="22"/>
        </w:rPr>
        <w:t>ИП - Исполнительное постановление</w:t>
      </w:r>
    </w:p>
    <w:p w:rsidR="00486C10" w:rsidRPr="00D33F1B" w:rsidRDefault="00486C10" w:rsidP="0046505E">
      <w:pPr>
        <w:tabs>
          <w:tab w:val="clear" w:pos="2268"/>
          <w:tab w:val="left" w:pos="1985"/>
        </w:tabs>
        <w:spacing w:line="216" w:lineRule="auto"/>
        <w:ind w:left="1985"/>
        <w:rPr>
          <w:color w:val="000000"/>
          <w:sz w:val="22"/>
          <w:szCs w:val="22"/>
        </w:rPr>
      </w:pPr>
      <w:r w:rsidRPr="00D33F1B">
        <w:rPr>
          <w:color w:val="000000"/>
          <w:sz w:val="22"/>
          <w:szCs w:val="22"/>
        </w:rPr>
        <w:t>АО - Акт отчуждения</w:t>
      </w:r>
    </w:p>
    <w:p w:rsidR="00486C10" w:rsidRPr="00D33F1B" w:rsidRDefault="00486C10" w:rsidP="0046505E">
      <w:pPr>
        <w:tabs>
          <w:tab w:val="clear" w:pos="2268"/>
          <w:tab w:val="left" w:pos="1985"/>
        </w:tabs>
        <w:spacing w:line="216" w:lineRule="auto"/>
        <w:ind w:left="1985"/>
        <w:rPr>
          <w:color w:val="000000"/>
          <w:sz w:val="22"/>
          <w:szCs w:val="22"/>
        </w:rPr>
      </w:pPr>
      <w:r w:rsidRPr="00D33F1B">
        <w:rPr>
          <w:color w:val="000000"/>
          <w:sz w:val="22"/>
          <w:szCs w:val="22"/>
        </w:rPr>
        <w:t>УМ - Указ-</w:t>
      </w:r>
      <w:r>
        <w:rPr>
          <w:color w:val="000000"/>
          <w:sz w:val="22"/>
          <w:szCs w:val="22"/>
        </w:rPr>
        <w:t>м</w:t>
      </w:r>
      <w:r w:rsidRPr="00D33F1B">
        <w:rPr>
          <w:color w:val="000000"/>
          <w:sz w:val="22"/>
          <w:szCs w:val="22"/>
        </w:rPr>
        <w:t>еморандум</w:t>
      </w:r>
    </w:p>
    <w:p w:rsidR="00486C10" w:rsidRDefault="00486C10" w:rsidP="00486C10">
      <w:pPr>
        <w:spacing w:line="216" w:lineRule="auto"/>
        <w:rPr>
          <w:color w:val="000000"/>
          <w:szCs w:val="24"/>
        </w:rPr>
      </w:pPr>
    </w:p>
    <w:p w:rsidR="00486C10" w:rsidRDefault="00486C10" w:rsidP="00486C10">
      <w:pPr>
        <w:rPr>
          <w:color w:val="000000"/>
          <w:szCs w:val="24"/>
        </w:rPr>
      </w:pPr>
      <w:r>
        <w:rPr>
          <w:color w:val="000000"/>
          <w:szCs w:val="24"/>
        </w:rPr>
        <w:t>651.</w:t>
      </w:r>
      <w:r>
        <w:rPr>
          <w:color w:val="000000"/>
          <w:szCs w:val="24"/>
        </w:rPr>
        <w:tab/>
        <w:t>Из 96 отведенных под застройку участков территория площадью 26 336,65 га была объявлена зоной жилищной застройки для обеспечения земельных прав 195 445 семей незаконных поселенцев.</w:t>
      </w:r>
    </w:p>
    <w:p w:rsidR="00486C10" w:rsidRDefault="00486C10" w:rsidP="00486C10">
      <w:pPr>
        <w:rPr>
          <w:color w:val="000000"/>
          <w:szCs w:val="24"/>
        </w:rPr>
      </w:pPr>
    </w:p>
    <w:p w:rsidR="00486C10" w:rsidRDefault="0046505E" w:rsidP="00486C10">
      <w:pPr>
        <w:rPr>
          <w:color w:val="000000"/>
          <w:szCs w:val="24"/>
        </w:rPr>
      </w:pPr>
      <w:r>
        <w:rPr>
          <w:color w:val="000000"/>
          <w:szCs w:val="24"/>
        </w:rPr>
        <w:br w:type="page"/>
      </w:r>
      <w:r w:rsidR="00486C10">
        <w:rPr>
          <w:color w:val="000000"/>
          <w:szCs w:val="24"/>
        </w:rPr>
        <w:t>652.</w:t>
      </w:r>
      <w:r w:rsidR="00486C10">
        <w:rPr>
          <w:color w:val="000000"/>
          <w:szCs w:val="24"/>
        </w:rPr>
        <w:tab/>
        <w:t>96 изданных президентом нормативных актов имеют следующий статус:</w:t>
      </w:r>
    </w:p>
    <w:p w:rsidR="00486C10" w:rsidRDefault="00486C10" w:rsidP="00486C10">
      <w:pPr>
        <w:rPr>
          <w:color w:val="000000"/>
          <w:szCs w:val="24"/>
        </w:rPr>
      </w:pPr>
    </w:p>
    <w:p w:rsidR="00486C10" w:rsidRDefault="00486C10" w:rsidP="00D20F7F">
      <w:pPr>
        <w:numPr>
          <w:ilvl w:val="0"/>
          <w:numId w:val="40"/>
        </w:numPr>
        <w:rPr>
          <w:color w:val="000000"/>
          <w:szCs w:val="24"/>
        </w:rPr>
      </w:pPr>
      <w:r>
        <w:rPr>
          <w:color w:val="000000"/>
          <w:szCs w:val="24"/>
        </w:rPr>
        <w:t>в отношении 49 участков подписаны Правила и нормы осуществления (ПНО), а в отношении 34 - подготовлен окончательный проект, который должен быть подписан всеми сторонами;  ПНО содержат свод единых и общих условий и процедур, касающихся выполнения законов и подзаконных актов президента, в которых определенные государственные земли признаются или объявляются открытыми для приобретения в рамках любой государственной жилищной программы;</w:t>
      </w:r>
    </w:p>
    <w:p w:rsidR="00486C10" w:rsidRDefault="00486C10" w:rsidP="00486C10">
      <w:pPr>
        <w:rPr>
          <w:color w:val="000000"/>
          <w:szCs w:val="24"/>
        </w:rPr>
      </w:pPr>
    </w:p>
    <w:p w:rsidR="00486C10" w:rsidRDefault="00486C10" w:rsidP="00486C10">
      <w:pPr>
        <w:numPr>
          <w:ilvl w:val="0"/>
          <w:numId w:val="40"/>
        </w:numPr>
        <w:rPr>
          <w:color w:val="000000"/>
          <w:szCs w:val="24"/>
        </w:rPr>
      </w:pPr>
      <w:r>
        <w:rPr>
          <w:color w:val="000000"/>
          <w:szCs w:val="24"/>
        </w:rPr>
        <w:t>в отношении 23 отведенных под застройку территорий была проведена перепись земель и ее разметка;</w:t>
      </w:r>
    </w:p>
    <w:p w:rsidR="00486C10" w:rsidRDefault="00486C10" w:rsidP="00486C10">
      <w:pPr>
        <w:rPr>
          <w:color w:val="000000"/>
          <w:szCs w:val="24"/>
        </w:rPr>
      </w:pPr>
    </w:p>
    <w:p w:rsidR="00486C10" w:rsidRDefault="00486C10" w:rsidP="00486C10">
      <w:pPr>
        <w:numPr>
          <w:ilvl w:val="0"/>
          <w:numId w:val="40"/>
        </w:numPr>
        <w:rPr>
          <w:color w:val="000000"/>
          <w:szCs w:val="24"/>
        </w:rPr>
      </w:pPr>
      <w:r>
        <w:rPr>
          <w:color w:val="000000"/>
          <w:szCs w:val="24"/>
        </w:rPr>
        <w:t>в отношении 23 отведенных под застройку территорий было проведено районирование и межевание;</w:t>
      </w:r>
    </w:p>
    <w:p w:rsidR="00486C10" w:rsidRDefault="00486C10" w:rsidP="00486C10">
      <w:pPr>
        <w:rPr>
          <w:color w:val="000000"/>
          <w:szCs w:val="24"/>
        </w:rPr>
      </w:pPr>
    </w:p>
    <w:p w:rsidR="00486C10" w:rsidRDefault="00486C10" w:rsidP="00486C10">
      <w:pPr>
        <w:numPr>
          <w:ilvl w:val="0"/>
          <w:numId w:val="40"/>
        </w:numPr>
        <w:rPr>
          <w:color w:val="000000"/>
          <w:szCs w:val="24"/>
        </w:rPr>
      </w:pPr>
      <w:r>
        <w:rPr>
          <w:color w:val="000000"/>
          <w:szCs w:val="24"/>
        </w:rPr>
        <w:t>в отношении 18 участков завершился процесс отбора бенефициаров;</w:t>
      </w:r>
    </w:p>
    <w:p w:rsidR="00486C10" w:rsidRDefault="00486C10" w:rsidP="00486C10">
      <w:pPr>
        <w:rPr>
          <w:color w:val="000000"/>
          <w:szCs w:val="24"/>
        </w:rPr>
      </w:pPr>
    </w:p>
    <w:p w:rsidR="00486C10" w:rsidRDefault="00486C10" w:rsidP="00486C10">
      <w:pPr>
        <w:numPr>
          <w:ilvl w:val="0"/>
          <w:numId w:val="40"/>
        </w:numPr>
        <w:rPr>
          <w:color w:val="000000"/>
          <w:szCs w:val="24"/>
        </w:rPr>
      </w:pPr>
      <w:r>
        <w:rPr>
          <w:color w:val="000000"/>
          <w:szCs w:val="24"/>
        </w:rPr>
        <w:t>в отношении 14 отведенных под жилищную застройку участков соответствующим бенефициарам были вручены Сертификаты о получении земельного надела (СПЗН).</w:t>
      </w:r>
    </w:p>
    <w:p w:rsidR="00486C10" w:rsidRDefault="00486C10" w:rsidP="00486C10">
      <w:pPr>
        <w:rPr>
          <w:color w:val="000000"/>
          <w:szCs w:val="24"/>
        </w:rPr>
      </w:pPr>
    </w:p>
    <w:p w:rsidR="00486C10" w:rsidRDefault="00486C10" w:rsidP="00486C10">
      <w:pPr>
        <w:rPr>
          <w:color w:val="000000"/>
          <w:szCs w:val="24"/>
        </w:rPr>
      </w:pPr>
      <w:r>
        <w:rPr>
          <w:color w:val="000000"/>
          <w:szCs w:val="24"/>
        </w:rPr>
        <w:t>653.</w:t>
      </w:r>
      <w:r>
        <w:rPr>
          <w:color w:val="000000"/>
          <w:szCs w:val="24"/>
        </w:rPr>
        <w:tab/>
        <w:t xml:space="preserve">С </w:t>
      </w:r>
      <w:r w:rsidRPr="00B54D1F">
        <w:rPr>
          <w:color w:val="000000"/>
          <w:szCs w:val="24"/>
        </w:rPr>
        <w:t>2001 года</w:t>
      </w:r>
      <w:r>
        <w:rPr>
          <w:color w:val="000000"/>
          <w:szCs w:val="24"/>
        </w:rPr>
        <w:t xml:space="preserve"> по настоящее время из 195 445 подлежащих выдаче СПЗН было выдано в общей сложности 20 378 таких сертификатов, которые будут вручены по завершении процесса отбора бенефициаров в 96 заявленных районах.</w:t>
      </w:r>
    </w:p>
    <w:p w:rsidR="00486C10" w:rsidRDefault="00486C10" w:rsidP="00486C10">
      <w:pPr>
        <w:rPr>
          <w:color w:val="000000"/>
          <w:szCs w:val="24"/>
        </w:rPr>
      </w:pPr>
    </w:p>
    <w:p w:rsidR="00486C10" w:rsidRDefault="00486C10" w:rsidP="00486C10">
      <w:pPr>
        <w:rPr>
          <w:color w:val="000000"/>
          <w:szCs w:val="24"/>
        </w:rPr>
      </w:pPr>
      <w:r>
        <w:rPr>
          <w:color w:val="000000"/>
          <w:szCs w:val="24"/>
        </w:rPr>
        <w:t>654.</w:t>
      </w:r>
      <w:r>
        <w:rPr>
          <w:color w:val="000000"/>
          <w:szCs w:val="24"/>
        </w:rPr>
        <w:tab/>
        <w:t>Обеспечение гарантированного владения землей соответствующими бенефициарами осложняется следующими проблемами:</w:t>
      </w:r>
    </w:p>
    <w:p w:rsidR="00486C10" w:rsidRDefault="00486C10" w:rsidP="00486C10">
      <w:pPr>
        <w:rPr>
          <w:color w:val="000000"/>
          <w:szCs w:val="24"/>
        </w:rPr>
      </w:pPr>
    </w:p>
    <w:p w:rsidR="00486C10" w:rsidRDefault="00486C10" w:rsidP="00486C10">
      <w:pPr>
        <w:numPr>
          <w:ilvl w:val="0"/>
          <w:numId w:val="25"/>
        </w:numPr>
        <w:tabs>
          <w:tab w:val="clear" w:pos="1701"/>
        </w:tabs>
        <w:rPr>
          <w:color w:val="000000"/>
          <w:szCs w:val="24"/>
        </w:rPr>
      </w:pPr>
      <w:r>
        <w:rPr>
          <w:color w:val="000000"/>
          <w:szCs w:val="24"/>
        </w:rPr>
        <w:t>отсутствием бюджетных средств для проведения переписи и межевания земель, а также осуществления иных работ (районирование, структурирование и кадастровая разметка);</w:t>
      </w:r>
    </w:p>
    <w:p w:rsidR="00062739" w:rsidRDefault="00062739" w:rsidP="00062739"/>
    <w:p w:rsidR="00027273" w:rsidRDefault="00027273" w:rsidP="00027273">
      <w:pPr>
        <w:ind w:left="1134" w:hanging="1134"/>
        <w:rPr>
          <w:color w:val="000000"/>
          <w:szCs w:val="24"/>
        </w:rPr>
      </w:pPr>
      <w:r>
        <w:rPr>
          <w:lang w:val="en-US"/>
        </w:rPr>
        <w:tab/>
      </w:r>
      <w:r>
        <w:sym w:font="Symbol" w:char="F0B7"/>
      </w:r>
      <w:r>
        <w:rPr>
          <w:color w:val="000000"/>
          <w:szCs w:val="24"/>
        </w:rPr>
        <w:tab/>
        <w:t>отсутствием рабочей силы.  КСЖГС не может обеспечить достаточного количества людских ресурсов на всех заявленных территориях.  В этой связи необходимо передать все функции КСЖГС на указанных участках НСЖС, которое обладает достаточными людскими ресурсами и материально-техническим обеспечением для осуществления последующей деятельности на отведенных под застройку территориях;</w:t>
      </w:r>
    </w:p>
    <w:p w:rsidR="00027273" w:rsidRDefault="00027273" w:rsidP="00027273">
      <w:pPr>
        <w:rPr>
          <w:color w:val="000000"/>
          <w:szCs w:val="24"/>
        </w:rPr>
      </w:pPr>
    </w:p>
    <w:p w:rsidR="00027273" w:rsidRDefault="00027273" w:rsidP="00027273">
      <w:pPr>
        <w:rPr>
          <w:color w:val="000000"/>
          <w:szCs w:val="24"/>
        </w:rPr>
      </w:pPr>
      <w:r w:rsidRPr="00C90C4E">
        <w:tab/>
      </w:r>
      <w:r>
        <w:sym w:font="Symbol" w:char="F0B7"/>
      </w:r>
      <w:r>
        <w:rPr>
          <w:color w:val="000000"/>
          <w:szCs w:val="24"/>
        </w:rPr>
        <w:tab/>
        <w:t>конфликтами между общественными организациями на этих территориях;</w:t>
      </w:r>
    </w:p>
    <w:p w:rsidR="00027273" w:rsidRDefault="00027273" w:rsidP="00027273">
      <w:pPr>
        <w:rPr>
          <w:color w:val="000000"/>
          <w:szCs w:val="24"/>
        </w:rPr>
      </w:pPr>
    </w:p>
    <w:p w:rsidR="00027273" w:rsidRDefault="00027273" w:rsidP="00027273">
      <w:pPr>
        <w:ind w:left="1134" w:hanging="1134"/>
        <w:rPr>
          <w:color w:val="000000"/>
          <w:szCs w:val="24"/>
        </w:rPr>
      </w:pPr>
      <w:r w:rsidRPr="00027273">
        <w:tab/>
      </w:r>
      <w:r>
        <w:sym w:font="Symbol" w:char="F0B7"/>
      </w:r>
      <w:r>
        <w:rPr>
          <w:color w:val="000000"/>
          <w:szCs w:val="24"/>
        </w:rPr>
        <w:tab/>
        <w:t>сложностями с использованием ресурсов ОМС в целях поддержки осуществления деятельности по освоению отведенных под застройку участков;</w:t>
      </w:r>
    </w:p>
    <w:p w:rsidR="00027273" w:rsidRDefault="00027273" w:rsidP="00027273">
      <w:pPr>
        <w:rPr>
          <w:color w:val="000000"/>
          <w:szCs w:val="24"/>
        </w:rPr>
      </w:pPr>
    </w:p>
    <w:p w:rsidR="00027273" w:rsidRDefault="00027273" w:rsidP="00027273">
      <w:pPr>
        <w:ind w:left="1134" w:hanging="1134"/>
        <w:rPr>
          <w:color w:val="000000"/>
          <w:szCs w:val="24"/>
        </w:rPr>
      </w:pPr>
      <w:r w:rsidRPr="00027273">
        <w:tab/>
      </w:r>
      <w:r>
        <w:sym w:font="Symbol" w:char="F0B7"/>
      </w:r>
      <w:r>
        <w:rPr>
          <w:color w:val="000000"/>
          <w:szCs w:val="24"/>
        </w:rPr>
        <w:tab/>
        <w:t>стоимостью земли.  Некоторые отведенные под застройку участки имеют запретительную стоимость:  например, собственность ССГС в Ста. Меса, Манила, предложенная ССГС цена составляет 25 000 песо за квадратный метр, что практически недоступно для предполагаемых бенефициаров;</w:t>
      </w:r>
    </w:p>
    <w:p w:rsidR="00027273" w:rsidRDefault="00027273" w:rsidP="00027273">
      <w:pPr>
        <w:rPr>
          <w:color w:val="000000"/>
          <w:szCs w:val="24"/>
        </w:rPr>
      </w:pPr>
    </w:p>
    <w:p w:rsidR="00027273" w:rsidRDefault="00027273" w:rsidP="00027273">
      <w:pPr>
        <w:ind w:left="1134" w:hanging="1134"/>
        <w:rPr>
          <w:color w:val="000000"/>
          <w:szCs w:val="24"/>
        </w:rPr>
      </w:pPr>
      <w:r w:rsidRPr="00C90C4E">
        <w:tab/>
      </w:r>
      <w:r>
        <w:sym w:font="Symbol" w:char="F0B7"/>
      </w:r>
      <w:r>
        <w:rPr>
          <w:color w:val="000000"/>
          <w:szCs w:val="24"/>
        </w:rPr>
        <w:tab/>
        <w:t>сложностью предотвращения неправомерного завладения собственностью незаконными поселенцами на основании издания соответствующего распоряжения, что усложняет процесс отбора бенефициаров;</w:t>
      </w:r>
    </w:p>
    <w:p w:rsidR="00027273" w:rsidRDefault="00027273" w:rsidP="00027273">
      <w:pPr>
        <w:rPr>
          <w:color w:val="000000"/>
          <w:szCs w:val="24"/>
        </w:rPr>
      </w:pPr>
    </w:p>
    <w:p w:rsidR="00027273" w:rsidRDefault="00027273" w:rsidP="00027273">
      <w:pPr>
        <w:rPr>
          <w:color w:val="000000"/>
          <w:szCs w:val="24"/>
        </w:rPr>
      </w:pPr>
      <w:r w:rsidRPr="00955904">
        <w:tab/>
      </w:r>
      <w:r>
        <w:sym w:font="Symbol" w:char="F0B7"/>
      </w:r>
      <w:r>
        <w:rPr>
          <w:color w:val="000000"/>
          <w:szCs w:val="24"/>
        </w:rPr>
        <w:tab/>
        <w:t>дублированием границ и наличием других претендентов;</w:t>
      </w:r>
      <w:r w:rsidRPr="00E4157E">
        <w:rPr>
          <w:color w:val="000000"/>
          <w:szCs w:val="24"/>
        </w:rPr>
        <w:t xml:space="preserve"> </w:t>
      </w:r>
      <w:r>
        <w:rPr>
          <w:color w:val="000000"/>
          <w:szCs w:val="24"/>
        </w:rPr>
        <w:t xml:space="preserve"> и</w:t>
      </w:r>
    </w:p>
    <w:p w:rsidR="00027273" w:rsidRDefault="00027273" w:rsidP="00027273">
      <w:pPr>
        <w:rPr>
          <w:color w:val="000000"/>
          <w:szCs w:val="24"/>
        </w:rPr>
      </w:pPr>
    </w:p>
    <w:p w:rsidR="00027273" w:rsidRDefault="00027273" w:rsidP="00027273">
      <w:pPr>
        <w:ind w:left="1134" w:hanging="1134"/>
        <w:rPr>
          <w:color w:val="000000"/>
          <w:szCs w:val="24"/>
        </w:rPr>
      </w:pPr>
      <w:r w:rsidRPr="00955904">
        <w:tab/>
      </w:r>
      <w:r>
        <w:sym w:font="Symbol" w:char="F0B7"/>
      </w:r>
      <w:r>
        <w:rPr>
          <w:color w:val="000000"/>
          <w:szCs w:val="24"/>
        </w:rPr>
        <w:tab/>
        <w:t>непригодностью для жилищной застройки некоторых участков.</w:t>
      </w:r>
    </w:p>
    <w:p w:rsidR="00027273" w:rsidRDefault="00027273" w:rsidP="00027273">
      <w:pPr>
        <w:rPr>
          <w:color w:val="000000"/>
          <w:szCs w:val="24"/>
        </w:rPr>
      </w:pPr>
    </w:p>
    <w:p w:rsidR="00027273" w:rsidRPr="00D20F7F" w:rsidRDefault="00027273" w:rsidP="00027273">
      <w:pPr>
        <w:rPr>
          <w:i/>
          <w:color w:val="000000"/>
          <w:szCs w:val="24"/>
        </w:rPr>
      </w:pPr>
      <w:r w:rsidRPr="00D20F7F">
        <w:rPr>
          <w:i/>
          <w:color w:val="000000"/>
          <w:szCs w:val="24"/>
        </w:rPr>
        <w:t>Жилищные программы Фонда Паг-Ибиг</w:t>
      </w:r>
    </w:p>
    <w:p w:rsidR="00027273" w:rsidRDefault="00027273" w:rsidP="00027273">
      <w:pPr>
        <w:rPr>
          <w:color w:val="000000"/>
          <w:szCs w:val="24"/>
          <w:u w:val="single"/>
        </w:rPr>
      </w:pPr>
    </w:p>
    <w:p w:rsidR="00027273" w:rsidRDefault="00027273" w:rsidP="00027273">
      <w:pPr>
        <w:ind w:left="567" w:hanging="567"/>
        <w:rPr>
          <w:i/>
          <w:color w:val="000000"/>
          <w:szCs w:val="24"/>
        </w:rPr>
      </w:pPr>
      <w:r w:rsidRPr="004D58BC">
        <w:rPr>
          <w:i/>
          <w:color w:val="000000"/>
          <w:szCs w:val="24"/>
        </w:rPr>
        <w:t>а</w:t>
      </w:r>
      <w:r w:rsidR="00D20F7F">
        <w:rPr>
          <w:i/>
          <w:color w:val="000000"/>
          <w:szCs w:val="24"/>
        </w:rPr>
        <w:t>)</w:t>
      </w:r>
      <w:r w:rsidRPr="00E4157E">
        <w:rPr>
          <w:i/>
          <w:color w:val="000000"/>
          <w:szCs w:val="24"/>
        </w:rPr>
        <w:tab/>
      </w:r>
      <w:r w:rsidRPr="004D58BC">
        <w:rPr>
          <w:i/>
          <w:color w:val="000000"/>
          <w:szCs w:val="24"/>
        </w:rPr>
        <w:t>Распоряжение недвижимостью и другим, находящимся в собственности или приобретенным имуществом</w:t>
      </w:r>
    </w:p>
    <w:p w:rsidR="00027273" w:rsidRDefault="00027273" w:rsidP="00027273">
      <w:pPr>
        <w:rPr>
          <w:i/>
          <w:color w:val="000000"/>
          <w:szCs w:val="24"/>
        </w:rPr>
      </w:pPr>
    </w:p>
    <w:p w:rsidR="00027273" w:rsidRDefault="00027273" w:rsidP="00027273">
      <w:pPr>
        <w:rPr>
          <w:color w:val="000000"/>
          <w:szCs w:val="24"/>
        </w:rPr>
      </w:pPr>
      <w:r>
        <w:rPr>
          <w:color w:val="000000"/>
          <w:szCs w:val="24"/>
        </w:rPr>
        <w:t>655.</w:t>
      </w:r>
      <w:r>
        <w:rPr>
          <w:color w:val="000000"/>
          <w:szCs w:val="24"/>
        </w:rPr>
        <w:tab/>
        <w:t xml:space="preserve">В рамках этой программы бывшие собственники, не выполнившие своих кредитных обязательств, или их правопреемники, владеющие имуществом, находящимся в залоге или приобретенном Фондом Паг-Ибиг, получают возможность выкупить указанное имущество либо на единовременной основе, наличными либо в рассрочку.  По состоянию на август </w:t>
      </w:r>
      <w:r w:rsidRPr="00275984">
        <w:rPr>
          <w:color w:val="000000"/>
          <w:szCs w:val="24"/>
        </w:rPr>
        <w:t>2006 года</w:t>
      </w:r>
      <w:r>
        <w:rPr>
          <w:color w:val="000000"/>
          <w:szCs w:val="24"/>
        </w:rPr>
        <w:t xml:space="preserve">, 1 175 бывших собственников или их правопреемников выкупили свою собственность. </w:t>
      </w:r>
    </w:p>
    <w:p w:rsidR="00027273" w:rsidRDefault="00027273" w:rsidP="00027273">
      <w:pPr>
        <w:rPr>
          <w:color w:val="000000"/>
          <w:szCs w:val="24"/>
        </w:rPr>
      </w:pPr>
    </w:p>
    <w:p w:rsidR="00027273" w:rsidRDefault="00027273" w:rsidP="00027273">
      <w:pPr>
        <w:rPr>
          <w:color w:val="000000"/>
          <w:szCs w:val="24"/>
        </w:rPr>
      </w:pPr>
      <w:r>
        <w:rPr>
          <w:color w:val="000000"/>
          <w:szCs w:val="24"/>
        </w:rPr>
        <w:t>656.</w:t>
      </w:r>
      <w:r>
        <w:rPr>
          <w:color w:val="000000"/>
          <w:szCs w:val="24"/>
        </w:rPr>
        <w:tab/>
        <w:t>Незанятые объекты собственности, с другой стороны, выставляются на закрытые государственные торги или продаются заинтересованным лицам на контрактной основе.  Победителям торгов предлагаются</w:t>
      </w:r>
      <w:r w:rsidRPr="009A6261">
        <w:rPr>
          <w:color w:val="000000"/>
          <w:szCs w:val="24"/>
        </w:rPr>
        <w:t xml:space="preserve"> </w:t>
      </w:r>
      <w:r>
        <w:rPr>
          <w:color w:val="000000"/>
          <w:szCs w:val="24"/>
        </w:rPr>
        <w:t>договорные цены или скидки в размере 10% при единовременной оплате наличными и 5% при оплате в рассрочку или в кредит.</w:t>
      </w:r>
    </w:p>
    <w:p w:rsidR="00027273" w:rsidRDefault="00027273" w:rsidP="00027273">
      <w:pPr>
        <w:rPr>
          <w:color w:val="000000"/>
          <w:szCs w:val="24"/>
        </w:rPr>
      </w:pPr>
    </w:p>
    <w:p w:rsidR="00027273" w:rsidRDefault="00027273" w:rsidP="00027273">
      <w:pPr>
        <w:rPr>
          <w:i/>
          <w:color w:val="000000"/>
          <w:szCs w:val="24"/>
        </w:rPr>
      </w:pPr>
      <w:r w:rsidRPr="00DA2853">
        <w:rPr>
          <w:i/>
          <w:color w:val="000000"/>
          <w:szCs w:val="24"/>
          <w:lang w:val="en-US"/>
        </w:rPr>
        <w:t>b</w:t>
      </w:r>
      <w:r w:rsidR="00D20F7F">
        <w:rPr>
          <w:i/>
          <w:color w:val="000000"/>
          <w:szCs w:val="24"/>
        </w:rPr>
        <w:t>)</w:t>
      </w:r>
      <w:r w:rsidRPr="00E4157E">
        <w:rPr>
          <w:i/>
          <w:color w:val="000000"/>
          <w:szCs w:val="24"/>
        </w:rPr>
        <w:tab/>
      </w:r>
      <w:r w:rsidRPr="00DA2853">
        <w:rPr>
          <w:i/>
          <w:color w:val="000000"/>
          <w:szCs w:val="24"/>
        </w:rPr>
        <w:t>Программа владения на правах аренды</w:t>
      </w:r>
    </w:p>
    <w:p w:rsidR="00027273" w:rsidRDefault="00027273" w:rsidP="00027273">
      <w:pPr>
        <w:rPr>
          <w:i/>
          <w:color w:val="000000"/>
          <w:szCs w:val="24"/>
        </w:rPr>
      </w:pPr>
    </w:p>
    <w:p w:rsidR="00027273" w:rsidRDefault="00027273" w:rsidP="00027273">
      <w:pPr>
        <w:rPr>
          <w:color w:val="000000"/>
          <w:szCs w:val="24"/>
        </w:rPr>
      </w:pPr>
      <w:r>
        <w:rPr>
          <w:color w:val="000000"/>
          <w:szCs w:val="24"/>
        </w:rPr>
        <w:t>657.</w:t>
      </w:r>
      <w:r>
        <w:rPr>
          <w:color w:val="000000"/>
          <w:szCs w:val="24"/>
        </w:rPr>
        <w:tab/>
        <w:t>Программа владения на правах аренды направлена на обеспечение членов Паг-Ибиг, нынешний доход которых недостаточен для ежемесячных выплат по процентам ипотечного кредита Паг-Ибиг, доступным жильем на то время, пока они не могут выплачивать кредит.</w:t>
      </w:r>
    </w:p>
    <w:p w:rsidR="00027273" w:rsidRDefault="00027273" w:rsidP="00027273">
      <w:pPr>
        <w:rPr>
          <w:color w:val="000000"/>
          <w:szCs w:val="24"/>
        </w:rPr>
      </w:pPr>
    </w:p>
    <w:p w:rsidR="00027273" w:rsidRDefault="00027273" w:rsidP="00027273">
      <w:pPr>
        <w:rPr>
          <w:color w:val="000000"/>
          <w:szCs w:val="24"/>
        </w:rPr>
      </w:pPr>
      <w:r>
        <w:rPr>
          <w:color w:val="000000"/>
          <w:szCs w:val="24"/>
        </w:rPr>
        <w:t>658.</w:t>
      </w:r>
      <w:r>
        <w:rPr>
          <w:color w:val="000000"/>
          <w:szCs w:val="24"/>
        </w:rPr>
        <w:tab/>
        <w:t xml:space="preserve">В рамках этой программы незанятые объекты недвижимости, приобретенные Фондом путем наложения взыскания на заложенное имущество, </w:t>
      </w:r>
      <w:r>
        <w:rPr>
          <w:color w:val="000000"/>
          <w:szCs w:val="24"/>
          <w:lang w:val="en-US"/>
        </w:rPr>
        <w:t>dacion</w:t>
      </w:r>
      <w:r w:rsidRPr="006B5B50">
        <w:rPr>
          <w:color w:val="000000"/>
          <w:szCs w:val="24"/>
        </w:rPr>
        <w:t xml:space="preserve"> </w:t>
      </w:r>
      <w:r>
        <w:rPr>
          <w:color w:val="000000"/>
          <w:szCs w:val="24"/>
          <w:lang w:val="en-US"/>
        </w:rPr>
        <w:t>en</w:t>
      </w:r>
      <w:r w:rsidRPr="006B5B50">
        <w:rPr>
          <w:color w:val="000000"/>
          <w:szCs w:val="24"/>
        </w:rPr>
        <w:t xml:space="preserve"> </w:t>
      </w:r>
      <w:r>
        <w:rPr>
          <w:color w:val="000000"/>
          <w:szCs w:val="24"/>
          <w:lang w:val="en-US"/>
        </w:rPr>
        <w:t>pago</w:t>
      </w:r>
      <w:r>
        <w:rPr>
          <w:color w:val="000000"/>
          <w:szCs w:val="24"/>
        </w:rPr>
        <w:t xml:space="preserve"> или отзыва Сертификата о праве собственности, сдаются в аренду членам Паг-Ибиг с ежемесячной платой в размере как минимум 1 000 филиппинских песо на срок не более пяти лет.  Арендатор должен осуществить свое право выкупа собственности до окончания срока действия аренды.  Арендатору также предоставляется скидка в размере от 3% до 5% от покупной стоимости в зависимости от года, когда была предоставлена возможность выкупа.  За шесть лет реализации этой программы были удовлетворены потребности более 7 000 членов.  </w:t>
      </w:r>
    </w:p>
    <w:p w:rsidR="00027273" w:rsidRDefault="00027273" w:rsidP="00027273">
      <w:pPr>
        <w:rPr>
          <w:color w:val="000000"/>
          <w:szCs w:val="24"/>
        </w:rPr>
      </w:pPr>
    </w:p>
    <w:p w:rsidR="00027273" w:rsidRDefault="00027273" w:rsidP="00027273">
      <w:pPr>
        <w:rPr>
          <w:i/>
          <w:color w:val="000000"/>
          <w:szCs w:val="24"/>
        </w:rPr>
      </w:pPr>
      <w:r w:rsidRPr="001006EB">
        <w:rPr>
          <w:i/>
          <w:color w:val="000000"/>
          <w:szCs w:val="24"/>
        </w:rPr>
        <w:t>с</w:t>
      </w:r>
      <w:r w:rsidR="00D20F7F">
        <w:rPr>
          <w:i/>
          <w:color w:val="000000"/>
          <w:szCs w:val="24"/>
        </w:rPr>
        <w:t>)</w:t>
      </w:r>
      <w:r w:rsidRPr="00E4157E">
        <w:rPr>
          <w:i/>
          <w:color w:val="000000"/>
          <w:szCs w:val="24"/>
        </w:rPr>
        <w:tab/>
      </w:r>
      <w:r w:rsidRPr="001006EB">
        <w:rPr>
          <w:i/>
          <w:color w:val="000000"/>
          <w:szCs w:val="24"/>
        </w:rPr>
        <w:t>Программа "Магаанг Пабахай, Дисентенг Б</w:t>
      </w:r>
      <w:r>
        <w:rPr>
          <w:i/>
          <w:color w:val="000000"/>
          <w:szCs w:val="24"/>
        </w:rPr>
        <w:t>ю</w:t>
      </w:r>
      <w:r w:rsidRPr="001006EB">
        <w:rPr>
          <w:i/>
          <w:color w:val="000000"/>
          <w:szCs w:val="24"/>
        </w:rPr>
        <w:t xml:space="preserve">хай" </w:t>
      </w:r>
    </w:p>
    <w:p w:rsidR="00027273" w:rsidRDefault="00027273" w:rsidP="00027273">
      <w:pPr>
        <w:rPr>
          <w:i/>
          <w:color w:val="000000"/>
          <w:szCs w:val="24"/>
        </w:rPr>
      </w:pPr>
    </w:p>
    <w:p w:rsidR="00027273" w:rsidRDefault="00027273" w:rsidP="00027273">
      <w:pPr>
        <w:rPr>
          <w:color w:val="000000"/>
          <w:szCs w:val="24"/>
        </w:rPr>
      </w:pPr>
      <w:r>
        <w:rPr>
          <w:color w:val="000000"/>
          <w:szCs w:val="24"/>
        </w:rPr>
        <w:t>659.</w:t>
      </w:r>
      <w:r>
        <w:rPr>
          <w:color w:val="000000"/>
          <w:szCs w:val="24"/>
        </w:rPr>
        <w:tab/>
        <w:t xml:space="preserve">В рамках этой программы </w:t>
      </w:r>
      <w:r w:rsidRPr="002E1ADF">
        <w:rPr>
          <w:color w:val="000000"/>
          <w:szCs w:val="24"/>
        </w:rPr>
        <w:t>не</w:t>
      </w:r>
      <w:r>
        <w:rPr>
          <w:color w:val="000000"/>
          <w:szCs w:val="24"/>
        </w:rPr>
        <w:t>движимость и другое имущество</w:t>
      </w:r>
      <w:r w:rsidRPr="002E1ADF">
        <w:rPr>
          <w:color w:val="000000"/>
          <w:szCs w:val="24"/>
        </w:rPr>
        <w:t xml:space="preserve">, </w:t>
      </w:r>
      <w:r>
        <w:rPr>
          <w:color w:val="000000"/>
          <w:szCs w:val="24"/>
        </w:rPr>
        <w:t>находящее</w:t>
      </w:r>
      <w:r w:rsidRPr="002E1ADF">
        <w:rPr>
          <w:color w:val="000000"/>
          <w:szCs w:val="24"/>
        </w:rPr>
        <w:t>ся в</w:t>
      </w:r>
      <w:r>
        <w:rPr>
          <w:color w:val="000000"/>
          <w:szCs w:val="24"/>
        </w:rPr>
        <w:t xml:space="preserve"> собственности или приобретенное</w:t>
      </w:r>
      <w:r w:rsidRPr="002E1ADF">
        <w:rPr>
          <w:color w:val="000000"/>
          <w:szCs w:val="24"/>
        </w:rPr>
        <w:t xml:space="preserve"> </w:t>
      </w:r>
      <w:r>
        <w:rPr>
          <w:color w:val="000000"/>
          <w:szCs w:val="24"/>
        </w:rPr>
        <w:t>Фондом, выставляется на продажу по сниженным ценам, первоначально для государственных служащих.  Заинтересованным покупателям, приобретающим собственность за счет ипотечных кредитов и за наличные средства, предоставляются скидки в размере 15% и 20%, соответственно.  Дополнительная 5</w:t>
      </w:r>
      <w:r>
        <w:rPr>
          <w:color w:val="000000"/>
          <w:szCs w:val="24"/>
        </w:rPr>
        <w:noBreakHyphen/>
        <w:t xml:space="preserve">процентная скидка предоставляется покупателям в том случае, если приобретаемая ими собственность находится в незаконном владении.  Процентная ставка по ипотечному кредиту составляет 6% на весь срок займа.  </w:t>
      </w:r>
    </w:p>
    <w:p w:rsidR="00027273" w:rsidRDefault="00027273" w:rsidP="00027273">
      <w:pPr>
        <w:rPr>
          <w:color w:val="000000"/>
          <w:szCs w:val="24"/>
        </w:rPr>
      </w:pPr>
    </w:p>
    <w:p w:rsidR="00027273" w:rsidRDefault="00027273" w:rsidP="00027273">
      <w:pPr>
        <w:rPr>
          <w:i/>
          <w:color w:val="000000"/>
          <w:szCs w:val="24"/>
        </w:rPr>
      </w:pPr>
      <w:r>
        <w:rPr>
          <w:i/>
          <w:color w:val="000000"/>
          <w:szCs w:val="24"/>
          <w:lang w:val="en-US"/>
        </w:rPr>
        <w:t>d</w:t>
      </w:r>
      <w:r w:rsidR="00D20F7F">
        <w:rPr>
          <w:i/>
          <w:color w:val="000000"/>
          <w:szCs w:val="24"/>
        </w:rPr>
        <w:t>)</w:t>
      </w:r>
      <w:r w:rsidRPr="00D10622">
        <w:rPr>
          <w:i/>
          <w:color w:val="000000"/>
          <w:szCs w:val="24"/>
        </w:rPr>
        <w:tab/>
      </w:r>
      <w:r w:rsidRPr="00D70C7D">
        <w:rPr>
          <w:i/>
          <w:color w:val="000000"/>
          <w:szCs w:val="24"/>
        </w:rPr>
        <w:t>Программа "Габай Пабахай"</w:t>
      </w:r>
    </w:p>
    <w:p w:rsidR="00027273" w:rsidRDefault="00027273" w:rsidP="00027273">
      <w:pPr>
        <w:rPr>
          <w:i/>
          <w:color w:val="000000"/>
          <w:szCs w:val="24"/>
        </w:rPr>
      </w:pPr>
    </w:p>
    <w:p w:rsidR="00027273" w:rsidRDefault="00027273" w:rsidP="00027273">
      <w:pPr>
        <w:rPr>
          <w:color w:val="000000"/>
          <w:szCs w:val="24"/>
        </w:rPr>
      </w:pPr>
      <w:r>
        <w:rPr>
          <w:color w:val="000000"/>
          <w:szCs w:val="24"/>
        </w:rPr>
        <w:t>660.</w:t>
      </w:r>
      <w:r>
        <w:rPr>
          <w:color w:val="000000"/>
          <w:szCs w:val="24"/>
        </w:rPr>
        <w:tab/>
        <w:t>Программа "Габай Пабахай" направлена на обеспечение защиты домов заемщиков</w:t>
      </w:r>
      <w:r w:rsidRPr="003508B7">
        <w:rPr>
          <w:color w:val="000000"/>
          <w:szCs w:val="24"/>
        </w:rPr>
        <w:t xml:space="preserve"> </w:t>
      </w:r>
      <w:r>
        <w:rPr>
          <w:color w:val="000000"/>
          <w:szCs w:val="24"/>
        </w:rPr>
        <w:t>-</w:t>
      </w:r>
      <w:r w:rsidRPr="003508B7">
        <w:rPr>
          <w:color w:val="000000"/>
          <w:szCs w:val="24"/>
        </w:rPr>
        <w:t xml:space="preserve"> </w:t>
      </w:r>
      <w:r>
        <w:rPr>
          <w:color w:val="000000"/>
          <w:szCs w:val="24"/>
        </w:rPr>
        <w:t xml:space="preserve">членов Паг-Ибиг от наложения на них взыскания или отзыва Сертификатов о праве собственности (СПС) путем предоставления им возможности реструктуризации кредитов.  Для решения проблемы невыплаты процентов по кредитам, а также штрафов в период неплатежеспособности была разработана схема беспроцентного кредитования.  Заемщику также предоставляется право продления срока погашения долга до 30 лет при условии, что этот срок не превышает следующее значение: </w:t>
      </w:r>
      <w:r w:rsidRPr="00E4157E">
        <w:rPr>
          <w:color w:val="000000"/>
          <w:szCs w:val="24"/>
        </w:rPr>
        <w:t xml:space="preserve"> </w:t>
      </w:r>
      <w:r>
        <w:rPr>
          <w:color w:val="000000"/>
          <w:szCs w:val="24"/>
        </w:rPr>
        <w:t>65 лет минус возраст заемщика на момент выдачи кредита.</w:t>
      </w:r>
    </w:p>
    <w:p w:rsidR="00027273" w:rsidRDefault="00027273" w:rsidP="00027273">
      <w:pPr>
        <w:rPr>
          <w:color w:val="000000"/>
          <w:szCs w:val="24"/>
        </w:rPr>
      </w:pPr>
    </w:p>
    <w:p w:rsidR="00027273" w:rsidRDefault="00027273" w:rsidP="00027273">
      <w:pPr>
        <w:rPr>
          <w:color w:val="000000"/>
          <w:szCs w:val="24"/>
          <w:u w:val="single"/>
        </w:rPr>
      </w:pPr>
      <w:r w:rsidRPr="00D20F7F">
        <w:rPr>
          <w:i/>
          <w:color w:val="000000"/>
          <w:szCs w:val="24"/>
        </w:rPr>
        <w:t>Эффективность/итоги реализации программы Фонда Паг-Ибиг</w:t>
      </w:r>
    </w:p>
    <w:p w:rsidR="00027273" w:rsidRDefault="00027273" w:rsidP="00027273">
      <w:pPr>
        <w:rPr>
          <w:color w:val="000000"/>
          <w:szCs w:val="24"/>
          <w:u w:val="single"/>
        </w:rPr>
      </w:pPr>
    </w:p>
    <w:p w:rsidR="00027273" w:rsidRDefault="00027273" w:rsidP="00027273">
      <w:pPr>
        <w:rPr>
          <w:color w:val="000000"/>
          <w:szCs w:val="24"/>
        </w:rPr>
      </w:pPr>
      <w:r>
        <w:rPr>
          <w:color w:val="000000"/>
          <w:szCs w:val="24"/>
        </w:rPr>
        <w:t>661.</w:t>
      </w:r>
      <w:r>
        <w:rPr>
          <w:color w:val="000000"/>
          <w:szCs w:val="24"/>
        </w:rPr>
        <w:tab/>
        <w:t xml:space="preserve">Фонд Паг-Ибиг является самым крупным учреждением жилищного кредитования в стране.  По состоянию на декабрь </w:t>
      </w:r>
      <w:r w:rsidRPr="00CC588D">
        <w:rPr>
          <w:color w:val="000000"/>
          <w:szCs w:val="24"/>
        </w:rPr>
        <w:t>2005 года</w:t>
      </w:r>
      <w:r>
        <w:rPr>
          <w:color w:val="000000"/>
          <w:szCs w:val="24"/>
        </w:rPr>
        <w:t>, Фонд профинансировал 34,94% всех операций (на сумму в 94,32 млрд. филиппинских песо) различных государственных и частных финансовых учреждений.</w:t>
      </w:r>
    </w:p>
    <w:p w:rsidR="00027273" w:rsidRDefault="00027273" w:rsidP="00027273">
      <w:pPr>
        <w:rPr>
          <w:color w:val="000000"/>
          <w:szCs w:val="24"/>
        </w:rPr>
      </w:pPr>
    </w:p>
    <w:p w:rsidR="00027273" w:rsidRDefault="00027273" w:rsidP="00027273">
      <w:pPr>
        <w:rPr>
          <w:color w:val="000000"/>
          <w:szCs w:val="24"/>
        </w:rPr>
      </w:pPr>
      <w:r>
        <w:rPr>
          <w:color w:val="000000"/>
          <w:szCs w:val="24"/>
        </w:rPr>
        <w:t>662.</w:t>
      </w:r>
      <w:r>
        <w:rPr>
          <w:color w:val="000000"/>
          <w:szCs w:val="24"/>
        </w:rPr>
        <w:tab/>
        <w:t xml:space="preserve">Фонд был учрежден с целью повышения доступности жилья для его членов.  </w:t>
      </w:r>
      <w:r w:rsidRPr="00656AD1">
        <w:rPr>
          <w:color w:val="000000"/>
          <w:szCs w:val="24"/>
        </w:rPr>
        <w:t>Во</w:t>
      </w:r>
      <w:r w:rsidRPr="00656AD1">
        <w:rPr>
          <w:color w:val="000000"/>
          <w:szCs w:val="24"/>
        </w:rPr>
        <w:noBreakHyphen/>
        <w:t>первых,</w:t>
      </w:r>
      <w:r>
        <w:rPr>
          <w:color w:val="000000"/>
          <w:szCs w:val="24"/>
        </w:rPr>
        <w:t xml:space="preserve"> по некоторым кредитным программам была снижена процентная ставка и увеличена максимальная сумма кредита по социальному жилью.  Заемщикам предоставляются более длительные сроки погашения кредита.  Наконец, соотношение суммы кредита к стоимости залога по отдельным ипотечным ставкам было увеличено.  С 2001 по 2005 год Фонд предоставил ипотечные кредиты на сумму в 48,625 млрд. филиппинских песо 142 229 членам, профинансировав приобретение 141 091 объекта недвижимости.</w:t>
      </w:r>
    </w:p>
    <w:p w:rsidR="00027273" w:rsidRDefault="00027273" w:rsidP="00027273">
      <w:pPr>
        <w:rPr>
          <w:color w:val="000000"/>
          <w:szCs w:val="24"/>
        </w:rPr>
      </w:pPr>
    </w:p>
    <w:p w:rsidR="00027273" w:rsidRDefault="00027273" w:rsidP="00027273">
      <w:pPr>
        <w:rPr>
          <w:color w:val="000000"/>
          <w:szCs w:val="24"/>
        </w:rPr>
      </w:pPr>
      <w:r>
        <w:rPr>
          <w:color w:val="000000"/>
          <w:szCs w:val="24"/>
        </w:rPr>
        <w:t>663.</w:t>
      </w:r>
      <w:r>
        <w:rPr>
          <w:color w:val="000000"/>
          <w:szCs w:val="24"/>
        </w:rPr>
        <w:tab/>
        <w:t>В рамках содействия обеспечению устойчивости источника жилищного финансирования Фонд как финансовое учреждение постоянно поддерживает надлежащий уровень ликвидности для финансирования потребностей своих членов, о чем свидетельствуют  1)  источники Фонда:  Фонд Паг-Ибиг получает свои средства, главным образом, за счет членских взносов, а также краткосрочных жилищных и институциональных кредитов.  Объем средств, поступающих из этих источников, постоянно увеличивается.  В период 2001-2005 годов объем средств возрастал в среднем на 37 млрд. филиппинских песо в год и достиг 184,51 млрд. филиппинских песо;  2)  краткосрочные инвестиции/займы.  Для пополнения бюджета компании Фонд вкладывает средства в государственные ценные бумаги, а также осуществляет другие краткосрочные инвестиции и эмиссию облигаций.</w:t>
      </w:r>
    </w:p>
    <w:p w:rsidR="00027273" w:rsidRDefault="00027273" w:rsidP="00027273">
      <w:pPr>
        <w:rPr>
          <w:color w:val="000000"/>
          <w:szCs w:val="24"/>
        </w:rPr>
      </w:pPr>
    </w:p>
    <w:p w:rsidR="00027273" w:rsidRDefault="00027273" w:rsidP="00027273">
      <w:pPr>
        <w:rPr>
          <w:color w:val="000000"/>
          <w:szCs w:val="24"/>
        </w:rPr>
      </w:pPr>
      <w:r>
        <w:rPr>
          <w:color w:val="000000"/>
          <w:szCs w:val="24"/>
        </w:rPr>
        <w:t>664.</w:t>
      </w:r>
      <w:r>
        <w:rPr>
          <w:color w:val="000000"/>
          <w:szCs w:val="24"/>
        </w:rPr>
        <w:tab/>
        <w:t>Один из способов удовлетворения жилищных потребностей состоит в расширении участия частного сектора.  Фонд продолжает вести консультации и диалог со своими клиентами в целях обсуждения их вопросов и проблем, касающихся программ, льгот, политики и руководящих принципов Фонда.</w:t>
      </w:r>
    </w:p>
    <w:p w:rsidR="00027273" w:rsidRDefault="00027273" w:rsidP="00027273">
      <w:pPr>
        <w:rPr>
          <w:color w:val="000000"/>
          <w:szCs w:val="24"/>
        </w:rPr>
      </w:pPr>
    </w:p>
    <w:p w:rsidR="00027273" w:rsidRDefault="00027273" w:rsidP="00027273">
      <w:pPr>
        <w:rPr>
          <w:color w:val="000000"/>
          <w:szCs w:val="24"/>
        </w:rPr>
      </w:pPr>
      <w:r>
        <w:rPr>
          <w:color w:val="000000"/>
          <w:szCs w:val="24"/>
        </w:rPr>
        <w:t>665.</w:t>
      </w:r>
      <w:r>
        <w:rPr>
          <w:color w:val="000000"/>
          <w:szCs w:val="24"/>
        </w:rPr>
        <w:tab/>
        <w:t>В начале этого года Фонд провел переговоры с организациями-застройщиками в целях улучшения жилищных программ Фонда.  Наиболее заметным итогом этих консультаций является совершенствование и либерализация таких руководящих принципов жилищной политики, как циркуляр Фонда Паг-Ибиг № 213 или Пересмотренные руководящие принципы осуществления ипотечных программ, а также циркуляр Фонда Паг-Ибиг № 212, или Общие принципы осуществления механизма консолидации задолженности в соответствии со схемой застройщиков СПС/РЕМ.</w:t>
      </w:r>
    </w:p>
    <w:p w:rsidR="00027273" w:rsidRDefault="00027273" w:rsidP="00027273">
      <w:pPr>
        <w:rPr>
          <w:color w:val="000000"/>
          <w:szCs w:val="24"/>
        </w:rPr>
      </w:pPr>
    </w:p>
    <w:p w:rsidR="00027273" w:rsidRPr="00D20F7F" w:rsidRDefault="00027273" w:rsidP="00027273">
      <w:pPr>
        <w:rPr>
          <w:i/>
          <w:color w:val="000000"/>
          <w:szCs w:val="24"/>
        </w:rPr>
      </w:pPr>
      <w:r w:rsidRPr="00D20F7F">
        <w:rPr>
          <w:i/>
          <w:color w:val="000000"/>
          <w:szCs w:val="24"/>
        </w:rPr>
        <w:t>Программы Национальной службы жилищного строительства</w:t>
      </w:r>
    </w:p>
    <w:p w:rsidR="00027273" w:rsidRDefault="00027273" w:rsidP="00027273">
      <w:pPr>
        <w:rPr>
          <w:color w:val="000000"/>
          <w:szCs w:val="24"/>
          <w:u w:val="single"/>
        </w:rPr>
      </w:pPr>
    </w:p>
    <w:p w:rsidR="00027273" w:rsidRDefault="00027273" w:rsidP="00027273">
      <w:pPr>
        <w:rPr>
          <w:color w:val="000000"/>
          <w:szCs w:val="24"/>
        </w:rPr>
      </w:pPr>
      <w:r>
        <w:rPr>
          <w:color w:val="000000"/>
          <w:szCs w:val="24"/>
        </w:rPr>
        <w:t>666.</w:t>
      </w:r>
      <w:r>
        <w:rPr>
          <w:color w:val="000000"/>
          <w:szCs w:val="24"/>
        </w:rPr>
        <w:tab/>
        <w:t>Осуществляемая НСЖС программа переселения предусматривает приобретение крупных участков неосвоенной земли для ее освоения и строительства жилья для семей из районов, предназначенных для реализации правительственных проектов, или семей, проживающих в небезопасных районах по берегам рек, в болотистой местности и вблизи железнодорожных путей.</w:t>
      </w:r>
    </w:p>
    <w:p w:rsidR="00027273" w:rsidRDefault="00027273" w:rsidP="00027273">
      <w:pPr>
        <w:rPr>
          <w:color w:val="000000"/>
          <w:szCs w:val="24"/>
        </w:rPr>
      </w:pPr>
    </w:p>
    <w:p w:rsidR="00027273" w:rsidRDefault="00027273" w:rsidP="00027273">
      <w:pPr>
        <w:rPr>
          <w:color w:val="000000"/>
          <w:szCs w:val="24"/>
        </w:rPr>
      </w:pPr>
      <w:r>
        <w:rPr>
          <w:color w:val="000000"/>
          <w:szCs w:val="24"/>
        </w:rPr>
        <w:t>667.</w:t>
      </w:r>
      <w:r>
        <w:rPr>
          <w:color w:val="000000"/>
          <w:szCs w:val="24"/>
        </w:rPr>
        <w:tab/>
        <w:t xml:space="preserve">Переселение семей неофициальных поселенцев, проживающих вблизи железнодорожных путей, в предназначенные для расселения районы осуществляется с использованием подхода, учитывающего интересы бенефициаров.  Это </w:t>
      </w:r>
      <w:r>
        <w:rPr>
          <w:color w:val="000000"/>
          <w:szCs w:val="24"/>
        </w:rPr>
        <w:sym w:font="Symbol" w:char="F02D"/>
      </w:r>
      <w:r>
        <w:rPr>
          <w:color w:val="000000"/>
          <w:szCs w:val="24"/>
        </w:rPr>
        <w:t xml:space="preserve"> переселение в города, разработка правил переселения межучрежденческими комитетами, непосредственное предоставление жилья на освоенных участках, помощь в строительстве домов в рамках Программы предоставления кредитов на приобретение строительных материалов и обеспечение переселенных семей необходимыми средствами к существованию</w:t>
      </w:r>
      <w:r>
        <w:rPr>
          <w:rStyle w:val="FootnoteReference"/>
          <w:szCs w:val="24"/>
        </w:rPr>
        <w:footnoteReference w:id="41"/>
      </w:r>
      <w:r>
        <w:rPr>
          <w:color w:val="000000"/>
          <w:szCs w:val="24"/>
        </w:rPr>
        <w:t>.</w:t>
      </w:r>
    </w:p>
    <w:p w:rsidR="00027273" w:rsidRDefault="00027273" w:rsidP="00027273">
      <w:pPr>
        <w:rPr>
          <w:color w:val="000000"/>
          <w:szCs w:val="24"/>
        </w:rPr>
      </w:pPr>
    </w:p>
    <w:p w:rsidR="00027273" w:rsidRDefault="00027273" w:rsidP="00027273">
      <w:pPr>
        <w:rPr>
          <w:color w:val="000000"/>
          <w:szCs w:val="24"/>
        </w:rPr>
      </w:pPr>
      <w:r>
        <w:rPr>
          <w:color w:val="000000"/>
          <w:szCs w:val="24"/>
        </w:rPr>
        <w:t>668.</w:t>
      </w:r>
      <w:r>
        <w:rPr>
          <w:color w:val="000000"/>
          <w:szCs w:val="24"/>
        </w:rPr>
        <w:tab/>
      </w:r>
      <w:r w:rsidRPr="008A7DF2">
        <w:rPr>
          <w:i/>
          <w:color w:val="000000"/>
          <w:szCs w:val="24"/>
        </w:rPr>
        <w:t>Программа предоставления кредитов на приобретение строительных материалов</w:t>
      </w:r>
      <w:r>
        <w:rPr>
          <w:color w:val="000000"/>
          <w:szCs w:val="24"/>
        </w:rPr>
        <w:t xml:space="preserve"> является одним из компонентов Программы переселения, который предусматривает возможность приобретения строительных материалов переселенцами для строительства новых жилищ собственными силами вместо постройки с использованием стандартных жилых модулей, разработанных НСЖС.</w:t>
      </w:r>
    </w:p>
    <w:p w:rsidR="00027273" w:rsidRDefault="00027273" w:rsidP="00027273">
      <w:pPr>
        <w:rPr>
          <w:color w:val="000000"/>
          <w:szCs w:val="24"/>
        </w:rPr>
      </w:pPr>
    </w:p>
    <w:p w:rsidR="00027273" w:rsidRDefault="00027273" w:rsidP="00027273">
      <w:pPr>
        <w:rPr>
          <w:color w:val="000000"/>
          <w:szCs w:val="24"/>
        </w:rPr>
      </w:pPr>
      <w:r>
        <w:rPr>
          <w:color w:val="000000"/>
          <w:szCs w:val="24"/>
        </w:rPr>
        <w:t>669.</w:t>
      </w:r>
      <w:r>
        <w:rPr>
          <w:color w:val="000000"/>
          <w:szCs w:val="24"/>
        </w:rPr>
        <w:tab/>
      </w:r>
      <w:r w:rsidRPr="007B704D">
        <w:rPr>
          <w:i/>
          <w:color w:val="000000"/>
          <w:szCs w:val="24"/>
        </w:rPr>
        <w:t>Программа содействия органам местного самоуправления при осуществлении переселения</w:t>
      </w:r>
      <w:r>
        <w:rPr>
          <w:color w:val="000000"/>
          <w:szCs w:val="24"/>
        </w:rPr>
        <w:t xml:space="preserve"> предусматривает оказание помощи ОМС за пределами Метро Манилы в решении вопросов переселения неофициальных поселенцев из опасных районов или территорий, предназначенных для строительства объектов инфраструктуры, в рамках совместной инициативы ОМС и НСЖС.</w:t>
      </w:r>
    </w:p>
    <w:p w:rsidR="00CD51FC" w:rsidRDefault="00CD51FC" w:rsidP="00CD51FC"/>
    <w:p w:rsidR="00CD51FC" w:rsidRDefault="00CD51FC" w:rsidP="00CD51FC">
      <w:pPr>
        <w:rPr>
          <w:color w:val="000000"/>
          <w:szCs w:val="24"/>
        </w:rPr>
      </w:pPr>
      <w:r>
        <w:rPr>
          <w:color w:val="000000"/>
          <w:szCs w:val="24"/>
        </w:rPr>
        <w:t>670.</w:t>
      </w:r>
      <w:r>
        <w:rPr>
          <w:color w:val="000000"/>
          <w:szCs w:val="24"/>
        </w:rPr>
        <w:tab/>
      </w:r>
      <w:r w:rsidRPr="00596888">
        <w:rPr>
          <w:i/>
          <w:color w:val="000000"/>
          <w:szCs w:val="24"/>
        </w:rPr>
        <w:t>Программа реконструкции районов трущоб</w:t>
      </w:r>
      <w:r>
        <w:rPr>
          <w:color w:val="000000"/>
          <w:szCs w:val="24"/>
        </w:rPr>
        <w:t xml:space="preserve"> предусматривает приобретение и улучшение населенных территорий путем строительства дорог или подъездных путей основных объектов инфраструктуры, в частности водопровода и систем электроснабжения.  Вопрос о праве землевладения решается путем продажи участков занимающим их лицам.</w:t>
      </w:r>
    </w:p>
    <w:p w:rsidR="00CD51FC" w:rsidRDefault="00CD51FC" w:rsidP="00CD51FC">
      <w:pPr>
        <w:rPr>
          <w:color w:val="000000"/>
          <w:szCs w:val="24"/>
        </w:rPr>
      </w:pPr>
    </w:p>
    <w:p w:rsidR="00CD51FC" w:rsidRDefault="00CD51FC" w:rsidP="00CD51FC">
      <w:pPr>
        <w:rPr>
          <w:color w:val="000000"/>
          <w:szCs w:val="24"/>
        </w:rPr>
      </w:pPr>
      <w:r>
        <w:rPr>
          <w:color w:val="000000"/>
          <w:szCs w:val="24"/>
        </w:rPr>
        <w:t>671.</w:t>
      </w:r>
      <w:r>
        <w:rPr>
          <w:color w:val="000000"/>
          <w:szCs w:val="24"/>
        </w:rPr>
        <w:tab/>
      </w:r>
      <w:r w:rsidRPr="00766216">
        <w:rPr>
          <w:i/>
          <w:color w:val="000000"/>
          <w:szCs w:val="24"/>
        </w:rPr>
        <w:t>Программа освоения и обустройства земельных участков</w:t>
      </w:r>
      <w:r>
        <w:rPr>
          <w:color w:val="000000"/>
          <w:szCs w:val="24"/>
        </w:rPr>
        <w:t xml:space="preserve"> предусматривает приобретение и преобразование неосвоенных земельных участков в районы с необходимой инфраструктурой, которые станут районами расселения неофициальных поселенцев, а также мигрантов и других групп населения.  Этот подход применяется в городах с высокими темпами роста населения, где бенефициары могут приобретать жилье на поэтапной основе.</w:t>
      </w:r>
    </w:p>
    <w:p w:rsidR="00CD51FC" w:rsidRDefault="00CD51FC" w:rsidP="00CD51FC">
      <w:pPr>
        <w:rPr>
          <w:color w:val="000000"/>
          <w:szCs w:val="24"/>
        </w:rPr>
      </w:pPr>
    </w:p>
    <w:p w:rsidR="00CD51FC" w:rsidRDefault="00CD51FC" w:rsidP="00CD51FC">
      <w:pPr>
        <w:rPr>
          <w:color w:val="000000"/>
          <w:szCs w:val="24"/>
        </w:rPr>
      </w:pPr>
      <w:r>
        <w:rPr>
          <w:color w:val="000000"/>
          <w:szCs w:val="24"/>
        </w:rPr>
        <w:t>672.</w:t>
      </w:r>
      <w:r>
        <w:rPr>
          <w:color w:val="000000"/>
          <w:szCs w:val="24"/>
        </w:rPr>
        <w:tab/>
      </w:r>
      <w:r w:rsidRPr="00766216">
        <w:rPr>
          <w:i/>
          <w:color w:val="000000"/>
          <w:szCs w:val="24"/>
        </w:rPr>
        <w:t>Программа жилищного строительства</w:t>
      </w:r>
      <w:r>
        <w:rPr>
          <w:color w:val="000000"/>
          <w:szCs w:val="24"/>
        </w:rPr>
        <w:t xml:space="preserve"> предусматривает приобретение и освоение неосвоенных земель.  Данная программа предусматривает строительство жилья, рассчитанного в первую очередь на низкооплачиваемых государственных служащих и сотрудников частных компаний.</w:t>
      </w:r>
    </w:p>
    <w:p w:rsidR="00CD51FC" w:rsidRDefault="00CD51FC" w:rsidP="00CD51FC">
      <w:pPr>
        <w:rPr>
          <w:color w:val="000000"/>
          <w:szCs w:val="24"/>
        </w:rPr>
      </w:pPr>
    </w:p>
    <w:p w:rsidR="00CD51FC" w:rsidRDefault="00CD51FC" w:rsidP="00CD51FC">
      <w:pPr>
        <w:rPr>
          <w:color w:val="000000"/>
          <w:szCs w:val="24"/>
        </w:rPr>
      </w:pPr>
      <w:r>
        <w:rPr>
          <w:color w:val="000000"/>
          <w:szCs w:val="24"/>
        </w:rPr>
        <w:t>673.</w:t>
      </w:r>
      <w:r>
        <w:rPr>
          <w:color w:val="000000"/>
          <w:szCs w:val="24"/>
        </w:rPr>
        <w:tab/>
      </w:r>
      <w:r w:rsidRPr="00FE03F5">
        <w:rPr>
          <w:i/>
          <w:color w:val="000000"/>
          <w:szCs w:val="24"/>
        </w:rPr>
        <w:t>Программа строительства малоэтажного жил</w:t>
      </w:r>
      <w:r>
        <w:rPr>
          <w:i/>
          <w:color w:val="000000"/>
          <w:szCs w:val="24"/>
        </w:rPr>
        <w:t>ья</w:t>
      </w:r>
      <w:r>
        <w:rPr>
          <w:color w:val="000000"/>
          <w:szCs w:val="24"/>
        </w:rPr>
        <w:t xml:space="preserve"> представляет собой альтернативную программу городской застройки и предусматривает строительство трех- и пятиэтажных жилых домов.  Эта программа осуществляется непосредственно НСЖС за счет средств, выделяемых на основании РЗ 7835, и жилые объекты сдаются в аренду.</w:t>
      </w:r>
    </w:p>
    <w:p w:rsidR="00CD51FC" w:rsidRDefault="00CD51FC" w:rsidP="00CD51FC">
      <w:pPr>
        <w:rPr>
          <w:color w:val="000000"/>
          <w:szCs w:val="24"/>
        </w:rPr>
      </w:pPr>
    </w:p>
    <w:p w:rsidR="00CD51FC" w:rsidRDefault="00CD51FC" w:rsidP="00CD51FC">
      <w:pPr>
        <w:rPr>
          <w:color w:val="000000"/>
          <w:szCs w:val="24"/>
        </w:rPr>
      </w:pPr>
      <w:r>
        <w:rPr>
          <w:color w:val="000000"/>
          <w:szCs w:val="24"/>
        </w:rPr>
        <w:t>674.</w:t>
      </w:r>
      <w:r>
        <w:rPr>
          <w:color w:val="000000"/>
          <w:szCs w:val="24"/>
        </w:rPr>
        <w:tab/>
        <w:t xml:space="preserve">НСЖС является посредником между общинными ассоциациями/кооперативами и такими финансовыми учреждениями, как НКИФ и Взаимный фонд жилищного строительства (ВФЖС) и другими государственными и негосударственными учреждениями, предлагающими организациям граждан финансовые услуги в целях приобретения земли и другие субсидии. </w:t>
      </w:r>
    </w:p>
    <w:p w:rsidR="00CD51FC" w:rsidRDefault="00CD51FC" w:rsidP="00CD51FC">
      <w:pPr>
        <w:rPr>
          <w:color w:val="000000"/>
          <w:szCs w:val="24"/>
        </w:rPr>
      </w:pPr>
    </w:p>
    <w:p w:rsidR="00CD51FC" w:rsidRDefault="00CD51FC" w:rsidP="00CD51FC">
      <w:pPr>
        <w:rPr>
          <w:color w:val="000000"/>
          <w:szCs w:val="24"/>
        </w:rPr>
      </w:pPr>
      <w:r>
        <w:rPr>
          <w:color w:val="000000"/>
          <w:szCs w:val="24"/>
        </w:rPr>
        <w:t>675.</w:t>
      </w:r>
      <w:r>
        <w:rPr>
          <w:color w:val="000000"/>
          <w:szCs w:val="24"/>
        </w:rPr>
        <w:tab/>
        <w:t>НСЖС также предоставляет техническую помощь общинным ассоциациям/</w:t>
      </w:r>
      <w:r w:rsidRPr="00FF5920">
        <w:rPr>
          <w:color w:val="000000"/>
          <w:szCs w:val="24"/>
        </w:rPr>
        <w:t xml:space="preserve"> </w:t>
      </w:r>
      <w:r>
        <w:rPr>
          <w:color w:val="000000"/>
          <w:szCs w:val="24"/>
        </w:rPr>
        <w:t xml:space="preserve">кооперативам или ОМС в решении организационных вопросов, ведении переговоров с землевладельцами, разработке планов строительства и архитектурных проектов и выполняет координирующую роль в подготовке необходимых документов совместно с другими государственными агентствами.  </w:t>
      </w:r>
    </w:p>
    <w:p w:rsidR="00CD51FC" w:rsidRDefault="00CD51FC" w:rsidP="00CD51FC">
      <w:pPr>
        <w:rPr>
          <w:color w:val="000000"/>
          <w:szCs w:val="24"/>
        </w:rPr>
      </w:pPr>
    </w:p>
    <w:p w:rsidR="00CD51FC" w:rsidRPr="00D20F7F" w:rsidRDefault="00CD51FC" w:rsidP="00CD51FC">
      <w:pPr>
        <w:rPr>
          <w:i/>
          <w:color w:val="000000"/>
          <w:szCs w:val="24"/>
        </w:rPr>
      </w:pPr>
      <w:r w:rsidRPr="00D20F7F">
        <w:rPr>
          <w:i/>
          <w:color w:val="000000"/>
          <w:szCs w:val="24"/>
        </w:rPr>
        <w:t>Итоги и дальнейшие планы</w:t>
      </w:r>
    </w:p>
    <w:p w:rsidR="00CD51FC" w:rsidRDefault="00CD51FC" w:rsidP="00CD51FC">
      <w:pPr>
        <w:rPr>
          <w:color w:val="000000"/>
          <w:szCs w:val="24"/>
          <w:u w:val="single"/>
        </w:rPr>
      </w:pPr>
    </w:p>
    <w:p w:rsidR="00CD51FC" w:rsidRDefault="00CD51FC" w:rsidP="00CD51FC">
      <w:pPr>
        <w:rPr>
          <w:color w:val="000000"/>
          <w:szCs w:val="24"/>
        </w:rPr>
      </w:pPr>
      <w:r>
        <w:rPr>
          <w:color w:val="000000"/>
          <w:szCs w:val="24"/>
        </w:rPr>
        <w:t>676.</w:t>
      </w:r>
      <w:r>
        <w:rPr>
          <w:color w:val="000000"/>
          <w:szCs w:val="24"/>
        </w:rPr>
        <w:tab/>
        <w:t xml:space="preserve">В соответствии с Административным постановлением № 111 от 4 ноября </w:t>
      </w:r>
      <w:r w:rsidRPr="00C24B9A">
        <w:rPr>
          <w:color w:val="000000"/>
          <w:szCs w:val="24"/>
        </w:rPr>
        <w:t>2004 года</w:t>
      </w:r>
      <w:r>
        <w:rPr>
          <w:color w:val="000000"/>
          <w:szCs w:val="24"/>
        </w:rPr>
        <w:t xml:space="preserve"> НСЖС является основным органом по реализации Программы переселения лиц из районов, расположенных вблизи железнодорожных путей ФНЖД. </w:t>
      </w:r>
    </w:p>
    <w:p w:rsidR="00CD51FC" w:rsidRDefault="00CD51FC" w:rsidP="00CD51FC">
      <w:pPr>
        <w:rPr>
          <w:color w:val="000000"/>
          <w:szCs w:val="24"/>
        </w:rPr>
      </w:pPr>
    </w:p>
    <w:p w:rsidR="00CD51FC" w:rsidRDefault="00CD51FC" w:rsidP="00CD51FC">
      <w:pPr>
        <w:numPr>
          <w:ilvl w:val="0"/>
          <w:numId w:val="26"/>
        </w:numPr>
        <w:tabs>
          <w:tab w:val="clear" w:pos="567"/>
          <w:tab w:val="clear" w:pos="1065"/>
          <w:tab w:val="clear" w:pos="1134"/>
          <w:tab w:val="clear" w:pos="1701"/>
          <w:tab w:val="clear" w:pos="2268"/>
          <w:tab w:val="clear" w:pos="6237"/>
          <w:tab w:val="num" w:pos="0"/>
        </w:tabs>
        <w:ind w:left="0" w:firstLine="0"/>
      </w:pPr>
      <w:r>
        <w:t xml:space="preserve">В рамках Программы переселения осуществляется проект Северной железнодорожной линии.  Он предусматривает переселение семей, живущих </w:t>
      </w:r>
      <w:r>
        <w:rPr>
          <w:color w:val="000000"/>
          <w:szCs w:val="24"/>
        </w:rPr>
        <w:t xml:space="preserve">вблизи </w:t>
      </w:r>
      <w:r>
        <w:t>железнодорожных путей в Метро Маниле и Булакане, для развития системы сообщения между Калуканом и Малолосом.  В общей сложности 21 023 семьи неофициальных поселенцев были переселены из районов Метро Манилы и Булакана, что позволило построить объекты инфраструктуры железнодорожного транспорта.</w:t>
      </w:r>
    </w:p>
    <w:p w:rsidR="00CD51FC" w:rsidRDefault="00CD51FC" w:rsidP="00CD51FC">
      <w:pPr>
        <w:tabs>
          <w:tab w:val="clear" w:pos="567"/>
          <w:tab w:val="clear" w:pos="1134"/>
          <w:tab w:val="clear" w:pos="1701"/>
          <w:tab w:val="clear" w:pos="2268"/>
          <w:tab w:val="clear" w:pos="6237"/>
        </w:tabs>
      </w:pPr>
    </w:p>
    <w:p w:rsidR="00CD51FC" w:rsidRDefault="00CD51FC" w:rsidP="00CD51FC">
      <w:pPr>
        <w:numPr>
          <w:ilvl w:val="0"/>
          <w:numId w:val="26"/>
        </w:numPr>
        <w:tabs>
          <w:tab w:val="clear" w:pos="567"/>
          <w:tab w:val="clear" w:pos="1065"/>
          <w:tab w:val="clear" w:pos="1134"/>
          <w:tab w:val="clear" w:pos="1701"/>
          <w:tab w:val="clear" w:pos="2268"/>
          <w:tab w:val="clear" w:pos="6237"/>
          <w:tab w:val="num" w:pos="0"/>
        </w:tabs>
        <w:ind w:left="0" w:firstLine="0"/>
      </w:pPr>
      <w:r>
        <w:t>Программа переселения также предусматривает Проект восстановления пригородных линий ФНЖД между Калуканом и Алабангом,  которые будут продлены в южном направлении.  Из районов Манилы, Макати и Кабуайо Лагуна в общей сложности было переселено 7 404 семьи.</w:t>
      </w:r>
    </w:p>
    <w:p w:rsidR="00CD51FC" w:rsidRDefault="00CD51FC" w:rsidP="00CD51FC">
      <w:pPr>
        <w:tabs>
          <w:tab w:val="clear" w:pos="567"/>
          <w:tab w:val="clear" w:pos="1134"/>
          <w:tab w:val="clear" w:pos="1701"/>
          <w:tab w:val="clear" w:pos="2268"/>
          <w:tab w:val="clear" w:pos="6237"/>
        </w:tabs>
      </w:pPr>
    </w:p>
    <w:p w:rsidR="00CD51FC" w:rsidRDefault="00CD51FC" w:rsidP="00CD51FC">
      <w:pPr>
        <w:numPr>
          <w:ilvl w:val="0"/>
          <w:numId w:val="26"/>
        </w:numPr>
        <w:tabs>
          <w:tab w:val="clear" w:pos="567"/>
          <w:tab w:val="clear" w:pos="1065"/>
          <w:tab w:val="clear" w:pos="1134"/>
          <w:tab w:val="clear" w:pos="1701"/>
          <w:tab w:val="clear" w:pos="2268"/>
          <w:tab w:val="clear" w:pos="6237"/>
          <w:tab w:val="num" w:pos="0"/>
        </w:tabs>
        <w:ind w:left="0" w:firstLine="0"/>
      </w:pPr>
      <w:r>
        <w:t>При переселении семей, затронутых проектами</w:t>
      </w:r>
      <w:r w:rsidRPr="00563D35">
        <w:t xml:space="preserve"> </w:t>
      </w:r>
      <w:r>
        <w:t>строительства железных дорог,</w:t>
      </w:r>
      <w:r w:rsidRPr="001E17E6">
        <w:t xml:space="preserve"> </w:t>
      </w:r>
      <w:r>
        <w:t>КГСЖ и НСЖС применяют ориентированный на бенефициаров подход.  Это позволяет обеспечить семьи необходимой с точки зрения жилищных услуг помощью во время переселения.</w:t>
      </w:r>
      <w:r w:rsidRPr="00700D96">
        <w:t xml:space="preserve"> </w:t>
      </w:r>
      <w:r>
        <w:t xml:space="preserve"> Этот подход может заключаться в переселении в города и поселки с целью облегчения связанных с переселением трудностей, подготовки планов застройки, предоставлении займов на приобретение освоенных участков у застройщиков, получения кредитов на приобретение строительных материалов и обеспечения базовых возможностей и инфраструктуры для мобилизации финансовых средств и улучшения качества жизни переселенных семей. </w:t>
      </w:r>
    </w:p>
    <w:p w:rsidR="00CD51FC" w:rsidRDefault="00CD51FC" w:rsidP="00CD51FC">
      <w:pPr>
        <w:tabs>
          <w:tab w:val="clear" w:pos="567"/>
          <w:tab w:val="clear" w:pos="1134"/>
          <w:tab w:val="clear" w:pos="1701"/>
          <w:tab w:val="clear" w:pos="2268"/>
          <w:tab w:val="clear" w:pos="6237"/>
        </w:tabs>
      </w:pPr>
    </w:p>
    <w:p w:rsidR="00CD51FC" w:rsidRPr="00D20F7F" w:rsidRDefault="00CD51FC" w:rsidP="00CD51FC">
      <w:pPr>
        <w:tabs>
          <w:tab w:val="num" w:pos="0"/>
        </w:tabs>
        <w:rPr>
          <w:i/>
        </w:rPr>
      </w:pPr>
      <w:r w:rsidRPr="00D20F7F">
        <w:rPr>
          <w:i/>
        </w:rPr>
        <w:t>Роль международного сотрудничества в реализации права на жилище</w:t>
      </w:r>
    </w:p>
    <w:p w:rsidR="00CD51FC" w:rsidRDefault="00CD51FC" w:rsidP="00CD51FC">
      <w:pPr>
        <w:tabs>
          <w:tab w:val="num" w:pos="0"/>
        </w:tabs>
        <w:rPr>
          <w:u w:val="single"/>
        </w:rPr>
      </w:pPr>
    </w:p>
    <w:p w:rsidR="00CD51FC" w:rsidRDefault="00CD51FC" w:rsidP="00CD51FC">
      <w:pPr>
        <w:numPr>
          <w:ilvl w:val="0"/>
          <w:numId w:val="26"/>
        </w:numPr>
        <w:tabs>
          <w:tab w:val="clear" w:pos="567"/>
          <w:tab w:val="clear" w:pos="1065"/>
          <w:tab w:val="clear" w:pos="1134"/>
          <w:tab w:val="clear" w:pos="1701"/>
          <w:tab w:val="clear" w:pos="2268"/>
          <w:tab w:val="clear" w:pos="6237"/>
          <w:tab w:val="num" w:pos="0"/>
        </w:tabs>
        <w:ind w:left="0" w:firstLine="0"/>
      </w:pPr>
      <w:r>
        <w:t xml:space="preserve">Цель официальной помощи в целях развития (ОПР) заключается в оказании содействия органам городского/местного самоуправления в деле расширения их возможностей в строительстве основных объектов инфраструктуры и предоставлении базовых услуг населению.  Такие проекты позволяют повысить потенциал городской администрации и градостроителей.  В рамках ОПР осуществляются, в частности, следующие проекты:  </w:t>
      </w:r>
    </w:p>
    <w:p w:rsidR="00CD51FC" w:rsidRDefault="00CD51FC" w:rsidP="00CD51FC">
      <w:pPr>
        <w:tabs>
          <w:tab w:val="clear" w:pos="567"/>
          <w:tab w:val="clear" w:pos="1134"/>
          <w:tab w:val="clear" w:pos="1701"/>
          <w:tab w:val="clear" w:pos="2268"/>
          <w:tab w:val="clear" w:pos="6237"/>
        </w:tabs>
      </w:pPr>
    </w:p>
    <w:p w:rsidR="00CD51FC" w:rsidRDefault="00D20F7F" w:rsidP="00437825">
      <w:r>
        <w:tab/>
      </w:r>
      <w:r w:rsidR="00CD51FC">
        <w:t>а</w:t>
      </w:r>
      <w:r>
        <w:t>)</w:t>
      </w:r>
      <w:r w:rsidR="00CD51FC">
        <w:tab/>
        <w:t>Развитие сектора малоимущих общин (РСМО) под руководством Банка азиатского развития.  Цель РСМО заключается в расширении доступа малоимущих общин к гарантированному землепользованию, дешевому жилью, основным объектам и услугам муниципальной инфраструктуры и финансированию их жилищных и основных потребностей.  В рамках этого проекта поддержку КГСЖ  оказывает также Филиппинский банк развития.</w:t>
      </w:r>
    </w:p>
    <w:p w:rsidR="00CD51FC" w:rsidRDefault="00CD51FC" w:rsidP="00CD51FC"/>
    <w:p w:rsidR="00CD51FC" w:rsidRDefault="00437825" w:rsidP="00437825">
      <w:r>
        <w:tab/>
      </w:r>
      <w:r w:rsidR="00CD51FC">
        <w:rPr>
          <w:lang w:val="en-US"/>
        </w:rPr>
        <w:t>b</w:t>
      </w:r>
      <w:r>
        <w:t>)</w:t>
      </w:r>
      <w:r w:rsidR="00CD51FC">
        <w:tab/>
        <w:t xml:space="preserve">Инициатива "Города без трущоб", осуществляемая Альянсом городов.  Целью этого проекта является укрепление потенциала общин </w:t>
      </w:r>
      <w:r w:rsidR="00CD51FC">
        <w:rPr>
          <w:lang w:val="en-US"/>
        </w:rPr>
        <w:t>c</w:t>
      </w:r>
      <w:r w:rsidR="00CD51FC">
        <w:t xml:space="preserve"> точки зрения участия в разработке собственной жилищной стратегии.  В рамках этого проекта основное внимание уделяется целям в области развития, сформулированным в Декларации тысячелетия, в частности тем из них, которые связаны с ликвидацией трущоб, водоснабжением, здравоохранением и образованием;  а также в нем предусмотрен механизм надлежащего рассмотрения и решения гендерных вопросов.</w:t>
      </w:r>
    </w:p>
    <w:p w:rsidR="00CD51FC" w:rsidRDefault="00CD51FC" w:rsidP="00CD51FC">
      <w:pPr>
        <w:tabs>
          <w:tab w:val="num" w:pos="0"/>
        </w:tabs>
      </w:pPr>
    </w:p>
    <w:p w:rsidR="00CD51FC" w:rsidRPr="00605C81" w:rsidRDefault="00437825" w:rsidP="00437825">
      <w:r>
        <w:tab/>
      </w:r>
      <w:r w:rsidR="00CD51FC">
        <w:t>с</w:t>
      </w:r>
      <w:r>
        <w:t>)</w:t>
      </w:r>
      <w:r w:rsidR="00CD51FC">
        <w:tab/>
        <w:t>Проект предоставления городских услуг малоимущему населению Метро Манилы при содействии Азиатского банка развития.  Этот проект направлен на укрепление потенциала администрации Метро Манилы в области планирования и разработки программы помощи городской бедноте и строительства жилья.</w:t>
      </w:r>
    </w:p>
    <w:p w:rsidR="00CD51FC" w:rsidRPr="00605C81" w:rsidRDefault="00CD51FC" w:rsidP="00CD51FC">
      <w:pPr>
        <w:tabs>
          <w:tab w:val="num" w:pos="0"/>
        </w:tabs>
      </w:pPr>
    </w:p>
    <w:p w:rsidR="00CD51FC" w:rsidRDefault="00CD51FC" w:rsidP="00CD51FC">
      <w:pPr>
        <w:rPr>
          <w:b/>
          <w:color w:val="000000"/>
          <w:szCs w:val="24"/>
        </w:rPr>
      </w:pPr>
      <w:r>
        <w:rPr>
          <w:b/>
          <w:color w:val="000000"/>
          <w:szCs w:val="24"/>
        </w:rPr>
        <w:t>3.</w:t>
      </w:r>
      <w:r w:rsidRPr="008D4F7D">
        <w:rPr>
          <w:b/>
          <w:color w:val="000000"/>
          <w:szCs w:val="24"/>
        </w:rPr>
        <w:t>е</w:t>
      </w:r>
      <w:r w:rsidR="00184605">
        <w:rPr>
          <w:b/>
          <w:color w:val="000000"/>
          <w:szCs w:val="24"/>
        </w:rPr>
        <w:tab/>
      </w:r>
      <w:r w:rsidRPr="008D4F7D">
        <w:rPr>
          <w:b/>
          <w:color w:val="000000"/>
          <w:szCs w:val="24"/>
        </w:rPr>
        <w:t>Право на достаточную одежду</w:t>
      </w:r>
    </w:p>
    <w:p w:rsidR="00CD51FC" w:rsidRDefault="00CD51FC" w:rsidP="00CD51FC">
      <w:pPr>
        <w:rPr>
          <w:b/>
          <w:color w:val="000000"/>
          <w:szCs w:val="24"/>
        </w:rPr>
      </w:pPr>
    </w:p>
    <w:p w:rsidR="00CD51FC" w:rsidRDefault="00CD51FC" w:rsidP="00CD51FC">
      <w:pPr>
        <w:rPr>
          <w:color w:val="000000"/>
          <w:szCs w:val="24"/>
        </w:rPr>
      </w:pPr>
      <w:r>
        <w:rPr>
          <w:color w:val="000000"/>
          <w:szCs w:val="24"/>
        </w:rPr>
        <w:t>681.</w:t>
      </w:r>
      <w:r>
        <w:rPr>
          <w:color w:val="000000"/>
          <w:szCs w:val="24"/>
        </w:rPr>
        <w:tab/>
        <w:t>Филиппины - тропическая страна с теплым климатом, в связи с чем люди не испытывают особых проблем, связанных с одеждой.  Меры со стороны правительства сводятся в основном к регулированию импорта тканей и одежды с целью оказания помощи местным производителям.  Научно-исследовательский текстильный институт изучает возможность использования местных материалов для текстильной промышленности.  Министерство социального обеспечения и развития включает в свои программы помощи местному населению и жертвам стихийных бедствий положения о выделении необходимой одежды.</w:t>
      </w:r>
    </w:p>
    <w:p w:rsidR="00CD51FC" w:rsidRDefault="00CD51FC" w:rsidP="00CD51FC">
      <w:pPr>
        <w:rPr>
          <w:color w:val="000000"/>
          <w:szCs w:val="24"/>
        </w:rPr>
      </w:pPr>
    </w:p>
    <w:p w:rsidR="00CD51FC" w:rsidRDefault="00CD51FC" w:rsidP="00CD51FC">
      <w:pPr>
        <w:tabs>
          <w:tab w:val="clear" w:pos="6237"/>
          <w:tab w:val="num" w:pos="0"/>
          <w:tab w:val="center" w:pos="4857"/>
        </w:tabs>
        <w:rPr>
          <w:b/>
        </w:rPr>
      </w:pPr>
      <w:r>
        <w:rPr>
          <w:b/>
        </w:rPr>
        <w:t>Имеющиеся</w:t>
      </w:r>
      <w:r w:rsidRPr="00EE2EC9">
        <w:rPr>
          <w:b/>
        </w:rPr>
        <w:t xml:space="preserve"> трудности</w:t>
      </w:r>
    </w:p>
    <w:p w:rsidR="00CD51FC" w:rsidRDefault="00CD51FC" w:rsidP="00CD51FC">
      <w:pPr>
        <w:tabs>
          <w:tab w:val="clear" w:pos="6237"/>
          <w:tab w:val="num" w:pos="0"/>
          <w:tab w:val="center" w:pos="4857"/>
        </w:tabs>
        <w:rPr>
          <w:b/>
        </w:rPr>
      </w:pPr>
    </w:p>
    <w:p w:rsidR="00CD51FC" w:rsidRPr="00437825" w:rsidRDefault="00CD51FC" w:rsidP="00CD51FC">
      <w:pPr>
        <w:tabs>
          <w:tab w:val="num" w:pos="0"/>
        </w:tabs>
        <w:rPr>
          <w:i/>
        </w:rPr>
      </w:pPr>
      <w:r w:rsidRPr="00437825">
        <w:rPr>
          <w:i/>
        </w:rPr>
        <w:t>Право на питание</w:t>
      </w:r>
    </w:p>
    <w:p w:rsidR="00CD51FC" w:rsidRDefault="00CD51FC" w:rsidP="00CD51FC">
      <w:pPr>
        <w:tabs>
          <w:tab w:val="num" w:pos="0"/>
        </w:tabs>
        <w:rPr>
          <w:u w:val="single"/>
        </w:rPr>
      </w:pPr>
    </w:p>
    <w:p w:rsidR="00CD51FC" w:rsidRDefault="00CE52E7" w:rsidP="00CE52E7">
      <w:pPr>
        <w:tabs>
          <w:tab w:val="clear" w:pos="567"/>
          <w:tab w:val="clear" w:pos="1134"/>
          <w:tab w:val="clear" w:pos="1701"/>
          <w:tab w:val="clear" w:pos="2268"/>
          <w:tab w:val="clear" w:pos="6237"/>
        </w:tabs>
      </w:pPr>
      <w:r>
        <w:t>682.</w:t>
      </w:r>
      <w:r>
        <w:tab/>
      </w:r>
      <w:r w:rsidR="00CD51FC">
        <w:t>В сельскохозяйственном секторе объем производительности труда увеличился незначительно.  Сравнительное соотношение произведенной продукции, ее стоимости и цен на различные сельскохозяйственные товары свидетельствует о том, что с точки зрения полученной прибыли страна мало чем отличалась от своих соседей.  Таким образом, сравнительное преимущество Филиппин в сельскохозяйственной сфере продолжило уменьшаться, вследствие чего с 1994 года государство стремительно превращается в нетто-импортера сельскохозяйственной продукции.</w:t>
      </w:r>
    </w:p>
    <w:p w:rsidR="00CD51FC" w:rsidRDefault="00CD51FC" w:rsidP="00CD51FC">
      <w:pPr>
        <w:tabs>
          <w:tab w:val="clear" w:pos="567"/>
          <w:tab w:val="clear" w:pos="1134"/>
          <w:tab w:val="clear" w:pos="1701"/>
          <w:tab w:val="clear" w:pos="2268"/>
          <w:tab w:val="clear" w:pos="6237"/>
        </w:tabs>
      </w:pPr>
    </w:p>
    <w:p w:rsidR="00CD51FC" w:rsidRDefault="00CE52E7" w:rsidP="00CE52E7">
      <w:pPr>
        <w:tabs>
          <w:tab w:val="clear" w:pos="567"/>
          <w:tab w:val="clear" w:pos="1134"/>
          <w:tab w:val="clear" w:pos="1701"/>
          <w:tab w:val="clear" w:pos="2268"/>
          <w:tab w:val="clear" w:pos="6237"/>
          <w:tab w:val="left" w:pos="561"/>
        </w:tabs>
      </w:pPr>
      <w:r>
        <w:t>683.</w:t>
      </w:r>
      <w:r>
        <w:tab/>
      </w:r>
      <w:r w:rsidR="00CD51FC">
        <w:t>Основной причиной такой тенденции стало повышение стоимости средств производства в сельском хозяйстве и уменьшение доступа к рекомендованным технологиям.  Так, цены на удобрения, используемые филиппинскими фермерами, почти вдвое превышают мировые цены.  Отчасти это можно объяснить монополистичным ценообразованием, поскольку более половины всего объема удобрения поставляет единственная компания.  Причина может также объясняться сложностью и неэффективностью применения нормативных процедур и требований, увеличивая тем самым затраты на производство и реализацию удобрений.  В этой связи может потребоваться оценка эффективности надзорных функций соответствующих контрольных органов за рынком сельскохозяйственных средств производства.  К числу других факторов могут относиться неэффективность систем материально-технического обеспечения сельскохозяйственных средств производства и обесценивание песо.  Аналогичная ситуация складывается и в отношении пестицидов и других агрохимикатов, учитывая, что их производство и реализация осуществляются на таких же условиях регулирования и материально-технического обеспечения.</w:t>
      </w:r>
    </w:p>
    <w:p w:rsidR="00CD51FC" w:rsidRDefault="00CD51FC" w:rsidP="00CD51FC">
      <w:pPr>
        <w:tabs>
          <w:tab w:val="clear" w:pos="567"/>
          <w:tab w:val="clear" w:pos="1134"/>
          <w:tab w:val="clear" w:pos="1701"/>
          <w:tab w:val="clear" w:pos="2268"/>
          <w:tab w:val="clear" w:pos="6237"/>
          <w:tab w:val="left" w:pos="561"/>
          <w:tab w:val="left" w:pos="1122"/>
        </w:tabs>
      </w:pPr>
    </w:p>
    <w:p w:rsidR="00CD51FC" w:rsidRDefault="00CE52E7" w:rsidP="00CE52E7">
      <w:pPr>
        <w:tabs>
          <w:tab w:val="clear" w:pos="1134"/>
          <w:tab w:val="clear" w:pos="1701"/>
          <w:tab w:val="clear" w:pos="2268"/>
          <w:tab w:val="clear" w:pos="6237"/>
          <w:tab w:val="left" w:pos="567"/>
        </w:tabs>
      </w:pPr>
      <w:r>
        <w:t>684.</w:t>
      </w:r>
      <w:r>
        <w:tab/>
      </w:r>
      <w:r w:rsidR="00CD51FC">
        <w:t>Кроме того, необходимо отметить ограниченный доступ к сертифицированным высокоурожайным сортам, связанный с трудностями их поставки и реализации.  Лишь небольшое количество фермеров хочет и может возделывать, в частности сертифицированные семена риса, отчасти из-за недостаточных знаний и навыков, а также отсутствия технической поддержки.  В результате этого стоимость семян на Филиппинах выше, чем в Таиланде, Вьетнаме, Индии и Китае.</w:t>
      </w:r>
    </w:p>
    <w:p w:rsidR="00CD51FC" w:rsidRDefault="00CD51FC" w:rsidP="00CD51FC">
      <w:pPr>
        <w:tabs>
          <w:tab w:val="clear" w:pos="567"/>
          <w:tab w:val="clear" w:pos="1134"/>
          <w:tab w:val="clear" w:pos="1701"/>
          <w:tab w:val="clear" w:pos="2268"/>
          <w:tab w:val="clear" w:pos="6237"/>
        </w:tabs>
      </w:pPr>
    </w:p>
    <w:p w:rsidR="00CD51FC" w:rsidRDefault="00CE52E7" w:rsidP="00CE52E7">
      <w:pPr>
        <w:tabs>
          <w:tab w:val="clear" w:pos="1134"/>
          <w:tab w:val="clear" w:pos="1701"/>
          <w:tab w:val="clear" w:pos="2268"/>
          <w:tab w:val="clear" w:pos="6237"/>
          <w:tab w:val="left" w:pos="567"/>
        </w:tabs>
      </w:pPr>
      <w:r>
        <w:t>685.</w:t>
      </w:r>
      <w:r>
        <w:tab/>
      </w:r>
      <w:r w:rsidR="00CD51FC">
        <w:t>Еще один фактор заключается в высоких послеурожайных убытках, обусловленных отсутствием качественного оборудования, инфраструктуры и методов переработки и хранения урожая.  Например, хотя средние показатели урожая риса на Филиппинах превышают аналогичные показатели Таиланда (3,2 т/га против 2,4 т/га), послеуборочные потери достигают 34%, в то время, как в Таиланде они составляют лишь около 15%.</w:t>
      </w:r>
    </w:p>
    <w:p w:rsidR="00CD51FC" w:rsidRDefault="00CD51FC" w:rsidP="00CD51FC">
      <w:pPr>
        <w:tabs>
          <w:tab w:val="clear" w:pos="567"/>
          <w:tab w:val="clear" w:pos="1134"/>
          <w:tab w:val="clear" w:pos="1701"/>
          <w:tab w:val="clear" w:pos="2268"/>
          <w:tab w:val="clear" w:pos="6237"/>
          <w:tab w:val="num" w:pos="1128"/>
        </w:tabs>
      </w:pPr>
    </w:p>
    <w:p w:rsidR="00CD51FC" w:rsidRDefault="00CE52E7" w:rsidP="00CE52E7">
      <w:pPr>
        <w:tabs>
          <w:tab w:val="clear" w:pos="1134"/>
          <w:tab w:val="clear" w:pos="1701"/>
          <w:tab w:val="clear" w:pos="2268"/>
          <w:tab w:val="clear" w:pos="6237"/>
          <w:tab w:val="left" w:pos="567"/>
        </w:tabs>
      </w:pPr>
      <w:r>
        <w:t>686.</w:t>
      </w:r>
      <w:r>
        <w:tab/>
      </w:r>
      <w:r w:rsidR="00CD51FC">
        <w:t>Устойчивость этих весьма скромных показателей роста производства и доходов также трудно назвать постоянной.  Естественные условия и природные ресурсы страны, во многом определяющие устойчивость развития сельского хозяйства, продолжают ухудшаться.  Различные показатели свидетельствуют об ухудшении и низком уровне устойчивости окружающей среды и природных ресурсов.</w:t>
      </w:r>
    </w:p>
    <w:p w:rsidR="00CD51FC" w:rsidRDefault="00CD51FC" w:rsidP="00CD51FC">
      <w:pPr>
        <w:tabs>
          <w:tab w:val="clear" w:pos="567"/>
          <w:tab w:val="clear" w:pos="1134"/>
          <w:tab w:val="clear" w:pos="1701"/>
          <w:tab w:val="clear" w:pos="2268"/>
          <w:tab w:val="clear" w:pos="6237"/>
        </w:tabs>
      </w:pPr>
    </w:p>
    <w:p w:rsidR="00CD51FC" w:rsidRDefault="005A18D3" w:rsidP="005A18D3">
      <w:pPr>
        <w:tabs>
          <w:tab w:val="clear" w:pos="1134"/>
          <w:tab w:val="clear" w:pos="1701"/>
          <w:tab w:val="clear" w:pos="2268"/>
          <w:tab w:val="clear" w:pos="6237"/>
          <w:tab w:val="left" w:pos="567"/>
        </w:tabs>
      </w:pPr>
      <w:r>
        <w:t>687.</w:t>
      </w:r>
      <w:r>
        <w:tab/>
      </w:r>
      <w:r w:rsidR="00CD51FC">
        <w:t>Кроме того, достигнутый за этот период рост производства и доходов не привел к значительному и соразмерному улучшению положения во всех областях сельского хозяйства.  Несмотря на появление в сельскохозяйственном секторе в период 1999</w:t>
      </w:r>
      <w:r w:rsidR="00CD51FC">
        <w:noBreakHyphen/>
        <w:t xml:space="preserve">2002 годов более миллиона рабочих мест, уровень полной и частичной безработицы в сельском хозяйстве по-прежнему высок:  ежегодные показатели безработицы в этом секторе составляют свыше одного миллиона, а неполной занятости – более трех миллионов человек. </w:t>
      </w:r>
    </w:p>
    <w:p w:rsidR="00CD51FC" w:rsidRDefault="00CD51FC" w:rsidP="00CD51FC">
      <w:pPr>
        <w:tabs>
          <w:tab w:val="clear" w:pos="567"/>
          <w:tab w:val="clear" w:pos="1134"/>
          <w:tab w:val="clear" w:pos="1701"/>
          <w:tab w:val="clear" w:pos="2268"/>
          <w:tab w:val="clear" w:pos="6237"/>
        </w:tabs>
      </w:pPr>
    </w:p>
    <w:p w:rsidR="00CD51FC" w:rsidRDefault="00CE52E7" w:rsidP="005A18D3">
      <w:pPr>
        <w:tabs>
          <w:tab w:val="clear" w:pos="1134"/>
          <w:tab w:val="clear" w:pos="1701"/>
          <w:tab w:val="clear" w:pos="2268"/>
          <w:tab w:val="clear" w:pos="6237"/>
          <w:tab w:val="left" w:pos="567"/>
        </w:tabs>
      </w:pPr>
      <w:r>
        <w:t>688.</w:t>
      </w:r>
      <w:r>
        <w:tab/>
      </w:r>
      <w:r w:rsidR="00CD51FC">
        <w:t>Одновременно с этим отмечается уменьшение эффективности систем распространения сельскохозяйственных знаний, а также развития и использования общинных ирригационных систем после их передачи органами государственной власти в ведение органов местного самоуправления (ОМС) на основании Кодекса местного самоуправления 1991 года.  Многим ОМС не хватает подготовки, потенциала и финансовых средств для эффективного осуществления этих функций.</w:t>
      </w:r>
    </w:p>
    <w:p w:rsidR="00CD51FC" w:rsidRDefault="00CD51FC" w:rsidP="00CD51FC">
      <w:pPr>
        <w:tabs>
          <w:tab w:val="clear" w:pos="567"/>
          <w:tab w:val="clear" w:pos="1134"/>
          <w:tab w:val="clear" w:pos="1701"/>
          <w:tab w:val="clear" w:pos="2268"/>
          <w:tab w:val="clear" w:pos="6237"/>
        </w:tabs>
      </w:pPr>
    </w:p>
    <w:p w:rsidR="00CD51FC" w:rsidRPr="00437825" w:rsidRDefault="00CD51FC" w:rsidP="00CD51FC">
      <w:pPr>
        <w:tabs>
          <w:tab w:val="num" w:pos="0"/>
        </w:tabs>
        <w:rPr>
          <w:i/>
        </w:rPr>
      </w:pPr>
      <w:r w:rsidRPr="00437825">
        <w:rPr>
          <w:i/>
        </w:rPr>
        <w:t>Право на жилище</w:t>
      </w:r>
    </w:p>
    <w:p w:rsidR="00CD51FC" w:rsidRDefault="00CD51FC" w:rsidP="00CD51FC">
      <w:pPr>
        <w:tabs>
          <w:tab w:val="num" w:pos="0"/>
        </w:tabs>
        <w:rPr>
          <w:u w:val="single"/>
        </w:rPr>
      </w:pPr>
    </w:p>
    <w:p w:rsidR="00CD51FC" w:rsidRDefault="00CD51FC" w:rsidP="00CD51FC">
      <w:pPr>
        <w:tabs>
          <w:tab w:val="num" w:pos="0"/>
        </w:tabs>
      </w:pPr>
      <w:r>
        <w:t>689.</w:t>
      </w:r>
      <w:r>
        <w:tab/>
        <w:t>На Филиппинах продолжается стремительный процесс урбанизации.  Более половины населения страны проживает в городах, и ожидается, что при сохранении этой тенденции к 2010 году показатели в этой области достигнут 60%.  Высокие темпы урбанизации опережают развитие рынка доступного жилья и земли:  более 40% городских семей вынуждены жить во временных жилищах в неофициальных поселениях.  Многие малоимущие городские семьи неофициальных поселенцев не имеют доступа к базовым услугам и инфраструктуре,  нормальному жилью, правам землепользования и живут в опасных для здоровья условиях.  Сложная юридическая процедура оформления правового титула собственности и нехватка городской земли также не дает малоимущим городским жителям возможность  мобилизовать необходимые финансовые ресурсы, чтобы выбраться из нищеты, а финансовых услуг для городской бедноты в официальном секторе фактически не существует.  В целом, система жилищного финансирования направлена на удовлетворение интересов только служащих формального сектора, и лишь очень небольшое число жилищных программ правительства позволяет эффективно решать проблемы малоимущих городских общин.</w:t>
      </w:r>
    </w:p>
    <w:p w:rsidR="00CD51FC" w:rsidRDefault="00CD51FC" w:rsidP="00CD51FC">
      <w:pPr>
        <w:tabs>
          <w:tab w:val="num" w:pos="0"/>
        </w:tabs>
      </w:pPr>
    </w:p>
    <w:p w:rsidR="00CD51FC" w:rsidRDefault="00CD51FC" w:rsidP="00CD51FC">
      <w:pPr>
        <w:tabs>
          <w:tab w:val="num" w:pos="0"/>
        </w:tabs>
        <w:rPr>
          <w:b/>
        </w:rPr>
      </w:pPr>
      <w:r w:rsidRPr="001136CF">
        <w:rPr>
          <w:b/>
        </w:rPr>
        <w:t>Будущие направления деятельности</w:t>
      </w:r>
    </w:p>
    <w:p w:rsidR="00CD51FC" w:rsidRDefault="00CD51FC" w:rsidP="00CD51FC">
      <w:pPr>
        <w:tabs>
          <w:tab w:val="num" w:pos="0"/>
        </w:tabs>
        <w:rPr>
          <w:b/>
        </w:rPr>
      </w:pPr>
    </w:p>
    <w:p w:rsidR="00CD51FC" w:rsidRDefault="00CD51FC" w:rsidP="00CD51FC">
      <w:pPr>
        <w:tabs>
          <w:tab w:val="num" w:pos="0"/>
        </w:tabs>
      </w:pPr>
      <w:r>
        <w:t>690.</w:t>
      </w:r>
      <w:r>
        <w:tab/>
        <w:t>Основные направления политики правительства в жилищном секторе включают:</w:t>
      </w:r>
    </w:p>
    <w:p w:rsidR="00CD51FC" w:rsidRDefault="00CD51FC" w:rsidP="00CD51FC">
      <w:pPr>
        <w:tabs>
          <w:tab w:val="num" w:pos="0"/>
        </w:tabs>
      </w:pPr>
    </w:p>
    <w:p w:rsidR="00CD51FC" w:rsidRDefault="00CD51FC" w:rsidP="00CD51FC">
      <w:pPr>
        <w:numPr>
          <w:ilvl w:val="0"/>
          <w:numId w:val="28"/>
        </w:numPr>
        <w:tabs>
          <w:tab w:val="clear" w:pos="567"/>
          <w:tab w:val="num" w:pos="1134"/>
        </w:tabs>
        <w:ind w:left="1134"/>
      </w:pPr>
      <w:r>
        <w:t>устранение институциональных и структурных недостатков в жилищном секторе;</w:t>
      </w:r>
    </w:p>
    <w:p w:rsidR="00CD51FC" w:rsidRDefault="00CD51FC" w:rsidP="00CD51FC">
      <w:pPr>
        <w:tabs>
          <w:tab w:val="num" w:pos="0"/>
        </w:tabs>
        <w:ind w:left="567"/>
      </w:pPr>
    </w:p>
    <w:p w:rsidR="00CD51FC" w:rsidRDefault="00CD51FC" w:rsidP="00CD51FC">
      <w:pPr>
        <w:numPr>
          <w:ilvl w:val="0"/>
          <w:numId w:val="28"/>
        </w:numPr>
        <w:tabs>
          <w:tab w:val="clear" w:pos="567"/>
          <w:tab w:val="num" w:pos="1134"/>
        </w:tabs>
        <w:ind w:left="1134"/>
      </w:pPr>
      <w:r>
        <w:t>выработку программ, которые помогут пополнить скудные средства на строительство жилья, особенно для самых неимущих 30% населения, включая идею обустройства районов переселения в качестве одного из методов предоставления качественного жилья;</w:t>
      </w:r>
    </w:p>
    <w:p w:rsidR="00CD51FC" w:rsidRDefault="00CD51FC" w:rsidP="00CD51FC"/>
    <w:p w:rsidR="00CD51FC" w:rsidRDefault="00CD51FC" w:rsidP="00CD51FC">
      <w:pPr>
        <w:numPr>
          <w:ilvl w:val="0"/>
          <w:numId w:val="28"/>
        </w:numPr>
        <w:tabs>
          <w:tab w:val="clear" w:pos="567"/>
          <w:tab w:val="num" w:pos="1134"/>
        </w:tabs>
        <w:ind w:left="1134"/>
      </w:pPr>
      <w:r>
        <w:t>введение в течение ближайших трех лет эффективной системы жилищного финансирования в качестве основы для строительства жилья на постоянной основе.  Обеспечение под эгидой Национальной корпорации ипотечного финансирования рынка вторичного жилья;</w:t>
      </w:r>
    </w:p>
    <w:p w:rsidR="00CD51FC" w:rsidRDefault="00CD51FC" w:rsidP="00CD51FC">
      <w:pPr>
        <w:tabs>
          <w:tab w:val="num" w:pos="0"/>
        </w:tabs>
      </w:pPr>
    </w:p>
    <w:p w:rsidR="00CD51FC" w:rsidRDefault="00CD51FC" w:rsidP="00CD51FC">
      <w:pPr>
        <w:numPr>
          <w:ilvl w:val="0"/>
          <w:numId w:val="28"/>
        </w:numPr>
        <w:tabs>
          <w:tab w:val="clear" w:pos="567"/>
          <w:tab w:val="num" w:pos="1134"/>
        </w:tabs>
        <w:ind w:left="1134"/>
      </w:pPr>
      <w:r>
        <w:t>создание Корпорацией финансирования социального жилья эффективной системы оценки;</w:t>
      </w:r>
    </w:p>
    <w:p w:rsidR="00CD51FC" w:rsidRDefault="00CD51FC" w:rsidP="00CD51FC">
      <w:pPr>
        <w:tabs>
          <w:tab w:val="num" w:pos="0"/>
        </w:tabs>
      </w:pPr>
    </w:p>
    <w:p w:rsidR="00CD51FC" w:rsidRDefault="00CD51FC" w:rsidP="00CD51FC">
      <w:pPr>
        <w:numPr>
          <w:ilvl w:val="0"/>
          <w:numId w:val="28"/>
        </w:numPr>
        <w:tabs>
          <w:tab w:val="clear" w:pos="567"/>
          <w:tab w:val="num" w:pos="1134"/>
        </w:tabs>
        <w:ind w:left="1134"/>
      </w:pPr>
      <w:r>
        <w:t>осуществление Национальной службой жилищного строительства действенных проектов за счет основных активов и повышение эффективности мобилизации средств;</w:t>
      </w:r>
    </w:p>
    <w:p w:rsidR="00CD51FC" w:rsidRDefault="00CD51FC" w:rsidP="00CD51FC">
      <w:pPr>
        <w:tabs>
          <w:tab w:val="num" w:pos="0"/>
        </w:tabs>
      </w:pPr>
    </w:p>
    <w:p w:rsidR="00CD51FC" w:rsidRDefault="00CD51FC" w:rsidP="00CD51FC">
      <w:pPr>
        <w:numPr>
          <w:ilvl w:val="0"/>
          <w:numId w:val="28"/>
        </w:numPr>
        <w:tabs>
          <w:tab w:val="clear" w:pos="567"/>
          <w:tab w:val="num" w:pos="1134"/>
        </w:tabs>
        <w:ind w:left="1134"/>
      </w:pPr>
      <w:r>
        <w:t xml:space="preserve">учет Советом </w:t>
      </w:r>
      <w:r>
        <w:rPr>
          <w:color w:val="000000"/>
          <w:szCs w:val="24"/>
        </w:rPr>
        <w:t>по регулированию жилищного строительства и землепользования</w:t>
      </w:r>
      <w:r>
        <w:t xml:space="preserve"> изменений в стандартах и нормативах;</w:t>
      </w:r>
      <w:r w:rsidRPr="00927306">
        <w:t xml:space="preserve"> </w:t>
      </w:r>
      <w:r>
        <w:t xml:space="preserve"> и</w:t>
      </w:r>
    </w:p>
    <w:p w:rsidR="00CD51FC" w:rsidRDefault="00CD51FC" w:rsidP="00CD51FC">
      <w:pPr>
        <w:tabs>
          <w:tab w:val="num" w:pos="0"/>
        </w:tabs>
      </w:pPr>
    </w:p>
    <w:p w:rsidR="00CD51FC" w:rsidRDefault="00CD51FC" w:rsidP="00CD51FC">
      <w:pPr>
        <w:numPr>
          <w:ilvl w:val="0"/>
          <w:numId w:val="28"/>
        </w:numPr>
        <w:tabs>
          <w:tab w:val="clear" w:pos="567"/>
          <w:tab w:val="num" w:pos="1134"/>
        </w:tabs>
        <w:ind w:left="1134"/>
      </w:pPr>
      <w:r>
        <w:t>обеспечение Фондом Паг-Ибиг необходимого уровня ликвидности на рынке, позволяющего эффективно функционировать системе жилищного финансирования (включая обеспечение безопасности и гарантий).</w:t>
      </w:r>
    </w:p>
    <w:p w:rsidR="00CD51FC" w:rsidRDefault="00CD51FC" w:rsidP="00CD51FC">
      <w:pPr>
        <w:tabs>
          <w:tab w:val="num" w:pos="0"/>
        </w:tabs>
      </w:pPr>
    </w:p>
    <w:p w:rsidR="00CD51FC" w:rsidRDefault="00CD51FC" w:rsidP="00CD51FC">
      <w:pPr>
        <w:tabs>
          <w:tab w:val="num" w:pos="0"/>
        </w:tabs>
      </w:pPr>
      <w:r>
        <w:t>691.</w:t>
      </w:r>
      <w:r>
        <w:tab/>
        <w:t xml:space="preserve">Удовлетворение жилищных потребностей неофициальных поселенцев позволит:  а)  обеспечить тиражирование многосторонних и эффективных с точки зрения затрат жилищных программ; </w:t>
      </w:r>
      <w:r w:rsidRPr="00E07126">
        <w:t xml:space="preserve"> </w:t>
      </w:r>
      <w:r>
        <w:rPr>
          <w:lang w:val="en-US"/>
        </w:rPr>
        <w:t>b</w:t>
      </w:r>
      <w:r>
        <w:t xml:space="preserve">)  укрепить гарантии земельных прав домохозяйств путем совершенствования процедуры регистрации земельных участков и разработки и принятия новых условий землепользования с учетом фактора доступности;  с)  переселить неофициальных поселенцев, проживающих в опасных районах Метро Манилы, соблюдая при этом принципы справедливости и гуманности;  </w:t>
      </w:r>
      <w:r>
        <w:rPr>
          <w:lang w:val="en-US"/>
        </w:rPr>
        <w:t>d</w:t>
      </w:r>
      <w:r>
        <w:t>)  поддержать жилищные программы, осуществляемые ОМС и частным сектором;  и  е)  создать новые жилые центры в Лусоне, Минданао и на Висайских островах.</w:t>
      </w:r>
    </w:p>
    <w:p w:rsidR="00CD51FC" w:rsidRDefault="00CD51FC" w:rsidP="00CD51FC">
      <w:pPr>
        <w:tabs>
          <w:tab w:val="num" w:pos="0"/>
        </w:tabs>
      </w:pPr>
    </w:p>
    <w:p w:rsidR="00CD51FC" w:rsidRPr="00437825" w:rsidRDefault="00CD51FC" w:rsidP="005A18D3">
      <w:pPr>
        <w:keepNext/>
        <w:tabs>
          <w:tab w:val="num" w:pos="0"/>
        </w:tabs>
        <w:rPr>
          <w:i/>
        </w:rPr>
      </w:pPr>
      <w:r w:rsidRPr="00437825">
        <w:rPr>
          <w:i/>
        </w:rPr>
        <w:t>Программа модернизации жилищного городского фонда</w:t>
      </w:r>
    </w:p>
    <w:p w:rsidR="00CD51FC" w:rsidRDefault="00CD51FC" w:rsidP="005A18D3">
      <w:pPr>
        <w:keepNext/>
        <w:tabs>
          <w:tab w:val="num" w:pos="0"/>
        </w:tabs>
        <w:rPr>
          <w:u w:val="single"/>
        </w:rPr>
      </w:pPr>
    </w:p>
    <w:p w:rsidR="00CD51FC" w:rsidRDefault="00CD51FC" w:rsidP="00CD51FC">
      <w:pPr>
        <w:tabs>
          <w:tab w:val="num" w:pos="0"/>
        </w:tabs>
      </w:pPr>
      <w:r>
        <w:t>692.</w:t>
      </w:r>
      <w:r>
        <w:tab/>
        <w:t>В соответствии со Среднесрочным планом развития Филиппин на 2004-2010 годы программа модернизации жилищного городского фонда будет осуществляться путем предоставления прав собственности неофициальным поселенцам.  В рамках этой программы будет разблокирован "мертвый капитал", т.е. земли, занимаемые неофициальными поселенцами, путем предоставления им прав на эти территории.  Неофициальные поселенцы смогут использовать эти права для мобилизации средств для создания микропредприятий.  Именно этот подход обеспечивает гарантии земельных прав и возможности получения жителями трущоб средств к существованию.</w:t>
      </w:r>
    </w:p>
    <w:p w:rsidR="00CD51FC" w:rsidRDefault="00CD51FC" w:rsidP="00CD51FC">
      <w:pPr>
        <w:tabs>
          <w:tab w:val="num" w:pos="0"/>
        </w:tabs>
      </w:pPr>
    </w:p>
    <w:p w:rsidR="00CD51FC" w:rsidRPr="00437825" w:rsidRDefault="00CD51FC" w:rsidP="00CD51FC">
      <w:pPr>
        <w:tabs>
          <w:tab w:val="num" w:pos="0"/>
        </w:tabs>
        <w:rPr>
          <w:i/>
        </w:rPr>
      </w:pPr>
      <w:r w:rsidRPr="00437825">
        <w:rPr>
          <w:i/>
        </w:rPr>
        <w:t>Устойчивый источник жилищного финансирования</w:t>
      </w:r>
    </w:p>
    <w:p w:rsidR="00CD51FC" w:rsidRDefault="00CD51FC" w:rsidP="00CD51FC">
      <w:pPr>
        <w:tabs>
          <w:tab w:val="num" w:pos="0"/>
        </w:tabs>
        <w:rPr>
          <w:u w:val="single"/>
        </w:rPr>
      </w:pPr>
    </w:p>
    <w:p w:rsidR="00CD51FC" w:rsidRDefault="00CD51FC" w:rsidP="00CD51FC">
      <w:pPr>
        <w:tabs>
          <w:tab w:val="num" w:pos="0"/>
        </w:tabs>
      </w:pPr>
      <w:r>
        <w:t>693.</w:t>
      </w:r>
      <w:r>
        <w:tab/>
        <w:t>Для обеспечения устойчивости жилищного финансирования Корпорация финансирования социального жилья (КФСЖ) должна иметь достаточные ресурсы и полномочия по предоставлению кредитов или выпуску облигаций и осуществлению иных операций по заемному финансированию с целью мобилизации средств для строительства социального жилья.</w:t>
      </w:r>
    </w:p>
    <w:p w:rsidR="00CD51FC" w:rsidRDefault="00CD51FC" w:rsidP="00CD51FC">
      <w:pPr>
        <w:tabs>
          <w:tab w:val="num" w:pos="0"/>
        </w:tabs>
      </w:pPr>
    </w:p>
    <w:p w:rsidR="00CD51FC" w:rsidRPr="00437825" w:rsidRDefault="00CD51FC" w:rsidP="00CD51FC">
      <w:pPr>
        <w:tabs>
          <w:tab w:val="num" w:pos="0"/>
        </w:tabs>
        <w:rPr>
          <w:i/>
        </w:rPr>
      </w:pPr>
      <w:r w:rsidRPr="00437825">
        <w:rPr>
          <w:i/>
        </w:rPr>
        <w:t>Расширение участия частного сектора в финансировании и строительстве социального жилья</w:t>
      </w:r>
    </w:p>
    <w:p w:rsidR="00CD51FC" w:rsidRDefault="00CD51FC" w:rsidP="00CD51FC">
      <w:pPr>
        <w:tabs>
          <w:tab w:val="num" w:pos="0"/>
        </w:tabs>
        <w:rPr>
          <w:u w:val="single"/>
        </w:rPr>
      </w:pPr>
    </w:p>
    <w:p w:rsidR="00CD51FC" w:rsidRDefault="00CD51FC" w:rsidP="00CD51FC">
      <w:pPr>
        <w:tabs>
          <w:tab w:val="num" w:pos="0"/>
        </w:tabs>
      </w:pPr>
      <w:r>
        <w:t>694.</w:t>
      </w:r>
      <w:r>
        <w:tab/>
        <w:t xml:space="preserve">Существует настоятельная необходимость расширить участие частного сектора в строительстве и финансировании социального жилья (т.е. жилищных пакетах стоимостью менее 225 000 филиппинских песо) путем:  а)  создания активного и ликвидного вторичного рынка недвижимости;  </w:t>
      </w:r>
      <w:r>
        <w:rPr>
          <w:lang w:val="en-US"/>
        </w:rPr>
        <w:t>b</w:t>
      </w:r>
      <w:r>
        <w:t xml:space="preserve">)  ускоренной реализации активов и освобождения от "мертвых" долгов в целях мобилизации дополнительных средств для строительства жилья;  с)  рационализации механизма предоставления субсидий на социальное жилье в целях устранения диспропорций и эффективного использования средств;  и  </w:t>
      </w:r>
      <w:r>
        <w:rPr>
          <w:lang w:val="en-US"/>
        </w:rPr>
        <w:t>d</w:t>
      </w:r>
      <w:r w:rsidRPr="00CD174B">
        <w:t>)</w:t>
      </w:r>
      <w:r w:rsidR="00DB4655">
        <w:t>  </w:t>
      </w:r>
      <w:r>
        <w:t>установления стратегических связей с группами клиентов/секторов и частными застройщиками в целях образования совместных предприятий.</w:t>
      </w:r>
    </w:p>
    <w:p w:rsidR="00CD51FC" w:rsidRDefault="00CD51FC" w:rsidP="00CD51FC">
      <w:pPr>
        <w:tabs>
          <w:tab w:val="num" w:pos="0"/>
        </w:tabs>
      </w:pPr>
    </w:p>
    <w:p w:rsidR="00CD51FC" w:rsidRDefault="00CD51FC" w:rsidP="00CD51FC">
      <w:pPr>
        <w:tabs>
          <w:tab w:val="num" w:pos="0"/>
        </w:tabs>
        <w:rPr>
          <w:color w:val="000000"/>
          <w:szCs w:val="24"/>
        </w:rPr>
      </w:pPr>
      <w:r>
        <w:t>695.</w:t>
      </w:r>
      <w:r>
        <w:tab/>
        <w:t xml:space="preserve">Уже давно назрела необходимость в развитии вторичного ипотечного рынка в качестве средства жилищного финансирования.  Необходимо институционализировать "бюджетную" схему амортизации субсидий для социального жилья для обеспечения его доступности, причем такой механизм должен функционировать отдельно от рынка финансирования жилья.  Необходимо также развивать совместные предприятия с участием частного сектора в интересах строительства государственного жилья для неофициального сектора (т.е. для тех, кто является членом </w:t>
      </w:r>
      <w:r>
        <w:rPr>
          <w:color w:val="000000"/>
          <w:szCs w:val="24"/>
        </w:rPr>
        <w:t>ССО, ССГС и ВФЖС) на государственных территориях, отводимых под жилищные цели.  Такой подход изменит роль правительства в жилищном финансировании и позволит более рационально распределить обязанности и риски между другими участниками.</w:t>
      </w:r>
    </w:p>
    <w:p w:rsidR="00CD51FC" w:rsidRDefault="00CD51FC" w:rsidP="00CD51FC">
      <w:pPr>
        <w:tabs>
          <w:tab w:val="num" w:pos="0"/>
        </w:tabs>
        <w:rPr>
          <w:color w:val="000000"/>
          <w:szCs w:val="24"/>
        </w:rPr>
      </w:pPr>
    </w:p>
    <w:p w:rsidR="00CD51FC" w:rsidRPr="00437825" w:rsidRDefault="00CD51FC" w:rsidP="00CD51FC">
      <w:pPr>
        <w:tabs>
          <w:tab w:val="num" w:pos="0"/>
        </w:tabs>
        <w:rPr>
          <w:i/>
          <w:color w:val="000000"/>
          <w:szCs w:val="24"/>
        </w:rPr>
      </w:pPr>
      <w:r w:rsidRPr="00437825">
        <w:rPr>
          <w:i/>
          <w:color w:val="000000"/>
          <w:szCs w:val="24"/>
        </w:rPr>
        <w:t xml:space="preserve">Усиление </w:t>
      </w:r>
      <w:r w:rsidR="00437825">
        <w:rPr>
          <w:i/>
          <w:color w:val="000000"/>
          <w:szCs w:val="24"/>
        </w:rPr>
        <w:t>регулирования жилищной политики</w:t>
      </w:r>
    </w:p>
    <w:p w:rsidR="00CD51FC" w:rsidRDefault="00CD51FC" w:rsidP="00CD51FC">
      <w:pPr>
        <w:tabs>
          <w:tab w:val="num" w:pos="0"/>
        </w:tabs>
        <w:rPr>
          <w:color w:val="000000"/>
          <w:szCs w:val="24"/>
          <w:u w:val="single"/>
        </w:rPr>
      </w:pPr>
    </w:p>
    <w:p w:rsidR="00CD51FC" w:rsidRDefault="00CD51FC" w:rsidP="00CD51FC">
      <w:pPr>
        <w:tabs>
          <w:tab w:val="num" w:pos="0"/>
        </w:tabs>
      </w:pPr>
      <w:r>
        <w:rPr>
          <w:color w:val="000000"/>
          <w:szCs w:val="24"/>
        </w:rPr>
        <w:t>696.</w:t>
      </w:r>
      <w:r>
        <w:rPr>
          <w:color w:val="000000"/>
          <w:szCs w:val="24"/>
        </w:rPr>
        <w:tab/>
        <w:t>В каждом городе и муниципалитете</w:t>
      </w:r>
      <w:r w:rsidRPr="00572235">
        <w:rPr>
          <w:color w:val="000000"/>
          <w:szCs w:val="24"/>
        </w:rPr>
        <w:t xml:space="preserve"> </w:t>
      </w:r>
      <w:r>
        <w:rPr>
          <w:color w:val="000000"/>
          <w:szCs w:val="24"/>
        </w:rPr>
        <w:t>необходимо создать местные советы по жилищным вопросам.  Предлагаемые местные советы будут формулировать, разрабатывать, осуществлять и контролировать жилищную политику, с тем чтобы обеспечивать права лиц, находящихся в неблагоприятном положении, и бездомных соблюдением принципов справедливости и гуманности при выселении и сносе жилья</w:t>
      </w:r>
      <w:r>
        <w:rPr>
          <w:rStyle w:val="FootnoteReference"/>
          <w:szCs w:val="24"/>
        </w:rPr>
        <w:footnoteReference w:id="42"/>
      </w:r>
      <w:r>
        <w:rPr>
          <w:color w:val="000000"/>
          <w:szCs w:val="24"/>
        </w:rPr>
        <w:t>.</w:t>
      </w:r>
    </w:p>
    <w:p w:rsidR="00CD51FC" w:rsidRDefault="00CD51FC" w:rsidP="00CD51FC">
      <w:pPr>
        <w:tabs>
          <w:tab w:val="num" w:pos="0"/>
        </w:tabs>
      </w:pPr>
    </w:p>
    <w:p w:rsidR="00CD51FC" w:rsidRDefault="00CD51FC" w:rsidP="00CD51FC">
      <w:pPr>
        <w:tabs>
          <w:tab w:val="num" w:pos="0"/>
        </w:tabs>
        <w:jc w:val="center"/>
        <w:rPr>
          <w:b/>
          <w:color w:val="000000"/>
          <w:szCs w:val="24"/>
        </w:rPr>
      </w:pPr>
      <w:r w:rsidRPr="0075367B">
        <w:rPr>
          <w:b/>
          <w:color w:val="000000"/>
          <w:szCs w:val="24"/>
        </w:rPr>
        <w:t>Статья 12</w:t>
      </w:r>
    </w:p>
    <w:p w:rsidR="00CD51FC" w:rsidRDefault="00CD51FC" w:rsidP="00CD51FC">
      <w:pPr>
        <w:tabs>
          <w:tab w:val="num" w:pos="0"/>
        </w:tabs>
        <w:jc w:val="center"/>
        <w:rPr>
          <w:b/>
          <w:color w:val="000000"/>
          <w:szCs w:val="24"/>
        </w:rPr>
      </w:pPr>
    </w:p>
    <w:p w:rsidR="00CD51FC" w:rsidRDefault="00CD51FC" w:rsidP="00437825">
      <w:pPr>
        <w:tabs>
          <w:tab w:val="num" w:pos="0"/>
        </w:tabs>
        <w:rPr>
          <w:b/>
          <w:color w:val="000000"/>
          <w:szCs w:val="24"/>
        </w:rPr>
      </w:pPr>
      <w:r w:rsidRPr="0075367B">
        <w:rPr>
          <w:b/>
          <w:color w:val="000000"/>
          <w:szCs w:val="24"/>
        </w:rPr>
        <w:t>Вопрос 1.</w:t>
      </w:r>
      <w:r w:rsidR="00ED7231">
        <w:rPr>
          <w:b/>
          <w:color w:val="000000"/>
          <w:szCs w:val="24"/>
        </w:rPr>
        <w:tab/>
      </w:r>
      <w:r w:rsidRPr="0075367B">
        <w:rPr>
          <w:b/>
          <w:color w:val="000000"/>
          <w:szCs w:val="24"/>
        </w:rPr>
        <w:t>Физическое и психическое здоровье филиппинцев</w:t>
      </w:r>
    </w:p>
    <w:p w:rsidR="00CD51FC" w:rsidRDefault="00CD51FC" w:rsidP="00CD51FC">
      <w:pPr>
        <w:tabs>
          <w:tab w:val="num" w:pos="0"/>
        </w:tabs>
        <w:jc w:val="center"/>
        <w:rPr>
          <w:b/>
          <w:color w:val="000000"/>
          <w:szCs w:val="24"/>
        </w:rPr>
      </w:pPr>
    </w:p>
    <w:p w:rsidR="00CD51FC" w:rsidRPr="00437825" w:rsidRDefault="00CD51FC" w:rsidP="00CD51FC">
      <w:pPr>
        <w:tabs>
          <w:tab w:val="num" w:pos="0"/>
        </w:tabs>
        <w:rPr>
          <w:i/>
          <w:color w:val="000000"/>
          <w:szCs w:val="24"/>
        </w:rPr>
      </w:pPr>
      <w:r w:rsidRPr="00437825">
        <w:rPr>
          <w:i/>
          <w:color w:val="000000"/>
          <w:szCs w:val="24"/>
        </w:rPr>
        <w:t>Положение в области физического здоровья</w:t>
      </w:r>
    </w:p>
    <w:p w:rsidR="00CD51FC" w:rsidRDefault="00CD51FC" w:rsidP="00CD51FC">
      <w:pPr>
        <w:tabs>
          <w:tab w:val="num" w:pos="0"/>
        </w:tabs>
        <w:rPr>
          <w:color w:val="000000"/>
          <w:szCs w:val="24"/>
          <w:u w:val="single"/>
        </w:rPr>
      </w:pPr>
    </w:p>
    <w:p w:rsidR="00CD51FC" w:rsidRDefault="00CD51FC" w:rsidP="00CD51FC">
      <w:pPr>
        <w:tabs>
          <w:tab w:val="num" w:pos="0"/>
        </w:tabs>
        <w:rPr>
          <w:color w:val="000000"/>
          <w:szCs w:val="24"/>
        </w:rPr>
      </w:pPr>
      <w:r>
        <w:rPr>
          <w:color w:val="000000"/>
          <w:szCs w:val="24"/>
        </w:rPr>
        <w:t>697.</w:t>
      </w:r>
      <w:r>
        <w:rPr>
          <w:color w:val="000000"/>
          <w:szCs w:val="24"/>
        </w:rPr>
        <w:tab/>
        <w:t xml:space="preserve">Что касается общего состояния здоровья, то средняя продолжительность жизни среди мужчин 1970 года рождения составляет около 57 лет, а женщин </w:t>
      </w:r>
      <w:r>
        <w:rPr>
          <w:color w:val="000000"/>
          <w:szCs w:val="24"/>
        </w:rPr>
        <w:sym w:font="Symbol" w:char="F02D"/>
      </w:r>
      <w:r>
        <w:rPr>
          <w:color w:val="000000"/>
          <w:szCs w:val="24"/>
        </w:rPr>
        <w:t xml:space="preserve"> около 61 года.  В 1990 году средняя продолжительность жизни увеличилась до 62 лет для мужчин и до 67 лет для женщин.  В 1995 году эти показатели вновь возросли до 64,5 лет для мужчин и 69,7 для женщин (НСКС, 1995 год).  В 1999 году было зарегистрировано дальнейшее повышение возраста средней продолжительности жизни до 68,6 лет.</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698.</w:t>
      </w:r>
      <w:r>
        <w:rPr>
          <w:color w:val="000000"/>
          <w:szCs w:val="24"/>
        </w:rPr>
        <w:tab/>
        <w:t xml:space="preserve">Показатели средней продолжительности жизни значительно варьируются по разным регионам страны.  Самый высокий уровень средней продолжительности жизни отмечается в Центральном Лусоне и Южном Тагалоге, а самый низкий </w:t>
      </w:r>
      <w:r>
        <w:rPr>
          <w:color w:val="000000"/>
          <w:szCs w:val="24"/>
        </w:rPr>
        <w:sym w:font="Symbol" w:char="F02D"/>
      </w:r>
      <w:r>
        <w:rPr>
          <w:color w:val="000000"/>
          <w:szCs w:val="24"/>
        </w:rPr>
        <w:t xml:space="preserve"> в АРММ и в Восточных Висайях.</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699.</w:t>
      </w:r>
      <w:r>
        <w:rPr>
          <w:color w:val="000000"/>
          <w:szCs w:val="24"/>
        </w:rPr>
        <w:tab/>
        <w:t xml:space="preserve">В 1946 году после окончания Второй мировой войны общий коэффициент рождаемости  (ОКР) составлял 28,9% на 1 000 человек.  В следующем году он увеличился до 30,5% и сохранялся на этом уровне до 1950-х годов.  В 1960-х годах было отмечено снижение показателя и в 1972 году он составлял лишь 24,8%.  С 1973 по 1979 год эти показатели стремительно возрастали, и если в 1973 году они составляли всего 26,1% на 1 000 человек, то в 1979 году </w:t>
      </w:r>
      <w:r>
        <w:rPr>
          <w:color w:val="000000"/>
          <w:szCs w:val="24"/>
        </w:rPr>
        <w:sym w:font="Symbol" w:char="F02D"/>
      </w:r>
      <w:r>
        <w:rPr>
          <w:color w:val="000000"/>
          <w:szCs w:val="24"/>
        </w:rPr>
        <w:t xml:space="preserve"> они достигли уже 30,7%.  В период с 1980 и по 1990-е годы отмечалось неуклонное снижение ОКР.  В 1997 году этот коэффициент составлял 28,4%.  В 2002 году он снизился до 25,6%.</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700.</w:t>
      </w:r>
      <w:r>
        <w:rPr>
          <w:color w:val="000000"/>
          <w:szCs w:val="24"/>
        </w:rPr>
        <w:tab/>
        <w:t>В стране было отмечено резкое снижение общего коэффициента смертности (ОКС) с</w:t>
      </w:r>
      <w:r w:rsidR="00DB4655">
        <w:rPr>
          <w:color w:val="000000"/>
          <w:szCs w:val="24"/>
        </w:rPr>
        <w:t> </w:t>
      </w:r>
      <w:r>
        <w:rPr>
          <w:color w:val="000000"/>
          <w:szCs w:val="24"/>
        </w:rPr>
        <w:t>15,1% на 1 000 человек в 1946 году до 7,3% в 1959 году.  С 1960-х по 1990-е годы было отмечено медленное, но стабильное снижение ОКС с 7,8% в 1960 году до 6,1% в 1997 году.  В 2002 году ОКС остался на уровне 6,15% на 1 000 человек.</w:t>
      </w:r>
    </w:p>
    <w:p w:rsidR="00CD51FC" w:rsidRDefault="00CD51FC" w:rsidP="00CD51FC"/>
    <w:p w:rsidR="00CD51FC" w:rsidRDefault="00CD51FC" w:rsidP="00CD51FC">
      <w:pPr>
        <w:tabs>
          <w:tab w:val="num" w:pos="0"/>
        </w:tabs>
        <w:rPr>
          <w:color w:val="000000"/>
          <w:szCs w:val="24"/>
        </w:rPr>
      </w:pPr>
      <w:r>
        <w:rPr>
          <w:color w:val="000000"/>
          <w:szCs w:val="24"/>
        </w:rPr>
        <w:t>701.</w:t>
      </w:r>
      <w:r>
        <w:rPr>
          <w:color w:val="000000"/>
          <w:szCs w:val="24"/>
        </w:rPr>
        <w:tab/>
        <w:t xml:space="preserve">Показатели смертности в разбивке по возрасту довольно высоки среди грудных детей и детей раннего возраста, а к 10 годам отмечается их резкое сокращение.  Начиная с этого возраста уровень смертности остается низким, а затем медленно увеличивается к 40 годам и стремительно возрастает к 50 годам и выше.  В 1993 году этот коэффициент среди мужчин составлял 5,6%, а для женщин </w:t>
      </w:r>
      <w:r>
        <w:rPr>
          <w:color w:val="000000"/>
          <w:szCs w:val="24"/>
        </w:rPr>
        <w:sym w:font="Symbol" w:char="F02D"/>
      </w:r>
      <w:r>
        <w:rPr>
          <w:color w:val="000000"/>
          <w:szCs w:val="24"/>
        </w:rPr>
        <w:t xml:space="preserve"> 3,9%.  Среди мужчин уровень смертности выше: </w:t>
      </w:r>
      <w:r w:rsidR="00ED7231">
        <w:rPr>
          <w:color w:val="000000"/>
          <w:szCs w:val="24"/>
        </w:rPr>
        <w:t xml:space="preserve"> </w:t>
      </w:r>
      <w:r>
        <w:rPr>
          <w:color w:val="000000"/>
          <w:szCs w:val="24"/>
        </w:rPr>
        <w:t>на 100 случаев смерти среди женщин приходится 147 случаев смерти мужчин.</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702.</w:t>
      </w:r>
      <w:r>
        <w:rPr>
          <w:color w:val="000000"/>
          <w:szCs w:val="24"/>
        </w:rPr>
        <w:tab/>
        <w:t>Общий коэффициент фертильности (ОКФ) в 2001 году составил 3,4 ребенка на одну женщину.  Это немного меньше, чем ОКФ за период 1995-1998 годов, который составлял, по оценкам проведенного в 1998 году Национального обследования в области демографии и здоровья (НОДЗ), 3,7 ребенка на одну женщину.  В период 1990-1993 годов ОКФ составлял 4,1 ребенка на одну женщину.  В 2003 году показатель ОКФ был равен 3,5.</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703.</w:t>
      </w:r>
      <w:r>
        <w:rPr>
          <w:color w:val="000000"/>
          <w:szCs w:val="24"/>
        </w:rPr>
        <w:tab/>
        <w:t>Снижение коэффициента младенческой смертности (КМС) в 1980-х годах значительно замедлилось.  После десяти лет, в течение которых уровень смертности почти не сокращался, а смертность среди детей в течение первого года жизни практически не уменьшилась, по последним оценкам, уровень младенческой и детской смертности в период 1990-1995 годов начал сокращаться.  КМС снизился с 56,7% на 1 000 живорождений в 1990 году до 48,9% на 1 000 живорождений в 1995 году, а смертность детей (в возрасте до пяти лет) сократилась с 79,4 на 1 000 детей в 1990 году до</w:t>
      </w:r>
      <w:r w:rsidR="00DB4655">
        <w:rPr>
          <w:color w:val="000000"/>
          <w:szCs w:val="24"/>
        </w:rPr>
        <w:t> </w:t>
      </w:r>
      <w:r>
        <w:rPr>
          <w:color w:val="000000"/>
          <w:szCs w:val="24"/>
        </w:rPr>
        <w:t>66,8 в 1995</w:t>
      </w:r>
      <w:r w:rsidR="00ED7231">
        <w:rPr>
          <w:color w:val="000000"/>
          <w:szCs w:val="24"/>
        </w:rPr>
        <w:t> году</w:t>
      </w:r>
      <w:r>
        <w:rPr>
          <w:color w:val="000000"/>
          <w:szCs w:val="24"/>
        </w:rPr>
        <w:t>.</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704.</w:t>
      </w:r>
      <w:r>
        <w:rPr>
          <w:color w:val="000000"/>
          <w:szCs w:val="24"/>
        </w:rPr>
        <w:tab/>
        <w:t>Значение КМС зависит от социально-экономических и демографических факторов, как это было определено во время НОДЗ 1998 года.  За десятилетний период до проведения обследования КМС в городских районах составлял 30,9, а в сельских районах</w:t>
      </w:r>
      <w:r w:rsidR="00ED7231">
        <w:rPr>
          <w:color w:val="000000"/>
          <w:szCs w:val="24"/>
        </w:rPr>
        <w:t> </w:t>
      </w:r>
      <w:r>
        <w:rPr>
          <w:color w:val="000000"/>
          <w:szCs w:val="24"/>
        </w:rPr>
        <w:sym w:font="Symbol" w:char="F02D"/>
      </w:r>
      <w:r>
        <w:rPr>
          <w:color w:val="000000"/>
          <w:szCs w:val="24"/>
        </w:rPr>
        <w:t xml:space="preserve"> 40,2.  Самый низкий КМС был отмечен в Метро Маниле (23,7), далее следовал Центральный Лусон (23,6) и Западные Висайи (26,0).  Самый высокий КМС был зарегистрирован в трех регионах:  в Восточных Висайях (60,8), АРММ (55,1) и КАРАГЕ (53,2).  Высокие показатели младенческой смертности отмечаются среди детей, матери которых не имеют образования, не обеспечиваются уходом во время беременности и родов и возраст которых не достигает 20 или превышает 40 лет.  КМС также высок среди мальчиков, детей с недостаточным или крайне малым весом, среди детей, рождающихся в семье седьмыми и далее по счету, а также детей, рожденных спустя менее двух лет с момента предыдущих родов.</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705.</w:t>
      </w:r>
      <w:r>
        <w:rPr>
          <w:color w:val="000000"/>
          <w:szCs w:val="24"/>
        </w:rPr>
        <w:tab/>
        <w:t>Согласно данным о показателе материнской смертности (ПМС), в период 1970</w:t>
      </w:r>
      <w:r>
        <w:rPr>
          <w:color w:val="000000"/>
          <w:szCs w:val="24"/>
        </w:rPr>
        <w:noBreakHyphen/>
        <w:t>1995 годов, положение, касающееся уровня здоровья в стране, практически не улучшилось в отличие от других стран Юго-Восточной Азии.  Показатели материнской смертности на Филиппинах составляли 190 на 100 000 живорождений в 1970 году и 179,7 в 1995 году.  В 1995 году Филиппины занимали по этому показателю второе место после Индонезии (312 против 385) и существенно отставали от Малайзии, Японии и Сингапура.</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706.</w:t>
      </w:r>
      <w:r>
        <w:rPr>
          <w:color w:val="000000"/>
          <w:szCs w:val="24"/>
        </w:rPr>
        <w:tab/>
        <w:t xml:space="preserve">В 2000 году ПМС составил 170 на 100 000 живорождений.  Это лишь немногим менее, чем ПМС в период 1991-1997 годов, равный, согласно результатам НОДЗ 1998 года, 172 на 100 000 живорождений.  Результаты НОДЗ, проведенного в 1993 году, показали, что в период 1987-1993 годов ПМС составлял 109 на 100 000 живорождений.  </w:t>
      </w:r>
      <w:r w:rsidRPr="00CA7E3A">
        <w:rPr>
          <w:color w:val="000000"/>
          <w:spacing w:val="-2"/>
          <w:szCs w:val="24"/>
        </w:rPr>
        <w:t>Показатели материнской смертности незначительно сократились в период 1990</w:t>
      </w:r>
      <w:r w:rsidRPr="00CA7E3A">
        <w:rPr>
          <w:color w:val="000000"/>
          <w:spacing w:val="-2"/>
          <w:szCs w:val="24"/>
        </w:rPr>
        <w:noBreakHyphen/>
        <w:t>1995 годов</w:t>
      </w:r>
      <w:r>
        <w:rPr>
          <w:color w:val="000000"/>
          <w:szCs w:val="24"/>
        </w:rPr>
        <w:t xml:space="preserve"> и составили не 209, а 180 на 100 000 живорождений.  Наивысший ПМС зарегистрирован в АРММ и Северном Минданао и самый низкий </w:t>
      </w:r>
      <w:r>
        <w:rPr>
          <w:color w:val="000000"/>
          <w:szCs w:val="24"/>
        </w:rPr>
        <w:sym w:font="Symbol" w:char="F02D"/>
      </w:r>
      <w:r>
        <w:rPr>
          <w:color w:val="000000"/>
          <w:szCs w:val="24"/>
        </w:rPr>
        <w:t xml:space="preserve"> в Национальном столичном районе (НСР) и Южном Тагалоге.</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707.</w:t>
      </w:r>
      <w:r>
        <w:rPr>
          <w:color w:val="000000"/>
          <w:szCs w:val="24"/>
        </w:rPr>
        <w:tab/>
        <w:t>Уровень смертности в связи с беременностью и родами на Филиппинах равен 1 к 100 (</w:t>
      </w:r>
      <w:r w:rsidRPr="00C36CF8">
        <w:rPr>
          <w:i/>
          <w:color w:val="000000"/>
          <w:szCs w:val="24"/>
        </w:rPr>
        <w:t>НСУ, 1998 год</w:t>
      </w:r>
      <w:r>
        <w:rPr>
          <w:color w:val="000000"/>
          <w:szCs w:val="24"/>
        </w:rPr>
        <w:t>).  Материнская смертность составляет менее одного процента от общего показателя смертности по стране, и 14% от общего показателя смертности среди женщин в возрасте от 15 до 49 лет.</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708.</w:t>
      </w:r>
      <w:r>
        <w:rPr>
          <w:color w:val="000000"/>
          <w:szCs w:val="24"/>
        </w:rPr>
        <w:tab/>
        <w:t>Уровни КМС и ПМС во многом отличаются в зависимости от провинции.  Например, в 1990 и 1995 годах в пяти провинциях с наивысшим уровнем смертности показатели младенческой смертности в два раза превышали показатели пяти провинций с</w:t>
      </w:r>
      <w:r w:rsidR="00DB4655">
        <w:rPr>
          <w:color w:val="000000"/>
          <w:szCs w:val="24"/>
        </w:rPr>
        <w:t> </w:t>
      </w:r>
      <w:r>
        <w:rPr>
          <w:color w:val="000000"/>
          <w:szCs w:val="24"/>
        </w:rPr>
        <w:t>самым низким уровнем смертности.  Уровень материнской смертности в разных провинциях также неодинаков.  В 1995 году в пяти провинциях с наивысшим уровнем смертности показатели материнской смертности были в два раза выше, чем соответствующие показатели в провинциях с самым низким уровнем смертности.</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709.</w:t>
      </w:r>
      <w:r>
        <w:rPr>
          <w:color w:val="000000"/>
          <w:szCs w:val="24"/>
        </w:rPr>
        <w:tab/>
        <w:t xml:space="preserve">Несмотря на прогресс, достигнутый в области борьбы с инфекционными заболеваниями, такие болезни, как пневмония, туберкулез и диарея, </w:t>
      </w:r>
      <w:r w:rsidRPr="0085262F">
        <w:rPr>
          <w:color w:val="000000"/>
          <w:szCs w:val="24"/>
        </w:rPr>
        <w:t>по-прежнему</w:t>
      </w:r>
      <w:r>
        <w:rPr>
          <w:color w:val="000000"/>
          <w:szCs w:val="24"/>
        </w:rPr>
        <w:t xml:space="preserve"> являются основными причинами смерти во всех возрастных категориях, составляя 21%.  Наряду с сохраняющейся актуальностью проблемы инфекционных заболеваний, все большее значение в качестве причин смерти приобретают хронические заболевания.</w:t>
      </w:r>
      <w:r w:rsidR="00DB4655">
        <w:rPr>
          <w:color w:val="000000"/>
          <w:szCs w:val="24"/>
        </w:rPr>
        <w:br/>
      </w:r>
      <w:r>
        <w:rPr>
          <w:color w:val="000000"/>
          <w:szCs w:val="24"/>
        </w:rPr>
        <w:t>К их числу относятся болезни сердечно-сосудистой системы и злокачественные новообразования, составляя 30% всех зарегистрированных случаев смерти.</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710.</w:t>
      </w:r>
      <w:r>
        <w:rPr>
          <w:color w:val="000000"/>
          <w:szCs w:val="24"/>
        </w:rPr>
        <w:tab/>
        <w:t xml:space="preserve">Со времени первого случая вируса иммунодефицита человека/синдрома приобретенного иммунодефицита (ВИЧ/СПИДа), зарегистрированного в 1984 году, эпидемия ВИЧ/СПИДА прогрессировала довольно медленно.  По состоянию на май </w:t>
      </w:r>
      <w:r w:rsidRPr="0099455D">
        <w:rPr>
          <w:color w:val="000000"/>
          <w:szCs w:val="24"/>
        </w:rPr>
        <w:t>2004 года</w:t>
      </w:r>
      <w:r>
        <w:rPr>
          <w:color w:val="000000"/>
          <w:szCs w:val="24"/>
        </w:rPr>
        <w:t>, согласно данным Национального эпидемиологического центра по ВИЧ/СПИДу, в общей сложности было выявлено 2 073 серопозитивных носителя ВИЧ/</w:t>
      </w:r>
      <w:r>
        <w:rPr>
          <w:color w:val="000000"/>
          <w:szCs w:val="24"/>
          <w:lang w:val="en-US"/>
        </w:rPr>
        <w:t>Ab</w:t>
      </w:r>
      <w:r>
        <w:rPr>
          <w:color w:val="000000"/>
          <w:szCs w:val="24"/>
        </w:rPr>
        <w:t>, 4% которых не достигли 19-летнего возраста.</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711.</w:t>
      </w:r>
      <w:r>
        <w:rPr>
          <w:color w:val="000000"/>
          <w:szCs w:val="24"/>
        </w:rPr>
        <w:tab/>
        <w:t>Случаи заражения ВИЧ-инфекцией отмечены во всех регионах страны, хотя, как представляется, основными очагами инфекции являются городские районы Лусона, Минданао и Висайских островов.  Основным способом передачи инфекции являются половые связи (86% всех случаев заражения).  Передача заболевания от матери к ребенку и другие способы заражения:  например</w:t>
      </w:r>
      <w:r w:rsidR="00CA7E3A">
        <w:rPr>
          <w:color w:val="000000"/>
          <w:szCs w:val="24"/>
        </w:rPr>
        <w:t>,</w:t>
      </w:r>
      <w:r>
        <w:rPr>
          <w:color w:val="000000"/>
          <w:szCs w:val="24"/>
        </w:rPr>
        <w:t xml:space="preserve"> через кровь и продукты на основе крови, использованные шприцы и внутривенное введение наркотиков, составляют меньшую долю от общего числа заражений.</w:t>
      </w:r>
    </w:p>
    <w:p w:rsidR="00CD51FC" w:rsidRPr="00437825" w:rsidRDefault="00CD51FC" w:rsidP="00CD51FC">
      <w:pPr>
        <w:tabs>
          <w:tab w:val="num" w:pos="0"/>
        </w:tabs>
        <w:rPr>
          <w:i/>
          <w:color w:val="000000"/>
          <w:szCs w:val="24"/>
        </w:rPr>
      </w:pPr>
    </w:p>
    <w:p w:rsidR="00CD51FC" w:rsidRPr="00437825" w:rsidRDefault="00CD51FC" w:rsidP="00CD51FC">
      <w:pPr>
        <w:tabs>
          <w:tab w:val="num" w:pos="0"/>
        </w:tabs>
        <w:rPr>
          <w:i/>
          <w:color w:val="000000"/>
          <w:szCs w:val="24"/>
        </w:rPr>
      </w:pPr>
      <w:r w:rsidRPr="00437825">
        <w:rPr>
          <w:i/>
          <w:color w:val="000000"/>
          <w:szCs w:val="24"/>
        </w:rPr>
        <w:t xml:space="preserve">Положение </w:t>
      </w:r>
      <w:r w:rsidR="00437825">
        <w:rPr>
          <w:i/>
          <w:color w:val="000000"/>
          <w:szCs w:val="24"/>
        </w:rPr>
        <w:t>в области психического здоровья</w:t>
      </w:r>
    </w:p>
    <w:p w:rsidR="00CD51FC" w:rsidRDefault="00CD51FC" w:rsidP="00CD51FC">
      <w:pPr>
        <w:tabs>
          <w:tab w:val="num" w:pos="0"/>
        </w:tabs>
        <w:rPr>
          <w:color w:val="000000"/>
          <w:szCs w:val="24"/>
          <w:u w:val="single"/>
        </w:rPr>
      </w:pPr>
    </w:p>
    <w:p w:rsidR="00CD51FC" w:rsidRDefault="00CD51FC" w:rsidP="00CD51FC">
      <w:pPr>
        <w:tabs>
          <w:tab w:val="num" w:pos="0"/>
        </w:tabs>
        <w:rPr>
          <w:color w:val="000000"/>
          <w:szCs w:val="24"/>
        </w:rPr>
      </w:pPr>
      <w:r>
        <w:rPr>
          <w:color w:val="000000"/>
          <w:szCs w:val="24"/>
        </w:rPr>
        <w:t>712.</w:t>
      </w:r>
      <w:r>
        <w:rPr>
          <w:color w:val="000000"/>
          <w:szCs w:val="24"/>
        </w:rPr>
        <w:tab/>
        <w:t xml:space="preserve">Показатели психических заболеваний и расстройств достаточно высоки, а государственные средства на их лечение ограничены.  Совместные исследования в области охраны психического здоровья в рамках общей системы медицинского обслуживания, проведенные ВОЗ в 1980 году, показали, что у 17% взрослого населения и 16 % детей, прошедших обследование в трех медицинских центрах в Сампалоке, Манила, были выявлены нарушения здоровья.  У взрослых наиболее часто выявляют депрессивную реакцию, а у детей </w:t>
      </w:r>
      <w:r>
        <w:rPr>
          <w:color w:val="000000"/>
          <w:szCs w:val="24"/>
        </w:rPr>
        <w:sym w:font="Symbol" w:char="F02D"/>
      </w:r>
      <w:r>
        <w:rPr>
          <w:color w:val="000000"/>
          <w:szCs w:val="24"/>
        </w:rPr>
        <w:t xml:space="preserve"> адаптационный синдром Селье.  В Сапанг Палае, Сан Хосе дель Монте, Булакан, показатели шизофрении среди взрослых в 1988-1989 годах составляли 12 случаев на 1 000 человек.</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713.</w:t>
      </w:r>
      <w:r>
        <w:rPr>
          <w:color w:val="000000"/>
          <w:szCs w:val="24"/>
        </w:rPr>
        <w:tab/>
        <w:t>В ходе обследования Района 6 (Илойло, Западный Негрос и Антике), проведенного в</w:t>
      </w:r>
      <w:r w:rsidR="00DB4655">
        <w:rPr>
          <w:color w:val="000000"/>
          <w:szCs w:val="24"/>
        </w:rPr>
        <w:t> </w:t>
      </w:r>
      <w:r>
        <w:rPr>
          <w:color w:val="000000"/>
          <w:szCs w:val="24"/>
        </w:rPr>
        <w:t xml:space="preserve">1993-1994 годах, были выявлены следующие психические расстройства:  психоз (4,3%), патологическое состояние тревоги (14,3%), состояние панического страха (5,6%).  Среди детей и подростков наиболее распространены следующие пять видов психических расстройств:  энурез (9,3%), речевые и языковые нарушения (3,9%), умственная отсталость (93,7%), адаптационный синдром (2,4%) и нервное расстройство (1,1%). </w:t>
      </w:r>
    </w:p>
    <w:p w:rsidR="003D65F8" w:rsidRPr="00CD51FC" w:rsidRDefault="003D65F8" w:rsidP="003D65F8"/>
    <w:p w:rsidR="00CD51FC" w:rsidRDefault="00CD51FC" w:rsidP="00CD51FC">
      <w:pPr>
        <w:tabs>
          <w:tab w:val="num" w:pos="0"/>
        </w:tabs>
        <w:rPr>
          <w:color w:val="000000"/>
          <w:szCs w:val="24"/>
        </w:rPr>
      </w:pPr>
      <w:r>
        <w:rPr>
          <w:color w:val="000000"/>
          <w:szCs w:val="24"/>
        </w:rPr>
        <w:t>714.</w:t>
      </w:r>
      <w:r>
        <w:rPr>
          <w:color w:val="000000"/>
          <w:szCs w:val="24"/>
        </w:rPr>
        <w:tab/>
        <w:t>По данным МСОР, в 2001 году в общей сложности 2 172 умственно отсталых, психически больных и нищенствующих лиц были помещены в специализированные учреждения в целях лечения и реабилитации.</w:t>
      </w:r>
    </w:p>
    <w:p w:rsidR="00CD51FC" w:rsidRDefault="00CD51FC" w:rsidP="00CD51FC">
      <w:pPr>
        <w:tabs>
          <w:tab w:val="num" w:pos="0"/>
        </w:tabs>
        <w:rPr>
          <w:color w:val="000000"/>
          <w:szCs w:val="24"/>
        </w:rPr>
      </w:pPr>
    </w:p>
    <w:p w:rsidR="00CD51FC" w:rsidRDefault="00CD51FC" w:rsidP="00CD51FC">
      <w:pPr>
        <w:tabs>
          <w:tab w:val="num" w:pos="0"/>
        </w:tabs>
        <w:rPr>
          <w:b/>
          <w:color w:val="000000"/>
          <w:szCs w:val="24"/>
        </w:rPr>
      </w:pPr>
      <w:r w:rsidRPr="00F94C1F">
        <w:rPr>
          <w:b/>
          <w:color w:val="000000"/>
          <w:szCs w:val="24"/>
        </w:rPr>
        <w:t>Вопрос 2.</w:t>
      </w:r>
      <w:r w:rsidR="00437825">
        <w:rPr>
          <w:b/>
          <w:color w:val="000000"/>
          <w:szCs w:val="24"/>
        </w:rPr>
        <w:tab/>
      </w:r>
      <w:r w:rsidRPr="00F94C1F">
        <w:rPr>
          <w:b/>
          <w:color w:val="000000"/>
          <w:szCs w:val="24"/>
        </w:rPr>
        <w:t>Национальная политика в области здравоохранения</w:t>
      </w:r>
    </w:p>
    <w:p w:rsidR="00CD51FC" w:rsidRDefault="00CD51FC" w:rsidP="00CD51FC">
      <w:pPr>
        <w:tabs>
          <w:tab w:val="num" w:pos="0"/>
        </w:tabs>
        <w:rPr>
          <w:b/>
          <w:color w:val="000000"/>
          <w:szCs w:val="24"/>
        </w:rPr>
      </w:pPr>
    </w:p>
    <w:p w:rsidR="00CD51FC" w:rsidRDefault="00CD51FC" w:rsidP="00CD51FC">
      <w:pPr>
        <w:tabs>
          <w:tab w:val="num" w:pos="0"/>
        </w:tabs>
        <w:rPr>
          <w:color w:val="000000"/>
          <w:szCs w:val="24"/>
        </w:rPr>
      </w:pPr>
      <w:r>
        <w:rPr>
          <w:color w:val="000000"/>
          <w:szCs w:val="24"/>
        </w:rPr>
        <w:t>715.</w:t>
      </w:r>
      <w:r>
        <w:rPr>
          <w:color w:val="000000"/>
          <w:szCs w:val="24"/>
        </w:rPr>
        <w:tab/>
        <w:t>Конституция Филиппин 1987 года предусматривает право каждого гражданина Филиппин на здоровье и обязанность государства обеспечивать соблюдение этого права для всех и уделять особое внимание потребностям лиц, находящихся в неблагоприятном положении, больных, пожилых, женщин и детей.</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716.</w:t>
      </w:r>
      <w:r>
        <w:rPr>
          <w:color w:val="000000"/>
          <w:szCs w:val="24"/>
        </w:rPr>
        <w:tab/>
        <w:t>После Международной конференции по первичной медико-санитарной помощи, состоявшейся в Алма-Ате в 1978 году, на Филиппинах была разработана стратегическая программа первичной медицинской помощи</w:t>
      </w:r>
      <w:r w:rsidRPr="00C926FF">
        <w:rPr>
          <w:color w:val="000000"/>
          <w:szCs w:val="24"/>
        </w:rPr>
        <w:t xml:space="preserve"> </w:t>
      </w:r>
      <w:r>
        <w:rPr>
          <w:color w:val="000000"/>
          <w:szCs w:val="24"/>
        </w:rPr>
        <w:t>(ПМП), основанная на предоставлении неотложных медицинских услуг.</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717.</w:t>
      </w:r>
      <w:r>
        <w:rPr>
          <w:color w:val="000000"/>
          <w:szCs w:val="24"/>
        </w:rPr>
        <w:tab/>
        <w:t>В 1993 году приверженность правительства принципам ПМП была подтверждена принятием министерством здравоохранения Административного постановления № 11, законодательная серия 1993 года, которое закрепляет ПМП в качестве ключевой стратегии в правительственной программе здравоохранения.  Общинным службам здравоохранения отводится центральная роль в осуществлении стратегии ПМП.</w:t>
      </w:r>
    </w:p>
    <w:p w:rsidR="00CD51FC" w:rsidRDefault="00CD51FC" w:rsidP="00CD51FC">
      <w:pPr>
        <w:tabs>
          <w:tab w:val="num" w:pos="0"/>
        </w:tabs>
        <w:rPr>
          <w:color w:val="000000"/>
          <w:szCs w:val="24"/>
        </w:rPr>
      </w:pPr>
    </w:p>
    <w:p w:rsidR="00CD51FC" w:rsidRDefault="00CD51FC" w:rsidP="00CD51FC">
      <w:pPr>
        <w:tabs>
          <w:tab w:val="num" w:pos="0"/>
        </w:tabs>
        <w:rPr>
          <w:color w:val="000000"/>
          <w:szCs w:val="24"/>
        </w:rPr>
      </w:pPr>
      <w:r>
        <w:rPr>
          <w:color w:val="000000"/>
          <w:szCs w:val="24"/>
        </w:rPr>
        <w:t>718.</w:t>
      </w:r>
      <w:r>
        <w:rPr>
          <w:color w:val="000000"/>
          <w:szCs w:val="24"/>
        </w:rPr>
        <w:tab/>
        <w:t>За последние 25 лет можно отметить следующие значительные события в системе здравоохранения Филиппин:  принятие в 1979 году подхода, основанного на ПМП;  осуществление государственной политики в области здравоохранения в соответствии с принципами ПМП в 1981 году;  объединение системы общественного здравоохранения и стационарного обслуживания в 1983 году в соответствии с ИП 851;  реорганизация министерства здравоохранения в 1987 году в соответствии с ИП 199;  и передача полномочий в области здравоохранения местным органам самоуправления в 1992 году на основании РЗ 7160.</w:t>
      </w:r>
    </w:p>
    <w:p w:rsidR="00CD51FC" w:rsidRDefault="00CD51FC" w:rsidP="00CD51FC">
      <w:pPr>
        <w:tabs>
          <w:tab w:val="num" w:pos="0"/>
        </w:tabs>
        <w:rPr>
          <w:color w:val="000000"/>
          <w:szCs w:val="24"/>
        </w:rPr>
      </w:pPr>
    </w:p>
    <w:p w:rsidR="00CD51FC" w:rsidRDefault="00CD51FC" w:rsidP="005A18D3">
      <w:pPr>
        <w:tabs>
          <w:tab w:val="num" w:pos="0"/>
        </w:tabs>
        <w:spacing w:line="276" w:lineRule="auto"/>
        <w:rPr>
          <w:color w:val="000000"/>
          <w:szCs w:val="24"/>
        </w:rPr>
      </w:pPr>
      <w:r>
        <w:rPr>
          <w:color w:val="000000"/>
          <w:szCs w:val="24"/>
        </w:rPr>
        <w:t>719.</w:t>
      </w:r>
      <w:r>
        <w:rPr>
          <w:color w:val="000000"/>
          <w:szCs w:val="24"/>
        </w:rPr>
        <w:tab/>
        <w:t xml:space="preserve">Особого внимания заслуживает РЗ 7160, который предусматривает передачу полномочий по предоставлению основных медицинских услуг и обеспечению функционирования местных лечебных учреждений в ведение местных органов в </w:t>
      </w:r>
      <w:r>
        <w:t>провинциях, городах и муниципалитетах.  Каждый такой орган отвечает за предоставление минимального набора медицинских услуг в соответствии с установленной национальной политикой, руководящими принципами и нормами.  С переходом полномочий в сфере здравоохранения в ведение местных органов власти к ним также перешли важные функции, которые ранее входили в компетенцию МЗ</w:t>
      </w:r>
      <w:r w:rsidR="0084157D">
        <w:rPr>
          <w:rStyle w:val="FootnoteReference"/>
        </w:rPr>
        <w:footnoteReference w:id="43"/>
      </w:r>
      <w:r>
        <w:t xml:space="preserve">. </w:t>
      </w:r>
    </w:p>
    <w:p w:rsidR="00CD51FC" w:rsidRDefault="00CD51FC" w:rsidP="00CD51FC">
      <w:pPr>
        <w:tabs>
          <w:tab w:val="num" w:pos="0"/>
        </w:tabs>
        <w:rPr>
          <w:color w:val="000000"/>
          <w:szCs w:val="24"/>
        </w:rPr>
      </w:pPr>
    </w:p>
    <w:p w:rsidR="00CD51FC" w:rsidRDefault="005A18D3" w:rsidP="005A18D3">
      <w:pPr>
        <w:tabs>
          <w:tab w:val="num" w:pos="0"/>
        </w:tabs>
        <w:spacing w:line="276" w:lineRule="auto"/>
      </w:pPr>
      <w:r>
        <w:t>720.</w:t>
      </w:r>
      <w:r>
        <w:tab/>
      </w:r>
      <w:r w:rsidR="00CD51FC">
        <w:t xml:space="preserve">Хотя </w:t>
      </w:r>
      <w:r w:rsidR="00CD51FC" w:rsidRPr="005A18D3">
        <w:rPr>
          <w:color w:val="000000"/>
          <w:szCs w:val="24"/>
        </w:rPr>
        <w:t>предоставление</w:t>
      </w:r>
      <w:r w:rsidR="00CD51FC">
        <w:t xml:space="preserve"> базовых медицинских услуг было отнесено к ведению органов местного </w:t>
      </w:r>
      <w:r w:rsidR="00CD51FC" w:rsidRPr="005A18D3">
        <w:rPr>
          <w:color w:val="000000"/>
          <w:szCs w:val="24"/>
        </w:rPr>
        <w:t>самоуправления</w:t>
      </w:r>
      <w:r w:rsidR="00CD51FC">
        <w:t xml:space="preserve">, МЗ остается основным органом в секторе здравоохранения, ответственным за  совместную деятельность всех сторон в деле поощрения здорового образа жизни и предотвращения заболеваний.  МЗ занимается разработкой и реализацией национальной политики, норм и правил в области здравоохранения.  </w:t>
      </w:r>
    </w:p>
    <w:p w:rsidR="00CD51FC" w:rsidRDefault="00CD51FC" w:rsidP="00CD51FC">
      <w:pPr>
        <w:tabs>
          <w:tab w:val="clear" w:pos="567"/>
          <w:tab w:val="clear" w:pos="1134"/>
          <w:tab w:val="clear" w:pos="1701"/>
          <w:tab w:val="clear" w:pos="2268"/>
          <w:tab w:val="clear" w:pos="6237"/>
        </w:tabs>
      </w:pPr>
    </w:p>
    <w:p w:rsidR="00CD51FC" w:rsidRDefault="005A18D3" w:rsidP="005A18D3">
      <w:pPr>
        <w:tabs>
          <w:tab w:val="num" w:pos="0"/>
        </w:tabs>
        <w:spacing w:line="276" w:lineRule="auto"/>
      </w:pPr>
      <w:r>
        <w:t>721.</w:t>
      </w:r>
      <w:r>
        <w:tab/>
      </w:r>
      <w:r w:rsidR="00CD51FC">
        <w:t xml:space="preserve">В 1999 году МЗ </w:t>
      </w:r>
      <w:r w:rsidR="00CD51FC" w:rsidRPr="005A18D3">
        <w:rPr>
          <w:color w:val="000000"/>
          <w:szCs w:val="24"/>
        </w:rPr>
        <w:t>приняло</w:t>
      </w:r>
      <w:r w:rsidR="00CD51FC">
        <w:t xml:space="preserve"> решительные меры в целях улучшения показателей системы здравоохранения за счет повышения качества предоставляемых услуг и финансирования.  Эта программа, широко известная как </w:t>
      </w:r>
      <w:r w:rsidR="00CD51FC" w:rsidRPr="00AA74E4">
        <w:rPr>
          <w:i/>
        </w:rPr>
        <w:t>Программа реформирования системы здравоохранения</w:t>
      </w:r>
      <w:r w:rsidR="00CD51FC">
        <w:t xml:space="preserve"> (ПРСЗ), предусматривает пять основных направлений:  а)  предоставление финансовой автономии государственным больницам;  </w:t>
      </w:r>
      <w:r w:rsidR="00CD51FC">
        <w:rPr>
          <w:lang w:val="en-US"/>
        </w:rPr>
        <w:t>b</w:t>
      </w:r>
      <w:r w:rsidR="00CD51FC">
        <w:t xml:space="preserve">)   финансирование первоочередных программ системы государственного здравоохранения;  с)  поощрение развития местных систем охраны здоровья и повышения их эффективности;  </w:t>
      </w:r>
      <w:r w:rsidR="00CD51FC">
        <w:rPr>
          <w:lang w:val="en-US"/>
        </w:rPr>
        <w:t>d</w:t>
      </w:r>
      <w:r w:rsidR="00CD51FC">
        <w:t>)  укрепление потенциала учреждений, регулирующих вопросы медицинского обслуживания;  и е)  расширение охвата Программы государственного медицинского страхования (ПГМС)</w:t>
      </w:r>
      <w:r w:rsidR="0084157D">
        <w:rPr>
          <w:rStyle w:val="FootnoteReference"/>
        </w:rPr>
        <w:footnoteReference w:id="44"/>
      </w:r>
      <w:r w:rsidR="00CD51FC" w:rsidRPr="004A01A4">
        <w:t>.</w:t>
      </w:r>
    </w:p>
    <w:p w:rsidR="00CD51FC" w:rsidRDefault="00CD51FC" w:rsidP="00CD51FC">
      <w:pPr>
        <w:tabs>
          <w:tab w:val="clear" w:pos="567"/>
          <w:tab w:val="clear" w:pos="1134"/>
          <w:tab w:val="clear" w:pos="1701"/>
          <w:tab w:val="clear" w:pos="2268"/>
          <w:tab w:val="clear" w:pos="6237"/>
        </w:tabs>
      </w:pPr>
    </w:p>
    <w:p w:rsidR="00CD51FC" w:rsidRDefault="005A18D3" w:rsidP="005A18D3">
      <w:pPr>
        <w:tabs>
          <w:tab w:val="num" w:pos="0"/>
        </w:tabs>
      </w:pPr>
      <w:r>
        <w:t>722.</w:t>
      </w:r>
      <w:r>
        <w:tab/>
      </w:r>
      <w:r w:rsidR="00CD51FC">
        <w:t>В 1992 году в ответ на распространение ВИЧ/СПИДа правительством было принято Исполнительное постановление № 39, предусматривающее создание Национального совета Филиппин по борьбе со СПИДом (НСБС).  В соответствии с ИО 39 НСБС уполномочен "</w:t>
      </w:r>
      <w:r w:rsidR="00CD51FC" w:rsidRPr="005A18D3">
        <w:rPr>
          <w:color w:val="000000"/>
          <w:szCs w:val="24"/>
        </w:rPr>
        <w:t>консультировать</w:t>
      </w:r>
      <w:r w:rsidR="00CD51FC">
        <w:t xml:space="preserve"> президента Республики Филиппин относительно разработки политики предотвращения и профилактики СПИДа…".  НСБС также служит местом проведения интенсивных дискуссий между правительством и НПО по вопросам формирования политики.</w:t>
      </w:r>
    </w:p>
    <w:p w:rsidR="00CD51FC" w:rsidRDefault="00CD51FC" w:rsidP="00CD51FC">
      <w:pPr>
        <w:tabs>
          <w:tab w:val="clear" w:pos="567"/>
          <w:tab w:val="clear" w:pos="1134"/>
          <w:tab w:val="clear" w:pos="1701"/>
          <w:tab w:val="clear" w:pos="2268"/>
          <w:tab w:val="clear" w:pos="6237"/>
        </w:tabs>
      </w:pPr>
    </w:p>
    <w:p w:rsidR="00CD51FC" w:rsidRDefault="005A18D3" w:rsidP="005A18D3">
      <w:pPr>
        <w:tabs>
          <w:tab w:val="num" w:pos="0"/>
        </w:tabs>
      </w:pPr>
      <w:r>
        <w:t>723.</w:t>
      </w:r>
      <w:r>
        <w:tab/>
      </w:r>
      <w:r w:rsidR="00CD51FC">
        <w:t xml:space="preserve">Ниже </w:t>
      </w:r>
      <w:r w:rsidR="00CD51FC" w:rsidRPr="005A18D3">
        <w:rPr>
          <w:color w:val="000000"/>
          <w:szCs w:val="24"/>
        </w:rPr>
        <w:t>перечислены</w:t>
      </w:r>
      <w:r w:rsidR="00CD51FC">
        <w:t xml:space="preserve"> другие акты законодательных и исполнительных органов:</w:t>
      </w:r>
    </w:p>
    <w:p w:rsidR="00CD51FC" w:rsidRDefault="00CD51FC" w:rsidP="00CD51FC">
      <w:pPr>
        <w:tabs>
          <w:tab w:val="clear" w:pos="567"/>
          <w:tab w:val="clear" w:pos="1134"/>
          <w:tab w:val="clear" w:pos="1701"/>
          <w:tab w:val="clear" w:pos="2268"/>
          <w:tab w:val="clear" w:pos="6237"/>
        </w:tabs>
      </w:pPr>
    </w:p>
    <w:p w:rsidR="00CD51FC" w:rsidRDefault="005A18D3" w:rsidP="005A18D3">
      <w:pPr>
        <w:tabs>
          <w:tab w:val="num" w:pos="0"/>
        </w:tabs>
      </w:pPr>
      <w:r>
        <w:t>724.</w:t>
      </w:r>
      <w:r>
        <w:tab/>
      </w:r>
      <w:r w:rsidR="00CD51FC">
        <w:t xml:space="preserve">Республиканский </w:t>
      </w:r>
      <w:r w:rsidR="001A05E9">
        <w:t>з</w:t>
      </w:r>
      <w:r w:rsidR="00CD51FC">
        <w:t xml:space="preserve">акон № 6675, </w:t>
      </w:r>
      <w:r w:rsidR="00CD51FC" w:rsidRPr="007E25A5">
        <w:rPr>
          <w:i/>
        </w:rPr>
        <w:t>Закон о</w:t>
      </w:r>
      <w:r w:rsidR="00CD51FC">
        <w:rPr>
          <w:i/>
        </w:rPr>
        <w:t xml:space="preserve"> лекарственных препаратах </w:t>
      </w:r>
      <w:r w:rsidR="00CD51FC" w:rsidRPr="007E25A5">
        <w:rPr>
          <w:i/>
        </w:rPr>
        <w:t>1988 года</w:t>
      </w:r>
      <w:r w:rsidR="00CD51FC">
        <w:t xml:space="preserve">, который </w:t>
      </w:r>
      <w:r w:rsidR="00CD51FC" w:rsidRPr="005A18D3">
        <w:rPr>
          <w:color w:val="000000"/>
          <w:szCs w:val="24"/>
        </w:rPr>
        <w:t>предусматривает</w:t>
      </w:r>
      <w:r w:rsidR="00CD51FC">
        <w:t xml:space="preserve"> использование общей маркировки при импорте, производстве, распространении, продаже, рекламировании и пропаганде, а также выписке и выдаче лекарственных препаратов.</w:t>
      </w:r>
    </w:p>
    <w:p w:rsidR="00CD51FC" w:rsidRDefault="00CD51FC" w:rsidP="00CD51FC">
      <w:pPr>
        <w:tabs>
          <w:tab w:val="clear" w:pos="567"/>
          <w:tab w:val="clear" w:pos="1134"/>
          <w:tab w:val="clear" w:pos="1701"/>
          <w:tab w:val="clear" w:pos="2268"/>
          <w:tab w:val="clear" w:pos="6237"/>
        </w:tabs>
      </w:pPr>
    </w:p>
    <w:p w:rsidR="00CD51FC" w:rsidRDefault="005A18D3" w:rsidP="005A18D3">
      <w:pPr>
        <w:tabs>
          <w:tab w:val="num" w:pos="0"/>
        </w:tabs>
      </w:pPr>
      <w:r>
        <w:t>725.</w:t>
      </w:r>
      <w:r>
        <w:tab/>
      </w:r>
      <w:r w:rsidR="00CD51FC">
        <w:t xml:space="preserve">Республиканский </w:t>
      </w:r>
      <w:r w:rsidR="001A05E9">
        <w:t>з</w:t>
      </w:r>
      <w:r w:rsidR="00CD51FC">
        <w:t xml:space="preserve">акон № 6972, </w:t>
      </w:r>
      <w:r w:rsidR="00CD51FC" w:rsidRPr="00BF04B0">
        <w:rPr>
          <w:i/>
        </w:rPr>
        <w:t>Закон баранга</w:t>
      </w:r>
      <w:r w:rsidR="00CD51FC">
        <w:rPr>
          <w:i/>
        </w:rPr>
        <w:t>ев</w:t>
      </w:r>
      <w:r w:rsidR="00CD51FC" w:rsidRPr="00BF04B0">
        <w:rPr>
          <w:i/>
        </w:rPr>
        <w:t xml:space="preserve"> об общем развитии системы </w:t>
      </w:r>
      <w:r w:rsidR="00CD51FC" w:rsidRPr="001A05E9">
        <w:rPr>
          <w:i/>
          <w:color w:val="000000"/>
          <w:szCs w:val="24"/>
        </w:rPr>
        <w:t>здравоохранения</w:t>
      </w:r>
      <w:r w:rsidR="00CD51FC" w:rsidRPr="001A05E9">
        <w:rPr>
          <w:i/>
        </w:rPr>
        <w:t xml:space="preserve"> </w:t>
      </w:r>
      <w:r w:rsidR="00CD51FC" w:rsidRPr="00BF04B0">
        <w:rPr>
          <w:i/>
        </w:rPr>
        <w:t>и защите детей</w:t>
      </w:r>
      <w:r w:rsidR="00CD51FC">
        <w:t>, предусматривает создание на уровне деревень лечебно-диагностических медицинских учреждений для ухода за беременными, принятия родов и послеродового ухода.</w:t>
      </w:r>
    </w:p>
    <w:p w:rsidR="00CD51FC" w:rsidRDefault="00CD51FC" w:rsidP="00CD51FC">
      <w:pPr>
        <w:tabs>
          <w:tab w:val="clear" w:pos="567"/>
          <w:tab w:val="clear" w:pos="1134"/>
          <w:tab w:val="clear" w:pos="1701"/>
          <w:tab w:val="clear" w:pos="2268"/>
          <w:tab w:val="clear" w:pos="6237"/>
        </w:tabs>
      </w:pPr>
    </w:p>
    <w:p w:rsidR="00CD51FC" w:rsidRDefault="00CD51FC" w:rsidP="005A18D3">
      <w:pPr>
        <w:tabs>
          <w:tab w:val="num" w:pos="0"/>
        </w:tabs>
      </w:pPr>
      <w:r>
        <w:t>726.</w:t>
      </w:r>
      <w:r>
        <w:tab/>
      </w:r>
      <w:r w:rsidRPr="005A18D3">
        <w:rPr>
          <w:color w:val="000000"/>
          <w:szCs w:val="24"/>
        </w:rPr>
        <w:t>Республиканский</w:t>
      </w:r>
      <w:r>
        <w:t xml:space="preserve"> </w:t>
      </w:r>
      <w:r w:rsidR="001A05E9">
        <w:t>з</w:t>
      </w:r>
      <w:r>
        <w:t xml:space="preserve">акон № 7305, известный под названием </w:t>
      </w:r>
      <w:r w:rsidRPr="00AC2753">
        <w:rPr>
          <w:i/>
        </w:rPr>
        <w:t>"</w:t>
      </w:r>
      <w:r>
        <w:rPr>
          <w:i/>
        </w:rPr>
        <w:t xml:space="preserve">Магна карта </w:t>
      </w:r>
      <w:r w:rsidRPr="00AC2753">
        <w:rPr>
          <w:i/>
        </w:rPr>
        <w:t>для работников системы общественного здравоохранения"</w:t>
      </w:r>
      <w:r>
        <w:t xml:space="preserve">, предусматривает:  а) </w:t>
      </w:r>
      <w:r w:rsidRPr="007D2EF7">
        <w:t xml:space="preserve"> </w:t>
      </w:r>
      <w:r>
        <w:t xml:space="preserve">поощрение и улучшение социально-экономического положения медицинских работников, условий их жизни и труда и условий занятости;  </w:t>
      </w:r>
      <w:r>
        <w:rPr>
          <w:lang w:val="en-US"/>
        </w:rPr>
        <w:t>b</w:t>
      </w:r>
      <w:r>
        <w:t xml:space="preserve">)  развитие их профессиональных навыков и возможностей в целях повышения эффективности и оснащенности для осуществления проектов и программ здравоохранения;  и с) </w:t>
      </w:r>
      <w:r w:rsidRPr="007D2EF7">
        <w:t xml:space="preserve"> </w:t>
      </w:r>
      <w:r>
        <w:t>привлечение квалифицированных и высокопрофессиональных специалистов к работе в государственных медицинских учреждениях.</w:t>
      </w:r>
    </w:p>
    <w:p w:rsidR="00AC573E" w:rsidRDefault="00AC573E" w:rsidP="00AC573E"/>
    <w:p w:rsidR="00AC573E" w:rsidRDefault="00AC573E" w:rsidP="00AC573E">
      <w:pPr>
        <w:tabs>
          <w:tab w:val="clear" w:pos="567"/>
          <w:tab w:val="clear" w:pos="1134"/>
          <w:tab w:val="clear" w:pos="1701"/>
          <w:tab w:val="clear" w:pos="2268"/>
          <w:tab w:val="clear" w:pos="6237"/>
        </w:tabs>
      </w:pPr>
      <w:r>
        <w:t>727.</w:t>
      </w:r>
      <w:r>
        <w:tab/>
        <w:t xml:space="preserve">Республиканский </w:t>
      </w:r>
      <w:r w:rsidR="001A05E9">
        <w:t>з</w:t>
      </w:r>
      <w:r>
        <w:t xml:space="preserve">акон № 7600, или </w:t>
      </w:r>
      <w:r w:rsidRPr="00197006">
        <w:rPr>
          <w:i/>
        </w:rPr>
        <w:t xml:space="preserve">Закон о совместном содержании матери и </w:t>
      </w:r>
      <w:r>
        <w:rPr>
          <w:i/>
        </w:rPr>
        <w:t>ребенка</w:t>
      </w:r>
      <w:r w:rsidRPr="00197006">
        <w:rPr>
          <w:i/>
        </w:rPr>
        <w:t xml:space="preserve"> и грудном вскармливании</w:t>
      </w:r>
      <w:r>
        <w:t>, предусматривает обеспечение новорожденных достаточным питанием путем поощрения грудного вскармливания и совместного содержания в одной палате матери и ребенка в послеродовой период.</w:t>
      </w:r>
    </w:p>
    <w:p w:rsidR="00AC573E" w:rsidRDefault="00AC573E" w:rsidP="00AC573E">
      <w:pPr>
        <w:tabs>
          <w:tab w:val="clear" w:pos="567"/>
          <w:tab w:val="clear" w:pos="1134"/>
          <w:tab w:val="clear" w:pos="1701"/>
          <w:tab w:val="clear" w:pos="2268"/>
          <w:tab w:val="clear" w:pos="6237"/>
        </w:tabs>
      </w:pPr>
    </w:p>
    <w:p w:rsidR="00AC573E" w:rsidRDefault="00AC573E" w:rsidP="00AC573E">
      <w:pPr>
        <w:tabs>
          <w:tab w:val="clear" w:pos="567"/>
          <w:tab w:val="clear" w:pos="1134"/>
          <w:tab w:val="clear" w:pos="1701"/>
          <w:tab w:val="clear" w:pos="2268"/>
          <w:tab w:val="clear" w:pos="6237"/>
        </w:tabs>
      </w:pPr>
      <w:r>
        <w:t>728.</w:t>
      </w:r>
      <w:r>
        <w:tab/>
        <w:t xml:space="preserve">Республиканский </w:t>
      </w:r>
      <w:r w:rsidR="001A05E9">
        <w:t>з</w:t>
      </w:r>
      <w:r>
        <w:t xml:space="preserve">акон № 7719, известный как </w:t>
      </w:r>
      <w:r w:rsidRPr="007013BE">
        <w:rPr>
          <w:i/>
        </w:rPr>
        <w:t>Национальный закон о переливании крови 1994 года</w:t>
      </w:r>
      <w:r>
        <w:t xml:space="preserve">, предусматривает создание сети учреждений по переливанию крови.  Он направлен на укоренение в общественном сознании принципа гуманитарного характера донорства посредством проведения информационно-просветительских программ среди населения. </w:t>
      </w:r>
    </w:p>
    <w:p w:rsidR="00AC573E" w:rsidRDefault="00AC573E" w:rsidP="00AC573E">
      <w:pPr>
        <w:tabs>
          <w:tab w:val="clear" w:pos="567"/>
          <w:tab w:val="clear" w:pos="1134"/>
          <w:tab w:val="clear" w:pos="1701"/>
          <w:tab w:val="clear" w:pos="2268"/>
          <w:tab w:val="clear" w:pos="6237"/>
        </w:tabs>
      </w:pPr>
    </w:p>
    <w:p w:rsidR="00AC573E" w:rsidRDefault="00AC573E" w:rsidP="00AC573E">
      <w:pPr>
        <w:tabs>
          <w:tab w:val="num" w:pos="0"/>
        </w:tabs>
        <w:rPr>
          <w:color w:val="000000"/>
          <w:szCs w:val="24"/>
        </w:rPr>
      </w:pPr>
      <w:r>
        <w:rPr>
          <w:color w:val="000000"/>
          <w:szCs w:val="24"/>
        </w:rPr>
        <w:t>729.</w:t>
      </w:r>
      <w:r>
        <w:rPr>
          <w:color w:val="000000"/>
          <w:szCs w:val="24"/>
        </w:rPr>
        <w:tab/>
        <w:t xml:space="preserve">Республиканский </w:t>
      </w:r>
      <w:r w:rsidR="001A05E9">
        <w:rPr>
          <w:color w:val="000000"/>
          <w:szCs w:val="24"/>
        </w:rPr>
        <w:t>з</w:t>
      </w:r>
      <w:r>
        <w:rPr>
          <w:color w:val="000000"/>
          <w:szCs w:val="24"/>
        </w:rPr>
        <w:t>акон № 7846 о внесении изменений в Президентский указ 996 предусматривает обязательную вакцинацию новорожденных против гепатита В в дополнение к базовым прививкам, которые включают вакцинацию БЦЖ против туберкулеза;  прививки против дифтерии, столбняка и коклюша;  пер</w:t>
      </w:r>
      <w:r>
        <w:t>оральную полиомиелитную вакцину;  и прививку против кори и краснухи.</w:t>
      </w:r>
    </w:p>
    <w:p w:rsidR="00AC573E" w:rsidRDefault="00AC573E" w:rsidP="00AC573E">
      <w:pPr>
        <w:tabs>
          <w:tab w:val="num" w:pos="0"/>
        </w:tabs>
        <w:rPr>
          <w:color w:val="000000"/>
          <w:szCs w:val="24"/>
        </w:rPr>
      </w:pPr>
    </w:p>
    <w:p w:rsidR="00AC573E" w:rsidRDefault="00AC573E" w:rsidP="00AC573E">
      <w:r>
        <w:t>730.</w:t>
      </w:r>
      <w:r>
        <w:tab/>
        <w:t xml:space="preserve">Республиканский </w:t>
      </w:r>
      <w:r w:rsidR="001A05E9">
        <w:t>з</w:t>
      </w:r>
      <w:r>
        <w:t xml:space="preserve">акон № 7875, известный как </w:t>
      </w:r>
      <w:r w:rsidRPr="00F64EA0">
        <w:rPr>
          <w:i/>
        </w:rPr>
        <w:t>Закон о государственном медицинском страховании</w:t>
      </w:r>
      <w:r>
        <w:t>, направлен на обеспечение доступа к медицинским услугам для всех граждан Филиппин, особенно для той категории населения, которая не в состоянии оплачивать такие услуги.  Закон предусматривает разработку программы государственного медицинского страхования, которая будет помогать населению оплачивать услуги здравоохранения.  Цель такой программы заключается прежде всего в том, чтобы охватить все группы населения, обеспечив их хотя бы минимальными пакетами страховых льгот.</w:t>
      </w:r>
    </w:p>
    <w:p w:rsidR="00AC573E" w:rsidRDefault="00AC573E" w:rsidP="00AC573E"/>
    <w:p w:rsidR="00AC573E" w:rsidRDefault="00AC573E" w:rsidP="00AC573E">
      <w:r>
        <w:t>731.</w:t>
      </w:r>
      <w:r>
        <w:tab/>
        <w:t xml:space="preserve">Республиканский </w:t>
      </w:r>
      <w:r w:rsidR="001A05E9">
        <w:t>з</w:t>
      </w:r>
      <w:r>
        <w:t xml:space="preserve">акон № 7883, получивший название </w:t>
      </w:r>
      <w:r w:rsidRPr="00F64EA0">
        <w:rPr>
          <w:i/>
        </w:rPr>
        <w:t xml:space="preserve">Закон о привилегиях и мерах поощрения медицинских работников </w:t>
      </w:r>
      <w:r>
        <w:rPr>
          <w:i/>
        </w:rPr>
        <w:t xml:space="preserve">барангаев </w:t>
      </w:r>
      <w:r w:rsidRPr="00F64EA0">
        <w:rPr>
          <w:i/>
        </w:rPr>
        <w:t>1995 года</w:t>
      </w:r>
      <w:r>
        <w:t>, признает подход, основанный на предоставлении первичной медицинской помощи, в качестве основной стратегии расширения возможностей системы здравоохранения.  В нем подчеркивается необходимость предоставления доступных и приемлемых по цене медицинских услуг посредством таких стратегий совместного участия, как просвещение по вопросам здоровья, подготовка медицинских работников для барангаев, формирование и организация общин.</w:t>
      </w:r>
    </w:p>
    <w:p w:rsidR="00AC573E" w:rsidRDefault="00AC573E" w:rsidP="00AC573E"/>
    <w:p w:rsidR="00AC573E" w:rsidRDefault="00AC573E" w:rsidP="00AC573E">
      <w:r>
        <w:t>732.</w:t>
      </w:r>
      <w:r>
        <w:tab/>
        <w:t xml:space="preserve">Республиканский </w:t>
      </w:r>
      <w:r w:rsidR="001A05E9">
        <w:t>з</w:t>
      </w:r>
      <w:r>
        <w:t xml:space="preserve">акон № 8172, известный как </w:t>
      </w:r>
      <w:r w:rsidRPr="00267F80">
        <w:rPr>
          <w:i/>
        </w:rPr>
        <w:t>Закон о йодировании соли</w:t>
      </w:r>
      <w:r>
        <w:t>, предусматривает обязательное обогащение любой пищевой соли йодом.  Осуществление в полной мере этого закона позволит существенно уменьшить случаи гибели плода во время беременности, а также снизить риск рождения детей с недостаточным уровнем умственного развития или с физическими и психическими нарушениями и аномалиями.</w:t>
      </w:r>
    </w:p>
    <w:p w:rsidR="00AC573E" w:rsidRDefault="00AC573E" w:rsidP="00AC573E"/>
    <w:p w:rsidR="00AC573E" w:rsidRDefault="00AC573E" w:rsidP="00AC573E">
      <w:r>
        <w:t>733.</w:t>
      </w:r>
      <w:r>
        <w:tab/>
        <w:t xml:space="preserve">Республиканский </w:t>
      </w:r>
      <w:r w:rsidR="001A05E9">
        <w:t>з</w:t>
      </w:r>
      <w:r>
        <w:t>акон № 8191 предусматривает создание Национальной комиссии по проблеме диабета в рамках усилий государства по предотвращению и профилактике сахарного диабета на Филиппинах.</w:t>
      </w:r>
    </w:p>
    <w:p w:rsidR="00AC573E" w:rsidRDefault="00AC573E" w:rsidP="00AC573E"/>
    <w:p w:rsidR="00AC573E" w:rsidRDefault="00AC573E" w:rsidP="00AC573E">
      <w:r>
        <w:t>734.</w:t>
      </w:r>
      <w:r>
        <w:tab/>
        <w:t xml:space="preserve">Республиканский </w:t>
      </w:r>
      <w:r w:rsidR="001A05E9">
        <w:t>з</w:t>
      </w:r>
      <w:r>
        <w:t xml:space="preserve">акон № 8203, известный как </w:t>
      </w:r>
      <w:r w:rsidRPr="00D23FD9">
        <w:rPr>
          <w:i/>
        </w:rPr>
        <w:t>Закон о контрафактных лекарственных препаратах</w:t>
      </w:r>
      <w:r>
        <w:t>, направлен на охрану общественного здоровья путем недопущения продажи фальсифицированных медикаментов.</w:t>
      </w:r>
    </w:p>
    <w:p w:rsidR="00AC573E" w:rsidRDefault="00AC573E" w:rsidP="00AC573E"/>
    <w:p w:rsidR="00AC573E" w:rsidRDefault="00AC573E" w:rsidP="00AC573E">
      <w:r>
        <w:t>735.</w:t>
      </w:r>
      <w:r>
        <w:tab/>
        <w:t xml:space="preserve">Республиканский </w:t>
      </w:r>
      <w:r w:rsidR="001A05E9">
        <w:t>з</w:t>
      </w:r>
      <w:r>
        <w:t xml:space="preserve">акон № 8423, или </w:t>
      </w:r>
      <w:r w:rsidRPr="00906E7F">
        <w:rPr>
          <w:i/>
        </w:rPr>
        <w:t>Закон 1997 года о традиционной и нетрадиционной медицине</w:t>
      </w:r>
      <w:r>
        <w:t>, предусматривает развитие систем традиционной и нетрадиционной медицины.  Этот закон направлен на интеграцию традиционной и нетрадиционной медицины в государственную систему здравоохранения.</w:t>
      </w:r>
    </w:p>
    <w:p w:rsidR="00AC573E" w:rsidRDefault="00AC573E" w:rsidP="00AC573E"/>
    <w:p w:rsidR="00AC573E" w:rsidRDefault="00AC573E" w:rsidP="00AC573E">
      <w:r>
        <w:t>736.</w:t>
      </w:r>
      <w:r>
        <w:tab/>
        <w:t xml:space="preserve">Республиканский </w:t>
      </w:r>
      <w:r w:rsidR="001A05E9">
        <w:t>з</w:t>
      </w:r>
      <w:r>
        <w:t xml:space="preserve">акон № 8504, известный как </w:t>
      </w:r>
      <w:r w:rsidRPr="00906E7F">
        <w:rPr>
          <w:i/>
        </w:rPr>
        <w:t>Закон Филиппин о предотвращении и профилактике СПИДа 1998 года</w:t>
      </w:r>
      <w:r>
        <w:t>, представляет собой ключевой компонент национальной программы борьбы с ВИЧ/СПИДом.  Этот закон часто называют историческим, поскольку он запрещает обязательное обследование на ВИЧ;  кроме того, он предусматривает обеспечение прав человека, включая право лиц, живущих с ВИЧ/СПИДом, на неприкосновенность частной жизни;  вводит в школьные программы обучение по вопросам ВИЧ/СПИДа;  запрещает дискриминацию в отношении лиц, живущих с ВИЧ/СПИДом, на производстве и в любых других местах;  и предусматривает предоставление базовых социальных и медицинских услуг лицам, инфицированным ВИЧ.</w:t>
      </w:r>
    </w:p>
    <w:p w:rsidR="00AC573E" w:rsidRDefault="00AC573E" w:rsidP="00AC573E"/>
    <w:p w:rsidR="00AC573E" w:rsidRDefault="00AC573E" w:rsidP="00AC573E">
      <w:r>
        <w:t>737.</w:t>
      </w:r>
      <w:r>
        <w:tab/>
        <w:t xml:space="preserve">Республиканский </w:t>
      </w:r>
      <w:r w:rsidR="001A05E9">
        <w:t>з</w:t>
      </w:r>
      <w:r>
        <w:t xml:space="preserve">акон № 8749, или </w:t>
      </w:r>
      <w:r w:rsidRPr="00547F76">
        <w:rPr>
          <w:i/>
        </w:rPr>
        <w:t>Закон 1999</w:t>
      </w:r>
      <w:r w:rsidRPr="00547F76">
        <w:rPr>
          <w:i/>
          <w:lang w:val="en-US"/>
        </w:rPr>
        <w:t> </w:t>
      </w:r>
      <w:r w:rsidRPr="00547F76">
        <w:rPr>
          <w:i/>
        </w:rPr>
        <w:t>года о чистом воздухе</w:t>
      </w:r>
      <w:r>
        <w:t>, представляет собой ключевой правовой акт, объединяющий различные нормы и правила о качестве воздуха.  Он содержит строгие экологические нормы и стандарты, касающиеся источников загрязнения, также известные как нормы о технологическом воздействии.</w:t>
      </w:r>
    </w:p>
    <w:p w:rsidR="00AC573E" w:rsidRDefault="00AC573E" w:rsidP="00AC573E"/>
    <w:p w:rsidR="00AC573E" w:rsidRDefault="00AC573E" w:rsidP="00AC573E">
      <w:r>
        <w:t>738.</w:t>
      </w:r>
      <w:r>
        <w:tab/>
        <w:t xml:space="preserve">Республиканский </w:t>
      </w:r>
      <w:r w:rsidR="001A05E9">
        <w:t>з</w:t>
      </w:r>
      <w:r>
        <w:t xml:space="preserve">акон № 8976, или </w:t>
      </w:r>
      <w:r w:rsidRPr="00547F76">
        <w:rPr>
          <w:i/>
        </w:rPr>
        <w:t>Закон об обогащении продуктов питания</w:t>
      </w:r>
      <w:r>
        <w:t xml:space="preserve">, призван компенсировать нехватку питательных микроэлементов в пищевом рационе филиппинцев, которая особенно ярко выражена у детей.  Закон предусматривает обязательное обогащение основных продуктов:  риса </w:t>
      </w:r>
      <w:r>
        <w:sym w:font="Symbol" w:char="F02D"/>
      </w:r>
      <w:r>
        <w:t xml:space="preserve"> железом, муки </w:t>
      </w:r>
      <w:r>
        <w:sym w:font="Symbol" w:char="F02D"/>
      </w:r>
      <w:r>
        <w:t xml:space="preserve"> железом и витамином А, сахара и пищевого масла </w:t>
      </w:r>
      <w:r>
        <w:sym w:font="Symbol" w:char="F02D"/>
      </w:r>
      <w:r>
        <w:t xml:space="preserve"> витамином А, железом и йодом.</w:t>
      </w:r>
    </w:p>
    <w:p w:rsidR="00AC573E" w:rsidRDefault="00AC573E" w:rsidP="00AC573E"/>
    <w:p w:rsidR="00AC573E" w:rsidRDefault="00AC573E" w:rsidP="00AC573E">
      <w:r>
        <w:t>739.</w:t>
      </w:r>
      <w:r>
        <w:tab/>
        <w:t xml:space="preserve">Республиканский </w:t>
      </w:r>
      <w:r w:rsidR="001A05E9">
        <w:t>з</w:t>
      </w:r>
      <w:r>
        <w:t xml:space="preserve">акон № 9211, известный как </w:t>
      </w:r>
      <w:r w:rsidRPr="0095482D">
        <w:rPr>
          <w:i/>
        </w:rPr>
        <w:t>Закон 2003 года о табаке</w:t>
      </w:r>
      <w:r>
        <w:t>, регулирует использование, продажу и рекламу табачной продукции в целях создания благоприятной для здоровья среды.</w:t>
      </w:r>
    </w:p>
    <w:p w:rsidR="00AC573E" w:rsidRDefault="00AC573E" w:rsidP="00AC573E"/>
    <w:p w:rsidR="00AC573E" w:rsidRDefault="00AC573E" w:rsidP="00AC573E">
      <w:r>
        <w:t>740.</w:t>
      </w:r>
      <w:r>
        <w:tab/>
        <w:t xml:space="preserve">Республиканский </w:t>
      </w:r>
      <w:r w:rsidR="001A05E9">
        <w:t>з</w:t>
      </w:r>
      <w:r>
        <w:t>акон № 9334 содержит положения, предусматривающие целевое ассигнование 2,5% доходов, получаемых за счет акцизных сборов, которыми облагается алкогольная и табачная продукция, на осуществление программ МЗ по предотвращению и профилактике заболеваний.  Кроме того, этот закон предусматривает выделение 2,5% доходов на финансирование ПГМС.</w:t>
      </w:r>
    </w:p>
    <w:p w:rsidR="00AC573E" w:rsidRDefault="00AC573E" w:rsidP="00AC573E"/>
    <w:p w:rsidR="00AC573E" w:rsidRDefault="00AC573E" w:rsidP="00AC573E">
      <w:r>
        <w:t>741.</w:t>
      </w:r>
      <w:r>
        <w:tab/>
        <w:t>Исполнительное постановление № 205 уполномочивает МЗ и МВДМС формировать национальные комитеты планирования в области здравоохранения и межмуниципальные зоны здоровья по всей стране.</w:t>
      </w:r>
    </w:p>
    <w:p w:rsidR="00AC573E" w:rsidRDefault="00AC573E" w:rsidP="00AC573E"/>
    <w:p w:rsidR="00AC573E" w:rsidRDefault="00AC573E" w:rsidP="00AC573E">
      <w:r>
        <w:t>742.</w:t>
      </w:r>
      <w:r>
        <w:tab/>
        <w:t>В соответствии с ИО 286</w:t>
      </w:r>
      <w:r w:rsidRPr="00664EDA">
        <w:rPr>
          <w:i/>
        </w:rPr>
        <w:t xml:space="preserve"> </w:t>
      </w:r>
      <w:r>
        <w:t>(</w:t>
      </w:r>
      <w:r>
        <w:rPr>
          <w:i/>
        </w:rPr>
        <w:t>С</w:t>
      </w:r>
      <w:r w:rsidRPr="00664EDA">
        <w:rPr>
          <w:i/>
        </w:rPr>
        <w:t>тимулировани</w:t>
      </w:r>
      <w:r>
        <w:rPr>
          <w:i/>
        </w:rPr>
        <w:t>е</w:t>
      </w:r>
      <w:r w:rsidRPr="00664EDA">
        <w:rPr>
          <w:i/>
        </w:rPr>
        <w:t xml:space="preserve"> национальных государственных </w:t>
      </w:r>
      <w:r>
        <w:rPr>
          <w:i/>
        </w:rPr>
        <w:t xml:space="preserve">учреждений </w:t>
      </w:r>
      <w:r w:rsidRPr="00664EDA">
        <w:rPr>
          <w:i/>
        </w:rPr>
        <w:t xml:space="preserve">и других заинтересованных </w:t>
      </w:r>
      <w:r>
        <w:rPr>
          <w:i/>
        </w:rPr>
        <w:t>учреждений</w:t>
      </w:r>
      <w:r w:rsidRPr="00664EDA">
        <w:rPr>
          <w:i/>
        </w:rPr>
        <w:t xml:space="preserve"> к активной поддержке и осуществлению программ </w:t>
      </w:r>
      <w:r>
        <w:rPr>
          <w:i/>
        </w:rPr>
        <w:t>воспитания здорового ребенка</w:t>
      </w:r>
      <w:r>
        <w:t>) ориентированные на детей программы МЗ, МСОР и МО реализуются в рамках одного проекта.  Проект получил название "воспитание здорового ребенка".  Согласно этому постановлению, программы вакцинации, питания, грудного вскармливания, дневного ухода, дошкольного и школьного образования были объединены в единый проект, дающий семьям возможность лучше осознать все физические, эмоциональные, социальные и образовательные аспекты развития ребенка.</w:t>
      </w:r>
    </w:p>
    <w:p w:rsidR="00AC573E" w:rsidRDefault="00AC573E" w:rsidP="00AC573E"/>
    <w:p w:rsidR="00AC573E" w:rsidRDefault="00AC573E" w:rsidP="00AC573E">
      <w:r>
        <w:t>743.</w:t>
      </w:r>
      <w:r>
        <w:tab/>
        <w:t>Ниже приводятся примеры судебной практики, демонстрирующей осуществление людьми их права на здоровье</w:t>
      </w:r>
      <w:r>
        <w:rPr>
          <w:rStyle w:val="FootnoteReference"/>
        </w:rPr>
        <w:footnoteReference w:id="45"/>
      </w:r>
      <w:r>
        <w:t>.</w:t>
      </w:r>
    </w:p>
    <w:p w:rsidR="00AC573E" w:rsidRDefault="00AC573E" w:rsidP="00AC573E"/>
    <w:p w:rsidR="00D322C7" w:rsidRDefault="00D322C7" w:rsidP="00D322C7">
      <w:pPr>
        <w:numPr>
          <w:ilvl w:val="0"/>
          <w:numId w:val="31"/>
        </w:numPr>
        <w:ind w:left="1134" w:hanging="573"/>
        <w:rPr>
          <w:i/>
        </w:rPr>
      </w:pPr>
      <w:r w:rsidRPr="006D109D">
        <w:rPr>
          <w:i/>
        </w:rPr>
        <w:t>Комитет по рассмотрению дел о загрязнении окружающей среды против Апелляционного суда</w:t>
      </w:r>
      <w:r>
        <w:rPr>
          <w:i/>
        </w:rPr>
        <w:t xml:space="preserve">, </w:t>
      </w:r>
      <w:r>
        <w:rPr>
          <w:i/>
          <w:lang w:val="en-US"/>
        </w:rPr>
        <w:t>G</w:t>
      </w:r>
      <w:r w:rsidRPr="00CE7DE1">
        <w:rPr>
          <w:i/>
        </w:rPr>
        <w:t>.</w:t>
      </w:r>
      <w:r>
        <w:rPr>
          <w:i/>
          <w:lang w:val="en-US"/>
        </w:rPr>
        <w:t>R</w:t>
      </w:r>
      <w:r w:rsidRPr="00CE7DE1">
        <w:rPr>
          <w:i/>
        </w:rPr>
        <w:t xml:space="preserve">. </w:t>
      </w:r>
      <w:r>
        <w:rPr>
          <w:i/>
          <w:lang w:val="en-US"/>
        </w:rPr>
        <w:t>No</w:t>
      </w:r>
      <w:r w:rsidRPr="00CE7DE1">
        <w:rPr>
          <w:i/>
        </w:rPr>
        <w:t>. 93891, 11</w:t>
      </w:r>
      <w:r>
        <w:rPr>
          <w:i/>
        </w:rPr>
        <w:t xml:space="preserve"> марта</w:t>
      </w:r>
      <w:r w:rsidRPr="00CE7DE1">
        <w:rPr>
          <w:i/>
        </w:rPr>
        <w:t xml:space="preserve"> 1991</w:t>
      </w:r>
      <w:r>
        <w:rPr>
          <w:i/>
        </w:rPr>
        <w:t xml:space="preserve"> года</w:t>
      </w:r>
    </w:p>
    <w:p w:rsidR="00D322C7" w:rsidRDefault="00D322C7" w:rsidP="00D322C7">
      <w:pPr>
        <w:rPr>
          <w:i/>
        </w:rPr>
      </w:pPr>
    </w:p>
    <w:p w:rsidR="00D322C7" w:rsidRDefault="00D322C7" w:rsidP="00D322C7">
      <w:pPr>
        <w:numPr>
          <w:ilvl w:val="0"/>
          <w:numId w:val="31"/>
        </w:numPr>
        <w:ind w:left="1134" w:hanging="573"/>
        <w:rPr>
          <w:i/>
        </w:rPr>
      </w:pPr>
      <w:r w:rsidRPr="00CE7DE1">
        <w:rPr>
          <w:i/>
        </w:rPr>
        <w:t>Родригес</w:t>
      </w:r>
      <w:r w:rsidR="000B71E2">
        <w:rPr>
          <w:i/>
        </w:rPr>
        <w:t>-</w:t>
      </w:r>
      <w:r>
        <w:rPr>
          <w:i/>
        </w:rPr>
        <w:t>джуниор</w:t>
      </w:r>
      <w:r w:rsidRPr="00CE7DE1">
        <w:rPr>
          <w:i/>
        </w:rPr>
        <w:t xml:space="preserve"> против Промежуточного апелляционного суда, </w:t>
      </w:r>
      <w:r>
        <w:rPr>
          <w:i/>
          <w:lang w:val="en-US"/>
        </w:rPr>
        <w:t>G</w:t>
      </w:r>
      <w:r w:rsidRPr="00CE7DE1">
        <w:rPr>
          <w:i/>
        </w:rPr>
        <w:t>.</w:t>
      </w:r>
      <w:r>
        <w:rPr>
          <w:i/>
          <w:lang w:val="en-US"/>
        </w:rPr>
        <w:t>R</w:t>
      </w:r>
      <w:r w:rsidRPr="00CE7DE1">
        <w:rPr>
          <w:i/>
        </w:rPr>
        <w:t xml:space="preserve">. </w:t>
      </w:r>
      <w:r>
        <w:rPr>
          <w:i/>
          <w:lang w:val="en-US"/>
        </w:rPr>
        <w:t>No</w:t>
      </w:r>
      <w:r>
        <w:rPr>
          <w:i/>
        </w:rPr>
        <w:t> </w:t>
      </w:r>
      <w:r w:rsidRPr="00CE7DE1">
        <w:rPr>
          <w:i/>
        </w:rPr>
        <w:t xml:space="preserve"> </w:t>
      </w:r>
      <w:r w:rsidRPr="000125B2">
        <w:rPr>
          <w:i/>
        </w:rPr>
        <w:t xml:space="preserve">74816, 17 </w:t>
      </w:r>
      <w:r>
        <w:rPr>
          <w:i/>
        </w:rPr>
        <w:t>марта</w:t>
      </w:r>
      <w:r w:rsidRPr="000125B2">
        <w:rPr>
          <w:i/>
        </w:rPr>
        <w:t xml:space="preserve"> 1987</w:t>
      </w:r>
      <w:r>
        <w:rPr>
          <w:i/>
        </w:rPr>
        <w:t xml:space="preserve"> года</w:t>
      </w:r>
    </w:p>
    <w:p w:rsidR="00D322C7" w:rsidRDefault="00D322C7" w:rsidP="00D322C7">
      <w:pPr>
        <w:rPr>
          <w:i/>
        </w:rPr>
      </w:pPr>
    </w:p>
    <w:p w:rsidR="00D322C7" w:rsidRDefault="00D322C7" w:rsidP="00D322C7">
      <w:pPr>
        <w:numPr>
          <w:ilvl w:val="0"/>
          <w:numId w:val="31"/>
        </w:numPr>
        <w:ind w:left="1134" w:hanging="573"/>
        <w:rPr>
          <w:i/>
        </w:rPr>
      </w:pPr>
      <w:r w:rsidRPr="000125B2">
        <w:rPr>
          <w:i/>
        </w:rPr>
        <w:t>-Опоса против Факторана,</w:t>
      </w:r>
      <w:r w:rsidRPr="000125B2">
        <w:rPr>
          <w:b/>
        </w:rPr>
        <w:t xml:space="preserve"> </w:t>
      </w:r>
      <w:r>
        <w:rPr>
          <w:i/>
          <w:lang w:val="en-US"/>
        </w:rPr>
        <w:t>G</w:t>
      </w:r>
      <w:r w:rsidRPr="00CE7DE1">
        <w:rPr>
          <w:i/>
        </w:rPr>
        <w:t>.</w:t>
      </w:r>
      <w:r>
        <w:rPr>
          <w:i/>
          <w:lang w:val="en-US"/>
        </w:rPr>
        <w:t>R</w:t>
      </w:r>
      <w:r w:rsidRPr="00CE7DE1">
        <w:rPr>
          <w:i/>
        </w:rPr>
        <w:t xml:space="preserve">. </w:t>
      </w:r>
      <w:r>
        <w:rPr>
          <w:i/>
          <w:lang w:val="en-US"/>
        </w:rPr>
        <w:t>No</w:t>
      </w:r>
      <w:r w:rsidRPr="000125B2">
        <w:rPr>
          <w:i/>
        </w:rPr>
        <w:t xml:space="preserve">. 101083, 30 </w:t>
      </w:r>
      <w:r>
        <w:rPr>
          <w:i/>
        </w:rPr>
        <w:t>июня</w:t>
      </w:r>
      <w:r w:rsidRPr="000125B2">
        <w:rPr>
          <w:i/>
        </w:rPr>
        <w:t xml:space="preserve"> 1993</w:t>
      </w:r>
      <w:r>
        <w:rPr>
          <w:i/>
        </w:rPr>
        <w:t xml:space="preserve"> года</w:t>
      </w:r>
    </w:p>
    <w:p w:rsidR="00D322C7" w:rsidRDefault="00D322C7" w:rsidP="00D322C7">
      <w:pPr>
        <w:rPr>
          <w:i/>
        </w:rPr>
      </w:pPr>
    </w:p>
    <w:p w:rsidR="00D322C7" w:rsidRDefault="00D322C7" w:rsidP="00D322C7">
      <w:pPr>
        <w:rPr>
          <w:b/>
        </w:rPr>
      </w:pPr>
      <w:r w:rsidRPr="000125B2">
        <w:rPr>
          <w:b/>
        </w:rPr>
        <w:t>Вопрос № 3.</w:t>
      </w:r>
      <w:r>
        <w:rPr>
          <w:b/>
        </w:rPr>
        <w:tab/>
      </w:r>
      <w:r w:rsidRPr="000125B2">
        <w:rPr>
          <w:b/>
        </w:rPr>
        <w:t>Финансирование системы здравоохранения</w:t>
      </w:r>
    </w:p>
    <w:p w:rsidR="00D322C7" w:rsidRDefault="00D322C7" w:rsidP="00D322C7">
      <w:pPr>
        <w:rPr>
          <w:b/>
        </w:rPr>
      </w:pPr>
    </w:p>
    <w:p w:rsidR="00D322C7" w:rsidRDefault="00D322C7" w:rsidP="00D322C7">
      <w:r>
        <w:t>744.</w:t>
      </w:r>
      <w:r>
        <w:tab/>
        <w:t>Запланированные бюджетные ассигнования на здравоохранение на 2005 год составили 9,8 млрд. филиппинских песо.  Эта сумма на 154 млн. меньше, чем средства, выделенные в 2003 году.  Бюджет 2003 года в свою очередь меньше бюджета 2002 года.  В 2002 году 14,5 млрд. песо, или 2% общего национального бюджета (781 млрд. песо), были выделены на систему здравоохранения.</w:t>
      </w:r>
    </w:p>
    <w:p w:rsidR="00D322C7" w:rsidRDefault="00D322C7" w:rsidP="00D322C7"/>
    <w:p w:rsidR="00D322C7" w:rsidRDefault="00D322C7" w:rsidP="00D322C7">
      <w:r>
        <w:t>745.</w:t>
      </w:r>
      <w:r>
        <w:tab/>
        <w:t>В 1997 году бюджет МЗ составлял 11 млрд. песо, на 18,47% превысив бюджет 1996 года:  при этом он был равен 15,58% бюджета социального сектора и 2,54% общего бюджета государства.  Вместе с тем это составило лишь 0,43 % валового национального продукта (ВНП) за тот же год по текущим ценам.  МЗ занимало шестое место среди всех других правительственных учреждений по объему доли в национальном бюджете.</w:t>
      </w:r>
    </w:p>
    <w:p w:rsidR="00D322C7" w:rsidRDefault="00D322C7" w:rsidP="00D322C7"/>
    <w:p w:rsidR="00D322C7" w:rsidRDefault="00D322C7" w:rsidP="00D322C7">
      <w:pPr>
        <w:tabs>
          <w:tab w:val="left" w:pos="1496"/>
        </w:tabs>
      </w:pPr>
      <w:r>
        <w:t>746.</w:t>
      </w:r>
      <w:r>
        <w:tab/>
        <w:t xml:space="preserve">В среднем в период 1993-1997 годов на деятельность МЗ ежегодно выделялось 2,36% государственного бюджета, а в период 1988-1992 годов </w:t>
      </w:r>
      <w:r>
        <w:sym w:font="Symbol" w:char="F02D"/>
      </w:r>
      <w:r>
        <w:t xml:space="preserve"> 5,37%.  Сокращение доли МЗ в государственном бюджете объясняется передачей полномочий по обеспечению базовых медицинских услуг в ведение органов местного самоуправления в соответствии с Кодексом местного самоуправления.</w:t>
      </w:r>
    </w:p>
    <w:p w:rsidR="00D322C7" w:rsidRDefault="00D322C7" w:rsidP="00D322C7"/>
    <w:p w:rsidR="00D322C7" w:rsidRDefault="00D322C7" w:rsidP="00D322C7">
      <w:pPr>
        <w:tabs>
          <w:tab w:val="left" w:pos="1309"/>
        </w:tabs>
        <w:rPr>
          <w:b/>
        </w:rPr>
      </w:pPr>
      <w:r w:rsidRPr="00EE7891">
        <w:rPr>
          <w:b/>
        </w:rPr>
        <w:t>Вопрос 4.а</w:t>
      </w:r>
      <w:r>
        <w:rPr>
          <w:b/>
        </w:rPr>
        <w:tab/>
      </w:r>
      <w:r w:rsidRPr="00EE7891">
        <w:rPr>
          <w:b/>
        </w:rPr>
        <w:t>Уровень младенческой смертности</w:t>
      </w:r>
    </w:p>
    <w:p w:rsidR="00D322C7" w:rsidRDefault="00D322C7" w:rsidP="00D322C7">
      <w:pPr>
        <w:rPr>
          <w:b/>
        </w:rPr>
      </w:pPr>
    </w:p>
    <w:p w:rsidR="00D322C7" w:rsidRDefault="00D322C7" w:rsidP="00D322C7">
      <w:r>
        <w:t>747.</w:t>
      </w:r>
      <w:r>
        <w:tab/>
        <w:t xml:space="preserve">Данные из различных источников свидетельствуют о сокращении показателей младенческой смертности в стране.  Согласно результатам национального демографического обзора в области здравоохранения в 1985 году ПМС составил 45,3, в 1990 году </w:t>
      </w:r>
      <w:r>
        <w:sym w:font="Symbol" w:char="F02D"/>
      </w:r>
      <w:r>
        <w:t xml:space="preserve"> 36,8, а в 1995 году </w:t>
      </w:r>
      <w:r>
        <w:sym w:font="Symbol" w:char="F02D"/>
      </w:r>
      <w:r>
        <w:t xml:space="preserve"> 35,3.  С 1990 по 1995 год НСКС отметил незначительное сокращение ПМС с 57 до 49.  В 1998 ПМС составил 35 на 1000 рождений, а показатель смертности в послеродовой период был равен 18 смертям на 100 живорождений.  В 2001 году ПМС составлял 29 на 1000 рождений.</w:t>
      </w:r>
    </w:p>
    <w:p w:rsidR="00D322C7" w:rsidRDefault="00D322C7" w:rsidP="00D322C7"/>
    <w:p w:rsidR="00D322C7" w:rsidRDefault="00D322C7" w:rsidP="00D322C7">
      <w:r>
        <w:t>748.</w:t>
      </w:r>
      <w:r>
        <w:tab/>
        <w:t>В 2002 году было в общей сложности рождено 866 521 мальчик и 800 252 девочки.  Из них в послеродовой период умерло 13 955 мальчиков и 9 868 девочек.  Показатели смертности среди мальчиков выше.</w:t>
      </w:r>
    </w:p>
    <w:p w:rsidR="00D322C7" w:rsidRDefault="00D322C7" w:rsidP="00D322C7"/>
    <w:p w:rsidR="00D322C7" w:rsidRDefault="00D322C7" w:rsidP="00D322C7">
      <w:r>
        <w:t>749.</w:t>
      </w:r>
      <w:r>
        <w:tab/>
        <w:t xml:space="preserve">ПМС изменяется в зависимости от социально-экономических и демографических факторов, как было установлено в ходе НДОЗ 1998 года.  В течение 10 лет до проведения этого обзора ПМС в городских районах составлял 30,9, а в сельских </w:t>
      </w:r>
      <w:r>
        <w:sym w:font="Symbol" w:char="F02D"/>
      </w:r>
      <w:r>
        <w:t xml:space="preserve"> 40,2.  Наименьший ПМС был отмечен в Метро Манила (23,7), Центральном Лусоне (23,6) и Западных Висайях (26).  Три региона с наивысшим ПМС </w:t>
      </w:r>
      <w:r>
        <w:sym w:font="Symbol" w:char="F02D"/>
      </w:r>
      <w:r>
        <w:t xml:space="preserve"> это Восточные Висайи (60,8), АРММ (55,1) и КАРАГА (53,2).</w:t>
      </w:r>
    </w:p>
    <w:p w:rsidR="00D322C7" w:rsidRDefault="00D322C7" w:rsidP="00D322C7"/>
    <w:p w:rsidR="00D322C7" w:rsidRDefault="00D322C7" w:rsidP="00D322C7">
      <w:r>
        <w:t>750.</w:t>
      </w:r>
      <w:r>
        <w:tab/>
        <w:t xml:space="preserve">Результаты НДОЗ, проведенного в 2003 году, свидетельствуют о том, что уровень смертности в городских районах по-прежнему гораздо ниже, чем в сельских.  Показатели младенческой смертности в городах составляют 24 смерти на 1000 живорождений, а в сельских районах </w:t>
      </w:r>
      <w:r>
        <w:sym w:font="Symbol" w:char="F02D"/>
      </w:r>
      <w:r>
        <w:t xml:space="preserve"> 36 на 1000 живорождений.</w:t>
      </w:r>
    </w:p>
    <w:p w:rsidR="00D322C7" w:rsidRDefault="00D322C7" w:rsidP="00D322C7"/>
    <w:p w:rsidR="00D322C7" w:rsidRDefault="00D322C7" w:rsidP="00D322C7">
      <w:pPr>
        <w:rPr>
          <w:b/>
        </w:rPr>
      </w:pPr>
      <w:r w:rsidRPr="00FB228B">
        <w:rPr>
          <w:b/>
        </w:rPr>
        <w:t>4.</w:t>
      </w:r>
      <w:r w:rsidRPr="00FB228B">
        <w:rPr>
          <w:b/>
          <w:lang w:val="en-US"/>
        </w:rPr>
        <w:t>b</w:t>
      </w:r>
      <w:r>
        <w:rPr>
          <w:b/>
        </w:rPr>
        <w:tab/>
      </w:r>
      <w:r w:rsidRPr="00FB228B">
        <w:rPr>
          <w:b/>
        </w:rPr>
        <w:t>Доступ населения к безопасной воде</w:t>
      </w:r>
    </w:p>
    <w:p w:rsidR="00D322C7" w:rsidRDefault="00D322C7" w:rsidP="00D322C7">
      <w:pPr>
        <w:rPr>
          <w:b/>
        </w:rPr>
      </w:pPr>
    </w:p>
    <w:p w:rsidR="00D322C7" w:rsidRDefault="00D322C7" w:rsidP="00D322C7">
      <w:r>
        <w:t>751.</w:t>
      </w:r>
      <w:r>
        <w:tab/>
        <w:t>С 1960 года по настоящее время количество домохозяйств существенно увеличилось, в то время как доступ к безопасной воде возрастал на 2% ежегодно.  Около 87% всех домохозяйств имеют доступ к безопасной воде, из них 91% от общего числа составляют городские домохозяйства и 71% - сельские (</w:t>
      </w:r>
      <w:r w:rsidRPr="00A678D1">
        <w:rPr>
          <w:i/>
        </w:rPr>
        <w:t>НДОЗ, 1998 год</w:t>
      </w:r>
      <w:r>
        <w:t>).  Снабжение питьевой водой осуществляется из источников первой категории (39%), второй категории (18%), третьей категории (30%) и неизвестных источников (13 %).</w:t>
      </w:r>
    </w:p>
    <w:p w:rsidR="00D322C7" w:rsidRDefault="00D322C7" w:rsidP="00D322C7"/>
    <w:p w:rsidR="00D322C7" w:rsidRDefault="00D322C7" w:rsidP="00D322C7">
      <w:r>
        <w:t>752.</w:t>
      </w:r>
      <w:r>
        <w:tab/>
        <w:t>Вода распределяется предприятиями Манильского водоканала, а также водными концессиями Метро Манила, районными водохозяйственными управлениями, ОМС, кооперативами, частным сектором и поставщиками воды в цистернах.  Охват этих систем, однако, ограничен, и многие филиппинцы по-прежнему не имеют доступа к чистой и недорогой воде.</w:t>
      </w:r>
    </w:p>
    <w:p w:rsidR="00D322C7" w:rsidRDefault="00D322C7" w:rsidP="00D322C7"/>
    <w:p w:rsidR="00D322C7" w:rsidRDefault="00D322C7" w:rsidP="00D322C7">
      <w:r>
        <w:t>753.</w:t>
      </w:r>
      <w:r>
        <w:tab/>
        <w:t>В 1998 году в городских районах доступ к воде имели 87,2% населения, а в сельских всего 69,8%.  Кроме того доступ к воде имеют лишь 58% малоимущих групп населения и 93% состоятельных групп.</w:t>
      </w:r>
    </w:p>
    <w:p w:rsidR="00D322C7" w:rsidRDefault="00D322C7" w:rsidP="00D322C7"/>
    <w:p w:rsidR="00D322C7" w:rsidRDefault="00D322C7" w:rsidP="00D322C7">
      <w:r>
        <w:t>754.</w:t>
      </w:r>
      <w:r>
        <w:tab/>
        <w:t>Базовое исследование, осуществленное в 1995 году в рамках Проекта здравоохранения и питания в городах, показало, что большинство (72%) домохозяйств, проживающих в трущобах, имеют доступ к водопроводной воде или колодцам.  Вместе с тем 36% воды загрязнено в точке потребления при 17-процентном загрязнении в точке забора.  Причиной этого является несоблюдение правил транспортировки, обработки и хранения питьевой воды.</w:t>
      </w:r>
    </w:p>
    <w:p w:rsidR="00D322C7" w:rsidRDefault="00D322C7" w:rsidP="00D322C7"/>
    <w:p w:rsidR="00D322C7" w:rsidRDefault="00D322C7" w:rsidP="00D322C7">
      <w:pPr>
        <w:rPr>
          <w:b/>
        </w:rPr>
      </w:pPr>
      <w:r w:rsidRPr="00597E05">
        <w:rPr>
          <w:b/>
        </w:rPr>
        <w:t>4.с</w:t>
      </w:r>
      <w:r>
        <w:rPr>
          <w:b/>
        </w:rPr>
        <w:tab/>
      </w:r>
      <w:r w:rsidRPr="00597E05">
        <w:rPr>
          <w:b/>
        </w:rPr>
        <w:t xml:space="preserve">Доступ населения к адекватным средствам </w:t>
      </w:r>
      <w:r>
        <w:rPr>
          <w:b/>
        </w:rPr>
        <w:t>удаления отходов</w:t>
      </w:r>
    </w:p>
    <w:p w:rsidR="00D322C7" w:rsidRDefault="00D322C7" w:rsidP="00D322C7">
      <w:pPr>
        <w:rPr>
          <w:b/>
        </w:rPr>
      </w:pPr>
    </w:p>
    <w:p w:rsidR="00D322C7" w:rsidRDefault="00D322C7" w:rsidP="00D322C7">
      <w:r>
        <w:t>755.</w:t>
      </w:r>
      <w:r>
        <w:tab/>
        <w:t xml:space="preserve">В 1998 году около 19%, или 2,3 млн. домохозяйств, не имели доступа к канализационным системам, отвечающим санитарным нормам.  В городах доступ к таким системам имели около 92,3% населения, а в сельских районах </w:t>
      </w:r>
      <w:r>
        <w:sym w:font="Symbol" w:char="F02D"/>
      </w:r>
      <w:r>
        <w:t xml:space="preserve"> 69,8%.  Подобными средствами обеспечены 67,4% малоимущих семей и 89,4% состоятельных семей.</w:t>
      </w:r>
    </w:p>
    <w:p w:rsidR="00D322C7" w:rsidRDefault="00D322C7" w:rsidP="00D322C7"/>
    <w:p w:rsidR="00D322C7" w:rsidRDefault="00D322C7" w:rsidP="00D322C7">
      <w:r>
        <w:t>756.</w:t>
      </w:r>
      <w:r>
        <w:tab/>
        <w:t>По оценкам, только около 7% всего населения обеспечены средствами канализации.  Доступ к домашним и общественным туалетам остается нерешенной проблемой.  Согласно результатам проведенных в 1995 году базовых исследований состояния здоровья и питания в городах одной из причин отсутствия туалетов является нехватка места или финансовых ресурсов для их строительства.</w:t>
      </w:r>
    </w:p>
    <w:p w:rsidR="00D322C7" w:rsidRDefault="00D322C7" w:rsidP="00D322C7"/>
    <w:p w:rsidR="00D322C7" w:rsidRDefault="00D322C7" w:rsidP="00D322C7">
      <w:r>
        <w:t>757.</w:t>
      </w:r>
      <w:r>
        <w:tab/>
        <w:t>Данные по центральному округу Манилы за 2006 год свидетельствуют о том, что около 8% населения имеют доступ к системам канализации, или 99 400 пользователей канализационной системой.  Остальное население пользуется местными объектами санитарии.  Большая часть этих домохозяйств имеет туалеты, подсоединенные к канализационным отстойникам, которые осуществляют предварительную очистку.</w:t>
      </w:r>
    </w:p>
    <w:p w:rsidR="00D322C7" w:rsidRDefault="00D322C7" w:rsidP="00D322C7"/>
    <w:p w:rsidR="00D322C7" w:rsidRDefault="00D322C7" w:rsidP="00200C95">
      <w:pPr>
        <w:ind w:left="567" w:hanging="567"/>
        <w:rPr>
          <w:b/>
        </w:rPr>
      </w:pPr>
      <w:r w:rsidRPr="00FA32EE">
        <w:rPr>
          <w:b/>
        </w:rPr>
        <w:t>4.</w:t>
      </w:r>
      <w:r w:rsidRPr="00FA32EE">
        <w:rPr>
          <w:b/>
          <w:lang w:val="en-US"/>
        </w:rPr>
        <w:t>d</w:t>
      </w:r>
      <w:r>
        <w:rPr>
          <w:b/>
        </w:rPr>
        <w:tab/>
      </w:r>
      <w:r w:rsidRPr="00FA32EE">
        <w:rPr>
          <w:b/>
        </w:rPr>
        <w:t>Вакцинация новорожденных против дифтерии, коклюша, столбняка, кори, полиомиелита и туберкулеза</w:t>
      </w:r>
    </w:p>
    <w:p w:rsidR="00D322C7" w:rsidRDefault="00D322C7" w:rsidP="00D322C7">
      <w:pPr>
        <w:rPr>
          <w:b/>
        </w:rPr>
      </w:pPr>
    </w:p>
    <w:p w:rsidR="00D322C7" w:rsidRDefault="00D322C7" w:rsidP="00D322C7">
      <w:r>
        <w:t>758.</w:t>
      </w:r>
      <w:r>
        <w:tab/>
        <w:t xml:space="preserve">Реализация </w:t>
      </w:r>
      <w:r w:rsidRPr="00080A1B">
        <w:rPr>
          <w:i/>
        </w:rPr>
        <w:t>Расширенной программы вакцинации</w:t>
      </w:r>
      <w:r>
        <w:t xml:space="preserve"> началась в 1976 году.  Пероральная полиомиелитная вакцина и прививка против столбняка были включены в перечень обязательных прививок в 1980 году, а против кори </w:t>
      </w:r>
      <w:r>
        <w:sym w:font="Symbol" w:char="F02D"/>
      </w:r>
      <w:r>
        <w:t xml:space="preserve"> в 1982 году.  С 1977 по 1983 год дважды в год проводились массовые кампании по вакцинации.  В 1984 году их число было увеличено до четырех кампаний в год.  Примерно в то же время стало увеличиваться количество вакцинаций, круглогодично осуществляемых в лечебных учреждениях.  Показатели за 1986 год:  БЦЖ - 51%, АКДС - 32%, ОПВ-37% и корь - 40%.  В результате этого среди детей в возрасте до пяти лет число случаев этих заболеваний снизилось, особенно в первую очередь полиомиелитом, показатели которого сократились до 83% по сравнению с 1980 годом.  Показатели заболеваемости корью с 1982 года снизились до 20%.</w:t>
      </w:r>
    </w:p>
    <w:p w:rsidR="00D322C7" w:rsidRDefault="00D322C7" w:rsidP="00D322C7"/>
    <w:p w:rsidR="00085A47" w:rsidRDefault="00085A47" w:rsidP="00085A47">
      <w:r>
        <w:t>759.</w:t>
      </w:r>
      <w:r>
        <w:tab/>
        <w:t>В 1993 году филиппинцы достигли наивысших показателей в области вакцинации детей:  91% всех детей был сделан полный набор прививок.  В 1995 году эти показатели сократились до 86%, что, возможно, обусловлено передачей функций в сфере медицинского обслуживания органам местного самоуправления.  В 1996 и 1997 годах эти показатели вновь достигли 90 %.</w:t>
      </w:r>
    </w:p>
    <w:p w:rsidR="00085A47" w:rsidRDefault="00085A47" w:rsidP="00085A47"/>
    <w:p w:rsidR="00085A47" w:rsidRDefault="00085A47" w:rsidP="00085A47">
      <w:r>
        <w:t>760.</w:t>
      </w:r>
      <w:r>
        <w:tab/>
        <w:t>В 2003 году охват вакцинацией детей, живущих в городских районах, превышает аналогичные показатели для сельской местности (74% и 65%, соответственно).  Среди девочек показатели полной вакцинации несколько выше,  чем среди мальчиков (71,3% и</w:t>
      </w:r>
      <w:r w:rsidR="001A05E9">
        <w:t> </w:t>
      </w:r>
      <w:r>
        <w:t>68,4%, соответственно).</w:t>
      </w:r>
    </w:p>
    <w:p w:rsidR="00085A47" w:rsidRDefault="00085A47" w:rsidP="00085A47"/>
    <w:p w:rsidR="00085A47" w:rsidRDefault="00085A47" w:rsidP="00085A47">
      <w:r>
        <w:t>761.</w:t>
      </w:r>
      <w:r>
        <w:tab/>
        <w:t>Во время Киотского совещания в октября 2000 года, посвященного борьбе с полиомиелитом в западном тихоокеанском регионе, Филиппины были объявлены страной, свободной от полиомиелита.  Несмотря на это, власти Филиппин по</w:t>
      </w:r>
      <w:r>
        <w:noBreakHyphen/>
        <w:t>прежнему предпринимают усилия по защите своих граждан от риска заражения этим вирусом в других странах.  Меры в этой области включают укрепление наблюдения и расширения возможностей для оперативного реагирования на случаи внешнего заражения, адекватное лабораторное хранение штаммов полиовируса и регулярная иммунизация до достижения всеобщей вакцинации.</w:t>
      </w:r>
    </w:p>
    <w:p w:rsidR="00085A47" w:rsidRDefault="00085A47" w:rsidP="00085A47"/>
    <w:p w:rsidR="00085A47" w:rsidRDefault="00085A47" w:rsidP="00085A47">
      <w:r>
        <w:t>762.</w:t>
      </w:r>
      <w:r>
        <w:tab/>
        <w:t xml:space="preserve">В рамках </w:t>
      </w:r>
      <w:r>
        <w:rPr>
          <w:i/>
        </w:rPr>
        <w:t>К</w:t>
      </w:r>
      <w:r w:rsidRPr="00466CBB">
        <w:rPr>
          <w:i/>
        </w:rPr>
        <w:t xml:space="preserve">ампании </w:t>
      </w:r>
      <w:r>
        <w:rPr>
          <w:i/>
        </w:rPr>
        <w:t xml:space="preserve">по борьбе с </w:t>
      </w:r>
      <w:r w:rsidRPr="00466CBB">
        <w:rPr>
          <w:i/>
        </w:rPr>
        <w:t>полиомиелит</w:t>
      </w:r>
      <w:r>
        <w:rPr>
          <w:i/>
        </w:rPr>
        <w:t>ом</w:t>
      </w:r>
      <w:r w:rsidRPr="00466CBB">
        <w:rPr>
          <w:i/>
        </w:rPr>
        <w:t xml:space="preserve"> Патак</w:t>
      </w:r>
      <w:r>
        <w:t xml:space="preserve"> в 2002 году была проведена вакцинация 12 млн. детей в два этапа в феврале и марте.  Эта кампания была направлена на предупреждение распространения провоцируемого вакциной полиовируса, который появился после того, как в течение предыдущих двух лет показатели вакцинации</w:t>
      </w:r>
      <w:r w:rsidRPr="00A66EDA">
        <w:t xml:space="preserve"> </w:t>
      </w:r>
      <w:r>
        <w:t>сократились.</w:t>
      </w:r>
    </w:p>
    <w:p w:rsidR="00085A47" w:rsidRDefault="00085A47" w:rsidP="00085A47"/>
    <w:p w:rsidR="00085A47" w:rsidRDefault="00085A47" w:rsidP="00085A47">
      <w:r>
        <w:t>763.</w:t>
      </w:r>
      <w:r>
        <w:tab/>
      </w:r>
      <w:r w:rsidRPr="00466CBB">
        <w:rPr>
          <w:i/>
        </w:rPr>
        <w:t xml:space="preserve">Кампания по </w:t>
      </w:r>
      <w:r>
        <w:rPr>
          <w:i/>
        </w:rPr>
        <w:t>борьбе с</w:t>
      </w:r>
      <w:r w:rsidRPr="00466CBB">
        <w:rPr>
          <w:i/>
        </w:rPr>
        <w:t xml:space="preserve"> кор</w:t>
      </w:r>
      <w:r>
        <w:rPr>
          <w:i/>
        </w:rPr>
        <w:t>ью</w:t>
      </w:r>
      <w:r>
        <w:t xml:space="preserve"> </w:t>
      </w:r>
      <w:r>
        <w:rPr>
          <w:i/>
        </w:rPr>
        <w:t>(</w:t>
      </w:r>
      <w:r w:rsidRPr="00466CBB">
        <w:rPr>
          <w:i/>
        </w:rPr>
        <w:t>Лигтас Тигдас</w:t>
      </w:r>
      <w:r>
        <w:rPr>
          <w:i/>
        </w:rPr>
        <w:t>)</w:t>
      </w:r>
      <w:r>
        <w:t xml:space="preserve"> позволила существенно сократить количество вспышек эпидемии и случаев заболевания корью до минимального уровня по сравнению с предыдущими годами.  В ходе кампании за девять месяцев было вакцинировано почти 95 % детей в возрасте до 15 лет.</w:t>
      </w:r>
    </w:p>
    <w:p w:rsidR="00085A47" w:rsidRDefault="00085A47" w:rsidP="00085A47"/>
    <w:p w:rsidR="00085A47" w:rsidRDefault="00085A47" w:rsidP="00085A47">
      <w:r>
        <w:t>764.</w:t>
      </w:r>
      <w:r>
        <w:tab/>
      </w:r>
      <w:r w:rsidRPr="00464567">
        <w:rPr>
          <w:i/>
        </w:rPr>
        <w:t>Кампания по последующей деятельности после вакцинации против кори</w:t>
      </w:r>
      <w:r>
        <w:t>, проведенная в феврале 2004 года, была рассчитана на 18 млн. детей в возрасте от девяти месяцев до восьми лет.  Было вакцинировано 95% целевой группы.</w:t>
      </w:r>
    </w:p>
    <w:p w:rsidR="00085A47" w:rsidRDefault="00085A47" w:rsidP="00085A47"/>
    <w:p w:rsidR="00085A47" w:rsidRDefault="00085A47" w:rsidP="001A05E9">
      <w:pPr>
        <w:keepNext/>
        <w:rPr>
          <w:b/>
        </w:rPr>
      </w:pPr>
      <w:r w:rsidRPr="00B12651">
        <w:rPr>
          <w:b/>
        </w:rPr>
        <w:t>4.е</w:t>
      </w:r>
      <w:r>
        <w:rPr>
          <w:b/>
        </w:rPr>
        <w:tab/>
      </w:r>
      <w:r w:rsidRPr="00B12651">
        <w:rPr>
          <w:b/>
        </w:rPr>
        <w:t>Продолжительность жизни при рождении</w:t>
      </w:r>
    </w:p>
    <w:p w:rsidR="00085A47" w:rsidRDefault="00085A47" w:rsidP="001A05E9">
      <w:pPr>
        <w:keepNext/>
        <w:rPr>
          <w:b/>
        </w:rPr>
      </w:pPr>
    </w:p>
    <w:p w:rsidR="00085A47" w:rsidRDefault="00085A47" w:rsidP="00085A47">
      <w:r>
        <w:t>765.</w:t>
      </w:r>
      <w:r>
        <w:tab/>
        <w:t>Средняя продолжительность жизни при рождении увеличилась с 61,6 года 1980 году до 64,6 года 1990 году.  В последние годы был отмечен дальнейший рост, и в 1999 году средняя продолжительность жизни составила уже 68,6 года.</w:t>
      </w:r>
    </w:p>
    <w:p w:rsidR="00085A47" w:rsidRDefault="00085A47" w:rsidP="00085A47"/>
    <w:p w:rsidR="00085A47" w:rsidRDefault="00085A47" w:rsidP="00085A47">
      <w:r>
        <w:t>766.</w:t>
      </w:r>
      <w:r>
        <w:tab/>
        <w:t>Продолжительность жизни женщин на Филиппинах всегда была выше, чем у мужчин (в 1999 году продолжительность жизни женщин составляла 71,28 года, а мужчин - 66,03 года).  В различных регионах страны продолжительность жизни является разной.  В Центральном Лусоне и Тагалоге продолжительность жизни наиболее высока, а в АРММ и Восточных Висайях этот показатель является самым низким.</w:t>
      </w:r>
    </w:p>
    <w:p w:rsidR="00085A47" w:rsidRDefault="00085A47" w:rsidP="00085A47"/>
    <w:p w:rsidR="00085A47" w:rsidRDefault="00085A47" w:rsidP="00085A47">
      <w:pPr>
        <w:tabs>
          <w:tab w:val="clear" w:pos="567"/>
          <w:tab w:val="clear" w:pos="1134"/>
          <w:tab w:val="clear" w:pos="1701"/>
          <w:tab w:val="clear" w:pos="2268"/>
          <w:tab w:val="clear" w:pos="6237"/>
        </w:tabs>
        <w:autoSpaceDE w:val="0"/>
        <w:autoSpaceDN w:val="0"/>
        <w:adjustRightInd w:val="0"/>
        <w:ind w:left="567" w:hanging="567"/>
        <w:rPr>
          <w:b/>
          <w:szCs w:val="24"/>
        </w:rPr>
      </w:pPr>
      <w:r w:rsidRPr="00932C31">
        <w:rPr>
          <w:b/>
        </w:rPr>
        <w:t>4.</w:t>
      </w:r>
      <w:r w:rsidRPr="00932C31">
        <w:rPr>
          <w:b/>
          <w:lang w:val="fr-FR"/>
        </w:rPr>
        <w:t>f</w:t>
      </w:r>
      <w:r>
        <w:rPr>
          <w:b/>
          <w:szCs w:val="24"/>
        </w:rPr>
        <w:tab/>
        <w:t>Д</w:t>
      </w:r>
      <w:r w:rsidRPr="00260EC6">
        <w:rPr>
          <w:b/>
          <w:szCs w:val="24"/>
        </w:rPr>
        <w:t xml:space="preserve">оля населения, имеющего </w:t>
      </w:r>
      <w:r>
        <w:rPr>
          <w:b/>
          <w:szCs w:val="24"/>
        </w:rPr>
        <w:t xml:space="preserve">доступ к </w:t>
      </w:r>
      <w:r w:rsidRPr="00260EC6">
        <w:rPr>
          <w:b/>
          <w:szCs w:val="24"/>
        </w:rPr>
        <w:t>услугам</w:t>
      </w:r>
      <w:r>
        <w:rPr>
          <w:b/>
          <w:szCs w:val="24"/>
        </w:rPr>
        <w:t xml:space="preserve"> </w:t>
      </w:r>
      <w:r w:rsidRPr="00260EC6">
        <w:rPr>
          <w:b/>
          <w:szCs w:val="24"/>
        </w:rPr>
        <w:t>квалифицированного персонала для лечения широко распространенных боле</w:t>
      </w:r>
      <w:r>
        <w:rPr>
          <w:b/>
          <w:szCs w:val="24"/>
        </w:rPr>
        <w:t>зней</w:t>
      </w:r>
      <w:r w:rsidRPr="00260EC6">
        <w:rPr>
          <w:b/>
          <w:szCs w:val="24"/>
        </w:rPr>
        <w:t xml:space="preserve"> и</w:t>
      </w:r>
      <w:r>
        <w:rPr>
          <w:b/>
          <w:szCs w:val="24"/>
        </w:rPr>
        <w:t xml:space="preserve"> </w:t>
      </w:r>
      <w:r w:rsidRPr="00260EC6">
        <w:rPr>
          <w:b/>
          <w:szCs w:val="24"/>
        </w:rPr>
        <w:t>травм</w:t>
      </w:r>
    </w:p>
    <w:p w:rsidR="00085A47" w:rsidRDefault="00085A47" w:rsidP="00085A47">
      <w:pPr>
        <w:tabs>
          <w:tab w:val="clear" w:pos="567"/>
          <w:tab w:val="clear" w:pos="1134"/>
          <w:tab w:val="clear" w:pos="1701"/>
          <w:tab w:val="clear" w:pos="2268"/>
          <w:tab w:val="clear" w:pos="6237"/>
        </w:tabs>
        <w:autoSpaceDE w:val="0"/>
        <w:autoSpaceDN w:val="0"/>
        <w:adjustRightInd w:val="0"/>
        <w:rPr>
          <w:b/>
          <w:szCs w:val="24"/>
        </w:rPr>
      </w:pPr>
    </w:p>
    <w:p w:rsidR="00085A47" w:rsidRDefault="00085A47" w:rsidP="00085A47">
      <w:r>
        <w:t>767.</w:t>
      </w:r>
      <w:r>
        <w:tab/>
        <w:t>Данные о процентной доле населения, имеющего доступ к услугам квалифицированного персонала для лечения широко распространенных болезней и травм, в разбивке по социально-экономическому положению, которые обычно содержатся в административных докладах отделений МЗ, отсутствуют по причине передачи полномочий в сфере медицинского обслуживания органам местного самоуправления, о которой уже говорилось ранее.  Вместе с тем интерес может представлять следующая информация:</w:t>
      </w:r>
    </w:p>
    <w:p w:rsidR="00085A47" w:rsidRDefault="00085A47" w:rsidP="00085A47"/>
    <w:p w:rsidR="00A33D18" w:rsidRDefault="00A33D18" w:rsidP="00A33D18">
      <w:r>
        <w:t>768.</w:t>
      </w:r>
      <w:r>
        <w:tab/>
        <w:t>Из 1 708 больниц, действующих в стране, 1 068 являются частными и только 640 государственными (</w:t>
      </w:r>
      <w:r w:rsidRPr="007412F5">
        <w:rPr>
          <w:i/>
        </w:rPr>
        <w:t>МЗ, 2001 год</w:t>
      </w:r>
      <w:r>
        <w:t>).  Больницы неравномерно распределены по регионам.  В то время как в Метро Манила насчитывается 177 больниц, в беднейшем районе страны АРММ их всего 14.</w:t>
      </w:r>
    </w:p>
    <w:p w:rsidR="00A33D18" w:rsidRDefault="00A33D18" w:rsidP="00A33D18"/>
    <w:p w:rsidR="00A33D18" w:rsidRDefault="00A33D18" w:rsidP="00A33D18">
      <w:r>
        <w:t>769.</w:t>
      </w:r>
      <w:r>
        <w:tab/>
        <w:t>Кроме того, большинство практикующих врачей работают в Метро Манила и других городских центрах.  В период 1990-1995 годов в стране насчитывалось 82 494 врача, 259 629 медсестер и 102 878 акушерок.  В 1997 году на Филиппинах действовали 3 123 врача, 1 782 стоматолога, 4 822 медсестры и 15 647 акушерок, принятых на работу органами местного самоуправления, и 4 232 врача, 179 стоматологов, 4 837 медсестер и 241 акушерка в государственных клиниках, находящихся в ведении МЗ.  Показатели соотношения государственных медицинских работников и населения были следующими:  один врач на 9 727 человек, один стоматолог на 36 481 человека,  одна медсестра на 7 361 человека и одна акушерка на 4 503 человека.</w:t>
      </w:r>
    </w:p>
    <w:p w:rsidR="00A33D18" w:rsidRDefault="00A33D18" w:rsidP="00A33D18"/>
    <w:p w:rsidR="00A33D18" w:rsidRDefault="00A33D18" w:rsidP="00A33D18">
      <w:r>
        <w:t>770.</w:t>
      </w:r>
      <w:r>
        <w:tab/>
        <w:t>Помимо этих больниц, в 1997 году действовало еще около 2 405 сельских медицинских учреждений (СМУ) и 13 096 медпунктов в барангаях (МПБ).  В среднем, каждое СМУ обслуживает 29 746 человек, а каждый МПБ - до 5 277 пациентов.  В СМУ, как правило, работают врач, медсестра и несколько акушерок, тогда как по штатному расписанию в МПБ должна числиться, как минимум, одна акушерка.</w:t>
      </w:r>
    </w:p>
    <w:p w:rsidR="00A33D18" w:rsidRDefault="00A33D18" w:rsidP="00A33D18"/>
    <w:p w:rsidR="00A33D18" w:rsidRDefault="00A33D18" w:rsidP="00A33D18">
      <w:r>
        <w:t>771.</w:t>
      </w:r>
      <w:r>
        <w:tab/>
        <w:t>По состоянию на 2002 год количество медицинских работников в органах местного самоуправления по всей стране составило 282 224, включая врачей, медсестер, диетологов, акушерок,</w:t>
      </w:r>
      <w:r w:rsidRPr="009A2042">
        <w:t xml:space="preserve"> </w:t>
      </w:r>
      <w:r>
        <w:t>медицинских работников и барангайев.</w:t>
      </w:r>
    </w:p>
    <w:p w:rsidR="00A33D18" w:rsidRDefault="00A33D18" w:rsidP="00A33D18"/>
    <w:p w:rsidR="00A33D18" w:rsidRDefault="00A33D18" w:rsidP="00A33D18">
      <w:pPr>
        <w:tabs>
          <w:tab w:val="clear" w:pos="567"/>
          <w:tab w:val="clear" w:pos="1134"/>
          <w:tab w:val="clear" w:pos="1701"/>
          <w:tab w:val="clear" w:pos="2268"/>
          <w:tab w:val="clear" w:pos="6237"/>
        </w:tabs>
        <w:autoSpaceDE w:val="0"/>
        <w:autoSpaceDN w:val="0"/>
        <w:adjustRightInd w:val="0"/>
        <w:ind w:left="567" w:hanging="567"/>
        <w:rPr>
          <w:b/>
          <w:szCs w:val="24"/>
        </w:rPr>
      </w:pPr>
      <w:r w:rsidRPr="003C6312">
        <w:rPr>
          <w:b/>
          <w:szCs w:val="24"/>
        </w:rPr>
        <w:t>4.</w:t>
      </w:r>
      <w:r>
        <w:rPr>
          <w:b/>
          <w:szCs w:val="24"/>
          <w:lang w:val="en-US"/>
        </w:rPr>
        <w:t>g</w:t>
      </w:r>
      <w:r>
        <w:rPr>
          <w:b/>
          <w:szCs w:val="24"/>
        </w:rPr>
        <w:tab/>
        <w:t>Д</w:t>
      </w:r>
      <w:r w:rsidRPr="003C6312">
        <w:rPr>
          <w:b/>
          <w:szCs w:val="24"/>
        </w:rPr>
        <w:t xml:space="preserve">оля беременных женщин, имеющих </w:t>
      </w:r>
      <w:r>
        <w:rPr>
          <w:b/>
          <w:szCs w:val="24"/>
        </w:rPr>
        <w:t xml:space="preserve">доступ к услугам </w:t>
      </w:r>
      <w:r w:rsidRPr="003C6312">
        <w:rPr>
          <w:b/>
          <w:szCs w:val="24"/>
        </w:rPr>
        <w:t>квалифицированного персонала в</w:t>
      </w:r>
      <w:r>
        <w:rPr>
          <w:b/>
          <w:szCs w:val="24"/>
        </w:rPr>
        <w:t xml:space="preserve"> период</w:t>
      </w:r>
      <w:r w:rsidRPr="003C6312">
        <w:rPr>
          <w:b/>
          <w:szCs w:val="24"/>
        </w:rPr>
        <w:t xml:space="preserve"> беременности</w:t>
      </w:r>
      <w:r>
        <w:rPr>
          <w:b/>
          <w:szCs w:val="24"/>
        </w:rPr>
        <w:t>,</w:t>
      </w:r>
      <w:r w:rsidRPr="003C6312">
        <w:rPr>
          <w:b/>
          <w:szCs w:val="24"/>
        </w:rPr>
        <w:t xml:space="preserve"> и доля беременных женщин,</w:t>
      </w:r>
      <w:r>
        <w:rPr>
          <w:b/>
          <w:szCs w:val="24"/>
        </w:rPr>
        <w:t xml:space="preserve"> </w:t>
      </w:r>
      <w:r w:rsidRPr="003C6312">
        <w:rPr>
          <w:b/>
          <w:szCs w:val="24"/>
        </w:rPr>
        <w:t>пользующихся услугами квалифицированного персонала во время родов</w:t>
      </w:r>
      <w:r>
        <w:rPr>
          <w:b/>
          <w:szCs w:val="24"/>
        </w:rPr>
        <w:t>;  данные об уровне материнской смертности</w:t>
      </w:r>
    </w:p>
    <w:p w:rsidR="00A33D18" w:rsidRDefault="00A33D18" w:rsidP="00A33D18">
      <w:pPr>
        <w:rPr>
          <w:b/>
          <w:szCs w:val="24"/>
        </w:rPr>
      </w:pPr>
    </w:p>
    <w:p w:rsidR="00A33D18" w:rsidRDefault="00A33D18" w:rsidP="00A33D18">
      <w:pPr>
        <w:rPr>
          <w:szCs w:val="24"/>
        </w:rPr>
      </w:pPr>
      <w:r>
        <w:rPr>
          <w:szCs w:val="24"/>
        </w:rPr>
        <w:t>772.</w:t>
      </w:r>
      <w:r>
        <w:rPr>
          <w:szCs w:val="24"/>
        </w:rPr>
        <w:tab/>
        <w:t>Результаты НДОЗ 1998 года показали наличие существенных недочетов в медицинском обслуживании женщин во время беременности и родов.  В подавляющем большинстве случаев (77%) будущие матери посещают врача три или более раз, а в более половине случаев первый визит к врачу приходится на период первых трех месяцев беременности.  Только 33% женщин получали информацию об опасностях, связанных с беременностью.  Доля матерей, которым были сделаны прививки против столбняка составила всего 30% (для сравнения в 1993 году этот показатель был равен 42%).  75% беременных женщин получали железосодержащие витамины, и только 57% беременных - йодированные пищевые добавки.  Многие беременные женщины (86%) наблюдаются во время беременности у квалифицированных специалистов.  В 2000 году Служба информации системы здравоохранения (СИСЗ) сообщила, что 64,8% женщин во время беременности</w:t>
      </w:r>
      <w:r w:rsidRPr="00E027EA">
        <w:rPr>
          <w:szCs w:val="24"/>
        </w:rPr>
        <w:t xml:space="preserve"> </w:t>
      </w:r>
      <w:r>
        <w:rPr>
          <w:szCs w:val="24"/>
        </w:rPr>
        <w:t>посещали врача три и более раз.</w:t>
      </w:r>
    </w:p>
    <w:p w:rsidR="00A33D18" w:rsidRDefault="00A33D18" w:rsidP="00A33D18">
      <w:pPr>
        <w:rPr>
          <w:szCs w:val="24"/>
        </w:rPr>
      </w:pPr>
    </w:p>
    <w:p w:rsidR="00A33D18" w:rsidRDefault="00A33D18" w:rsidP="00A33D18">
      <w:pPr>
        <w:rPr>
          <w:szCs w:val="24"/>
        </w:rPr>
      </w:pPr>
      <w:r>
        <w:rPr>
          <w:szCs w:val="24"/>
        </w:rPr>
        <w:t>773.</w:t>
      </w:r>
      <w:r>
        <w:rPr>
          <w:szCs w:val="24"/>
        </w:rPr>
        <w:tab/>
        <w:t>Данные государственных исследований за 2000 год (</w:t>
      </w:r>
      <w:r w:rsidRPr="00295D48">
        <w:rPr>
          <w:i/>
          <w:szCs w:val="24"/>
        </w:rPr>
        <w:t>СИСЗ</w:t>
      </w:r>
      <w:r>
        <w:rPr>
          <w:i/>
          <w:szCs w:val="24"/>
        </w:rPr>
        <w:t>,</w:t>
      </w:r>
      <w:r w:rsidRPr="00295D48">
        <w:rPr>
          <w:i/>
          <w:szCs w:val="24"/>
        </w:rPr>
        <w:t xml:space="preserve"> 2000</w:t>
      </w:r>
      <w:r>
        <w:rPr>
          <w:i/>
          <w:szCs w:val="24"/>
        </w:rPr>
        <w:t xml:space="preserve"> год</w:t>
      </w:r>
      <w:r>
        <w:rPr>
          <w:szCs w:val="24"/>
        </w:rPr>
        <w:t>) показывают, что 69% женщин во время беременности пользовались услугами врача, медсестры или акушерки;  а 31% - услугами традиционных акушерок.  Кроме того, существуют значительные региональные различия в уровнях медицинского обслуживания при родах.</w:t>
      </w:r>
    </w:p>
    <w:p w:rsidR="00A33D18" w:rsidRDefault="00A33D18" w:rsidP="00A33D18">
      <w:pPr>
        <w:rPr>
          <w:szCs w:val="24"/>
        </w:rPr>
      </w:pPr>
    </w:p>
    <w:p w:rsidR="00A33D18" w:rsidRPr="0069698B" w:rsidRDefault="00A33D18" w:rsidP="00A33D18">
      <w:pPr>
        <w:rPr>
          <w:szCs w:val="24"/>
        </w:rPr>
      </w:pPr>
      <w:r>
        <w:rPr>
          <w:szCs w:val="24"/>
        </w:rPr>
        <w:t>774.</w:t>
      </w:r>
      <w:r>
        <w:rPr>
          <w:szCs w:val="24"/>
        </w:rPr>
        <w:tab/>
        <w:t>В большинстве случаев (40,7%) роды принимают акушерки;  при этом в Минданао число таких родов составляет лишь 30%, а в Северном Лусоне - 60%.  Квалифицированные традиционные акушерки и врачи принимают примерно одинаковое количество родов (26,8%).  В урбанизированном Столичном районе 51,4% всех родов проходят с участием врачей (</w:t>
      </w:r>
      <w:r>
        <w:rPr>
          <w:i/>
          <w:szCs w:val="24"/>
        </w:rPr>
        <w:t>НДОЗ</w:t>
      </w:r>
      <w:r w:rsidRPr="00D01922">
        <w:rPr>
          <w:i/>
          <w:szCs w:val="24"/>
        </w:rPr>
        <w:t>, 1998</w:t>
      </w:r>
      <w:r>
        <w:rPr>
          <w:i/>
          <w:szCs w:val="24"/>
        </w:rPr>
        <w:t xml:space="preserve"> год</w:t>
      </w:r>
      <w:r w:rsidRPr="00D01922">
        <w:rPr>
          <w:i/>
          <w:szCs w:val="24"/>
        </w:rPr>
        <w:t xml:space="preserve">; </w:t>
      </w:r>
      <w:r>
        <w:rPr>
          <w:i/>
          <w:szCs w:val="24"/>
        </w:rPr>
        <w:t xml:space="preserve"> ФПА</w:t>
      </w:r>
      <w:r w:rsidRPr="00D01922">
        <w:rPr>
          <w:i/>
          <w:szCs w:val="24"/>
        </w:rPr>
        <w:t xml:space="preserve">, 2001 </w:t>
      </w:r>
      <w:r>
        <w:rPr>
          <w:i/>
          <w:szCs w:val="24"/>
        </w:rPr>
        <w:t>и</w:t>
      </w:r>
      <w:r w:rsidRPr="00D01922">
        <w:rPr>
          <w:i/>
          <w:szCs w:val="24"/>
        </w:rPr>
        <w:t xml:space="preserve"> 2002</w:t>
      </w:r>
      <w:r>
        <w:rPr>
          <w:i/>
          <w:szCs w:val="24"/>
        </w:rPr>
        <w:t xml:space="preserve"> годы</w:t>
      </w:r>
      <w:r w:rsidRPr="00D01922">
        <w:rPr>
          <w:szCs w:val="24"/>
        </w:rPr>
        <w:t>).</w:t>
      </w:r>
      <w:r>
        <w:rPr>
          <w:szCs w:val="24"/>
        </w:rPr>
        <w:t xml:space="preserve"> </w:t>
      </w:r>
    </w:p>
    <w:p w:rsidR="00A33D18" w:rsidRPr="0069698B" w:rsidRDefault="00A33D18" w:rsidP="00A33D18">
      <w:pPr>
        <w:rPr>
          <w:szCs w:val="24"/>
        </w:rPr>
      </w:pPr>
    </w:p>
    <w:p w:rsidR="00A33D18" w:rsidRDefault="00A33D18" w:rsidP="00A33D18">
      <w:r>
        <w:rPr>
          <w:szCs w:val="24"/>
        </w:rPr>
        <w:t>775.</w:t>
      </w:r>
      <w:r>
        <w:rPr>
          <w:szCs w:val="24"/>
        </w:rPr>
        <w:tab/>
        <w:t>По результатам НДОЗ 1998 года, показатели материнской смертности составляли 14% всех случаев смерти женщин в возрасте от 15 до 49 лет.  Примерно две женщины на каждую 1 000 живорождений умирают во время беременности, родов или в послеродовой период.  Филиппинские женщины имеют один из 100 шансов умереть по причинам, связанным с беременностью или родами.  Материнская смертность выше в бедных сельских и изолированных районах и бедных городских общинах.  По данным НСКС, тремя районами с наивысшими показателями материнской смертности в период 1990</w:t>
      </w:r>
      <w:r>
        <w:rPr>
          <w:szCs w:val="24"/>
        </w:rPr>
        <w:noBreakHyphen/>
        <w:t>1</w:t>
      </w:r>
      <w:r>
        <w:t>995 годов были АРММ, районы 10 и 9.</w:t>
      </w:r>
    </w:p>
    <w:p w:rsidR="00A33D18" w:rsidRDefault="00A33D18" w:rsidP="00A33D18"/>
    <w:p w:rsidR="00A33D18" w:rsidRDefault="00A33D18" w:rsidP="00A33D18">
      <w:r>
        <w:t>776.</w:t>
      </w:r>
      <w:r>
        <w:tab/>
        <w:t>Основными причинами материнской смертности являются послеродовое кровотечение, гипертония и ее осложнения, заражение крови, затрудненная проходимость плода и последствия абортов.  Среди причин кровотечений аборты занимают четвертое место, составив 7,22% за 10 лет (</w:t>
      </w:r>
      <w:r w:rsidRPr="00F747FC">
        <w:rPr>
          <w:i/>
          <w:lang w:val="en-US"/>
        </w:rPr>
        <w:t>POGS</w:t>
      </w:r>
      <w:r>
        <w:rPr>
          <w:i/>
        </w:rPr>
        <w:t>,</w:t>
      </w:r>
      <w:r w:rsidRPr="00F747FC">
        <w:rPr>
          <w:i/>
        </w:rPr>
        <w:t xml:space="preserve"> 1985-1994</w:t>
      </w:r>
      <w:r w:rsidRPr="00F747FC">
        <w:t xml:space="preserve">).  </w:t>
      </w:r>
      <w:r>
        <w:t xml:space="preserve">Косвенные оценки количества абортов свидетельствуют о том, что наивысшие показатели отмечены в Метро Манила, где они составляют 33 на 1 000 женщин в возрасте от 15 до 44 лет, а самые низкие - на Висайских островах (девять на 1 000 женщин в возрасте от 15 до 44 лет).  Хотя в своем большинстве такие случаи не являются фатальными, осложнения после абортов могут привести к острым и хроническим заболеваниям и другим подрывающим здоровье последствиям, таким, как анемия и половые инфекции;  они также могут стать причиной инвалидности, приводя, например, к образованию послеродовой фистулы. </w:t>
      </w:r>
    </w:p>
    <w:p w:rsidR="00A33D18" w:rsidRDefault="00A33D18" w:rsidP="00A33D18"/>
    <w:p w:rsidR="00A33D18" w:rsidRDefault="00A33D18" w:rsidP="00A33D18">
      <w:pPr>
        <w:tabs>
          <w:tab w:val="clear" w:pos="567"/>
          <w:tab w:val="clear" w:pos="1134"/>
          <w:tab w:val="clear" w:pos="1701"/>
          <w:tab w:val="clear" w:pos="2268"/>
          <w:tab w:val="clear" w:pos="6237"/>
        </w:tabs>
        <w:autoSpaceDE w:val="0"/>
        <w:autoSpaceDN w:val="0"/>
        <w:adjustRightInd w:val="0"/>
        <w:ind w:left="567" w:hanging="567"/>
        <w:rPr>
          <w:b/>
          <w:szCs w:val="24"/>
        </w:rPr>
      </w:pPr>
      <w:r w:rsidRPr="00700562">
        <w:rPr>
          <w:b/>
        </w:rPr>
        <w:t>4.</w:t>
      </w:r>
      <w:r w:rsidRPr="00700562">
        <w:rPr>
          <w:b/>
          <w:lang w:val="fr-FR"/>
        </w:rPr>
        <w:t>h</w:t>
      </w:r>
      <w:r>
        <w:rPr>
          <w:b/>
        </w:rPr>
        <w:tab/>
        <w:t>Д</w:t>
      </w:r>
      <w:r w:rsidRPr="00700562">
        <w:rPr>
          <w:b/>
          <w:szCs w:val="24"/>
        </w:rPr>
        <w:t xml:space="preserve">оля детей, имеющих </w:t>
      </w:r>
      <w:r>
        <w:rPr>
          <w:b/>
          <w:szCs w:val="24"/>
        </w:rPr>
        <w:t xml:space="preserve">доступ к услугам </w:t>
      </w:r>
      <w:r w:rsidRPr="00700562">
        <w:rPr>
          <w:b/>
          <w:szCs w:val="24"/>
        </w:rPr>
        <w:t xml:space="preserve">квалифицированного </w:t>
      </w:r>
      <w:r>
        <w:rPr>
          <w:b/>
          <w:szCs w:val="24"/>
        </w:rPr>
        <w:t xml:space="preserve">медицинского </w:t>
      </w:r>
      <w:r w:rsidR="001A05E9">
        <w:rPr>
          <w:b/>
          <w:szCs w:val="24"/>
        </w:rPr>
        <w:t>персонала</w:t>
      </w:r>
    </w:p>
    <w:p w:rsidR="00A33D18" w:rsidRDefault="00A33D18" w:rsidP="00A33D18">
      <w:pPr>
        <w:tabs>
          <w:tab w:val="clear" w:pos="567"/>
          <w:tab w:val="clear" w:pos="1134"/>
          <w:tab w:val="clear" w:pos="1701"/>
          <w:tab w:val="clear" w:pos="2268"/>
          <w:tab w:val="clear" w:pos="6237"/>
        </w:tabs>
        <w:autoSpaceDE w:val="0"/>
        <w:autoSpaceDN w:val="0"/>
        <w:adjustRightInd w:val="0"/>
        <w:rPr>
          <w:b/>
          <w:szCs w:val="24"/>
        </w:rPr>
      </w:pPr>
    </w:p>
    <w:p w:rsidR="00A33D18" w:rsidRDefault="00A33D18" w:rsidP="00A33D18">
      <w:pPr>
        <w:tabs>
          <w:tab w:val="clear" w:pos="567"/>
          <w:tab w:val="clear" w:pos="1134"/>
          <w:tab w:val="clear" w:pos="1701"/>
          <w:tab w:val="clear" w:pos="2268"/>
          <w:tab w:val="clear" w:pos="6237"/>
        </w:tabs>
        <w:autoSpaceDE w:val="0"/>
        <w:autoSpaceDN w:val="0"/>
        <w:adjustRightInd w:val="0"/>
        <w:rPr>
          <w:szCs w:val="24"/>
        </w:rPr>
      </w:pPr>
      <w:r w:rsidRPr="00700562">
        <w:rPr>
          <w:szCs w:val="24"/>
        </w:rPr>
        <w:t>777.</w:t>
      </w:r>
      <w:r w:rsidRPr="00700562">
        <w:rPr>
          <w:szCs w:val="24"/>
        </w:rPr>
        <w:tab/>
      </w:r>
      <w:r>
        <w:rPr>
          <w:szCs w:val="24"/>
        </w:rPr>
        <w:t>Данные о детях, имеющих доступ к услугам квалифицированного медицинского персонала, в разбивке по полу, возрасту и социально-экономическому положению, которые обычно содержатся в административных докладах отделений МЗ, отсутствуют по причине передачи функций в области медицинского обслуживания ОМС, о чем уже говорилось ранее.  Вместе с тем внимания заслуживает следующая информация.</w:t>
      </w:r>
    </w:p>
    <w:p w:rsidR="00A33D18" w:rsidRDefault="00A33D18" w:rsidP="00A33D18">
      <w:pPr>
        <w:tabs>
          <w:tab w:val="clear" w:pos="567"/>
          <w:tab w:val="clear" w:pos="1134"/>
          <w:tab w:val="clear" w:pos="1701"/>
          <w:tab w:val="clear" w:pos="2268"/>
          <w:tab w:val="clear" w:pos="6237"/>
        </w:tabs>
        <w:autoSpaceDE w:val="0"/>
        <w:autoSpaceDN w:val="0"/>
        <w:adjustRightInd w:val="0"/>
        <w:rPr>
          <w:szCs w:val="24"/>
        </w:rPr>
      </w:pPr>
    </w:p>
    <w:p w:rsidR="00A33D18" w:rsidRDefault="00A33D18" w:rsidP="00A33D18">
      <w:pPr>
        <w:tabs>
          <w:tab w:val="clear" w:pos="567"/>
          <w:tab w:val="clear" w:pos="1134"/>
          <w:tab w:val="clear" w:pos="1701"/>
          <w:tab w:val="clear" w:pos="2268"/>
          <w:tab w:val="clear" w:pos="6237"/>
        </w:tabs>
        <w:autoSpaceDE w:val="0"/>
        <w:autoSpaceDN w:val="0"/>
        <w:adjustRightInd w:val="0"/>
        <w:rPr>
          <w:szCs w:val="24"/>
        </w:rPr>
      </w:pPr>
      <w:r>
        <w:rPr>
          <w:szCs w:val="24"/>
        </w:rPr>
        <w:t>778.</w:t>
      </w:r>
      <w:r>
        <w:rPr>
          <w:szCs w:val="24"/>
        </w:rPr>
        <w:tab/>
        <w:t>Потенциальные возможности медицинских учреждений в области обслуживания новорожденных используются еще не полностью.  По всей стране акушерские отделения есть только в 9,5% сельских медицинских учреждений и в 2,6% медпунктов барангаев.  Доля лечебно-диагностических центров с действующими акушерско-гинекологическими отделениями составляет 20% в случае районных больниц и 47% в случае провинциальных больниц (</w:t>
      </w:r>
      <w:r>
        <w:rPr>
          <w:i/>
          <w:szCs w:val="24"/>
          <w:lang w:val="en-US"/>
        </w:rPr>
        <w:t>Women</w:t>
      </w:r>
      <w:r w:rsidRPr="00270AF4">
        <w:rPr>
          <w:i/>
          <w:szCs w:val="24"/>
        </w:rPr>
        <w:t>'</w:t>
      </w:r>
      <w:r>
        <w:rPr>
          <w:i/>
          <w:szCs w:val="24"/>
          <w:lang w:val="en-US"/>
        </w:rPr>
        <w:t>s</w:t>
      </w:r>
      <w:r w:rsidRPr="00270AF4">
        <w:rPr>
          <w:i/>
          <w:szCs w:val="24"/>
        </w:rPr>
        <w:t xml:space="preserve"> </w:t>
      </w:r>
      <w:r>
        <w:rPr>
          <w:i/>
          <w:szCs w:val="24"/>
          <w:lang w:val="en-US"/>
        </w:rPr>
        <w:t>Health</w:t>
      </w:r>
      <w:r w:rsidRPr="00270AF4">
        <w:rPr>
          <w:i/>
          <w:szCs w:val="24"/>
        </w:rPr>
        <w:t xml:space="preserve"> </w:t>
      </w:r>
      <w:r>
        <w:rPr>
          <w:i/>
          <w:szCs w:val="24"/>
          <w:lang w:val="en-US"/>
        </w:rPr>
        <w:t>and</w:t>
      </w:r>
      <w:r w:rsidRPr="00270AF4">
        <w:rPr>
          <w:i/>
          <w:szCs w:val="24"/>
        </w:rPr>
        <w:t xml:space="preserve"> </w:t>
      </w:r>
      <w:r>
        <w:rPr>
          <w:i/>
          <w:szCs w:val="24"/>
          <w:lang w:val="en-US"/>
        </w:rPr>
        <w:t>Safe</w:t>
      </w:r>
      <w:r w:rsidRPr="00270AF4">
        <w:rPr>
          <w:i/>
          <w:szCs w:val="24"/>
        </w:rPr>
        <w:t xml:space="preserve"> </w:t>
      </w:r>
      <w:r>
        <w:rPr>
          <w:i/>
          <w:szCs w:val="24"/>
          <w:lang w:val="en-US"/>
        </w:rPr>
        <w:t>Motherhood</w:t>
      </w:r>
      <w:r w:rsidRPr="00270AF4">
        <w:rPr>
          <w:i/>
          <w:szCs w:val="24"/>
        </w:rPr>
        <w:t xml:space="preserve"> </w:t>
      </w:r>
      <w:r>
        <w:rPr>
          <w:i/>
          <w:szCs w:val="24"/>
          <w:lang w:val="en-US"/>
        </w:rPr>
        <w:t>Program</w:t>
      </w:r>
      <w:r w:rsidRPr="00270AF4">
        <w:rPr>
          <w:i/>
          <w:szCs w:val="24"/>
        </w:rPr>
        <w:t xml:space="preserve"> </w:t>
      </w:r>
      <w:r>
        <w:rPr>
          <w:i/>
          <w:szCs w:val="24"/>
          <w:lang w:val="en-US"/>
        </w:rPr>
        <w:t>Report</w:t>
      </w:r>
      <w:r w:rsidRPr="00FB786E">
        <w:rPr>
          <w:i/>
          <w:szCs w:val="24"/>
        </w:rPr>
        <w:t>, 1998</w:t>
      </w:r>
      <w:r>
        <w:rPr>
          <w:szCs w:val="24"/>
        </w:rPr>
        <w:t>).</w:t>
      </w:r>
    </w:p>
    <w:p w:rsidR="00B356D7" w:rsidRDefault="00B356D7" w:rsidP="00B356D7"/>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779.</w:t>
      </w:r>
      <w:r>
        <w:rPr>
          <w:szCs w:val="24"/>
        </w:rPr>
        <w:tab/>
        <w:t xml:space="preserve">Результаты проведенного в 2000 году </w:t>
      </w:r>
      <w:r w:rsidRPr="00842D9B">
        <w:rPr>
          <w:i/>
          <w:szCs w:val="24"/>
        </w:rPr>
        <w:t xml:space="preserve">обследования в области </w:t>
      </w:r>
      <w:r>
        <w:rPr>
          <w:i/>
          <w:szCs w:val="24"/>
        </w:rPr>
        <w:t xml:space="preserve">здоровья </w:t>
      </w:r>
      <w:r w:rsidRPr="00842D9B">
        <w:rPr>
          <w:i/>
          <w:szCs w:val="24"/>
        </w:rPr>
        <w:t>матери и ребенка</w:t>
      </w:r>
      <w:r>
        <w:rPr>
          <w:szCs w:val="24"/>
        </w:rPr>
        <w:t xml:space="preserve"> показали, что только шесть из десяти женщин с выжившими детьми в возрасте до трех лет получали профессиональную помощь в послеродовой период.  37% женщин наблюдались у медсестры или акушерки, и примерно одна из десяти женщин обращалась к традиционным акушеркам.  Хотя в целом основную роль в осуществлении послеродового ухода играют медсестры и акушерки (48%), в городских районах эти функции исполняются преимущественно врачами (66,9%).  Основной услугой, оказываемой в послеродовой период, является регулярный осмотр ребенка.</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b/>
          <w:szCs w:val="24"/>
        </w:rPr>
      </w:pPr>
      <w:r w:rsidRPr="00842D9B">
        <w:rPr>
          <w:b/>
          <w:szCs w:val="24"/>
        </w:rPr>
        <w:t xml:space="preserve">Вопрос 5. </w:t>
      </w:r>
      <w:r>
        <w:rPr>
          <w:b/>
          <w:szCs w:val="24"/>
        </w:rPr>
        <w:t xml:space="preserve"> </w:t>
      </w:r>
      <w:r w:rsidRPr="00842D9B">
        <w:rPr>
          <w:b/>
          <w:szCs w:val="24"/>
        </w:rPr>
        <w:t>Уязвимые и находящиеся в н</w:t>
      </w:r>
      <w:r w:rsidR="001A05E9">
        <w:rPr>
          <w:b/>
          <w:szCs w:val="24"/>
        </w:rPr>
        <w:t>еблагоприятном положении группы</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780.</w:t>
      </w:r>
      <w:r>
        <w:rPr>
          <w:szCs w:val="24"/>
        </w:rPr>
        <w:tab/>
        <w:t>Как показывают приведенные выше данные, городская и сельская беднота, как представляется, является наиболее ущемленной с точки зрения доступа к медицинскому обслуживанию.</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781.</w:t>
      </w:r>
      <w:r>
        <w:rPr>
          <w:szCs w:val="24"/>
        </w:rPr>
        <w:tab/>
        <w:t>Масштабы нищеты в стране отражают существующее неравенство в области борьбы с болезнями и недоеданием.  Кроме того, лица, проживающие в удаленных сельских районах, получают меньший объем медицинских услуг более низкого качества.  Больницы и другие медицинские учреждения сконцентрированы в городских центрах, и предоставляемые ими услуги недоступны по цене для малоимущего населения.</w:t>
      </w:r>
    </w:p>
    <w:p w:rsidR="002E795F" w:rsidRDefault="002E795F" w:rsidP="002E795F">
      <w:pPr>
        <w:tabs>
          <w:tab w:val="clear" w:pos="567"/>
          <w:tab w:val="clear" w:pos="1134"/>
          <w:tab w:val="clear" w:pos="1701"/>
          <w:tab w:val="clear" w:pos="2268"/>
          <w:tab w:val="clear" w:pos="6237"/>
        </w:tabs>
        <w:autoSpaceDE w:val="0"/>
        <w:autoSpaceDN w:val="0"/>
        <w:adjustRightInd w:val="0"/>
        <w:ind w:left="567" w:hanging="567"/>
        <w:rPr>
          <w:b/>
          <w:szCs w:val="24"/>
        </w:rPr>
      </w:pPr>
    </w:p>
    <w:p w:rsidR="002E795F" w:rsidRDefault="002E795F" w:rsidP="002E795F">
      <w:pPr>
        <w:tabs>
          <w:tab w:val="clear" w:pos="567"/>
          <w:tab w:val="clear" w:pos="1134"/>
          <w:tab w:val="clear" w:pos="1701"/>
          <w:tab w:val="clear" w:pos="2268"/>
          <w:tab w:val="clear" w:pos="6237"/>
        </w:tabs>
        <w:autoSpaceDE w:val="0"/>
        <w:autoSpaceDN w:val="0"/>
        <w:adjustRightInd w:val="0"/>
        <w:ind w:left="567" w:hanging="567"/>
        <w:rPr>
          <w:b/>
          <w:szCs w:val="24"/>
        </w:rPr>
      </w:pPr>
      <w:r>
        <w:rPr>
          <w:b/>
          <w:szCs w:val="24"/>
        </w:rPr>
        <w:t>5.а</w:t>
      </w:r>
      <w:r>
        <w:rPr>
          <w:b/>
          <w:szCs w:val="24"/>
        </w:rPr>
        <w:tab/>
        <w:t>И</w:t>
      </w:r>
      <w:r w:rsidRPr="00703BA3">
        <w:rPr>
          <w:b/>
          <w:szCs w:val="24"/>
        </w:rPr>
        <w:t>зменения в национальной</w:t>
      </w:r>
      <w:r>
        <w:rPr>
          <w:b/>
          <w:szCs w:val="24"/>
        </w:rPr>
        <w:t xml:space="preserve"> </w:t>
      </w:r>
      <w:r w:rsidRPr="00703BA3">
        <w:rPr>
          <w:b/>
          <w:szCs w:val="24"/>
        </w:rPr>
        <w:t>политике, законодательстве и практике</w:t>
      </w:r>
      <w:r>
        <w:rPr>
          <w:b/>
          <w:szCs w:val="24"/>
        </w:rPr>
        <w:t>, о</w:t>
      </w:r>
      <w:r w:rsidRPr="00703BA3">
        <w:rPr>
          <w:b/>
          <w:szCs w:val="24"/>
        </w:rPr>
        <w:t>трицательно повлиявшие на положение со</w:t>
      </w:r>
      <w:r>
        <w:rPr>
          <w:b/>
          <w:szCs w:val="24"/>
        </w:rPr>
        <w:t xml:space="preserve"> </w:t>
      </w:r>
      <w:r w:rsidRPr="00703BA3">
        <w:rPr>
          <w:b/>
          <w:szCs w:val="24"/>
        </w:rPr>
        <w:t>здоровьем</w:t>
      </w:r>
      <w:r>
        <w:rPr>
          <w:b/>
          <w:szCs w:val="24"/>
        </w:rPr>
        <w:t xml:space="preserve"> находящихся в неблагоприятном положении групп</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782.</w:t>
      </w:r>
      <w:r>
        <w:rPr>
          <w:szCs w:val="24"/>
        </w:rPr>
        <w:tab/>
        <w:t xml:space="preserve">На протяжении более сорока лет независимости, обретенной во время войны, система здравоохранения Филиппин управлялась центральным ведомством, находящимся в Маниле.  Оно являлось единственным источником финансирования, директивных указаний и технического и административного контроля за деятельностью медицинских учреждений по всей стране.  Вместе с тем после вступления в силу в 1991 году Кодекса местного самоуправления ответственность за обеспечение деятельности медицинского обслуживания на местах была возложена на должностных лиц местных органов власти.  Появились новые центры управления местными медицинскими учреждениями.  К их числу относятся 78 администраций провинций, 82 городские администрации, 1 536 муниципалитетов, один автономный региональный и один орган столичного управления.  В настоящее время за деятельность сети медицинских учреждений (провинциальных и районных больниц) отвечают губернаторы провинций, а главы муниципалитетов управляют сельскими медицинскими учреждениями (СМУ) и медпунктами в барангаях.  </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783.</w:t>
      </w:r>
      <w:r>
        <w:rPr>
          <w:szCs w:val="24"/>
        </w:rPr>
        <w:tab/>
        <w:t>В результате передачи полномочий была нарушена целостная система здравоохранения в силу появления не связанных между собой контрольных механизмов.  В настоящее время существует два уровня: общая система здравоохранения и больничное обслуживание, которые управляются независимо друг от друга.  Эта ситуация особенно ярко проявляется в области технического контроля и оказания содействия СМУ и БРП.  Кроме того, муниципалитеты действуют обособленно друг от друга, что приводит к еще большей сегрегации системы государственного здравоохранения, даже в рамках провинции.  Вследствие этого такая фрагментация систем медицинского обслуживания на местах привела к нарушению комплексного подхода к предоставлению медицинских услуг, снижению их эффективности и качества, особенно на местах.</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784.</w:t>
      </w:r>
      <w:r>
        <w:rPr>
          <w:szCs w:val="24"/>
        </w:rPr>
        <w:tab/>
        <w:t>В течение первого года после передачи полномочий деятельность местных медицинских служб резко ухудшилась в связи с отсутствием квалифицированных кадров, медицинского оборудования и инфраструктуры.  Развитие людских ресурсов и подготовка медицинского персонала были прекращены, что привело к снижению потенциала медицинских служб.  Кроме того, перестала существовать система продвижения по службе и повышения квалификации медицинских работников.  Прекратился и обмен техническими ресурсами между больницами и государственными медицинскими центрами, что привело к нехватке технических специалистов, обеспечивающих проведение операций.  Из-за отсутствия средств, медицинского оборудования и инфраструктуры нерешенными остаются проблемы ремонта и замены оборудования.  В результате статус многих местных медицинских учреждений снизился до уровня центров первичной медицинской помощи, а районные больницы оказались перегруженными пациентами, нуждающимися в первичной и вторичной помощи, обслуживание которых вполне могли бы взять на себя медицинские учреждения более низкой ступени.</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785.</w:t>
      </w:r>
      <w:r>
        <w:rPr>
          <w:szCs w:val="24"/>
        </w:rPr>
        <w:tab/>
        <w:t>Расходы в связи с переданными ОМС полномочиями в области медицинского обслуживания оказались выше объема средств, выделяемых правительством из государственного бюджета.  Провинции получают лишь около 23% бюджетных средств, тогда как стоимость предоставления медицинских услуг увеличилась почти вдвое.  Муниципалитетам и городам выделяется по 34% и 23% соответственно, что почти покрывает расходы, связанные с осуществлением переданных им функций.  Вместе с тем эти средства явно недостаточны для проведения медицинских операций, стоимость которых также возросла.  Барангаи получают 20% ассигнований при минимальной стоимости медицинских услуг.  Имея крайне ограниченные средства, провинциальные и муниципальные органы власти не могут эффективно взаимодействовать друг с другом, поскольку это требует дополнительных средств, которые у них отсутствуют.</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786.</w:t>
      </w:r>
      <w:r>
        <w:rPr>
          <w:szCs w:val="24"/>
        </w:rPr>
        <w:tab/>
        <w:t>Наконец, большинство ОМС всегда рассматривали здравоохранение в качестве низкоприоритетной с точки зрения распределения финансовых средств сферы.  Именно это обусловливает выделение минимального объема средств на медицинское обслуживание.</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ind w:left="567" w:hanging="567"/>
        <w:rPr>
          <w:b/>
          <w:szCs w:val="24"/>
        </w:rPr>
      </w:pPr>
      <w:r>
        <w:rPr>
          <w:b/>
          <w:szCs w:val="24"/>
        </w:rPr>
        <w:t>5.</w:t>
      </w:r>
      <w:r w:rsidRPr="00B15C22">
        <w:rPr>
          <w:b/>
          <w:szCs w:val="24"/>
          <w:lang w:val="en-US"/>
        </w:rPr>
        <w:t>b</w:t>
      </w:r>
      <w:r>
        <w:rPr>
          <w:b/>
          <w:szCs w:val="24"/>
        </w:rPr>
        <w:tab/>
      </w:r>
      <w:r w:rsidRPr="00B15C22">
        <w:rPr>
          <w:b/>
          <w:szCs w:val="24"/>
        </w:rPr>
        <w:t>Меры, необходимы</w:t>
      </w:r>
      <w:r>
        <w:rPr>
          <w:b/>
          <w:szCs w:val="24"/>
        </w:rPr>
        <w:t>е</w:t>
      </w:r>
      <w:r w:rsidRPr="00B15C22">
        <w:rPr>
          <w:b/>
          <w:szCs w:val="24"/>
        </w:rPr>
        <w:t xml:space="preserve"> для улучшения положения со здоровьем уязвимых групп или </w:t>
      </w:r>
      <w:r>
        <w:rPr>
          <w:b/>
          <w:szCs w:val="24"/>
        </w:rPr>
        <w:t xml:space="preserve">лиц, проживающих </w:t>
      </w:r>
      <w:r w:rsidRPr="00B15C22">
        <w:rPr>
          <w:b/>
          <w:szCs w:val="24"/>
        </w:rPr>
        <w:t>в неблагополучных районах</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787.</w:t>
      </w:r>
      <w:r>
        <w:rPr>
          <w:szCs w:val="24"/>
        </w:rPr>
        <w:tab/>
        <w:t>Для учета потребностей в области здравоохранения всех категорий населения, особенно уязвимых групп, МЗ разработало программу реформирования сектора здравоохранения.  В ПРМУ перечислены основные стратегии и меры, а также организационные и политические изменения и инвестиции, необходимые для совершенствования системы предоставления, регулирования и финансирования медицинских услуг.</w:t>
      </w:r>
    </w:p>
    <w:p w:rsidR="002E795F" w:rsidRPr="002E39B3" w:rsidRDefault="002E795F" w:rsidP="002E795F">
      <w:pPr>
        <w:tabs>
          <w:tab w:val="clear" w:pos="567"/>
          <w:tab w:val="clear" w:pos="1134"/>
          <w:tab w:val="clear" w:pos="1701"/>
          <w:tab w:val="clear" w:pos="2268"/>
          <w:tab w:val="clear" w:pos="6237"/>
        </w:tabs>
        <w:autoSpaceDE w:val="0"/>
        <w:autoSpaceDN w:val="0"/>
        <w:adjustRightInd w:val="0"/>
        <w:ind w:left="567" w:hanging="567"/>
        <w:rPr>
          <w:b/>
          <w:szCs w:val="24"/>
        </w:rPr>
      </w:pPr>
    </w:p>
    <w:p w:rsidR="002E795F" w:rsidRDefault="002E795F" w:rsidP="002E795F">
      <w:pPr>
        <w:tabs>
          <w:tab w:val="clear" w:pos="567"/>
          <w:tab w:val="clear" w:pos="1134"/>
          <w:tab w:val="clear" w:pos="1701"/>
          <w:tab w:val="clear" w:pos="2268"/>
          <w:tab w:val="clear" w:pos="6237"/>
        </w:tabs>
        <w:autoSpaceDE w:val="0"/>
        <w:autoSpaceDN w:val="0"/>
        <w:adjustRightInd w:val="0"/>
        <w:ind w:left="567" w:hanging="567"/>
        <w:rPr>
          <w:b/>
          <w:szCs w:val="24"/>
        </w:rPr>
      </w:pPr>
      <w:r w:rsidRPr="002E39B3">
        <w:rPr>
          <w:b/>
          <w:szCs w:val="24"/>
        </w:rPr>
        <w:t>5.с</w:t>
      </w:r>
      <w:r>
        <w:rPr>
          <w:b/>
          <w:szCs w:val="24"/>
        </w:rPr>
        <w:tab/>
        <w:t>О</w:t>
      </w:r>
      <w:r w:rsidRPr="002E39B3">
        <w:rPr>
          <w:b/>
          <w:szCs w:val="24"/>
        </w:rPr>
        <w:t>сновные</w:t>
      </w:r>
      <w:r>
        <w:rPr>
          <w:b/>
          <w:szCs w:val="24"/>
        </w:rPr>
        <w:t xml:space="preserve"> стратегические</w:t>
      </w:r>
      <w:r w:rsidRPr="002E39B3">
        <w:rPr>
          <w:b/>
          <w:szCs w:val="24"/>
        </w:rPr>
        <w:t xml:space="preserve"> меры, принятые правительством </w:t>
      </w:r>
      <w:r>
        <w:rPr>
          <w:b/>
          <w:szCs w:val="24"/>
        </w:rPr>
        <w:t xml:space="preserve">в </w:t>
      </w:r>
      <w:r w:rsidRPr="002E39B3">
        <w:rPr>
          <w:b/>
          <w:szCs w:val="24"/>
        </w:rPr>
        <w:t>максимальн</w:t>
      </w:r>
      <w:r>
        <w:rPr>
          <w:b/>
          <w:szCs w:val="24"/>
        </w:rPr>
        <w:t>ых</w:t>
      </w:r>
      <w:r w:rsidRPr="002E39B3">
        <w:rPr>
          <w:b/>
          <w:szCs w:val="24"/>
        </w:rPr>
        <w:t xml:space="preserve"> </w:t>
      </w:r>
      <w:r>
        <w:rPr>
          <w:b/>
          <w:szCs w:val="24"/>
        </w:rPr>
        <w:t xml:space="preserve">пределах </w:t>
      </w:r>
      <w:r w:rsidRPr="002E39B3">
        <w:rPr>
          <w:b/>
          <w:szCs w:val="24"/>
        </w:rPr>
        <w:t xml:space="preserve">имеющихся ресурсов для улучшения положения; </w:t>
      </w:r>
      <w:r>
        <w:rPr>
          <w:b/>
          <w:szCs w:val="24"/>
        </w:rPr>
        <w:t xml:space="preserve"> цели, </w:t>
      </w:r>
      <w:r w:rsidRPr="002E39B3">
        <w:rPr>
          <w:b/>
          <w:szCs w:val="24"/>
        </w:rPr>
        <w:t>сроки и</w:t>
      </w:r>
      <w:r>
        <w:rPr>
          <w:b/>
          <w:szCs w:val="24"/>
        </w:rPr>
        <w:t xml:space="preserve"> критерии для оценки достижений</w:t>
      </w: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p>
    <w:p w:rsidR="002E795F" w:rsidRDefault="002E795F" w:rsidP="002E795F">
      <w:pPr>
        <w:tabs>
          <w:tab w:val="clear" w:pos="567"/>
          <w:tab w:val="clear" w:pos="1134"/>
          <w:tab w:val="clear" w:pos="1701"/>
          <w:tab w:val="clear" w:pos="2268"/>
          <w:tab w:val="clear" w:pos="6237"/>
        </w:tabs>
        <w:autoSpaceDE w:val="0"/>
        <w:autoSpaceDN w:val="0"/>
        <w:adjustRightInd w:val="0"/>
        <w:rPr>
          <w:szCs w:val="24"/>
        </w:rPr>
      </w:pPr>
      <w:r>
        <w:rPr>
          <w:szCs w:val="24"/>
        </w:rPr>
        <w:t>788.</w:t>
      </w:r>
      <w:r>
        <w:rPr>
          <w:szCs w:val="24"/>
        </w:rPr>
        <w:tab/>
      </w:r>
      <w:r w:rsidRPr="002D0082">
        <w:rPr>
          <w:i/>
          <w:szCs w:val="24"/>
        </w:rPr>
        <w:t>Сертификация Сентронг Сигла</w:t>
      </w:r>
      <w:r w:rsidRPr="002D0082">
        <w:rPr>
          <w:szCs w:val="24"/>
        </w:rPr>
        <w:t>.</w:t>
      </w:r>
      <w:r>
        <w:rPr>
          <w:szCs w:val="24"/>
        </w:rPr>
        <w:t xml:space="preserve">  Для обеспечения постоянного качества медицинских услуг и для регулярного представления правительством руководящих принципов установления стандартов в области здравоохранения была предпринята инициатива повышения качества, основная идея которой заключается в добровольной "сертификации" медицинских учреждений.  Эта инициатива была разработана в 1998 году и реализована в 1999 году.  Местные органы власти отреагировали на это с большим энтузиазмом.  Национальные и региональные группы организовали поездки для оценки состояния больниц и медицинских учреждений первичной помощи по всей стране.  К концу </w:t>
      </w:r>
      <w:r w:rsidRPr="003E7980">
        <w:rPr>
          <w:szCs w:val="24"/>
        </w:rPr>
        <w:t>1999</w:t>
      </w:r>
      <w:r w:rsidRPr="003E7980">
        <w:rPr>
          <w:szCs w:val="24"/>
          <w:lang w:val="en-US"/>
        </w:rPr>
        <w:t> </w:t>
      </w:r>
      <w:r>
        <w:rPr>
          <w:szCs w:val="24"/>
        </w:rPr>
        <w:t xml:space="preserve"> </w:t>
      </w:r>
      <w:r w:rsidRPr="003E7980">
        <w:rPr>
          <w:szCs w:val="24"/>
        </w:rPr>
        <w:t>года</w:t>
      </w:r>
      <w:r>
        <w:rPr>
          <w:szCs w:val="24"/>
        </w:rPr>
        <w:t xml:space="preserve"> 481 сельский медпункт и 17 больниц были сертифицированы как удовлетворяющие стандартам качества.  Они получили название учреждения "Сентронг Сигла" (центр жизнеобеспечения).  При наличии положительной реакции со стороны органов местного самоуправления МЗ институционализировало эту программу, назвав ее </w:t>
      </w:r>
      <w:r>
        <w:rPr>
          <w:i/>
          <w:szCs w:val="24"/>
        </w:rPr>
        <w:t>Программой</w:t>
      </w:r>
      <w:r w:rsidRPr="00452352">
        <w:rPr>
          <w:i/>
          <w:szCs w:val="24"/>
        </w:rPr>
        <w:t xml:space="preserve"> ка</w:t>
      </w:r>
      <w:r>
        <w:rPr>
          <w:i/>
          <w:szCs w:val="24"/>
        </w:rPr>
        <w:t>чественного</w:t>
      </w:r>
      <w:r w:rsidRPr="00452352">
        <w:rPr>
          <w:i/>
          <w:szCs w:val="24"/>
        </w:rPr>
        <w:t xml:space="preserve"> здравоохранения</w:t>
      </w:r>
      <w:r>
        <w:rPr>
          <w:szCs w:val="24"/>
        </w:rPr>
        <w:t xml:space="preserve">. </w:t>
      </w:r>
    </w:p>
    <w:p w:rsidR="002E795F" w:rsidRDefault="002E795F" w:rsidP="002E795F">
      <w:pPr>
        <w:rPr>
          <w:szCs w:val="24"/>
        </w:rPr>
      </w:pPr>
    </w:p>
    <w:p w:rsidR="002E795F" w:rsidRDefault="002E795F" w:rsidP="002E795F">
      <w:r>
        <w:rPr>
          <w:szCs w:val="24"/>
        </w:rPr>
        <w:t>789.</w:t>
      </w:r>
      <w:r>
        <w:rPr>
          <w:szCs w:val="24"/>
        </w:rPr>
        <w:tab/>
      </w:r>
      <w:r w:rsidRPr="002D0082">
        <w:rPr>
          <w:i/>
          <w:szCs w:val="24"/>
        </w:rPr>
        <w:t>Совершенствование Национальной программы медицинского страхования (НПМС</w:t>
      </w:r>
      <w:r w:rsidRPr="00200C95">
        <w:rPr>
          <w:i/>
          <w:szCs w:val="24"/>
        </w:rPr>
        <w:t>)</w:t>
      </w:r>
      <w:r w:rsidRPr="00200C95">
        <w:rPr>
          <w:szCs w:val="24"/>
        </w:rPr>
        <w:t>.</w:t>
      </w:r>
      <w:r>
        <w:rPr>
          <w:szCs w:val="24"/>
        </w:rPr>
        <w:t xml:space="preserve">  Ключевым компонентом НПМС является Программа помощи нуждающемуся населению, поскольку она направлена на охват медицинским страхованием лиц, которые не в состоянии выплачивать страховые взносы.  </w:t>
      </w:r>
      <w:r>
        <w:t>В первые годы реализации Программы помощи нуждающемуся населению приоритетное внимание было уделено провинциям, охваченным Повесткой дня социальной реформы (ПСР).  Это - провинции, которые, по оценкам правительства, в  наибольшей степени нуждаются в помощи в целях развития.</w:t>
      </w:r>
    </w:p>
    <w:p w:rsidR="002E795F" w:rsidRDefault="002E795F" w:rsidP="002E795F"/>
    <w:p w:rsidR="002E795F" w:rsidRDefault="002E795F" w:rsidP="002E795F">
      <w:r>
        <w:t>790.</w:t>
      </w:r>
      <w:r>
        <w:tab/>
        <w:t>К настоящему времени основная направленность данной Программы сместилась в сторону городских районов.  Органы местного самоуправления не только обладают необходимыми административными ресурсами для осуществления программы, но и имеют достаточные финансовые возможности для оказания помощи нуждающимся.  Такая схема позволит создать систему субсидирования ОМС более богатыми группами населения.</w:t>
      </w:r>
    </w:p>
    <w:p w:rsidR="002E795F" w:rsidRDefault="002E795F" w:rsidP="002E795F"/>
    <w:p w:rsidR="00B356D7" w:rsidRDefault="00B356D7" w:rsidP="00B356D7">
      <w:r>
        <w:t>791.</w:t>
      </w:r>
      <w:r>
        <w:tab/>
      </w:r>
      <w:r w:rsidRPr="002D0082">
        <w:rPr>
          <w:i/>
        </w:rPr>
        <w:t>Программа "Врач для каждого района</w:t>
      </w:r>
      <w:r>
        <w:rPr>
          <w:i/>
        </w:rPr>
        <w:t>"</w:t>
      </w:r>
      <w:r>
        <w:t xml:space="preserve"> (Программа ВКР).  Ввиду различных темпов развития и неравного распределения ограниченных ресурсов в 1992 году в 271-м муниципалитете не было квалифицированных врачей и возможности обеспечения надлежащего медицинского обслуживания, что обусловило повышение уровней смертности и заболеваемости в этих районах.</w:t>
      </w:r>
    </w:p>
    <w:p w:rsidR="00B356D7" w:rsidRDefault="00B356D7" w:rsidP="00B356D7"/>
    <w:p w:rsidR="00B356D7" w:rsidRDefault="00B356D7" w:rsidP="00B356D7">
      <w:r>
        <w:t>792.</w:t>
      </w:r>
      <w:r>
        <w:tab/>
        <w:t>Для решения этой проблемы в мае 1993 года МЗ приступило к реализации программы ВКР, которая была направлена на обеспечение муниципалитетов, не имеющих врачей, компетентными, квалифицированными, социально ориентированными и преданными своему делу медицинскими работниками.  Хотя в рамках данной Программы медработники направляются в муниципалитеты в качестве сотрудников муниципального здравоохранения, они обслуживают все районы муниципального образования, включая наиболее удаленные.</w:t>
      </w:r>
    </w:p>
    <w:p w:rsidR="00B356D7" w:rsidRDefault="00B356D7" w:rsidP="00B356D7"/>
    <w:p w:rsidR="00B356D7" w:rsidRDefault="00B356D7" w:rsidP="00B356D7">
      <w:r>
        <w:t>793.</w:t>
      </w:r>
      <w:r>
        <w:tab/>
      </w:r>
      <w:r w:rsidRPr="002D0082">
        <w:rPr>
          <w:i/>
        </w:rPr>
        <w:t>Лекарственные препараты в полцены</w:t>
      </w:r>
      <w:r>
        <w:t xml:space="preserve">.  Для снижения цен на лекарственные препараты использовалось несколько стратегий.  </w:t>
      </w:r>
    </w:p>
    <w:p w:rsidR="00B356D7" w:rsidRDefault="00B356D7" w:rsidP="00B356D7"/>
    <w:p w:rsidR="00B356D7" w:rsidRDefault="00B356D7" w:rsidP="00B356D7">
      <w:r>
        <w:t>794.</w:t>
      </w:r>
      <w:r>
        <w:tab/>
        <w:t xml:space="preserve">Во-первых, программа "Гамот на Мабиса эта Бот Кайа" позволила МЗ расширить параллельный импорт лекарственных препаратов из Индии.  Если на начальном этапе в 2001 году эта программа действовала лишь в нескольких больницах и охватывала ограниченный спектр препаратов на сумму в 5 000 000, 00 филиппинских песо, то в 2001 году объем импорта возрос до 42 лекарственных препаратов, а общая сумма программы – до 100 000 000,00 филиппинских песо.  Эти препараты были затем реализованы через 72 специализированные клиники, находящиеся в ведении МЗ, и несколько автономных больниц ОМС.  </w:t>
      </w:r>
    </w:p>
    <w:p w:rsidR="00B356D7" w:rsidRDefault="00B356D7" w:rsidP="00B356D7"/>
    <w:p w:rsidR="00B356D7" w:rsidRDefault="00B356D7" w:rsidP="00B356D7">
      <w:r>
        <w:t>795.</w:t>
      </w:r>
      <w:r>
        <w:tab/>
        <w:t>Во-вторых, МЗ заручилось поддержкой местных и мультинациональных фармацевтических компаний в деле снижения цен на лекарства и медицинские препараты.  Две фармацевтические компании "Юнайтед лабораторис инк." (Юнилаб) и "Глэксо Смит Клейн" выпустили линию препаратов, которые на 30-50% дешевле их обычной цены.  Линия компании "Юнилаб", выпущенная в 2002 году, известна на рынке под наименованием "Райтмед".  "Глэксо Смит Клейн" объявила о снижении с начала 2004 года на 30% цен на основные лекарственные препараты.</w:t>
      </w:r>
    </w:p>
    <w:p w:rsidR="00B356D7" w:rsidRDefault="00B356D7" w:rsidP="00B356D7"/>
    <w:p w:rsidR="00B356D7" w:rsidRDefault="00B356D7" w:rsidP="00B356D7">
      <w:r>
        <w:t>796.</w:t>
      </w:r>
      <w:r>
        <w:tab/>
        <w:t>Компаниям, выпускающим препараты общего назначения, также была предоставлена возможность снабжать лечебные учреждения медикаментами по конкурентным ценам.  Четыре местные фармацевтические компании получили право поставлять лекарственные препараты в аптеки МЗ.  Для обеспечения высокого качества поставляемых населению медикаментов все потенциальные поставщики проходят этап предварительного отбора и должны иметь Сертификат о надлежащей производственной практике, выдаваемый Департаментом по продуктам питания и лекарственным препаратам.</w:t>
      </w:r>
    </w:p>
    <w:p w:rsidR="00B356D7" w:rsidRDefault="00B356D7" w:rsidP="00B356D7"/>
    <w:p w:rsidR="00B356D7" w:rsidRDefault="00B356D7" w:rsidP="00B356D7">
      <w:r>
        <w:t>797.</w:t>
      </w:r>
      <w:r>
        <w:tab/>
        <w:t>Третья инициатива касалась продвижения препаратов общего назначения с помощью телерекламы.  Продвижение препаратов общего назначения по-прежнему остается проблемой для МЗ с момента принятия в 1998 году Закона о лекарственных препаратах общего назначения.</w:t>
      </w:r>
    </w:p>
    <w:p w:rsidR="00B356D7" w:rsidRDefault="00B356D7" w:rsidP="00B356D7"/>
    <w:p w:rsidR="00B356D7" w:rsidRDefault="00B356D7" w:rsidP="00B356D7">
      <w:r>
        <w:t>798.</w:t>
      </w:r>
      <w:r>
        <w:tab/>
        <w:t xml:space="preserve">Четвертая инициатива состояла в расширении системы распределения средств и лекарств повседневного употребления.  Передвижным аптекам НПС была выдана специальная лицензия для продажи населению лечебных средств и препаратов на основе лекарственных трав;  кроме того, были учреждены так называемые "Ботика нг Барангаи" (ББ) для продажи двух отпускаемых по рецепту антибиотиков (амоксицилина и котримоксазола), обычных лекарств и препаратов на основе лекарственных трав в удаленных и труднодоступных барангаях.  МЗ осуществляет надзор за созданием и деятельностью таких ББ.  Предполагается, что в рамках расширения этой программы к середине 2004 года будут созданы 1 500 новых ББ.  Для обеспечения необходимой капитализации для ББ ПССО выделил средства для закупки лекарственных препаратов.  </w:t>
      </w:r>
    </w:p>
    <w:p w:rsidR="00B356D7" w:rsidRDefault="00B356D7" w:rsidP="00B356D7"/>
    <w:p w:rsidR="00B356D7" w:rsidRDefault="00B356D7" w:rsidP="00B356D7">
      <w:pPr>
        <w:ind w:left="567" w:hanging="567"/>
        <w:rPr>
          <w:b/>
        </w:rPr>
      </w:pPr>
      <w:r>
        <w:rPr>
          <w:b/>
        </w:rPr>
        <w:t>5.</w:t>
      </w:r>
      <w:r>
        <w:rPr>
          <w:b/>
          <w:lang w:val="en-US"/>
        </w:rPr>
        <w:t>d</w:t>
      </w:r>
      <w:r>
        <w:rPr>
          <w:b/>
        </w:rPr>
        <w:tab/>
        <w:t>Воздействие вышеуказанных мер на состояние здоровья уязвимых и находящихся в неблагоприятном положении групп</w:t>
      </w:r>
    </w:p>
    <w:p w:rsidR="00B356D7" w:rsidRDefault="00B356D7" w:rsidP="00B356D7">
      <w:pPr>
        <w:rPr>
          <w:b/>
        </w:rPr>
      </w:pPr>
    </w:p>
    <w:p w:rsidR="00B356D7" w:rsidRDefault="00B356D7" w:rsidP="00B356D7">
      <w:r>
        <w:t>799.</w:t>
      </w:r>
      <w:r>
        <w:tab/>
        <w:t>В результате всех этих инициатив по снижению цен на лекарственные препараты был достигнут определенный прогресс.  По результатам Обследования социального благосостояния (ОСБ), проведенного в последнем квартале 2002 года, 49% респондентов, купивших лекарственные препараты за две недели до обследования, утверждали, что они смогли приобрести недорогие лекарства, а 42% отметили, что, по их мнению, цены на лекарства начали снижаться.</w:t>
      </w:r>
    </w:p>
    <w:p w:rsidR="00B356D7" w:rsidRDefault="00B356D7" w:rsidP="00B356D7"/>
    <w:p w:rsidR="00B356D7" w:rsidRDefault="00B356D7" w:rsidP="00B356D7">
      <w:pPr>
        <w:ind w:left="567" w:hanging="567"/>
      </w:pPr>
      <w:r>
        <w:rPr>
          <w:b/>
        </w:rPr>
        <w:t>5.е</w:t>
      </w:r>
      <w:r>
        <w:rPr>
          <w:b/>
        </w:rPr>
        <w:tab/>
        <w:t>Меры по снижению уровня мертворождений и детской смертности, а также поощрению здорового развития ребенка</w:t>
      </w:r>
      <w:r>
        <w:t>.</w:t>
      </w:r>
    </w:p>
    <w:p w:rsidR="00B356D7" w:rsidRDefault="00B356D7" w:rsidP="00B356D7"/>
    <w:p w:rsidR="005320CD" w:rsidRDefault="005320CD" w:rsidP="005320CD">
      <w:r>
        <w:t>800.</w:t>
      </w:r>
      <w:r>
        <w:tab/>
        <w:t>После развертывания в 1987 году глобальной Инициативы "</w:t>
      </w:r>
      <w:r w:rsidRPr="001C5B68">
        <w:rPr>
          <w:i/>
        </w:rPr>
        <w:t>За безопасное материнство</w:t>
      </w:r>
      <w:r>
        <w:t xml:space="preserve">" в Найроби, Кения, Филиппины в 1988 году провели у себя в стране Конференцию по проблемам здорового материнства. </w:t>
      </w:r>
    </w:p>
    <w:p w:rsidR="005320CD" w:rsidRDefault="005320CD" w:rsidP="005320CD"/>
    <w:p w:rsidR="005320CD" w:rsidRDefault="005320CD" w:rsidP="005320CD">
      <w:r>
        <w:t>801.</w:t>
      </w:r>
      <w:r>
        <w:tab/>
        <w:t xml:space="preserve">В последующие годы была воссоздана </w:t>
      </w:r>
      <w:r w:rsidRPr="00C86D79">
        <w:rPr>
          <w:i/>
        </w:rPr>
        <w:t>Целевая группа по проблемам здорового материнства</w:t>
      </w:r>
      <w:r>
        <w:t xml:space="preserve">, разработаны </w:t>
      </w:r>
      <w:r w:rsidRPr="00C86D79">
        <w:rPr>
          <w:i/>
        </w:rPr>
        <w:t>Национальная политика и Стратегия в области здорового материнства</w:t>
      </w:r>
      <w:r>
        <w:t xml:space="preserve"> и проведен </w:t>
      </w:r>
      <w:r w:rsidRPr="004446CC">
        <w:rPr>
          <w:i/>
        </w:rPr>
        <w:t>первый Общенациональный</w:t>
      </w:r>
      <w:r>
        <w:rPr>
          <w:i/>
        </w:rPr>
        <w:t xml:space="preserve"> конгресс по проблемам безопасного</w:t>
      </w:r>
      <w:r w:rsidRPr="004446CC">
        <w:rPr>
          <w:i/>
        </w:rPr>
        <w:t xml:space="preserve"> материнства</w:t>
      </w:r>
      <w:r>
        <w:t xml:space="preserve"> (1988 год), а также </w:t>
      </w:r>
      <w:r w:rsidRPr="00C847A6">
        <w:rPr>
          <w:i/>
        </w:rPr>
        <w:t>в</w:t>
      </w:r>
      <w:r>
        <w:rPr>
          <w:i/>
        </w:rPr>
        <w:t>торой Общенациональный</w:t>
      </w:r>
      <w:r w:rsidRPr="00C847A6">
        <w:rPr>
          <w:i/>
        </w:rPr>
        <w:t xml:space="preserve"> конгресс </w:t>
      </w:r>
      <w:r>
        <w:rPr>
          <w:i/>
        </w:rPr>
        <w:t>по проблемам безопасн</w:t>
      </w:r>
      <w:r w:rsidRPr="00C847A6">
        <w:rPr>
          <w:i/>
        </w:rPr>
        <w:t>ого материнства</w:t>
      </w:r>
      <w:r>
        <w:t xml:space="preserve"> (2003 год).  Все эти мероприятия были проведены в ответ на международные инициативы и в дополнение усилий по достижению консенсуса на национальном уровне между основными субъектами, участвующими в осуществлении этой инициативы.</w:t>
      </w:r>
    </w:p>
    <w:p w:rsidR="005320CD" w:rsidRDefault="005320CD" w:rsidP="005320CD"/>
    <w:p w:rsidR="005320CD" w:rsidRDefault="005320CD" w:rsidP="005320CD">
      <w:r>
        <w:t>802.</w:t>
      </w:r>
      <w:r>
        <w:tab/>
        <w:t>Инициатива за безопасное материнство опирается на четыре основных элемента: предоставление качественных дородовых услуг матерям;  надлежащая подготовка всего акушерского персонала и предоставление надлежащей послеродовой помощи матери и ребенку;  предоставление качественной неотложной акушерской помощи;  и программа планирования семьи.</w:t>
      </w:r>
    </w:p>
    <w:p w:rsidR="005320CD" w:rsidRDefault="005320CD" w:rsidP="005320CD"/>
    <w:p w:rsidR="005320CD" w:rsidRDefault="005320CD" w:rsidP="005320CD">
      <w:r>
        <w:t>803.</w:t>
      </w:r>
      <w:r>
        <w:tab/>
        <w:t xml:space="preserve">В 1992 году Конгресс Филиппин принял Республиканский </w:t>
      </w:r>
      <w:r w:rsidR="00A4183A">
        <w:t>з</w:t>
      </w:r>
      <w:r>
        <w:t xml:space="preserve">акон </w:t>
      </w:r>
      <w:r w:rsidR="00A4183A">
        <w:t xml:space="preserve">№ </w:t>
      </w:r>
      <w:r>
        <w:t xml:space="preserve">7600.  Этот закон, известный как </w:t>
      </w:r>
      <w:r w:rsidRPr="00F80F2A">
        <w:rPr>
          <w:i/>
        </w:rPr>
        <w:t>Закон 1992 года о совместном послеродовом содержании матери и ребенка и грудном вскармливании</w:t>
      </w:r>
      <w:r>
        <w:t>, закрепляет принцип совместного содержания матери и ребенка в качестве национальной политики и практики грудного вскармливания.  Этот закон был принят, исходя из признания необходимости создания таких условий, при которых основные физические, эмоциональные и психологические потребности матери и ребенка удовлетворялись бы с помощью их совместного содержания после родов и практики грудного кормления.</w:t>
      </w:r>
    </w:p>
    <w:p w:rsidR="005320CD" w:rsidRDefault="005320CD" w:rsidP="005320CD"/>
    <w:p w:rsidR="005320CD" w:rsidRDefault="005320CD" w:rsidP="001C6E87">
      <w:pPr>
        <w:tabs>
          <w:tab w:val="clear" w:pos="1134"/>
          <w:tab w:val="clear" w:pos="1701"/>
          <w:tab w:val="clear" w:pos="2268"/>
          <w:tab w:val="clear" w:pos="6237"/>
          <w:tab w:val="left" w:pos="567"/>
        </w:tabs>
        <w:autoSpaceDE w:val="0"/>
        <w:autoSpaceDN w:val="0"/>
        <w:adjustRightInd w:val="0"/>
        <w:rPr>
          <w:szCs w:val="24"/>
        </w:rPr>
      </w:pPr>
      <w:r>
        <w:rPr>
          <w:szCs w:val="24"/>
        </w:rPr>
        <w:t>804.</w:t>
      </w:r>
      <w:r>
        <w:rPr>
          <w:szCs w:val="24"/>
        </w:rPr>
        <w:tab/>
        <w:t xml:space="preserve">В 1996 году правительство инициировало проект </w:t>
      </w:r>
      <w:r w:rsidRPr="00A906F4">
        <w:rPr>
          <w:i/>
          <w:szCs w:val="24"/>
        </w:rPr>
        <w:t>Здоровье женщины и безопасное материнство</w:t>
      </w:r>
      <w:r>
        <w:rPr>
          <w:szCs w:val="24"/>
        </w:rPr>
        <w:t xml:space="preserve"> (ЗЖБМ), который рассчитан на пять лет и осуществляется МЗ и ОМС на уровне провинций, муниципалитетов и барангаев.  В целом этот проект направлен на установление партнерских отношений между НПО, ОМС и МЗ с целью расширения прав женщин и их общин по улучшению состояния здоровья.  МЗ будет отвечать за технические и административные вопросы, а ОМС - за фактическое предоставление услуг.</w:t>
      </w:r>
    </w:p>
    <w:p w:rsidR="005320CD" w:rsidRDefault="005320CD" w:rsidP="005320CD">
      <w:pPr>
        <w:tabs>
          <w:tab w:val="clear" w:pos="567"/>
          <w:tab w:val="clear" w:pos="1134"/>
          <w:tab w:val="clear" w:pos="1701"/>
          <w:tab w:val="clear" w:pos="2268"/>
          <w:tab w:val="clear" w:pos="6237"/>
        </w:tabs>
        <w:autoSpaceDE w:val="0"/>
        <w:autoSpaceDN w:val="0"/>
        <w:adjustRightInd w:val="0"/>
        <w:rPr>
          <w:szCs w:val="24"/>
        </w:rPr>
      </w:pPr>
    </w:p>
    <w:p w:rsidR="005320CD" w:rsidRDefault="005320CD" w:rsidP="001C6E87">
      <w:pPr>
        <w:tabs>
          <w:tab w:val="clear" w:pos="1134"/>
          <w:tab w:val="clear" w:pos="1701"/>
          <w:tab w:val="clear" w:pos="2268"/>
          <w:tab w:val="clear" w:pos="6237"/>
          <w:tab w:val="left" w:pos="567"/>
        </w:tabs>
        <w:autoSpaceDE w:val="0"/>
        <w:autoSpaceDN w:val="0"/>
        <w:adjustRightInd w:val="0"/>
        <w:rPr>
          <w:szCs w:val="24"/>
        </w:rPr>
      </w:pPr>
      <w:r>
        <w:rPr>
          <w:szCs w:val="24"/>
        </w:rPr>
        <w:t>805.</w:t>
      </w:r>
      <w:r>
        <w:rPr>
          <w:szCs w:val="24"/>
        </w:rPr>
        <w:tab/>
        <w:t xml:space="preserve">В 1999 году правительство развернуло пятилетний </w:t>
      </w:r>
      <w:r w:rsidRPr="00982D8A">
        <w:rPr>
          <w:i/>
          <w:szCs w:val="24"/>
        </w:rPr>
        <w:t>Проект развития ребенка</w:t>
      </w:r>
      <w:r>
        <w:rPr>
          <w:i/>
          <w:szCs w:val="24"/>
        </w:rPr>
        <w:t xml:space="preserve"> в раннем возрасте (ПРРВ)</w:t>
      </w:r>
      <w:r>
        <w:rPr>
          <w:szCs w:val="24"/>
        </w:rPr>
        <w:t xml:space="preserve">, который является частью более широкой программы поощрения развития филиппинских детей и решения проблем детей из малоимущих и неблагополучных семей.  В 2002 году правительство институционализировало данную программу путем принятия </w:t>
      </w:r>
      <w:r w:rsidRPr="00AE4966">
        <w:rPr>
          <w:i/>
          <w:szCs w:val="24"/>
        </w:rPr>
        <w:t>Закона об уходе за ребенком</w:t>
      </w:r>
      <w:r>
        <w:rPr>
          <w:i/>
          <w:szCs w:val="24"/>
        </w:rPr>
        <w:t xml:space="preserve"> в раннем возрасте</w:t>
      </w:r>
      <w:r w:rsidRPr="00AE4966">
        <w:rPr>
          <w:i/>
          <w:szCs w:val="24"/>
        </w:rPr>
        <w:t xml:space="preserve"> и его развитии</w:t>
      </w:r>
      <w:r>
        <w:rPr>
          <w:szCs w:val="24"/>
        </w:rPr>
        <w:t xml:space="preserve"> (РЗ 8980), который предусматривает создание структур управления и систем предоставления услуг для детей в возрасте до шести лет</w:t>
      </w:r>
      <w:r>
        <w:rPr>
          <w:rStyle w:val="FootnoteReference"/>
          <w:szCs w:val="24"/>
        </w:rPr>
        <w:footnoteReference w:id="46"/>
      </w:r>
      <w:r>
        <w:rPr>
          <w:szCs w:val="24"/>
        </w:rPr>
        <w:t>.  См.</w:t>
      </w:r>
      <w:r w:rsidRPr="00C42195">
        <w:rPr>
          <w:szCs w:val="24"/>
        </w:rPr>
        <w:t xml:space="preserve"> </w:t>
      </w:r>
      <w:r>
        <w:rPr>
          <w:szCs w:val="24"/>
        </w:rPr>
        <w:t>также пункты 429-430.</w:t>
      </w:r>
    </w:p>
    <w:p w:rsidR="005320CD" w:rsidRDefault="005320CD" w:rsidP="005320CD">
      <w:pPr>
        <w:tabs>
          <w:tab w:val="clear" w:pos="567"/>
          <w:tab w:val="clear" w:pos="1134"/>
          <w:tab w:val="clear" w:pos="1701"/>
          <w:tab w:val="clear" w:pos="2268"/>
          <w:tab w:val="clear" w:pos="6237"/>
        </w:tabs>
        <w:autoSpaceDE w:val="0"/>
        <w:autoSpaceDN w:val="0"/>
        <w:adjustRightInd w:val="0"/>
        <w:rPr>
          <w:szCs w:val="24"/>
        </w:rPr>
      </w:pPr>
    </w:p>
    <w:p w:rsidR="005320CD" w:rsidRDefault="005320CD" w:rsidP="001C6E87">
      <w:pPr>
        <w:tabs>
          <w:tab w:val="clear" w:pos="1134"/>
          <w:tab w:val="clear" w:pos="1701"/>
          <w:tab w:val="clear" w:pos="2268"/>
          <w:tab w:val="clear" w:pos="6237"/>
          <w:tab w:val="left" w:pos="567"/>
        </w:tabs>
        <w:autoSpaceDE w:val="0"/>
        <w:autoSpaceDN w:val="0"/>
        <w:adjustRightInd w:val="0"/>
        <w:rPr>
          <w:szCs w:val="24"/>
        </w:rPr>
      </w:pPr>
      <w:r>
        <w:rPr>
          <w:szCs w:val="24"/>
        </w:rPr>
        <w:t>806.</w:t>
      </w:r>
      <w:r>
        <w:rPr>
          <w:szCs w:val="24"/>
        </w:rPr>
        <w:tab/>
        <w:t xml:space="preserve">3 ноября </w:t>
      </w:r>
      <w:r w:rsidRPr="00A002CF">
        <w:rPr>
          <w:szCs w:val="24"/>
        </w:rPr>
        <w:t>2000 года</w:t>
      </w:r>
      <w:r>
        <w:rPr>
          <w:szCs w:val="24"/>
        </w:rPr>
        <w:t xml:space="preserve"> было принято Исполнительное постановление 310, предусматривающее утверждение и реализацию </w:t>
      </w:r>
      <w:r w:rsidRPr="00970517">
        <w:rPr>
          <w:i/>
          <w:szCs w:val="24"/>
        </w:rPr>
        <w:t xml:space="preserve">Стратегических рамок осуществления филиппинского </w:t>
      </w:r>
      <w:r>
        <w:rPr>
          <w:i/>
          <w:szCs w:val="24"/>
        </w:rPr>
        <w:t>плана развития детей на 2000-202</w:t>
      </w:r>
      <w:r w:rsidRPr="00970517">
        <w:rPr>
          <w:i/>
          <w:szCs w:val="24"/>
        </w:rPr>
        <w:t>5 годы</w:t>
      </w:r>
      <w:r w:rsidRPr="00E60F03">
        <w:rPr>
          <w:i/>
          <w:szCs w:val="24"/>
        </w:rPr>
        <w:t>,</w:t>
      </w:r>
      <w:r w:rsidRPr="00970517">
        <w:rPr>
          <w:i/>
          <w:szCs w:val="24"/>
        </w:rPr>
        <w:t xml:space="preserve"> или</w:t>
      </w:r>
      <w:r w:rsidRPr="00011622">
        <w:rPr>
          <w:i/>
          <w:szCs w:val="24"/>
        </w:rPr>
        <w:t xml:space="preserve"> </w:t>
      </w:r>
      <w:r>
        <w:rPr>
          <w:i/>
          <w:szCs w:val="24"/>
        </w:rPr>
        <w:t>плана</w:t>
      </w:r>
      <w:r w:rsidRPr="00970517">
        <w:rPr>
          <w:i/>
          <w:szCs w:val="24"/>
        </w:rPr>
        <w:t xml:space="preserve"> </w:t>
      </w:r>
      <w:r>
        <w:rPr>
          <w:i/>
          <w:szCs w:val="24"/>
        </w:rPr>
        <w:t>"</w:t>
      </w:r>
      <w:r w:rsidRPr="00970517">
        <w:rPr>
          <w:i/>
          <w:szCs w:val="24"/>
        </w:rPr>
        <w:t xml:space="preserve">Ребенок </w:t>
      </w:r>
      <w:r>
        <w:rPr>
          <w:i/>
          <w:szCs w:val="24"/>
          <w:lang w:val="en-US"/>
        </w:rPr>
        <w:t>XXI</w:t>
      </w:r>
      <w:r>
        <w:rPr>
          <w:i/>
          <w:szCs w:val="24"/>
        </w:rPr>
        <w:t xml:space="preserve"> века"</w:t>
      </w:r>
      <w:r>
        <w:rPr>
          <w:szCs w:val="24"/>
        </w:rPr>
        <w:t xml:space="preserve">, который предусматривает стратегическую основу, служащую руководством для заинтересованных участников при планировании программ и проектов поощрения и гарантирования прав филиппинских детей в </w:t>
      </w:r>
      <w:r w:rsidRPr="00011622">
        <w:rPr>
          <w:szCs w:val="24"/>
          <w:lang w:val="en-US"/>
        </w:rPr>
        <w:t>XXI</w:t>
      </w:r>
      <w:r>
        <w:rPr>
          <w:szCs w:val="24"/>
        </w:rPr>
        <w:t xml:space="preserve"> веке.  Проект "</w:t>
      </w:r>
      <w:r w:rsidRPr="00E33CAB">
        <w:rPr>
          <w:i/>
          <w:szCs w:val="24"/>
        </w:rPr>
        <w:t xml:space="preserve">Ребенок </w:t>
      </w:r>
      <w:r w:rsidRPr="00E33CAB">
        <w:rPr>
          <w:i/>
          <w:szCs w:val="24"/>
          <w:lang w:val="en-US"/>
        </w:rPr>
        <w:t>XXI</w:t>
      </w:r>
      <w:r w:rsidRPr="00E33CAB">
        <w:rPr>
          <w:i/>
          <w:szCs w:val="24"/>
        </w:rPr>
        <w:t xml:space="preserve"> века</w:t>
      </w:r>
      <w:r>
        <w:rPr>
          <w:szCs w:val="24"/>
        </w:rPr>
        <w:t>" направлен на координацию усилий семей, общин и государства по всестороннему осуществлению прав детей к 2025 году.  В рамках этого проекта права ребенка (на жизнь, развитие, защиту и участие) увязываются с жизненным циклом ребенка.  В качестве стратегической направляющей данный проект служит "дорожной картой" для правительства, а также для органов местного самоуправления, частных образований и неправительственных организаций в деле установления приоритетных направлений деятельности и выделения и использования ресурсов для обеспечения прав филиппинских детей.</w:t>
      </w:r>
    </w:p>
    <w:p w:rsidR="005320CD" w:rsidRDefault="005320CD" w:rsidP="005320CD">
      <w:pPr>
        <w:tabs>
          <w:tab w:val="clear" w:pos="567"/>
          <w:tab w:val="clear" w:pos="1134"/>
          <w:tab w:val="clear" w:pos="1701"/>
          <w:tab w:val="clear" w:pos="2268"/>
          <w:tab w:val="clear" w:pos="6237"/>
        </w:tabs>
        <w:autoSpaceDE w:val="0"/>
        <w:autoSpaceDN w:val="0"/>
        <w:adjustRightInd w:val="0"/>
        <w:rPr>
          <w:szCs w:val="24"/>
        </w:rPr>
      </w:pPr>
    </w:p>
    <w:p w:rsidR="005320CD" w:rsidRDefault="005320CD" w:rsidP="001C6E87">
      <w:pPr>
        <w:tabs>
          <w:tab w:val="clear" w:pos="1134"/>
          <w:tab w:val="clear" w:pos="1701"/>
          <w:tab w:val="clear" w:pos="2268"/>
          <w:tab w:val="clear" w:pos="6237"/>
          <w:tab w:val="left" w:pos="567"/>
        </w:tabs>
        <w:autoSpaceDE w:val="0"/>
        <w:autoSpaceDN w:val="0"/>
        <w:adjustRightInd w:val="0"/>
        <w:rPr>
          <w:szCs w:val="24"/>
        </w:rPr>
      </w:pPr>
      <w:r>
        <w:rPr>
          <w:szCs w:val="24"/>
        </w:rPr>
        <w:t>807.</w:t>
      </w:r>
      <w:r>
        <w:rPr>
          <w:szCs w:val="24"/>
        </w:rPr>
        <w:tab/>
        <w:t>Правительство также занимается осуществлением программ на базе общин, призванных обеспечить предоставление базовых услуг на уровне барангаев</w:t>
      </w:r>
      <w:r>
        <w:rPr>
          <w:rStyle w:val="FootnoteReference"/>
          <w:szCs w:val="24"/>
        </w:rPr>
        <w:footnoteReference w:id="47"/>
      </w:r>
      <w:r>
        <w:rPr>
          <w:szCs w:val="24"/>
        </w:rPr>
        <w:t>.</w:t>
      </w:r>
    </w:p>
    <w:p w:rsidR="005320CD" w:rsidRDefault="005320CD" w:rsidP="005320CD">
      <w:pPr>
        <w:tabs>
          <w:tab w:val="clear" w:pos="567"/>
          <w:tab w:val="clear" w:pos="1134"/>
          <w:tab w:val="clear" w:pos="1701"/>
          <w:tab w:val="clear" w:pos="2268"/>
          <w:tab w:val="clear" w:pos="6237"/>
        </w:tabs>
        <w:autoSpaceDE w:val="0"/>
        <w:autoSpaceDN w:val="0"/>
        <w:adjustRightInd w:val="0"/>
        <w:rPr>
          <w:szCs w:val="24"/>
        </w:rPr>
      </w:pPr>
    </w:p>
    <w:p w:rsidR="005320CD" w:rsidRDefault="005320CD" w:rsidP="001C6E87">
      <w:pPr>
        <w:tabs>
          <w:tab w:val="clear" w:pos="1134"/>
          <w:tab w:val="clear" w:pos="1701"/>
          <w:tab w:val="clear" w:pos="2268"/>
          <w:tab w:val="clear" w:pos="6237"/>
          <w:tab w:val="left" w:pos="567"/>
        </w:tabs>
        <w:autoSpaceDE w:val="0"/>
        <w:autoSpaceDN w:val="0"/>
        <w:adjustRightInd w:val="0"/>
        <w:rPr>
          <w:szCs w:val="24"/>
        </w:rPr>
      </w:pPr>
      <w:r>
        <w:rPr>
          <w:szCs w:val="24"/>
        </w:rPr>
        <w:t>808.</w:t>
      </w:r>
      <w:r>
        <w:rPr>
          <w:szCs w:val="24"/>
        </w:rPr>
        <w:tab/>
        <w:t xml:space="preserve">Параллельно были приняты меры по повышению квалификации медицинских работников, особенно сельских акушерок, сельских медицинских работников-волонтеров и традиционных акушерок.  Основное внимание в рамках такой подготовки было уделено вопросам безопасной беременности, родовспоможения и послеродового ухода, консультирования в области грудного кормления и послеродового наблюдения матерей.  Было разработано и распространено </w:t>
      </w:r>
      <w:r w:rsidRPr="00C93538">
        <w:rPr>
          <w:i/>
          <w:szCs w:val="24"/>
        </w:rPr>
        <w:t xml:space="preserve">Пособие для акушерок по </w:t>
      </w:r>
      <w:r>
        <w:rPr>
          <w:i/>
          <w:szCs w:val="24"/>
        </w:rPr>
        <w:t xml:space="preserve">вопросам охраны </w:t>
      </w:r>
      <w:r w:rsidRPr="00C93538">
        <w:rPr>
          <w:i/>
          <w:szCs w:val="24"/>
        </w:rPr>
        <w:t>материнства</w:t>
      </w:r>
      <w:r>
        <w:rPr>
          <w:szCs w:val="24"/>
        </w:rPr>
        <w:t>.</w:t>
      </w:r>
    </w:p>
    <w:p w:rsidR="005320CD" w:rsidRDefault="005320CD" w:rsidP="005320CD">
      <w:pPr>
        <w:tabs>
          <w:tab w:val="clear" w:pos="567"/>
          <w:tab w:val="clear" w:pos="1134"/>
          <w:tab w:val="clear" w:pos="1701"/>
          <w:tab w:val="clear" w:pos="2268"/>
          <w:tab w:val="clear" w:pos="6237"/>
        </w:tabs>
        <w:autoSpaceDE w:val="0"/>
        <w:autoSpaceDN w:val="0"/>
        <w:adjustRightInd w:val="0"/>
        <w:rPr>
          <w:szCs w:val="24"/>
        </w:rPr>
      </w:pPr>
    </w:p>
    <w:p w:rsidR="005320CD" w:rsidRDefault="005320CD" w:rsidP="005320CD">
      <w:pPr>
        <w:tabs>
          <w:tab w:val="clear" w:pos="567"/>
          <w:tab w:val="clear" w:pos="1134"/>
          <w:tab w:val="clear" w:pos="1701"/>
          <w:tab w:val="clear" w:pos="2268"/>
          <w:tab w:val="clear" w:pos="6237"/>
        </w:tabs>
        <w:autoSpaceDE w:val="0"/>
        <w:autoSpaceDN w:val="0"/>
        <w:adjustRightInd w:val="0"/>
        <w:rPr>
          <w:b/>
          <w:szCs w:val="24"/>
        </w:rPr>
      </w:pPr>
      <w:r w:rsidRPr="00F97154">
        <w:rPr>
          <w:b/>
          <w:szCs w:val="24"/>
        </w:rPr>
        <w:t>4.</w:t>
      </w:r>
      <w:r w:rsidRPr="00F97154">
        <w:rPr>
          <w:b/>
          <w:szCs w:val="24"/>
          <w:lang w:val="en-US"/>
        </w:rPr>
        <w:t>f</w:t>
      </w:r>
      <w:r>
        <w:rPr>
          <w:b/>
          <w:szCs w:val="24"/>
        </w:rPr>
        <w:tab/>
        <w:t>М</w:t>
      </w:r>
      <w:r w:rsidRPr="00F97154">
        <w:rPr>
          <w:b/>
          <w:szCs w:val="24"/>
        </w:rPr>
        <w:t>еры</w:t>
      </w:r>
      <w:r>
        <w:rPr>
          <w:b/>
          <w:szCs w:val="24"/>
        </w:rPr>
        <w:t xml:space="preserve"> по улучшению</w:t>
      </w:r>
      <w:r w:rsidRPr="00F97154">
        <w:rPr>
          <w:b/>
          <w:szCs w:val="24"/>
        </w:rPr>
        <w:t xml:space="preserve"> всех аспектов </w:t>
      </w:r>
      <w:r>
        <w:rPr>
          <w:b/>
          <w:szCs w:val="24"/>
        </w:rPr>
        <w:t>экологической и промышленной гигиены</w:t>
      </w:r>
    </w:p>
    <w:p w:rsidR="005320CD" w:rsidRDefault="005320CD" w:rsidP="005320CD">
      <w:pPr>
        <w:tabs>
          <w:tab w:val="clear" w:pos="567"/>
          <w:tab w:val="clear" w:pos="1134"/>
          <w:tab w:val="clear" w:pos="1701"/>
          <w:tab w:val="clear" w:pos="2268"/>
          <w:tab w:val="clear" w:pos="6237"/>
        </w:tabs>
        <w:autoSpaceDE w:val="0"/>
        <w:autoSpaceDN w:val="0"/>
        <w:adjustRightInd w:val="0"/>
        <w:rPr>
          <w:b/>
          <w:szCs w:val="24"/>
        </w:rPr>
      </w:pPr>
    </w:p>
    <w:p w:rsidR="005320CD" w:rsidRDefault="005320CD" w:rsidP="001C6E87">
      <w:pPr>
        <w:tabs>
          <w:tab w:val="clear" w:pos="1134"/>
          <w:tab w:val="clear" w:pos="1701"/>
          <w:tab w:val="clear" w:pos="2268"/>
          <w:tab w:val="clear" w:pos="6237"/>
          <w:tab w:val="left" w:pos="567"/>
        </w:tabs>
        <w:autoSpaceDE w:val="0"/>
        <w:autoSpaceDN w:val="0"/>
        <w:adjustRightInd w:val="0"/>
        <w:rPr>
          <w:szCs w:val="24"/>
        </w:rPr>
      </w:pPr>
      <w:r w:rsidRPr="00F97154">
        <w:rPr>
          <w:szCs w:val="24"/>
        </w:rPr>
        <w:t>809.</w:t>
      </w:r>
      <w:r w:rsidRPr="00F97154">
        <w:rPr>
          <w:szCs w:val="24"/>
        </w:rPr>
        <w:tab/>
        <w:t>Ниже</w:t>
      </w:r>
      <w:r>
        <w:rPr>
          <w:szCs w:val="24"/>
        </w:rPr>
        <w:t xml:space="preserve"> перечислены законы и акты исполнительной власти, принятые в целях улучшения всех аспектов экологической и промышленной гигиены:</w:t>
      </w:r>
    </w:p>
    <w:p w:rsidR="005320CD" w:rsidRDefault="005320CD" w:rsidP="005320CD">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810.</w:t>
      </w:r>
      <w:r>
        <w:rPr>
          <w:szCs w:val="24"/>
        </w:rPr>
        <w:tab/>
        <w:t xml:space="preserve">Президентский указ № 856, известный как </w:t>
      </w:r>
      <w:r w:rsidRPr="00E064C6">
        <w:rPr>
          <w:i/>
          <w:szCs w:val="24"/>
        </w:rPr>
        <w:t>Санитарный кодекс</w:t>
      </w:r>
      <w:r>
        <w:rPr>
          <w:szCs w:val="24"/>
        </w:rPr>
        <w:t>, обновляет и обобщает все законы о санитарии в целях обеспечения их соответствия действующим санитарным нормам.</w:t>
      </w: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811.</w:t>
      </w:r>
      <w:r>
        <w:rPr>
          <w:szCs w:val="24"/>
        </w:rPr>
        <w:tab/>
        <w:t>Президентский указ № 1151 требует от всех государственных структур и всех частных корпораций и предприятий готовить и включать в любой документ, проект или мероприятие, существенно затрагивающие качество окружающей среды, подробный анализ воздействия предлагаемой меры на окружающую среду.</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812.</w:t>
      </w:r>
      <w:r>
        <w:rPr>
          <w:szCs w:val="24"/>
        </w:rPr>
        <w:tab/>
        <w:t xml:space="preserve">Президентский указ № 1152, известный как </w:t>
      </w:r>
      <w:r w:rsidRPr="000228F3">
        <w:rPr>
          <w:i/>
          <w:szCs w:val="24"/>
        </w:rPr>
        <w:t xml:space="preserve">Филиппинский кодекс </w:t>
      </w:r>
      <w:r>
        <w:rPr>
          <w:i/>
          <w:szCs w:val="24"/>
        </w:rPr>
        <w:t xml:space="preserve">экологических </w:t>
      </w:r>
      <w:r w:rsidRPr="000228F3">
        <w:rPr>
          <w:i/>
          <w:szCs w:val="24"/>
        </w:rPr>
        <w:t>норм</w:t>
      </w:r>
      <w:r w:rsidRPr="00E064C6">
        <w:rPr>
          <w:szCs w:val="24"/>
        </w:rPr>
        <w:t>,</w:t>
      </w:r>
      <w:r>
        <w:rPr>
          <w:szCs w:val="24"/>
        </w:rPr>
        <w:t xml:space="preserve"> определяет экологическую политику государства и стандарты качества окружающей среды, направленные на защиту и улучшение качества водных, воздушных </w:t>
      </w:r>
      <w:r>
        <w:rPr>
          <w:szCs w:val="24"/>
        </w:rPr>
        <w:br/>
        <w:t>и земельных ресурсов страны.</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813.</w:t>
      </w:r>
      <w:r>
        <w:rPr>
          <w:szCs w:val="24"/>
        </w:rPr>
        <w:tab/>
        <w:t xml:space="preserve">Президентский указ № 1586 предусматривает создание </w:t>
      </w:r>
      <w:r w:rsidRPr="001D6378">
        <w:rPr>
          <w:i/>
          <w:szCs w:val="24"/>
        </w:rPr>
        <w:t xml:space="preserve">Системы оценки </w:t>
      </w:r>
      <w:r>
        <w:rPr>
          <w:i/>
          <w:szCs w:val="24"/>
        </w:rPr>
        <w:t xml:space="preserve">экологического </w:t>
      </w:r>
      <w:r w:rsidRPr="001D6378">
        <w:rPr>
          <w:i/>
          <w:szCs w:val="24"/>
        </w:rPr>
        <w:t>воздействия</w:t>
      </w:r>
      <w:r>
        <w:rPr>
          <w:szCs w:val="24"/>
        </w:rPr>
        <w:t xml:space="preserve"> на основании анализа воздействия, о котором говорится в </w:t>
      </w:r>
      <w:r>
        <w:rPr>
          <w:szCs w:val="24"/>
        </w:rPr>
        <w:br/>
        <w:t>ПУ 1151.</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814.</w:t>
      </w:r>
      <w:r>
        <w:rPr>
          <w:szCs w:val="24"/>
        </w:rPr>
        <w:tab/>
        <w:t xml:space="preserve">Президентский указ № 984, известный как </w:t>
      </w:r>
      <w:r w:rsidRPr="00686ED1">
        <w:rPr>
          <w:i/>
          <w:szCs w:val="24"/>
        </w:rPr>
        <w:t>Закон о контроле за загрязнением окружающей среды</w:t>
      </w:r>
      <w:r>
        <w:rPr>
          <w:szCs w:val="24"/>
        </w:rPr>
        <w:t>, уполномочивает Национальную комиссию по контролю за загрязнением окружающей среды выносить решения о немедленном прекращении канализационных, промышленных или иных выбросов в воздух, воду или почву.</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815.</w:t>
      </w:r>
      <w:r>
        <w:rPr>
          <w:szCs w:val="24"/>
        </w:rPr>
        <w:tab/>
        <w:t>Республиканский закон № 4850, также известный как</w:t>
      </w:r>
      <w:r w:rsidRPr="00C501E1">
        <w:rPr>
          <w:i/>
          <w:szCs w:val="24"/>
        </w:rPr>
        <w:t xml:space="preserve"> Закон 1966 года </w:t>
      </w:r>
      <w:r>
        <w:rPr>
          <w:i/>
          <w:szCs w:val="24"/>
        </w:rPr>
        <w:t>об управлении</w:t>
      </w:r>
      <w:r w:rsidRPr="00C501E1">
        <w:rPr>
          <w:i/>
          <w:szCs w:val="24"/>
        </w:rPr>
        <w:t xml:space="preserve"> по развитию озера Лагуна (</w:t>
      </w:r>
      <w:r>
        <w:rPr>
          <w:i/>
          <w:szCs w:val="24"/>
        </w:rPr>
        <w:t>У</w:t>
      </w:r>
      <w:r w:rsidRPr="00C501E1">
        <w:rPr>
          <w:i/>
          <w:szCs w:val="24"/>
        </w:rPr>
        <w:t>РОЛ)</w:t>
      </w:r>
      <w:r>
        <w:rPr>
          <w:szCs w:val="24"/>
        </w:rPr>
        <w:t>, предусматривает создание соответствующего управления, которое отвечает за социальное и экономическое развитие района озера Лагуна при надлежащем учете норм рационального использования и охраны окружающей среды, сохранении качества среды обитания человека и экологических систем и предотвращении нарушения экологического баланса, деградации и загрязнения окружающей среды.</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816.</w:t>
      </w:r>
      <w:r>
        <w:rPr>
          <w:szCs w:val="24"/>
        </w:rPr>
        <w:tab/>
        <w:t xml:space="preserve">Республиканский закон № 6969, известный как </w:t>
      </w:r>
      <w:r w:rsidRPr="005E620F">
        <w:rPr>
          <w:i/>
          <w:szCs w:val="24"/>
        </w:rPr>
        <w:t>Закон о токсичных веществах и вредных отходах</w:t>
      </w:r>
      <w:r>
        <w:rPr>
          <w:szCs w:val="24"/>
        </w:rPr>
        <w:t>, предусматривает принятие надлежащих мер по борьбе с загрязнением окружающей среды путем обеспечения - в порядке приоритетности - минимизации производства таких веществ;  рециркуляции и повторного использования;  переработки опасных веществ для их превращения в безопасные отходы;  захоронения инертных отходов.</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817.</w:t>
      </w:r>
      <w:r>
        <w:rPr>
          <w:szCs w:val="24"/>
        </w:rPr>
        <w:tab/>
        <w:t xml:space="preserve">Республиканский закон № 8749, также известный как </w:t>
      </w:r>
      <w:r w:rsidRPr="00680FC8">
        <w:rPr>
          <w:i/>
          <w:szCs w:val="24"/>
        </w:rPr>
        <w:t>Закон о чистом воздухе 1999</w:t>
      </w:r>
      <w:r w:rsidRPr="00680FC8">
        <w:rPr>
          <w:i/>
          <w:szCs w:val="24"/>
          <w:lang w:val="en-US"/>
        </w:rPr>
        <w:t> </w:t>
      </w:r>
      <w:r w:rsidRPr="00680FC8">
        <w:rPr>
          <w:i/>
          <w:szCs w:val="24"/>
        </w:rPr>
        <w:t>года,</w:t>
      </w:r>
      <w:r>
        <w:rPr>
          <w:szCs w:val="24"/>
        </w:rPr>
        <w:t xml:space="preserve"> предусматривает разработку всеобъемлющей политики по борьбе с загрязнением воздуха в целях создания и функционирования соответствующих механизмов мониторинга воздушной среды.  Он также предусматривает закрытие некоторых промышленных производств в качестве способа устранения источника загрязнения.</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818.</w:t>
      </w:r>
      <w:r>
        <w:rPr>
          <w:szCs w:val="24"/>
        </w:rPr>
        <w:tab/>
        <w:t xml:space="preserve">Республиканский закон № 9275, известный как </w:t>
      </w:r>
      <w:r w:rsidRPr="00680FC8">
        <w:rPr>
          <w:i/>
          <w:szCs w:val="24"/>
        </w:rPr>
        <w:t>Закон о чистой воде</w:t>
      </w:r>
      <w:r>
        <w:rPr>
          <w:szCs w:val="24"/>
        </w:rPr>
        <w:t>, регулирует управление всеми водными ресурсами страны и контроль за потенциальными источниками загрязнения воды.</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819.</w:t>
      </w:r>
      <w:r>
        <w:rPr>
          <w:szCs w:val="24"/>
        </w:rPr>
        <w:tab/>
        <w:t xml:space="preserve">Республиканский закон № 9003, известный как </w:t>
      </w:r>
      <w:r w:rsidRPr="00CD45BD">
        <w:rPr>
          <w:i/>
          <w:szCs w:val="24"/>
        </w:rPr>
        <w:t>Закон 2000 года о</w:t>
      </w:r>
      <w:r>
        <w:rPr>
          <w:i/>
          <w:szCs w:val="24"/>
        </w:rPr>
        <w:t xml:space="preserve">б удалении </w:t>
      </w:r>
      <w:r w:rsidRPr="00CD45BD">
        <w:rPr>
          <w:i/>
          <w:szCs w:val="24"/>
        </w:rPr>
        <w:t>тверды</w:t>
      </w:r>
      <w:r>
        <w:rPr>
          <w:i/>
          <w:szCs w:val="24"/>
        </w:rPr>
        <w:t>х</w:t>
      </w:r>
      <w:r w:rsidRPr="00CD45BD">
        <w:rPr>
          <w:i/>
          <w:szCs w:val="24"/>
        </w:rPr>
        <w:t xml:space="preserve"> отход</w:t>
      </w:r>
      <w:r>
        <w:rPr>
          <w:i/>
          <w:szCs w:val="24"/>
        </w:rPr>
        <w:t>ов</w:t>
      </w:r>
      <w:r>
        <w:rPr>
          <w:szCs w:val="24"/>
        </w:rPr>
        <w:t>, основан на принципах минимизации твердых отходов и стимулирования использования чистой продукции, восстановления ресурсов и предотвращения образования твердых отходов.  Кроме того, этот закон направлен на поощрение экологически безопасных технологических процессов и практики и переоборудование предприятий с целью снижения их вредного воздействия на окружающую среду.</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820.</w:t>
      </w:r>
      <w:r>
        <w:rPr>
          <w:szCs w:val="24"/>
        </w:rPr>
        <w:tab/>
        <w:t xml:space="preserve">В 1994 году Административным постановлением № 90 была создана Целевая президентская группа по вопросам уничтожения отходов (ЦПГУО), которая уполномочена:  а)  оказывать техническое содействие городам и муниципальным образованиям, которые сталкиваются с проблемами твердых отходов;  </w:t>
      </w:r>
      <w:r>
        <w:rPr>
          <w:szCs w:val="24"/>
          <w:lang w:val="en-US"/>
        </w:rPr>
        <w:t>b</w:t>
      </w:r>
      <w:r>
        <w:rPr>
          <w:szCs w:val="24"/>
        </w:rPr>
        <w:t xml:space="preserve">)  содействовать ОМС в укреплении их потенциала по удовлетворению потребностей местного развития, особенно в деле совершенствования их систем ликвидации твердых отходов;  </w:t>
      </w:r>
      <w:r>
        <w:rPr>
          <w:szCs w:val="24"/>
        </w:rPr>
        <w:br/>
        <w:t xml:space="preserve">с)  совершенствовать рамочный план и осуществлять мониторинг/оценку его реализации;  и </w:t>
      </w:r>
      <w:r>
        <w:rPr>
          <w:szCs w:val="24"/>
          <w:lang w:val="en-US"/>
        </w:rPr>
        <w:t>d</w:t>
      </w:r>
      <w:r>
        <w:rPr>
          <w:szCs w:val="24"/>
        </w:rPr>
        <w:t>)  обеспечивать необходимую массовую поддержку за счет взаимосвязи с другими секторами и координации усилий по ликвидации твердых отходов.</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1C6E87">
      <w:pPr>
        <w:tabs>
          <w:tab w:val="clear" w:pos="1134"/>
          <w:tab w:val="clear" w:pos="1701"/>
          <w:tab w:val="clear" w:pos="2268"/>
          <w:tab w:val="clear" w:pos="6237"/>
          <w:tab w:val="left" w:pos="567"/>
        </w:tabs>
        <w:autoSpaceDE w:val="0"/>
        <w:autoSpaceDN w:val="0"/>
        <w:adjustRightInd w:val="0"/>
        <w:rPr>
          <w:szCs w:val="24"/>
        </w:rPr>
      </w:pPr>
      <w:r>
        <w:rPr>
          <w:szCs w:val="24"/>
        </w:rPr>
        <w:t>821.</w:t>
      </w:r>
      <w:r>
        <w:rPr>
          <w:szCs w:val="24"/>
        </w:rPr>
        <w:tab/>
        <w:t xml:space="preserve">В 1998 году МОСПР приняло проект </w:t>
      </w:r>
      <w:r w:rsidRPr="00513BCA">
        <w:rPr>
          <w:i/>
          <w:szCs w:val="24"/>
        </w:rPr>
        <w:t>Экоуотч</w:t>
      </w:r>
      <w:r>
        <w:rPr>
          <w:szCs w:val="24"/>
        </w:rPr>
        <w:t>, который представляет собой систему мониторинга и стимулирует минимизацию производства отходов, предотвращение загрязнения и использование экологически чистых технологий.  Цели данного проекта заключаются в поощрении соблюдения существующих экологических законов, правил и норм путем общественного давления и проведения проверок;  дополнительном поощрении уменьшения загрязнения посредством общественного признания и одобрения; разработке стимулов, заставляющих загрязнителей создавать внутренние системы охраны окружающей среды;  и создании основы для стандарта ИСО 14000</w:t>
      </w:r>
      <w:r>
        <w:rPr>
          <w:rStyle w:val="FootnoteReference"/>
          <w:szCs w:val="24"/>
        </w:rPr>
        <w:footnoteReference w:id="48"/>
      </w:r>
      <w:r>
        <w:rPr>
          <w:szCs w:val="24"/>
        </w:rPr>
        <w:t>.</w:t>
      </w:r>
    </w:p>
    <w:p w:rsidR="000A337C" w:rsidRDefault="000A337C" w:rsidP="000A337C">
      <w:pPr>
        <w:tabs>
          <w:tab w:val="clear" w:pos="567"/>
          <w:tab w:val="clear" w:pos="1134"/>
          <w:tab w:val="clear" w:pos="1701"/>
          <w:tab w:val="clear" w:pos="2268"/>
          <w:tab w:val="clear" w:pos="6237"/>
        </w:tabs>
        <w:autoSpaceDE w:val="0"/>
        <w:autoSpaceDN w:val="0"/>
        <w:adjustRightInd w:val="0"/>
        <w:rPr>
          <w:szCs w:val="24"/>
        </w:rPr>
      </w:pPr>
    </w:p>
    <w:p w:rsidR="000A337C" w:rsidRDefault="000A337C" w:rsidP="000A337C">
      <w:pPr>
        <w:tabs>
          <w:tab w:val="clear" w:pos="567"/>
          <w:tab w:val="clear" w:pos="1134"/>
          <w:tab w:val="clear" w:pos="1701"/>
          <w:tab w:val="clear" w:pos="2268"/>
          <w:tab w:val="clear" w:pos="6237"/>
        </w:tabs>
        <w:autoSpaceDE w:val="0"/>
        <w:autoSpaceDN w:val="0"/>
        <w:adjustRightInd w:val="0"/>
      </w:pPr>
      <w:r>
        <w:rPr>
          <w:szCs w:val="24"/>
        </w:rPr>
        <w:t>822.</w:t>
      </w:r>
      <w:r>
        <w:rPr>
          <w:szCs w:val="24"/>
        </w:rPr>
        <w:tab/>
        <w:t xml:space="preserve">В соответствии с положениями </w:t>
      </w:r>
      <w:r w:rsidRPr="005514C2">
        <w:rPr>
          <w:i/>
          <w:szCs w:val="24"/>
        </w:rPr>
        <w:t>Закона о чистом воздухе</w:t>
      </w:r>
      <w:r>
        <w:rPr>
          <w:szCs w:val="24"/>
        </w:rPr>
        <w:t xml:space="preserve"> правительство разработало Программу развития сектора по улучшению качества воздуха в районе Метро Манила (РСУКВММ), которая представляет собой комплексную инициативу правительства по реализации </w:t>
      </w:r>
      <w:r w:rsidRPr="008D0405">
        <w:rPr>
          <w:i/>
          <w:szCs w:val="24"/>
        </w:rPr>
        <w:t>Закона о чистом воздухе</w:t>
      </w:r>
      <w:r>
        <w:rPr>
          <w:szCs w:val="24"/>
        </w:rPr>
        <w:t xml:space="preserve"> и решению вопросов, связанных с обеспечением качества воздуха.  Цель данной программы заключается в поощрении политических реформ и инвестиций для улучшения качества воздуха путем устранения мобильных и стационарных источников загрязнения воздуха.  Все эти направления включены в комплексный проект под названием План действий по повышению качества воздуха.  Основное внимание в рамках этого плана уделяется качеству воздуха в Метро Манила, где загрязнение воздуха является самым высоким;  сюда же относятся Национальный столичный район и части </w:t>
      </w:r>
      <w:r w:rsidR="000B71E2">
        <w:rPr>
          <w:szCs w:val="24"/>
        </w:rPr>
        <w:t>районов</w:t>
      </w:r>
      <w:r>
        <w:rPr>
          <w:szCs w:val="24"/>
        </w:rPr>
        <w:t xml:space="preserve"> </w:t>
      </w:r>
      <w:r>
        <w:rPr>
          <w:szCs w:val="24"/>
          <w:lang w:val="fr-FR"/>
        </w:rPr>
        <w:t>III</w:t>
      </w:r>
      <w:r w:rsidRPr="009E10B1">
        <w:rPr>
          <w:szCs w:val="24"/>
        </w:rPr>
        <w:t xml:space="preserve"> </w:t>
      </w:r>
      <w:r>
        <w:rPr>
          <w:szCs w:val="24"/>
        </w:rPr>
        <w:t xml:space="preserve">и </w:t>
      </w:r>
      <w:r>
        <w:rPr>
          <w:szCs w:val="24"/>
          <w:lang w:val="en-US"/>
        </w:rPr>
        <w:t>IV</w:t>
      </w:r>
      <w:r w:rsidRPr="009E10B1">
        <w:rPr>
          <w:szCs w:val="24"/>
        </w:rPr>
        <w:t>-</w:t>
      </w:r>
      <w:r>
        <w:rPr>
          <w:szCs w:val="24"/>
          <w:lang w:val="en-US"/>
        </w:rPr>
        <w:t>A</w:t>
      </w:r>
      <w:r w:rsidRPr="009E10B1">
        <w:rPr>
          <w:szCs w:val="24"/>
        </w:rPr>
        <w:t>.</w:t>
      </w:r>
    </w:p>
    <w:p w:rsidR="00683333" w:rsidRDefault="00683333" w:rsidP="00683333"/>
    <w:p w:rsidR="00683333" w:rsidRDefault="00683333" w:rsidP="00683333">
      <w:pPr>
        <w:tabs>
          <w:tab w:val="clear" w:pos="567"/>
          <w:tab w:val="clear" w:pos="1134"/>
          <w:tab w:val="clear" w:pos="1701"/>
          <w:tab w:val="clear" w:pos="2268"/>
          <w:tab w:val="clear" w:pos="6237"/>
        </w:tabs>
        <w:autoSpaceDE w:val="0"/>
        <w:autoSpaceDN w:val="0"/>
        <w:adjustRightInd w:val="0"/>
        <w:rPr>
          <w:szCs w:val="24"/>
        </w:rPr>
      </w:pPr>
      <w:r>
        <w:rPr>
          <w:szCs w:val="24"/>
        </w:rPr>
        <w:t>823.</w:t>
      </w:r>
      <w:r>
        <w:rPr>
          <w:szCs w:val="24"/>
        </w:rPr>
        <w:tab/>
        <w:t xml:space="preserve">Со своей стороны, министерство энергетики (МЭ) приступило к реализации </w:t>
      </w:r>
      <w:r w:rsidRPr="006167D0">
        <w:rPr>
          <w:i/>
          <w:szCs w:val="24"/>
        </w:rPr>
        <w:t>Программы альтернативных видов топлива и технологий</w:t>
      </w:r>
      <w:r>
        <w:rPr>
          <w:szCs w:val="24"/>
        </w:rPr>
        <w:t>, направленной на обеспечение безопасности, надежности и доступности энергоснабжения и топливной диверсификации при одновременном соблюдении требований об охране окружающей среды.  В рамках этой программы МЭ планирует укрепить партнерские отношения между государственным и частным секторами с целью повышения информированности об источниках и опасных последствиях загрязнения воздуха и поощрения использования таких альтернативных видов топлива для транспорта, как сжатый природный газ, биодизельное топливо, жидкий нефтяной газ и, по возможности, топливные элементы и водород.</w:t>
      </w:r>
    </w:p>
    <w:p w:rsidR="00683333" w:rsidRDefault="00683333" w:rsidP="00683333">
      <w:pPr>
        <w:tabs>
          <w:tab w:val="clear" w:pos="567"/>
          <w:tab w:val="clear" w:pos="1134"/>
          <w:tab w:val="clear" w:pos="1701"/>
          <w:tab w:val="clear" w:pos="2268"/>
          <w:tab w:val="clear" w:pos="6237"/>
        </w:tabs>
        <w:autoSpaceDE w:val="0"/>
        <w:autoSpaceDN w:val="0"/>
        <w:adjustRightInd w:val="0"/>
        <w:rPr>
          <w:szCs w:val="24"/>
        </w:rPr>
      </w:pPr>
    </w:p>
    <w:p w:rsidR="00683333" w:rsidRDefault="00683333" w:rsidP="00683333">
      <w:pPr>
        <w:tabs>
          <w:tab w:val="clear" w:pos="567"/>
          <w:tab w:val="clear" w:pos="1134"/>
          <w:tab w:val="clear" w:pos="1701"/>
          <w:tab w:val="clear" w:pos="2268"/>
          <w:tab w:val="clear" w:pos="6237"/>
        </w:tabs>
        <w:autoSpaceDE w:val="0"/>
        <w:autoSpaceDN w:val="0"/>
        <w:adjustRightInd w:val="0"/>
        <w:rPr>
          <w:szCs w:val="24"/>
        </w:rPr>
      </w:pPr>
      <w:r>
        <w:rPr>
          <w:szCs w:val="24"/>
        </w:rPr>
        <w:t>824.</w:t>
      </w:r>
      <w:r>
        <w:rPr>
          <w:szCs w:val="24"/>
        </w:rPr>
        <w:tab/>
        <w:t xml:space="preserve">Министерство науки и технологии (МНТ) приняло </w:t>
      </w:r>
      <w:r w:rsidRPr="00DC67C0">
        <w:rPr>
          <w:i/>
          <w:szCs w:val="24"/>
        </w:rPr>
        <w:t>Комплексную программу чистых технологий</w:t>
      </w:r>
      <w:r>
        <w:rPr>
          <w:szCs w:val="24"/>
        </w:rPr>
        <w:t xml:space="preserve"> в качестве одной из своих ведущих программ.  Она направлена на поощрение устойчивого развития и укрепления конкурентоспособности предприятий филиппинской промышленности, особенно малых и средних предприятий, путем предоставления им технической информации и содействия использованию чистых технологий (ЧТ).  Таким образом, в рамках данной программы разрабатываются руководящие принципы и политика для стимулирования использования ЧТ, предоставляется информация, оказывается поддержка в принятии решений и практическая помощь малым и средним предприятиям в применении более чистых производственных методов и ЧТ, предоставляются услуги по распространению промышленной информации среди малых и средних региональных обрабатывающих предприятий и оценивается воздействие ЧТ на экономику и окружающую среду.</w:t>
      </w:r>
    </w:p>
    <w:p w:rsidR="00683333" w:rsidRDefault="00683333" w:rsidP="00683333">
      <w:pPr>
        <w:tabs>
          <w:tab w:val="clear" w:pos="567"/>
          <w:tab w:val="clear" w:pos="1134"/>
          <w:tab w:val="clear" w:pos="1701"/>
          <w:tab w:val="clear" w:pos="2268"/>
          <w:tab w:val="clear" w:pos="6237"/>
        </w:tabs>
        <w:autoSpaceDE w:val="0"/>
        <w:autoSpaceDN w:val="0"/>
        <w:adjustRightInd w:val="0"/>
        <w:rPr>
          <w:szCs w:val="24"/>
        </w:rPr>
      </w:pPr>
    </w:p>
    <w:p w:rsidR="00683333" w:rsidRDefault="00683333" w:rsidP="00683333">
      <w:pPr>
        <w:tabs>
          <w:tab w:val="clear" w:pos="567"/>
          <w:tab w:val="clear" w:pos="1134"/>
          <w:tab w:val="clear" w:pos="1701"/>
          <w:tab w:val="clear" w:pos="2268"/>
          <w:tab w:val="clear" w:pos="6237"/>
        </w:tabs>
        <w:autoSpaceDE w:val="0"/>
        <w:autoSpaceDN w:val="0"/>
        <w:adjustRightInd w:val="0"/>
        <w:rPr>
          <w:szCs w:val="24"/>
        </w:rPr>
      </w:pPr>
      <w:r>
        <w:rPr>
          <w:szCs w:val="24"/>
        </w:rPr>
        <w:t>825.</w:t>
      </w:r>
      <w:r>
        <w:rPr>
          <w:szCs w:val="24"/>
        </w:rPr>
        <w:tab/>
        <w:t>Ниже приводятся примеры судебной практики в области экологической и промышленной гигиены</w:t>
      </w:r>
      <w:r>
        <w:rPr>
          <w:rStyle w:val="FootnoteReference"/>
          <w:szCs w:val="24"/>
        </w:rPr>
        <w:footnoteReference w:id="49"/>
      </w:r>
      <w:r>
        <w:rPr>
          <w:szCs w:val="24"/>
        </w:rPr>
        <w:t>:</w:t>
      </w:r>
    </w:p>
    <w:p w:rsidR="00683333" w:rsidRDefault="00683333" w:rsidP="00683333">
      <w:pPr>
        <w:tabs>
          <w:tab w:val="clear" w:pos="567"/>
          <w:tab w:val="clear" w:pos="1134"/>
          <w:tab w:val="clear" w:pos="1701"/>
          <w:tab w:val="clear" w:pos="2268"/>
          <w:tab w:val="clear" w:pos="6237"/>
        </w:tabs>
        <w:autoSpaceDE w:val="0"/>
        <w:autoSpaceDN w:val="0"/>
        <w:adjustRightInd w:val="0"/>
        <w:rPr>
          <w:szCs w:val="24"/>
        </w:rPr>
      </w:pPr>
    </w:p>
    <w:p w:rsidR="00683333" w:rsidRPr="00F826A4" w:rsidRDefault="00683333" w:rsidP="00D16190">
      <w:pPr>
        <w:numPr>
          <w:ilvl w:val="0"/>
          <w:numId w:val="43"/>
        </w:numPr>
        <w:tabs>
          <w:tab w:val="clear" w:pos="567"/>
          <w:tab w:val="clear" w:pos="1701"/>
          <w:tab w:val="clear" w:pos="2268"/>
          <w:tab w:val="clear" w:pos="6237"/>
        </w:tabs>
        <w:autoSpaceDE w:val="0"/>
        <w:autoSpaceDN w:val="0"/>
        <w:adjustRightInd w:val="0"/>
        <w:rPr>
          <w:i/>
          <w:szCs w:val="24"/>
        </w:rPr>
      </w:pPr>
      <w:r>
        <w:rPr>
          <w:i/>
        </w:rPr>
        <w:t>Управле</w:t>
      </w:r>
      <w:r w:rsidRPr="00F826A4">
        <w:rPr>
          <w:i/>
        </w:rPr>
        <w:t>ние по развитию Метро Манила против ДЖАНКОМ,</w:t>
      </w:r>
      <w:r w:rsidRPr="00F826A4">
        <w:rPr>
          <w:i/>
          <w:szCs w:val="24"/>
        </w:rPr>
        <w:t xml:space="preserve"> </w:t>
      </w:r>
      <w:r w:rsidRPr="00F826A4">
        <w:rPr>
          <w:i/>
          <w:szCs w:val="24"/>
          <w:lang w:val="en-US"/>
        </w:rPr>
        <w:t>G</w:t>
      </w:r>
      <w:r w:rsidRPr="00F826A4">
        <w:rPr>
          <w:i/>
          <w:szCs w:val="24"/>
        </w:rPr>
        <w:t>.</w:t>
      </w:r>
      <w:r w:rsidRPr="00F826A4">
        <w:rPr>
          <w:i/>
          <w:szCs w:val="24"/>
          <w:lang w:val="en-US"/>
        </w:rPr>
        <w:t>R</w:t>
      </w:r>
      <w:r w:rsidRPr="00F826A4">
        <w:rPr>
          <w:i/>
          <w:szCs w:val="24"/>
        </w:rPr>
        <w:t xml:space="preserve">. </w:t>
      </w:r>
      <w:r w:rsidRPr="00F826A4">
        <w:rPr>
          <w:i/>
          <w:szCs w:val="24"/>
          <w:lang w:val="en-US"/>
        </w:rPr>
        <w:t>No</w:t>
      </w:r>
      <w:r w:rsidRPr="00F826A4">
        <w:rPr>
          <w:i/>
          <w:szCs w:val="24"/>
        </w:rPr>
        <w:t>. 147465, 30 </w:t>
      </w:r>
      <w:r w:rsidRPr="00F826A4">
        <w:rPr>
          <w:i/>
          <w:szCs w:val="24"/>
          <w:lang w:val="en-US"/>
        </w:rPr>
        <w:t>January</w:t>
      </w:r>
      <w:r w:rsidRPr="00F826A4">
        <w:rPr>
          <w:i/>
          <w:szCs w:val="24"/>
        </w:rPr>
        <w:t xml:space="preserve"> 2002</w:t>
      </w:r>
    </w:p>
    <w:p w:rsidR="00683333" w:rsidRPr="00F826A4" w:rsidRDefault="00683333" w:rsidP="00683333">
      <w:pPr>
        <w:tabs>
          <w:tab w:val="clear" w:pos="567"/>
          <w:tab w:val="clear" w:pos="1134"/>
          <w:tab w:val="clear" w:pos="1701"/>
          <w:tab w:val="clear" w:pos="2268"/>
          <w:tab w:val="clear" w:pos="6237"/>
        </w:tabs>
        <w:autoSpaceDE w:val="0"/>
        <w:autoSpaceDN w:val="0"/>
        <w:adjustRightInd w:val="0"/>
        <w:ind w:left="1134" w:hanging="567"/>
        <w:rPr>
          <w:i/>
          <w:szCs w:val="24"/>
        </w:rPr>
      </w:pPr>
    </w:p>
    <w:p w:rsidR="00683333" w:rsidRPr="00F826A4" w:rsidRDefault="00683333" w:rsidP="00683333">
      <w:pPr>
        <w:numPr>
          <w:ilvl w:val="0"/>
          <w:numId w:val="43"/>
        </w:numPr>
        <w:tabs>
          <w:tab w:val="clear" w:pos="567"/>
          <w:tab w:val="clear" w:pos="1701"/>
          <w:tab w:val="clear" w:pos="2268"/>
          <w:tab w:val="clear" w:pos="6237"/>
        </w:tabs>
        <w:autoSpaceDE w:val="0"/>
        <w:autoSpaceDN w:val="0"/>
        <w:adjustRightInd w:val="0"/>
        <w:rPr>
          <w:i/>
          <w:szCs w:val="24"/>
        </w:rPr>
      </w:pPr>
      <w:r w:rsidRPr="00F826A4">
        <w:rPr>
          <w:i/>
        </w:rPr>
        <w:t>Управление по развитию озера Лагуна против Апелляционного суда</w:t>
      </w:r>
      <w:r w:rsidRPr="00F826A4">
        <w:rPr>
          <w:i/>
          <w:szCs w:val="24"/>
        </w:rPr>
        <w:t xml:space="preserve">, </w:t>
      </w:r>
      <w:r w:rsidRPr="00F826A4">
        <w:rPr>
          <w:i/>
          <w:szCs w:val="24"/>
          <w:lang w:val="en-US"/>
        </w:rPr>
        <w:t>G</w:t>
      </w:r>
      <w:r w:rsidRPr="00F826A4">
        <w:rPr>
          <w:i/>
          <w:szCs w:val="24"/>
        </w:rPr>
        <w:t>.</w:t>
      </w:r>
      <w:r w:rsidRPr="00F826A4">
        <w:rPr>
          <w:i/>
          <w:szCs w:val="24"/>
          <w:lang w:val="en-US"/>
        </w:rPr>
        <w:t>R</w:t>
      </w:r>
      <w:r w:rsidRPr="00F826A4">
        <w:rPr>
          <w:i/>
          <w:szCs w:val="24"/>
        </w:rPr>
        <w:t xml:space="preserve">. </w:t>
      </w:r>
      <w:r w:rsidRPr="00F826A4">
        <w:rPr>
          <w:i/>
          <w:szCs w:val="24"/>
          <w:lang w:val="en-US"/>
        </w:rPr>
        <w:t>No</w:t>
      </w:r>
      <w:r w:rsidRPr="00F826A4">
        <w:rPr>
          <w:i/>
          <w:szCs w:val="24"/>
        </w:rPr>
        <w:t xml:space="preserve">. 110120, 16 </w:t>
      </w:r>
      <w:r w:rsidRPr="00F826A4">
        <w:rPr>
          <w:i/>
          <w:szCs w:val="24"/>
          <w:lang w:val="en-US"/>
        </w:rPr>
        <w:t>March</w:t>
      </w:r>
      <w:r w:rsidRPr="00F826A4">
        <w:rPr>
          <w:i/>
          <w:szCs w:val="24"/>
        </w:rPr>
        <w:t xml:space="preserve"> 1994</w:t>
      </w:r>
    </w:p>
    <w:p w:rsidR="00683333" w:rsidRPr="00F826A4" w:rsidRDefault="00683333" w:rsidP="00683333">
      <w:pPr>
        <w:tabs>
          <w:tab w:val="clear" w:pos="567"/>
          <w:tab w:val="clear" w:pos="1134"/>
          <w:tab w:val="clear" w:pos="1701"/>
          <w:tab w:val="clear" w:pos="2268"/>
          <w:tab w:val="clear" w:pos="6237"/>
        </w:tabs>
        <w:autoSpaceDE w:val="0"/>
        <w:autoSpaceDN w:val="0"/>
        <w:adjustRightInd w:val="0"/>
        <w:ind w:left="1134" w:hanging="567"/>
        <w:rPr>
          <w:i/>
          <w:szCs w:val="24"/>
        </w:rPr>
      </w:pPr>
    </w:p>
    <w:p w:rsidR="00683333" w:rsidRPr="00F826A4" w:rsidRDefault="00683333" w:rsidP="00683333">
      <w:pPr>
        <w:numPr>
          <w:ilvl w:val="0"/>
          <w:numId w:val="43"/>
        </w:numPr>
        <w:tabs>
          <w:tab w:val="clear" w:pos="567"/>
          <w:tab w:val="clear" w:pos="1701"/>
          <w:tab w:val="clear" w:pos="2268"/>
          <w:tab w:val="clear" w:pos="6237"/>
        </w:tabs>
        <w:autoSpaceDE w:val="0"/>
        <w:autoSpaceDN w:val="0"/>
        <w:adjustRightInd w:val="0"/>
        <w:rPr>
          <w:i/>
          <w:szCs w:val="24"/>
        </w:rPr>
      </w:pPr>
      <w:r w:rsidRPr="00F826A4">
        <w:rPr>
          <w:i/>
        </w:rPr>
        <w:t>Тател против Сократес</w:t>
      </w:r>
      <w:r w:rsidRPr="00F826A4">
        <w:rPr>
          <w:i/>
          <w:szCs w:val="24"/>
        </w:rPr>
        <w:t xml:space="preserve">, </w:t>
      </w:r>
      <w:r w:rsidRPr="00F826A4">
        <w:rPr>
          <w:i/>
          <w:szCs w:val="24"/>
          <w:lang w:val="en-US"/>
        </w:rPr>
        <w:t>G</w:t>
      </w:r>
      <w:r w:rsidRPr="00F826A4">
        <w:rPr>
          <w:i/>
          <w:szCs w:val="24"/>
        </w:rPr>
        <w:t>.</w:t>
      </w:r>
      <w:r w:rsidRPr="00F826A4">
        <w:rPr>
          <w:i/>
          <w:szCs w:val="24"/>
          <w:lang w:val="en-US"/>
        </w:rPr>
        <w:t>R</w:t>
      </w:r>
      <w:r w:rsidRPr="00F826A4">
        <w:rPr>
          <w:i/>
          <w:szCs w:val="24"/>
        </w:rPr>
        <w:t xml:space="preserve">. </w:t>
      </w:r>
      <w:r w:rsidRPr="00F826A4">
        <w:rPr>
          <w:i/>
          <w:szCs w:val="24"/>
          <w:lang w:val="en-US"/>
        </w:rPr>
        <w:t>No</w:t>
      </w:r>
      <w:r w:rsidRPr="00F826A4">
        <w:rPr>
          <w:i/>
          <w:szCs w:val="24"/>
        </w:rPr>
        <w:t xml:space="preserve">. 110249, 21 </w:t>
      </w:r>
      <w:r w:rsidRPr="00F826A4">
        <w:rPr>
          <w:i/>
          <w:szCs w:val="24"/>
          <w:lang w:val="en-US"/>
        </w:rPr>
        <w:t>August</w:t>
      </w:r>
      <w:r w:rsidRPr="00F826A4">
        <w:rPr>
          <w:i/>
          <w:szCs w:val="24"/>
        </w:rPr>
        <w:t xml:space="preserve"> 1997</w:t>
      </w:r>
    </w:p>
    <w:p w:rsidR="00683333" w:rsidRPr="00F826A4" w:rsidRDefault="00683333" w:rsidP="00683333">
      <w:pPr>
        <w:tabs>
          <w:tab w:val="clear" w:pos="567"/>
          <w:tab w:val="clear" w:pos="1134"/>
          <w:tab w:val="clear" w:pos="1701"/>
          <w:tab w:val="clear" w:pos="2268"/>
          <w:tab w:val="clear" w:pos="6237"/>
        </w:tabs>
        <w:autoSpaceDE w:val="0"/>
        <w:autoSpaceDN w:val="0"/>
        <w:adjustRightInd w:val="0"/>
        <w:ind w:left="1134" w:hanging="567"/>
        <w:rPr>
          <w:i/>
          <w:szCs w:val="24"/>
        </w:rPr>
      </w:pPr>
    </w:p>
    <w:p w:rsidR="00683333" w:rsidRPr="00F826A4" w:rsidRDefault="00683333" w:rsidP="00683333">
      <w:pPr>
        <w:numPr>
          <w:ilvl w:val="0"/>
          <w:numId w:val="43"/>
        </w:numPr>
        <w:tabs>
          <w:tab w:val="clear" w:pos="567"/>
          <w:tab w:val="clear" w:pos="1701"/>
          <w:tab w:val="clear" w:pos="2268"/>
          <w:tab w:val="clear" w:pos="6237"/>
        </w:tabs>
        <w:autoSpaceDE w:val="0"/>
        <w:autoSpaceDN w:val="0"/>
        <w:adjustRightInd w:val="0"/>
        <w:rPr>
          <w:i/>
          <w:szCs w:val="24"/>
        </w:rPr>
      </w:pPr>
      <w:r w:rsidRPr="00F826A4">
        <w:rPr>
          <w:i/>
        </w:rPr>
        <w:t>Опоса против Факторана,</w:t>
      </w:r>
      <w:r w:rsidRPr="00F826A4">
        <w:rPr>
          <w:b/>
          <w:i/>
        </w:rPr>
        <w:t xml:space="preserve"> </w:t>
      </w:r>
      <w:r w:rsidRPr="00F826A4">
        <w:rPr>
          <w:i/>
          <w:lang w:val="en-US"/>
        </w:rPr>
        <w:t>G</w:t>
      </w:r>
      <w:r w:rsidRPr="00F826A4">
        <w:rPr>
          <w:i/>
        </w:rPr>
        <w:t>.</w:t>
      </w:r>
      <w:r w:rsidRPr="00F826A4">
        <w:rPr>
          <w:i/>
          <w:lang w:val="en-US"/>
        </w:rPr>
        <w:t>R</w:t>
      </w:r>
      <w:r w:rsidRPr="00F826A4">
        <w:rPr>
          <w:i/>
        </w:rPr>
        <w:t xml:space="preserve">. </w:t>
      </w:r>
      <w:r w:rsidRPr="00F826A4">
        <w:rPr>
          <w:i/>
          <w:lang w:val="en-US"/>
        </w:rPr>
        <w:t>No</w:t>
      </w:r>
      <w:r w:rsidRPr="00F826A4">
        <w:rPr>
          <w:i/>
        </w:rPr>
        <w:t xml:space="preserve">. 101083, 30 </w:t>
      </w:r>
      <w:r w:rsidRPr="00F826A4">
        <w:rPr>
          <w:i/>
          <w:lang w:val="en-US"/>
        </w:rPr>
        <w:t>July</w:t>
      </w:r>
      <w:r w:rsidRPr="00F826A4">
        <w:rPr>
          <w:i/>
        </w:rPr>
        <w:t xml:space="preserve"> 1993</w:t>
      </w:r>
    </w:p>
    <w:p w:rsidR="00683333" w:rsidRPr="00F826A4" w:rsidRDefault="00683333" w:rsidP="00683333">
      <w:pPr>
        <w:tabs>
          <w:tab w:val="clear" w:pos="567"/>
          <w:tab w:val="clear" w:pos="1134"/>
          <w:tab w:val="clear" w:pos="1701"/>
          <w:tab w:val="clear" w:pos="2268"/>
          <w:tab w:val="clear" w:pos="6237"/>
        </w:tabs>
        <w:autoSpaceDE w:val="0"/>
        <w:autoSpaceDN w:val="0"/>
        <w:adjustRightInd w:val="0"/>
        <w:ind w:left="1134" w:hanging="567"/>
        <w:rPr>
          <w:i/>
          <w:szCs w:val="24"/>
        </w:rPr>
      </w:pPr>
    </w:p>
    <w:p w:rsidR="00683333" w:rsidRPr="00F826A4" w:rsidRDefault="00683333" w:rsidP="00D16190">
      <w:pPr>
        <w:numPr>
          <w:ilvl w:val="0"/>
          <w:numId w:val="43"/>
        </w:numPr>
        <w:tabs>
          <w:tab w:val="clear" w:pos="567"/>
          <w:tab w:val="clear" w:pos="1701"/>
          <w:tab w:val="clear" w:pos="2268"/>
          <w:tab w:val="clear" w:pos="6237"/>
        </w:tabs>
        <w:autoSpaceDE w:val="0"/>
        <w:autoSpaceDN w:val="0"/>
        <w:adjustRightInd w:val="0"/>
        <w:rPr>
          <w:i/>
        </w:rPr>
      </w:pPr>
      <w:r w:rsidRPr="00F826A4">
        <w:rPr>
          <w:i/>
        </w:rPr>
        <w:t xml:space="preserve">Комитет по рассмотрению дел о загрязнении окружающей среды против Апелляционного суда, </w:t>
      </w:r>
      <w:r w:rsidRPr="00F826A4">
        <w:rPr>
          <w:i/>
          <w:lang w:val="en-US"/>
        </w:rPr>
        <w:t>G</w:t>
      </w:r>
      <w:r w:rsidRPr="00F826A4">
        <w:rPr>
          <w:i/>
        </w:rPr>
        <w:t>.</w:t>
      </w:r>
      <w:r w:rsidRPr="00F826A4">
        <w:rPr>
          <w:i/>
          <w:lang w:val="en-US"/>
        </w:rPr>
        <w:t>R</w:t>
      </w:r>
      <w:r w:rsidRPr="00F826A4">
        <w:rPr>
          <w:i/>
        </w:rPr>
        <w:t xml:space="preserve">. </w:t>
      </w:r>
      <w:r w:rsidRPr="00F826A4">
        <w:rPr>
          <w:i/>
          <w:lang w:val="en-US"/>
        </w:rPr>
        <w:t>No</w:t>
      </w:r>
      <w:r w:rsidRPr="00F826A4">
        <w:rPr>
          <w:i/>
        </w:rPr>
        <w:t xml:space="preserve">. 93891, 11 </w:t>
      </w:r>
      <w:r w:rsidRPr="00F826A4">
        <w:rPr>
          <w:i/>
          <w:lang w:val="en-US"/>
        </w:rPr>
        <w:t>March</w:t>
      </w:r>
      <w:r w:rsidRPr="00F826A4">
        <w:rPr>
          <w:i/>
        </w:rPr>
        <w:t xml:space="preserve"> 1991</w:t>
      </w:r>
    </w:p>
    <w:p w:rsidR="00683333" w:rsidRPr="00F826A4" w:rsidRDefault="00683333" w:rsidP="00683333">
      <w:pPr>
        <w:rPr>
          <w:i/>
        </w:rPr>
      </w:pPr>
    </w:p>
    <w:p w:rsidR="00683333" w:rsidRDefault="00683333" w:rsidP="00D16190">
      <w:pPr>
        <w:numPr>
          <w:ilvl w:val="0"/>
          <w:numId w:val="43"/>
        </w:numPr>
        <w:tabs>
          <w:tab w:val="clear" w:pos="567"/>
          <w:tab w:val="clear" w:pos="1701"/>
          <w:tab w:val="clear" w:pos="2268"/>
          <w:tab w:val="clear" w:pos="6237"/>
        </w:tabs>
        <w:autoSpaceDE w:val="0"/>
        <w:autoSpaceDN w:val="0"/>
        <w:adjustRightInd w:val="0"/>
        <w:rPr>
          <w:i/>
        </w:rPr>
      </w:pPr>
      <w:r w:rsidRPr="00CE7DE1">
        <w:rPr>
          <w:i/>
        </w:rPr>
        <w:t>Родригес</w:t>
      </w:r>
      <w:r w:rsidR="000B71E2">
        <w:rPr>
          <w:i/>
        </w:rPr>
        <w:t>-дж.</w:t>
      </w:r>
      <w:r w:rsidR="00D16190">
        <w:rPr>
          <w:i/>
        </w:rPr>
        <w:t xml:space="preserve"> </w:t>
      </w:r>
      <w:r w:rsidRPr="00CE7DE1">
        <w:rPr>
          <w:i/>
        </w:rPr>
        <w:t xml:space="preserve">против Промежуточного апелляционного суда, </w:t>
      </w:r>
      <w:r>
        <w:rPr>
          <w:i/>
          <w:lang w:val="en-US"/>
        </w:rPr>
        <w:t>G</w:t>
      </w:r>
      <w:r w:rsidRPr="00CE7DE1">
        <w:rPr>
          <w:i/>
        </w:rPr>
        <w:t>.</w:t>
      </w:r>
      <w:r>
        <w:rPr>
          <w:i/>
          <w:lang w:val="en-US"/>
        </w:rPr>
        <w:t>R</w:t>
      </w:r>
      <w:r w:rsidRPr="00CE7DE1">
        <w:rPr>
          <w:i/>
        </w:rPr>
        <w:t xml:space="preserve">. </w:t>
      </w:r>
      <w:r>
        <w:rPr>
          <w:i/>
          <w:lang w:val="en-US"/>
        </w:rPr>
        <w:t>No</w:t>
      </w:r>
      <w:r w:rsidRPr="00CE7DE1">
        <w:rPr>
          <w:i/>
        </w:rPr>
        <w:t>.</w:t>
      </w:r>
      <w:r>
        <w:rPr>
          <w:i/>
        </w:rPr>
        <w:t> </w:t>
      </w:r>
      <w:r w:rsidRPr="000125B2">
        <w:rPr>
          <w:i/>
        </w:rPr>
        <w:t xml:space="preserve">74816, 17 </w:t>
      </w:r>
      <w:r>
        <w:rPr>
          <w:i/>
          <w:lang w:val="en-US"/>
        </w:rPr>
        <w:t>March</w:t>
      </w:r>
      <w:r w:rsidRPr="000125B2">
        <w:rPr>
          <w:i/>
        </w:rPr>
        <w:t xml:space="preserve"> 1987</w:t>
      </w:r>
    </w:p>
    <w:p w:rsidR="00683333" w:rsidRDefault="00683333" w:rsidP="00683333">
      <w:pPr>
        <w:rPr>
          <w:i/>
        </w:rPr>
      </w:pPr>
    </w:p>
    <w:p w:rsidR="00683333" w:rsidRDefault="00683333" w:rsidP="00683333">
      <w:pPr>
        <w:tabs>
          <w:tab w:val="clear" w:pos="567"/>
          <w:tab w:val="clear" w:pos="1134"/>
          <w:tab w:val="clear" w:pos="1701"/>
          <w:tab w:val="clear" w:pos="2268"/>
          <w:tab w:val="clear" w:pos="6237"/>
        </w:tabs>
        <w:autoSpaceDE w:val="0"/>
        <w:autoSpaceDN w:val="0"/>
        <w:adjustRightInd w:val="0"/>
        <w:ind w:left="567" w:hanging="567"/>
        <w:rPr>
          <w:b/>
          <w:szCs w:val="24"/>
        </w:rPr>
      </w:pPr>
      <w:r w:rsidRPr="00225540">
        <w:rPr>
          <w:b/>
        </w:rPr>
        <w:t>5.</w:t>
      </w:r>
      <w:r w:rsidRPr="00225540">
        <w:rPr>
          <w:b/>
          <w:lang w:val="en-US"/>
        </w:rPr>
        <w:t>g</w:t>
      </w:r>
      <w:r>
        <w:t xml:space="preserve"> </w:t>
      </w:r>
      <w:r>
        <w:tab/>
      </w:r>
      <w:r>
        <w:rPr>
          <w:b/>
          <w:szCs w:val="24"/>
        </w:rPr>
        <w:t>М</w:t>
      </w:r>
      <w:r w:rsidRPr="00225540">
        <w:rPr>
          <w:b/>
          <w:szCs w:val="24"/>
        </w:rPr>
        <w:t>еры, принятые правительством в целях</w:t>
      </w:r>
      <w:r>
        <w:rPr>
          <w:b/>
          <w:szCs w:val="24"/>
        </w:rPr>
        <w:t xml:space="preserve"> </w:t>
      </w:r>
      <w:r w:rsidRPr="00225540">
        <w:rPr>
          <w:b/>
          <w:szCs w:val="24"/>
        </w:rPr>
        <w:t>предупреждения и лечения эпидемических, эндемических, профессиональных и иных</w:t>
      </w:r>
      <w:r>
        <w:rPr>
          <w:b/>
          <w:szCs w:val="24"/>
        </w:rPr>
        <w:t xml:space="preserve"> заболеваний </w:t>
      </w:r>
      <w:r w:rsidRPr="00225540">
        <w:rPr>
          <w:b/>
          <w:szCs w:val="24"/>
        </w:rPr>
        <w:t>и борьбы с ними</w:t>
      </w:r>
    </w:p>
    <w:p w:rsidR="00683333" w:rsidRDefault="00683333" w:rsidP="00683333">
      <w:pPr>
        <w:rPr>
          <w:b/>
          <w:szCs w:val="24"/>
        </w:rPr>
      </w:pPr>
    </w:p>
    <w:p w:rsidR="00683333" w:rsidRDefault="00683333" w:rsidP="00683333">
      <w:r>
        <w:t>826.</w:t>
      </w:r>
      <w:r>
        <w:tab/>
        <w:t xml:space="preserve">Способность государства реагировать на эпидемии, в частности во времена катастроф и стихийных бедствий, значительно улучшилась с созданием </w:t>
      </w:r>
      <w:r w:rsidRPr="005A738A">
        <w:rPr>
          <w:i/>
        </w:rPr>
        <w:t>Национальной системы эпидемиологического надзора</w:t>
      </w:r>
      <w:r>
        <w:t xml:space="preserve"> (НСЭН), которая осуществляет свою деятельность через сеть 15 региональных медицинских учреждений, именуемых </w:t>
      </w:r>
      <w:r>
        <w:rPr>
          <w:i/>
        </w:rPr>
        <w:t>Р</w:t>
      </w:r>
      <w:r w:rsidRPr="005A738A">
        <w:rPr>
          <w:i/>
        </w:rPr>
        <w:t>егиональны</w:t>
      </w:r>
      <w:r>
        <w:rPr>
          <w:i/>
        </w:rPr>
        <w:t>ми</w:t>
      </w:r>
      <w:r w:rsidRPr="005A738A">
        <w:rPr>
          <w:i/>
        </w:rPr>
        <w:t xml:space="preserve"> центр</w:t>
      </w:r>
      <w:r>
        <w:rPr>
          <w:i/>
        </w:rPr>
        <w:t>ами</w:t>
      </w:r>
      <w:r w:rsidRPr="005A738A">
        <w:rPr>
          <w:i/>
        </w:rPr>
        <w:t xml:space="preserve"> эпидемиологического надзора</w:t>
      </w:r>
      <w:r>
        <w:t>.  В рамках этой системы ведется наблюдение за случаями 14 инфекционных эпидемических заболеваний, включая, в том числе, холеру, тиф, гепатит, денге, малярию, корь.  Система действует во всех регионах страны, а мониторинг осуществляется в выборочных больницах (контрольных пунктах) по всей стране.  Контролирующий персонал проводит ежедневные посещения этих больниц и беседует с пациентами.  Регистрируются только данные о случаях, подпадающих под установленные в системе определения.  Поскольку системой охватываются только те случаи заболеваний, лечение которых ведется в контрольных пунктах, данные системы позволяют судить скорее о тенденциях, а не о фактическом уровне заболеваемости.  Система также позволяет своевременно выявлять вспышки эпидемий.</w:t>
      </w:r>
    </w:p>
    <w:p w:rsidR="00683333" w:rsidRDefault="00683333" w:rsidP="00683333"/>
    <w:p w:rsidR="00683333" w:rsidRDefault="00683333" w:rsidP="00683333">
      <w:r>
        <w:t>827.</w:t>
      </w:r>
      <w:r>
        <w:tab/>
        <w:t>Для того, чтобы местный медицинский персонал имел возможности адекватно реагировать на вспышки эпидемий на своем уровне, МЗ разработало и регулярно проводит  курсы подготовки по основам эпидемиологии и наблюдения.</w:t>
      </w:r>
    </w:p>
    <w:p w:rsidR="00683333" w:rsidRDefault="00683333" w:rsidP="00683333"/>
    <w:p w:rsidR="00683333" w:rsidRDefault="00683333" w:rsidP="00683333">
      <w:r>
        <w:t>828.</w:t>
      </w:r>
      <w:r>
        <w:tab/>
        <w:t>Под эгидой МЗ также действует Научно-исследовательский институт тропических болезней (НИИТБ), являющийся головным органом по исследованию инфекционных и тропических болезней.  Его основная функция состоит из двух элементов – проводить научные исследования в целях предотвращения, диагностирования и лечения основных тропических болезней и разрабатывать вакцины для борьбы с предотвратимыми заболеваниями.</w:t>
      </w:r>
    </w:p>
    <w:p w:rsidR="00683333" w:rsidRDefault="00683333" w:rsidP="00683333"/>
    <w:p w:rsidR="00683333" w:rsidRDefault="00683333" w:rsidP="00683333">
      <w:r>
        <w:t>829.</w:t>
      </w:r>
      <w:r>
        <w:tab/>
        <w:t>НИИТБ оборудован необходимыми техническими средствами для проведения полноценных и надежных научных исследований.  Кроме того, он обладает техническими средствами для осуществления различных видов исследовательской деятельности.</w:t>
      </w:r>
    </w:p>
    <w:p w:rsidR="00E120B8" w:rsidRDefault="00E120B8" w:rsidP="00E120B8"/>
    <w:p w:rsidR="00E120B8" w:rsidRDefault="00E120B8" w:rsidP="00E120B8">
      <w:pPr>
        <w:rPr>
          <w:szCs w:val="24"/>
        </w:rPr>
      </w:pPr>
      <w:r w:rsidRPr="0018417C">
        <w:rPr>
          <w:szCs w:val="24"/>
        </w:rPr>
        <w:t>830.</w:t>
      </w:r>
      <w:r w:rsidRPr="0018417C">
        <w:rPr>
          <w:szCs w:val="24"/>
        </w:rPr>
        <w:tab/>
      </w:r>
      <w:r>
        <w:rPr>
          <w:szCs w:val="24"/>
        </w:rPr>
        <w:t>Руководствуясь стремлением государства к экономической независимости в области вакцинации, НИИТВ занимается строительством предприятия по производству вакцин, проект которого разрабатывался с учетом новейших технологических достижений в области производства и упаковки вакцин для местного использования.  В рамках этого проекта предусмотрено создание центра по исследованиям и разработкам, в задачу которого входит ускорение развития биотехнологии на Филиппинах, в целях использования местного сырья для производства вакцин.</w:t>
      </w:r>
    </w:p>
    <w:p w:rsidR="00E120B8" w:rsidRDefault="00E120B8" w:rsidP="00E120B8">
      <w:pPr>
        <w:rPr>
          <w:szCs w:val="24"/>
        </w:rPr>
      </w:pPr>
    </w:p>
    <w:p w:rsidR="00E120B8" w:rsidRDefault="00E120B8" w:rsidP="00E120B8">
      <w:r>
        <w:t>831.</w:t>
      </w:r>
      <w:r>
        <w:tab/>
        <w:t xml:space="preserve">МЗ возобновило борьбу против туберкулеза в стране, создав </w:t>
      </w:r>
      <w:r w:rsidRPr="003F1093">
        <w:rPr>
          <w:i/>
        </w:rPr>
        <w:t>Национальную программу борьбы с туберкулезом.</w:t>
      </w:r>
      <w:r>
        <w:t xml:space="preserve">  Кроме того, МЗ инициировало совместный проект с</w:t>
      </w:r>
      <w:r w:rsidR="00BB5C57">
        <w:t> </w:t>
      </w:r>
      <w:r>
        <w:t xml:space="preserve">правительством Японии в целях повышения эффективности борьбы с туберкулезом в стране, в рамках которого была создана </w:t>
      </w:r>
      <w:r w:rsidRPr="0059303D">
        <w:rPr>
          <w:i/>
        </w:rPr>
        <w:t>Национальная лаборатория по проблеме туберкулеза</w:t>
      </w:r>
      <w:r>
        <w:t xml:space="preserve"> (НЛТ).</w:t>
      </w:r>
    </w:p>
    <w:p w:rsidR="00E120B8" w:rsidRDefault="00E120B8" w:rsidP="00E120B8"/>
    <w:p w:rsidR="00E120B8" w:rsidRDefault="00E120B8" w:rsidP="00E120B8">
      <w:r>
        <w:t>832.</w:t>
      </w:r>
      <w:r>
        <w:tab/>
        <w:t>С 1996 года МЗ использует систему своевременного оповещения общин об угрозе возникновения лихорадки денге в целях быстрого принятия ими надлежащих мер.  Такое оповещение включает предупреждение о возможной опасности, предупреждение о природном очаге заболевания и предупреждение о возникновении эпидемии.</w:t>
      </w:r>
    </w:p>
    <w:p w:rsidR="00E120B8" w:rsidRDefault="00E120B8" w:rsidP="00E120B8"/>
    <w:p w:rsidR="00E120B8" w:rsidRDefault="00E120B8" w:rsidP="00E120B8">
      <w:r>
        <w:t>833.</w:t>
      </w:r>
      <w:r>
        <w:tab/>
        <w:t xml:space="preserve">В 1999 году Национальному центру по предупреждению заболеваний и борьбе с ними (НЦПЗ) было поручено возглавить и координировать усилия правительства по предупреждению заболеваний и борьбе с ними. </w:t>
      </w:r>
    </w:p>
    <w:p w:rsidR="00E120B8" w:rsidRDefault="00E120B8" w:rsidP="00E120B8"/>
    <w:p w:rsidR="00E120B8" w:rsidRDefault="00CE23AC" w:rsidP="00E120B8">
      <w:pPr>
        <w:ind w:left="567" w:hanging="567"/>
        <w:rPr>
          <w:b/>
        </w:rPr>
      </w:pPr>
      <w:r>
        <w:rPr>
          <w:b/>
        </w:rPr>
        <w:br w:type="page"/>
      </w:r>
      <w:r w:rsidR="00E120B8" w:rsidRPr="00896431">
        <w:rPr>
          <w:b/>
        </w:rPr>
        <w:t>5.</w:t>
      </w:r>
      <w:r w:rsidR="00E120B8" w:rsidRPr="00896431">
        <w:rPr>
          <w:b/>
          <w:lang w:val="en-US"/>
        </w:rPr>
        <w:t>h</w:t>
      </w:r>
      <w:r w:rsidR="00E120B8">
        <w:rPr>
          <w:b/>
        </w:rPr>
        <w:tab/>
      </w:r>
      <w:r w:rsidR="00E120B8" w:rsidRPr="00896431">
        <w:rPr>
          <w:b/>
        </w:rPr>
        <w:t>Меры, принимаемые правительством для</w:t>
      </w:r>
      <w:r w:rsidR="00E120B8">
        <w:rPr>
          <w:b/>
        </w:rPr>
        <w:t xml:space="preserve"> всеобщего</w:t>
      </w:r>
      <w:r w:rsidR="00E120B8" w:rsidRPr="00896431">
        <w:rPr>
          <w:b/>
        </w:rPr>
        <w:t xml:space="preserve"> обеспечения медицинского обслуживания и ухода в случае болезни</w:t>
      </w:r>
    </w:p>
    <w:p w:rsidR="00E120B8" w:rsidRDefault="00E120B8" w:rsidP="00E120B8">
      <w:pPr>
        <w:rPr>
          <w:b/>
        </w:rPr>
      </w:pPr>
    </w:p>
    <w:p w:rsidR="00E120B8" w:rsidRDefault="00E120B8" w:rsidP="00E120B8">
      <w:r>
        <w:t>834.</w:t>
      </w:r>
      <w:r>
        <w:tab/>
        <w:t>Медицинские услуги предоставляются сетью больниц, сельских медицинских учреждений и медпунктов барангаев, деятельность которых обеспечивается правительством.</w:t>
      </w:r>
    </w:p>
    <w:p w:rsidR="00E120B8" w:rsidRDefault="00E120B8" w:rsidP="00E120B8"/>
    <w:p w:rsidR="00E120B8" w:rsidRDefault="00E120B8" w:rsidP="00E120B8">
      <w:pPr>
        <w:tabs>
          <w:tab w:val="clear" w:pos="567"/>
          <w:tab w:val="clear" w:pos="1134"/>
          <w:tab w:val="clear" w:pos="1701"/>
          <w:tab w:val="clear" w:pos="2268"/>
          <w:tab w:val="clear" w:pos="6237"/>
          <w:tab w:val="left" w:pos="1496"/>
        </w:tabs>
        <w:autoSpaceDE w:val="0"/>
        <w:autoSpaceDN w:val="0"/>
        <w:adjustRightInd w:val="0"/>
        <w:ind w:left="1496" w:hanging="1496"/>
        <w:rPr>
          <w:b/>
          <w:szCs w:val="24"/>
        </w:rPr>
      </w:pPr>
      <w:r w:rsidRPr="00EC30BC">
        <w:rPr>
          <w:b/>
        </w:rPr>
        <w:t>Вопрос № 6.</w:t>
      </w:r>
      <w:r>
        <w:rPr>
          <w:b/>
        </w:rPr>
        <w:tab/>
      </w:r>
      <w:r w:rsidRPr="00EC30BC">
        <w:rPr>
          <w:b/>
          <w:szCs w:val="24"/>
        </w:rPr>
        <w:t xml:space="preserve">Меры, принятые </w:t>
      </w:r>
      <w:r>
        <w:rPr>
          <w:b/>
          <w:szCs w:val="24"/>
        </w:rPr>
        <w:t xml:space="preserve">правительством </w:t>
      </w:r>
      <w:r w:rsidRPr="00EC30BC">
        <w:rPr>
          <w:b/>
          <w:szCs w:val="24"/>
        </w:rPr>
        <w:t xml:space="preserve">для обеспечения того, чтобы </w:t>
      </w:r>
      <w:r>
        <w:rPr>
          <w:b/>
          <w:szCs w:val="24"/>
        </w:rPr>
        <w:t>увеличение</w:t>
      </w:r>
      <w:r w:rsidRPr="00EC30BC">
        <w:rPr>
          <w:b/>
          <w:szCs w:val="24"/>
        </w:rPr>
        <w:t xml:space="preserve"> расход</w:t>
      </w:r>
      <w:r>
        <w:rPr>
          <w:b/>
          <w:szCs w:val="24"/>
        </w:rPr>
        <w:t>ов</w:t>
      </w:r>
      <w:r w:rsidRPr="00EC30BC">
        <w:rPr>
          <w:b/>
          <w:szCs w:val="24"/>
        </w:rPr>
        <w:t xml:space="preserve"> на </w:t>
      </w:r>
      <w:r>
        <w:rPr>
          <w:b/>
          <w:szCs w:val="24"/>
        </w:rPr>
        <w:t xml:space="preserve">медицинское обслуживание </w:t>
      </w:r>
      <w:r w:rsidRPr="00EC30BC">
        <w:rPr>
          <w:b/>
          <w:szCs w:val="24"/>
        </w:rPr>
        <w:t>лиц пожилого возраста не прив</w:t>
      </w:r>
      <w:r>
        <w:rPr>
          <w:b/>
          <w:szCs w:val="24"/>
        </w:rPr>
        <w:t>одило</w:t>
      </w:r>
      <w:r w:rsidRPr="00EC30BC">
        <w:rPr>
          <w:b/>
          <w:szCs w:val="24"/>
        </w:rPr>
        <w:t xml:space="preserve"> к нарушению права этих лиц на зд</w:t>
      </w:r>
      <w:r>
        <w:rPr>
          <w:b/>
          <w:szCs w:val="24"/>
        </w:rPr>
        <w:t>о</w:t>
      </w:r>
      <w:r w:rsidRPr="00EC30BC">
        <w:rPr>
          <w:b/>
          <w:szCs w:val="24"/>
        </w:rPr>
        <w:t>р</w:t>
      </w:r>
      <w:r>
        <w:rPr>
          <w:b/>
          <w:szCs w:val="24"/>
        </w:rPr>
        <w:t>о</w:t>
      </w:r>
      <w:r w:rsidRPr="00EC30BC">
        <w:rPr>
          <w:b/>
          <w:szCs w:val="24"/>
        </w:rPr>
        <w:t>в</w:t>
      </w:r>
      <w:r>
        <w:rPr>
          <w:b/>
          <w:szCs w:val="24"/>
        </w:rPr>
        <w:t>ье</w:t>
      </w:r>
    </w:p>
    <w:p w:rsidR="00E120B8" w:rsidRDefault="00E120B8" w:rsidP="00E120B8">
      <w:pPr>
        <w:tabs>
          <w:tab w:val="clear" w:pos="567"/>
          <w:tab w:val="clear" w:pos="1134"/>
          <w:tab w:val="clear" w:pos="1701"/>
          <w:tab w:val="clear" w:pos="2268"/>
          <w:tab w:val="clear" w:pos="6237"/>
        </w:tabs>
        <w:autoSpaceDE w:val="0"/>
        <w:autoSpaceDN w:val="0"/>
        <w:adjustRightInd w:val="0"/>
        <w:rPr>
          <w:b/>
          <w:szCs w:val="24"/>
        </w:rPr>
      </w:pPr>
    </w:p>
    <w:p w:rsidR="00E120B8" w:rsidRDefault="00E120B8" w:rsidP="00E120B8">
      <w:pPr>
        <w:tabs>
          <w:tab w:val="clear" w:pos="567"/>
          <w:tab w:val="clear" w:pos="1134"/>
          <w:tab w:val="clear" w:pos="1701"/>
          <w:tab w:val="clear" w:pos="2268"/>
          <w:tab w:val="clear" w:pos="6237"/>
        </w:tabs>
        <w:autoSpaceDE w:val="0"/>
        <w:autoSpaceDN w:val="0"/>
        <w:adjustRightInd w:val="0"/>
      </w:pPr>
      <w:r>
        <w:t>835.</w:t>
      </w:r>
      <w:r>
        <w:tab/>
        <w:t xml:space="preserve">Республиканский закон № 7876, известный как </w:t>
      </w:r>
      <w:r w:rsidRPr="00A00180">
        <w:rPr>
          <w:i/>
        </w:rPr>
        <w:t>Закон о филиппинском центре для лиц старшего возраста</w:t>
      </w:r>
      <w:r>
        <w:t xml:space="preserve">, с внесенными на основании РЗ 9257 изменениями предусматривает, что пожилые граждане, к которым относятся лица старше 60 лет, имеют следующие права:  а)  право на бесплатную медицинскую и стоматологическую помощь, диагностическое и лабораторное обслуживание во всех государственных медицинских учреждениях;  </w:t>
      </w:r>
      <w:r>
        <w:rPr>
          <w:lang w:val="en-US"/>
        </w:rPr>
        <w:t>b</w:t>
      </w:r>
      <w:r>
        <w:t>)  право на 20</w:t>
      </w:r>
      <w:r>
        <w:noBreakHyphen/>
        <w:t>процентную скидку на медицинские и стоматологические услуги, диагностическое и лабораторное обслуживание, включая посещение врачей во всех частных клиниках и медицинских учреждениях;  и  с)  право на 20-процентную скидку при приобретении лекарственных препаратов во всех медицинских учреждениях</w:t>
      </w:r>
      <w:r>
        <w:rPr>
          <w:rStyle w:val="FootnoteReference"/>
        </w:rPr>
        <w:footnoteReference w:id="50"/>
      </w:r>
      <w:r>
        <w:t>.</w:t>
      </w:r>
    </w:p>
    <w:p w:rsidR="00E120B8" w:rsidRDefault="00E120B8" w:rsidP="00E120B8">
      <w:pPr>
        <w:tabs>
          <w:tab w:val="clear" w:pos="567"/>
          <w:tab w:val="clear" w:pos="1134"/>
          <w:tab w:val="clear" w:pos="1701"/>
          <w:tab w:val="clear" w:pos="2268"/>
          <w:tab w:val="clear" w:pos="6237"/>
        </w:tabs>
        <w:autoSpaceDE w:val="0"/>
        <w:autoSpaceDN w:val="0"/>
        <w:adjustRightInd w:val="0"/>
      </w:pPr>
    </w:p>
    <w:p w:rsidR="00E120B8" w:rsidRDefault="00E120B8" w:rsidP="00E120B8">
      <w:pPr>
        <w:tabs>
          <w:tab w:val="clear" w:pos="567"/>
          <w:tab w:val="clear" w:pos="1134"/>
          <w:tab w:val="clear" w:pos="1701"/>
          <w:tab w:val="clear" w:pos="2268"/>
          <w:tab w:val="clear" w:pos="6237"/>
          <w:tab w:val="left" w:pos="1496"/>
        </w:tabs>
        <w:autoSpaceDE w:val="0"/>
        <w:autoSpaceDN w:val="0"/>
        <w:adjustRightInd w:val="0"/>
        <w:ind w:left="1496" w:hanging="1496"/>
        <w:rPr>
          <w:b/>
          <w:szCs w:val="24"/>
        </w:rPr>
      </w:pPr>
      <w:r w:rsidRPr="00DC5230">
        <w:rPr>
          <w:b/>
        </w:rPr>
        <w:t>Вопрос № 7.</w:t>
      </w:r>
      <w:r>
        <w:rPr>
          <w:b/>
        </w:rPr>
        <w:tab/>
      </w:r>
      <w:r>
        <w:rPr>
          <w:b/>
          <w:szCs w:val="24"/>
        </w:rPr>
        <w:t>М</w:t>
      </w:r>
      <w:r w:rsidRPr="00DC5230">
        <w:rPr>
          <w:b/>
          <w:szCs w:val="24"/>
        </w:rPr>
        <w:t>еры</w:t>
      </w:r>
      <w:r>
        <w:rPr>
          <w:b/>
          <w:szCs w:val="24"/>
        </w:rPr>
        <w:t xml:space="preserve"> по </w:t>
      </w:r>
      <w:r w:rsidRPr="00DC5230">
        <w:rPr>
          <w:b/>
          <w:szCs w:val="24"/>
        </w:rPr>
        <w:t>обеспечени</w:t>
      </w:r>
      <w:r>
        <w:rPr>
          <w:b/>
          <w:szCs w:val="24"/>
        </w:rPr>
        <w:t>ю</w:t>
      </w:r>
      <w:r w:rsidRPr="00DC5230">
        <w:rPr>
          <w:b/>
          <w:szCs w:val="24"/>
        </w:rPr>
        <w:t xml:space="preserve"> максимального участия общ</w:t>
      </w:r>
      <w:r>
        <w:rPr>
          <w:b/>
          <w:szCs w:val="24"/>
        </w:rPr>
        <w:t xml:space="preserve">ин </w:t>
      </w:r>
      <w:r w:rsidRPr="00DC5230">
        <w:rPr>
          <w:b/>
          <w:szCs w:val="24"/>
        </w:rPr>
        <w:t>в планировании, организации, осуществлении первичной медико-санитарной помощи и контроля за ней</w:t>
      </w:r>
    </w:p>
    <w:p w:rsidR="00E120B8" w:rsidRDefault="00E120B8" w:rsidP="00E120B8">
      <w:pPr>
        <w:tabs>
          <w:tab w:val="clear" w:pos="567"/>
          <w:tab w:val="clear" w:pos="1134"/>
          <w:tab w:val="clear" w:pos="1701"/>
          <w:tab w:val="clear" w:pos="2268"/>
          <w:tab w:val="clear" w:pos="6237"/>
        </w:tabs>
        <w:autoSpaceDE w:val="0"/>
        <w:autoSpaceDN w:val="0"/>
        <w:adjustRightInd w:val="0"/>
        <w:rPr>
          <w:b/>
          <w:szCs w:val="24"/>
        </w:rPr>
      </w:pPr>
    </w:p>
    <w:p w:rsidR="00E120B8" w:rsidRDefault="00E120B8" w:rsidP="00E120B8">
      <w:pPr>
        <w:tabs>
          <w:tab w:val="clear" w:pos="567"/>
          <w:tab w:val="clear" w:pos="1134"/>
          <w:tab w:val="clear" w:pos="1701"/>
          <w:tab w:val="clear" w:pos="2268"/>
          <w:tab w:val="clear" w:pos="6237"/>
        </w:tabs>
        <w:autoSpaceDE w:val="0"/>
        <w:autoSpaceDN w:val="0"/>
        <w:adjustRightInd w:val="0"/>
        <w:rPr>
          <w:szCs w:val="24"/>
        </w:rPr>
      </w:pPr>
      <w:r>
        <w:rPr>
          <w:szCs w:val="24"/>
        </w:rPr>
        <w:t>836.</w:t>
      </w:r>
      <w:r>
        <w:rPr>
          <w:szCs w:val="24"/>
        </w:rPr>
        <w:tab/>
        <w:t>С принятием в 1991 году Кодекса местного самоуправления местные советы по вопросам здравоохранения (МСЗ) были уполномочены действовать в качестве основного механизма обеспечения более широкого участия общин в развитии здравоохранения на местах.  В состав МСЗ входят мэр в качестве председателя, муниципальный инспектор здравоохранения в качестве его заместителя, местный советник по вопросам здравоохранения, представитель МЗ и член неправительственной организации, занимающейся вопросами здравоохранения, который в МСЗ</w:t>
      </w:r>
      <w:r w:rsidRPr="001030F7">
        <w:rPr>
          <w:szCs w:val="24"/>
        </w:rPr>
        <w:t xml:space="preserve"> </w:t>
      </w:r>
      <w:r>
        <w:rPr>
          <w:szCs w:val="24"/>
        </w:rPr>
        <w:t>представляет общественность.  В качестве консультативных органов МСЗ отвечают за выработку предложений об объеме ежегодных бюджетных ассигнований на функционирование медицинских служб, выполняют роль консультативных комитетов при законодательном совете и создают консультативные комитеты по отбору персонала, мерам поощрения и дисциплины, ставкам и вознаграждениям, пересмотру бюджета и т.д.</w:t>
      </w:r>
    </w:p>
    <w:p w:rsidR="00C9594D" w:rsidRDefault="00C9594D" w:rsidP="00C9594D"/>
    <w:p w:rsidR="00C9594D" w:rsidRDefault="00C9594D" w:rsidP="00C9594D">
      <w:pPr>
        <w:tabs>
          <w:tab w:val="clear" w:pos="567"/>
          <w:tab w:val="clear" w:pos="1134"/>
          <w:tab w:val="clear" w:pos="1701"/>
          <w:tab w:val="clear" w:pos="2268"/>
          <w:tab w:val="clear" w:pos="6237"/>
        </w:tabs>
        <w:autoSpaceDE w:val="0"/>
        <w:autoSpaceDN w:val="0"/>
        <w:adjustRightInd w:val="0"/>
        <w:rPr>
          <w:szCs w:val="24"/>
        </w:rPr>
      </w:pPr>
      <w:r>
        <w:rPr>
          <w:szCs w:val="24"/>
        </w:rPr>
        <w:t>837.</w:t>
      </w:r>
      <w:r>
        <w:rPr>
          <w:szCs w:val="24"/>
        </w:rPr>
        <w:tab/>
        <w:t>Для поддержания усилий общин в области первичной медицинской помощи правительством был принят Подход на основе минимальных базовых потребностей (ПМП), предусматривающий оказание содействия общинам по четырем направлениям: 1)  социальная подготовка семей и общин;  2)  укрепление потенциала общинных добровольцев, руководителей и семей;</w:t>
      </w:r>
      <w:r w:rsidRPr="00D54BEF">
        <w:rPr>
          <w:szCs w:val="24"/>
        </w:rPr>
        <w:t xml:space="preserve"> </w:t>
      </w:r>
      <w:r>
        <w:rPr>
          <w:szCs w:val="24"/>
        </w:rPr>
        <w:t xml:space="preserve"> 3)</w:t>
      </w:r>
      <w:r w:rsidRPr="00D54BEF">
        <w:rPr>
          <w:szCs w:val="24"/>
        </w:rPr>
        <w:t xml:space="preserve"> </w:t>
      </w:r>
      <w:r>
        <w:rPr>
          <w:szCs w:val="24"/>
        </w:rPr>
        <w:t xml:space="preserve"> доступ к службам социального обеспечения;  и  4)  мониторинг и оценка.</w:t>
      </w:r>
    </w:p>
    <w:p w:rsidR="00C9594D" w:rsidRDefault="00C9594D" w:rsidP="00C9594D">
      <w:pPr>
        <w:tabs>
          <w:tab w:val="clear" w:pos="567"/>
          <w:tab w:val="clear" w:pos="1134"/>
          <w:tab w:val="clear" w:pos="1701"/>
          <w:tab w:val="clear" w:pos="2268"/>
          <w:tab w:val="clear" w:pos="6237"/>
        </w:tabs>
        <w:autoSpaceDE w:val="0"/>
        <w:autoSpaceDN w:val="0"/>
        <w:adjustRightInd w:val="0"/>
        <w:rPr>
          <w:szCs w:val="24"/>
        </w:rPr>
      </w:pPr>
    </w:p>
    <w:p w:rsidR="00C9594D" w:rsidRDefault="00C9594D" w:rsidP="00C9594D">
      <w:pPr>
        <w:tabs>
          <w:tab w:val="clear" w:pos="567"/>
          <w:tab w:val="clear" w:pos="1134"/>
          <w:tab w:val="clear" w:pos="1701"/>
          <w:tab w:val="clear" w:pos="2268"/>
          <w:tab w:val="clear" w:pos="6237"/>
        </w:tabs>
        <w:autoSpaceDE w:val="0"/>
        <w:autoSpaceDN w:val="0"/>
        <w:adjustRightInd w:val="0"/>
        <w:rPr>
          <w:szCs w:val="24"/>
        </w:rPr>
      </w:pPr>
      <w:r>
        <w:rPr>
          <w:szCs w:val="24"/>
        </w:rPr>
        <w:t>838.</w:t>
      </w:r>
      <w:r>
        <w:rPr>
          <w:szCs w:val="24"/>
        </w:rPr>
        <w:tab/>
        <w:t>Кроме того, Служба здравоохранения общин при МЗ определяет концепцию, разрабатывает и реализует компоненты пилотной программы, финансируемой за счет иностранных инвестиций, которая предусматривает участие общин в планировании и осуществлении проектов.</w:t>
      </w:r>
    </w:p>
    <w:p w:rsidR="00C9594D" w:rsidRDefault="00C9594D" w:rsidP="00C9594D">
      <w:pPr>
        <w:tabs>
          <w:tab w:val="clear" w:pos="567"/>
          <w:tab w:val="clear" w:pos="1134"/>
          <w:tab w:val="clear" w:pos="1701"/>
          <w:tab w:val="clear" w:pos="2268"/>
          <w:tab w:val="clear" w:pos="6237"/>
        </w:tabs>
        <w:autoSpaceDE w:val="0"/>
        <w:autoSpaceDN w:val="0"/>
        <w:adjustRightInd w:val="0"/>
        <w:rPr>
          <w:szCs w:val="24"/>
        </w:rPr>
      </w:pPr>
    </w:p>
    <w:p w:rsidR="00C9594D" w:rsidRDefault="00C9594D" w:rsidP="00C9594D">
      <w:pPr>
        <w:tabs>
          <w:tab w:val="clear" w:pos="567"/>
          <w:tab w:val="clear" w:pos="1134"/>
          <w:tab w:val="clear" w:pos="1701"/>
          <w:tab w:val="clear" w:pos="2268"/>
          <w:tab w:val="clear" w:pos="6237"/>
          <w:tab w:val="left" w:pos="1496"/>
        </w:tabs>
        <w:autoSpaceDE w:val="0"/>
        <w:autoSpaceDN w:val="0"/>
        <w:adjustRightInd w:val="0"/>
        <w:ind w:left="1496" w:hanging="1496"/>
        <w:rPr>
          <w:b/>
          <w:szCs w:val="24"/>
        </w:rPr>
      </w:pPr>
      <w:r w:rsidRPr="00A14079">
        <w:rPr>
          <w:b/>
          <w:szCs w:val="24"/>
        </w:rPr>
        <w:t>Вопрос № 8.</w:t>
      </w:r>
      <w:r>
        <w:rPr>
          <w:b/>
          <w:szCs w:val="24"/>
        </w:rPr>
        <w:tab/>
        <w:t xml:space="preserve">Просветительские </w:t>
      </w:r>
      <w:r w:rsidRPr="00A14079">
        <w:rPr>
          <w:b/>
          <w:szCs w:val="24"/>
        </w:rPr>
        <w:t xml:space="preserve">меры в области </w:t>
      </w:r>
      <w:r>
        <w:rPr>
          <w:b/>
          <w:szCs w:val="24"/>
        </w:rPr>
        <w:t>основных</w:t>
      </w:r>
      <w:r w:rsidRPr="00A14079">
        <w:rPr>
          <w:b/>
          <w:szCs w:val="24"/>
        </w:rPr>
        <w:t xml:space="preserve"> проблем здравоохранения, </w:t>
      </w:r>
      <w:r>
        <w:rPr>
          <w:b/>
          <w:szCs w:val="24"/>
        </w:rPr>
        <w:t xml:space="preserve">включая меры по их </w:t>
      </w:r>
      <w:r w:rsidRPr="00A14079">
        <w:rPr>
          <w:b/>
          <w:szCs w:val="24"/>
        </w:rPr>
        <w:t>предотвращени</w:t>
      </w:r>
      <w:r>
        <w:rPr>
          <w:b/>
          <w:szCs w:val="24"/>
        </w:rPr>
        <w:t>ю</w:t>
      </w:r>
      <w:r w:rsidRPr="00A14079">
        <w:rPr>
          <w:b/>
          <w:szCs w:val="24"/>
        </w:rPr>
        <w:t xml:space="preserve"> и решени</w:t>
      </w:r>
      <w:r>
        <w:rPr>
          <w:b/>
          <w:szCs w:val="24"/>
        </w:rPr>
        <w:t>ю</w:t>
      </w:r>
    </w:p>
    <w:p w:rsidR="00C9594D" w:rsidRDefault="00C9594D" w:rsidP="00C9594D">
      <w:pPr>
        <w:tabs>
          <w:tab w:val="clear" w:pos="567"/>
          <w:tab w:val="clear" w:pos="1134"/>
          <w:tab w:val="clear" w:pos="1701"/>
          <w:tab w:val="clear" w:pos="2268"/>
          <w:tab w:val="clear" w:pos="6237"/>
        </w:tabs>
        <w:autoSpaceDE w:val="0"/>
        <w:autoSpaceDN w:val="0"/>
        <w:adjustRightInd w:val="0"/>
        <w:rPr>
          <w:b/>
          <w:szCs w:val="24"/>
        </w:rPr>
      </w:pPr>
    </w:p>
    <w:p w:rsidR="00C9594D" w:rsidRDefault="00C9594D" w:rsidP="00C9594D">
      <w:pPr>
        <w:tabs>
          <w:tab w:val="clear" w:pos="567"/>
          <w:tab w:val="clear" w:pos="1134"/>
          <w:tab w:val="clear" w:pos="1701"/>
          <w:tab w:val="clear" w:pos="2268"/>
          <w:tab w:val="clear" w:pos="6237"/>
        </w:tabs>
        <w:autoSpaceDE w:val="0"/>
        <w:autoSpaceDN w:val="0"/>
        <w:adjustRightInd w:val="0"/>
      </w:pPr>
      <w:r>
        <w:t>839.</w:t>
      </w:r>
      <w:r>
        <w:tab/>
        <w:t xml:space="preserve">Просвещение широкой общественности в области здравоохранения населению в целом обеспечивается следующими способами:  а)  разработка, публикация и распространение пособий, информационных материалов и справочников по вопросам здоровья;  </w:t>
      </w:r>
      <w:r>
        <w:rPr>
          <w:lang w:val="en-US"/>
        </w:rPr>
        <w:t>b</w:t>
      </w:r>
      <w:r>
        <w:t xml:space="preserve">)  проведение информационно-разъяснительных кампаний на трех уровнях средств массовой информации;  с)  выступления работников системы здравоохранения на радио и телевидении;  </w:t>
      </w:r>
      <w:r>
        <w:rPr>
          <w:lang w:val="en-US"/>
        </w:rPr>
        <w:t>d</w:t>
      </w:r>
      <w:r>
        <w:t>)  распространение информации о здоровье в журналах и газетах;  е)  просвещение на местах.</w:t>
      </w:r>
    </w:p>
    <w:p w:rsidR="00C9594D" w:rsidRDefault="00C9594D" w:rsidP="00C9594D">
      <w:pPr>
        <w:tabs>
          <w:tab w:val="clear" w:pos="567"/>
          <w:tab w:val="clear" w:pos="1134"/>
          <w:tab w:val="clear" w:pos="1701"/>
          <w:tab w:val="clear" w:pos="2268"/>
          <w:tab w:val="clear" w:pos="6237"/>
        </w:tabs>
        <w:autoSpaceDE w:val="0"/>
        <w:autoSpaceDN w:val="0"/>
        <w:adjustRightInd w:val="0"/>
      </w:pPr>
    </w:p>
    <w:p w:rsidR="00C9594D" w:rsidRDefault="00C9594D" w:rsidP="00C9594D">
      <w:pPr>
        <w:tabs>
          <w:tab w:val="clear" w:pos="567"/>
          <w:tab w:val="clear" w:pos="1134"/>
          <w:tab w:val="clear" w:pos="1701"/>
          <w:tab w:val="clear" w:pos="2268"/>
          <w:tab w:val="clear" w:pos="6237"/>
        </w:tabs>
        <w:autoSpaceDE w:val="0"/>
        <w:autoSpaceDN w:val="0"/>
        <w:adjustRightInd w:val="0"/>
      </w:pPr>
      <w:r>
        <w:t>840.</w:t>
      </w:r>
      <w:r>
        <w:tab/>
        <w:t>Вспомогательные и просветительские материалы разрабатываются и включаются в соответствующие предметы в рамках программы начальных и средних школ.</w:t>
      </w:r>
    </w:p>
    <w:p w:rsidR="00C9594D" w:rsidRDefault="00C9594D" w:rsidP="00C9594D">
      <w:pPr>
        <w:tabs>
          <w:tab w:val="clear" w:pos="567"/>
          <w:tab w:val="clear" w:pos="1134"/>
          <w:tab w:val="clear" w:pos="1701"/>
          <w:tab w:val="clear" w:pos="2268"/>
          <w:tab w:val="clear" w:pos="6237"/>
        </w:tabs>
        <w:autoSpaceDE w:val="0"/>
        <w:autoSpaceDN w:val="0"/>
        <w:adjustRightInd w:val="0"/>
      </w:pPr>
    </w:p>
    <w:p w:rsidR="00C9594D" w:rsidRDefault="00C9594D" w:rsidP="00C9594D">
      <w:pPr>
        <w:tabs>
          <w:tab w:val="clear" w:pos="567"/>
          <w:tab w:val="clear" w:pos="1134"/>
          <w:tab w:val="clear" w:pos="1701"/>
          <w:tab w:val="clear" w:pos="2268"/>
          <w:tab w:val="clear" w:pos="6237"/>
        </w:tabs>
        <w:autoSpaceDE w:val="0"/>
        <w:autoSpaceDN w:val="0"/>
        <w:adjustRightInd w:val="0"/>
      </w:pPr>
      <w:r>
        <w:t>841.</w:t>
      </w:r>
      <w:r>
        <w:tab/>
        <w:t xml:space="preserve">В 1997 году было принято Административное постановление № 341, предусматривающее учреждение </w:t>
      </w:r>
      <w:r w:rsidRPr="00932382">
        <w:rPr>
          <w:i/>
        </w:rPr>
        <w:t>Филиппинской программы поощрения здорового образа жизни в здоровых городах</w:t>
      </w:r>
      <w:r>
        <w:rPr>
          <w:i/>
        </w:rPr>
        <w:t xml:space="preserve">, </w:t>
      </w:r>
      <w:r>
        <w:t xml:space="preserve">которая представляет собой комплексную стратегию поощрения здорового образа жизни, направленную на просвещение по вопросам здравоохранения и создание здоровой окружающей среды посредством пропаганды, создания объединений и действий на уровне общин.  </w:t>
      </w:r>
    </w:p>
    <w:p w:rsidR="00C9594D" w:rsidRDefault="00C9594D" w:rsidP="00C9594D">
      <w:pPr>
        <w:tabs>
          <w:tab w:val="clear" w:pos="567"/>
          <w:tab w:val="clear" w:pos="1134"/>
          <w:tab w:val="clear" w:pos="1701"/>
          <w:tab w:val="clear" w:pos="2268"/>
          <w:tab w:val="clear" w:pos="6237"/>
        </w:tabs>
        <w:autoSpaceDE w:val="0"/>
        <w:autoSpaceDN w:val="0"/>
        <w:adjustRightInd w:val="0"/>
      </w:pPr>
    </w:p>
    <w:p w:rsidR="00C9594D" w:rsidRDefault="00C9594D" w:rsidP="00C9594D">
      <w:pPr>
        <w:tabs>
          <w:tab w:val="clear" w:pos="567"/>
          <w:tab w:val="clear" w:pos="1134"/>
          <w:tab w:val="clear" w:pos="1701"/>
          <w:tab w:val="clear" w:pos="2268"/>
          <w:tab w:val="clear" w:pos="6237"/>
          <w:tab w:val="left" w:pos="1496"/>
        </w:tabs>
        <w:autoSpaceDE w:val="0"/>
        <w:autoSpaceDN w:val="0"/>
        <w:adjustRightInd w:val="0"/>
        <w:ind w:left="1496" w:hanging="1496"/>
        <w:rPr>
          <w:b/>
        </w:rPr>
      </w:pPr>
      <w:r w:rsidRPr="00536345">
        <w:rPr>
          <w:b/>
        </w:rPr>
        <w:t>Вопрос № 9.</w:t>
      </w:r>
      <w:r>
        <w:rPr>
          <w:b/>
        </w:rPr>
        <w:tab/>
      </w:r>
      <w:r w:rsidRPr="00536345">
        <w:rPr>
          <w:b/>
        </w:rPr>
        <w:t xml:space="preserve">Роль международной помощи </w:t>
      </w:r>
      <w:r>
        <w:rPr>
          <w:b/>
        </w:rPr>
        <w:t>в деле</w:t>
      </w:r>
      <w:r w:rsidRPr="00536345">
        <w:rPr>
          <w:b/>
        </w:rPr>
        <w:t xml:space="preserve"> полного осуществления права</w:t>
      </w:r>
      <w:r>
        <w:rPr>
          <w:b/>
        </w:rPr>
        <w:br/>
      </w:r>
      <w:r w:rsidRPr="00536345">
        <w:rPr>
          <w:b/>
        </w:rPr>
        <w:t>на здоровье</w:t>
      </w:r>
    </w:p>
    <w:p w:rsidR="00C9594D" w:rsidRDefault="00C9594D" w:rsidP="00C9594D">
      <w:pPr>
        <w:rPr>
          <w:b/>
        </w:rPr>
      </w:pPr>
    </w:p>
    <w:p w:rsidR="00C9594D" w:rsidRDefault="00C9594D" w:rsidP="00C9594D">
      <w:r>
        <w:t>842.</w:t>
      </w:r>
      <w:r>
        <w:tab/>
        <w:t>Правительство образовало партнерские группы с международными учреждениями, которые оказывают существенную финансовую помощь в деле поощрения здорового образа жизни, включая аспекты экологической и производственной гигиены.</w:t>
      </w:r>
    </w:p>
    <w:p w:rsidR="00C9594D" w:rsidRDefault="00C9594D" w:rsidP="00C9594D"/>
    <w:p w:rsidR="00C9594D" w:rsidRDefault="00C9594D" w:rsidP="00C9594D">
      <w:r>
        <w:t>843.</w:t>
      </w:r>
      <w:r>
        <w:tab/>
        <w:t xml:space="preserve">Совсем недавно осуществление проекта "Здоровье женщины и безопасное материнство" при содействии Всемирного банка привело к следующим результатам:  а)  в 70 сельских медпунктах (СМП) и 74 медпунктах в барангаях (МПБ) в 36 провинциях были отремонтированы и снабжены новой мебелью и оборудованием акушерские отделения;  </w:t>
      </w:r>
      <w:r>
        <w:rPr>
          <w:lang w:val="en-US"/>
        </w:rPr>
        <w:t>b</w:t>
      </w:r>
      <w:r>
        <w:t xml:space="preserve">)  профессиональную подготовку прошли 2 450 специалистов системы государственного здравоохранения, 26 координаторов проектов, 16 инструкторов по выявлению и диагностированию инфекций половых органов/болезней, передаваемых половым путем (ИПО/БПП), в десяти провинциях в Висайях и Минданао и медицинские работники в 70 СМП и 74 МПБ в 36 провинциях;  и  с)  в 36 провинциях было построено 10 клиник с диагностическим оборудованием занимающихся лечением ИПО/БПП. </w:t>
      </w:r>
    </w:p>
    <w:p w:rsidR="00C9594D" w:rsidRDefault="00C9594D" w:rsidP="00C9594D"/>
    <w:p w:rsidR="00C9594D" w:rsidRPr="00D16190" w:rsidRDefault="00C9594D" w:rsidP="00C9594D">
      <w:pPr>
        <w:rPr>
          <w:i/>
        </w:rPr>
      </w:pPr>
      <w:r w:rsidRPr="00D16190">
        <w:rPr>
          <w:i/>
        </w:rPr>
        <w:t>Проблемы и трудности</w:t>
      </w:r>
    </w:p>
    <w:p w:rsidR="00C9594D" w:rsidRDefault="00C9594D" w:rsidP="00C9594D">
      <w:pPr>
        <w:rPr>
          <w:b/>
          <w:u w:val="single"/>
        </w:rPr>
      </w:pPr>
    </w:p>
    <w:p w:rsidR="00C9594D" w:rsidRDefault="00C9594D" w:rsidP="00C9594D">
      <w:r>
        <w:t>844.</w:t>
      </w:r>
      <w:r>
        <w:tab/>
        <w:t>На протяжении последних двух десятилетий загрязнение воздуха остается нерешенной проблемой как в Метро Манила, так и в других крупных городских центрах.  По оценкам, содержащимся в докладе за 1992 год, 80% жителей Метро Манила и 31% жителей Метро Себу страдают от повышенного содержания твердых частиц в воздухе.  По прогнозам, объем выбросов загрязнителей воздуха (например, твердых частиц, оксида серы, оксида азота) будет расти в связи с расширением промышленной деятельности, увеличением перевозок и числа автомобилей на улицах, включая большое количество автомобилей коммунальных служб, сильно загрязняющих атмосферу.  Автомобильный транспорт является основным источником выбросов твердых частиц в атмосферу.  По данным ВОЗ за 1996 год, рост объема вредных выбросов в атмосферу стал одной из причин повышения числа заболеваний верхних дыхательных путей в таких крупных городах, как Метро Манила.</w:t>
      </w:r>
    </w:p>
    <w:p w:rsidR="00C9594D" w:rsidRDefault="00C9594D" w:rsidP="00C9594D"/>
    <w:p w:rsidR="00C9594D" w:rsidRDefault="00C9594D" w:rsidP="00C9594D">
      <w:r>
        <w:t>845.</w:t>
      </w:r>
      <w:r>
        <w:tab/>
        <w:t>Несмотря на высокий средний уровень осадков, обостряется проблема обеспечения пресной водой, обусловленная чрезмерным отбором подземных вод, загрязнением воды, деградацией лесов/водоразделов и сокращением водосборных площадей, а в ряде случаев и природным явлением "Эль</w:t>
      </w:r>
      <w:r w:rsidR="000B71E2">
        <w:t>-</w:t>
      </w:r>
      <w:r>
        <w:t>Ниньо".</w:t>
      </w:r>
    </w:p>
    <w:p w:rsidR="00C9594D" w:rsidRDefault="00C9594D" w:rsidP="00C9594D"/>
    <w:p w:rsidR="00C9594D" w:rsidRDefault="00C9594D" w:rsidP="00C9594D">
      <w:r>
        <w:t>846.</w:t>
      </w:r>
      <w:r>
        <w:tab/>
        <w:t>Проблемы водохозяйственного сектора включают неравномерное распределение водных ресурсов по регионам, исчерпание запасов подземных вод, особенно в Метро Манила и Метро Себу, неокупаемость инвестиций, низкий уровень институционального развития и неготовность потребителей платить за воду.</w:t>
      </w:r>
    </w:p>
    <w:p w:rsidR="00C9594D" w:rsidRDefault="00C9594D" w:rsidP="00C9594D"/>
    <w:p w:rsidR="00C9594D" w:rsidRDefault="00C9594D" w:rsidP="00C9594D">
      <w:r>
        <w:t>847.</w:t>
      </w:r>
      <w:r>
        <w:tab/>
        <w:t>Кроме того, налицо признаки загрязнения таких источников воды, как реки и озера во многих регионах страны.  В классификацию министерства окружающей среды и природных ресурсов уже включены около 457 водоемов, из которых, по оценкам 1996 года</w:t>
      </w:r>
      <w:r w:rsidRPr="00D54BEF">
        <w:t>,</w:t>
      </w:r>
      <w:r>
        <w:t xml:space="preserve"> около 51% пока еще удовлетворяют нормам качества воды.  Около 16 рек по всей стране признаны биологически "мертвыми" в засушливые месяцы.  Около половины (48%) источников загрязнения воды - это бытовые отходы, около трети (37%) - сельскохозяйственные отходы и 15% - промышленные выбросы.  Загрязнение рек, водотоков и озер приводит к загрязнению грунтовых и поверхностных вод, тем самым вызывая у населения заболевания, связанные с плохим качеством окружающей среды.  Загрязнение воды приводит к сокращению продуктивности многих водоемов.  Из</w:t>
      </w:r>
      <w:r>
        <w:noBreakHyphen/>
        <w:t>за высокой концентрации неорганических загрязнителей вода становится все более опасной для жизни.  В докладе ВОЗ за 1996 год отмечено увеличение уровня заболеваемости, особенно желудочно-кишечного тракта</w:t>
      </w:r>
      <w:r w:rsidRPr="00D54BEF">
        <w:t>,</w:t>
      </w:r>
      <w:r>
        <w:t xml:space="preserve"> с 502 в 1982 году до 5 151 на 1 000 000 человек.</w:t>
      </w:r>
    </w:p>
    <w:p w:rsidR="00C9594D" w:rsidRDefault="00C9594D" w:rsidP="00C9594D"/>
    <w:p w:rsidR="00C9594D" w:rsidRDefault="00C9594D" w:rsidP="00C9594D">
      <w:r>
        <w:t>848.</w:t>
      </w:r>
      <w:r>
        <w:tab/>
        <w:t xml:space="preserve">Производство твердых отходов в Метро Манила оценивается в 5 345 т в день.  К 2010 году ожидается увеличение этих показателей в два раза.  Из общего объема выбросов в Метро Манила собирается лишь около 65-75 %, а уровень рециркуляции оценивается в 13%.  От 25 до 35% отходов просто выбрасывается, особенно в реки и заливы.  Это представляет угрозу для здоровья населения и значительно повышает опасность затоплений.  </w:t>
      </w:r>
    </w:p>
    <w:p w:rsidR="00C9594D" w:rsidRDefault="00C9594D" w:rsidP="00C9594D"/>
    <w:p w:rsidR="00C9594D" w:rsidRDefault="00C9594D" w:rsidP="00C9594D">
      <w:r>
        <w:t>849.</w:t>
      </w:r>
      <w:r>
        <w:tab/>
        <w:t>В результате урбанизации неизбежно возросла интенсивность использования химикатов, что привело к увеличению числа инцидентов, вызванных химикатами, в частности выбросов аммония и хлора.  В настоящее время официально зарегистрировано лишь около 45% промышленных предприятий, использующих в своей деятельности такие химические элементы, как цианид, ртуть, асбест и вещества, истощающие озоновый слой.  Что касается полихлорированных бифенилов (ПБ), то только 25% предприятий прошли процесс инвентаризации.</w:t>
      </w:r>
    </w:p>
    <w:p w:rsidR="00C9594D" w:rsidRDefault="00C9594D" w:rsidP="00C9594D"/>
    <w:p w:rsidR="00C9594D" w:rsidRDefault="00C9594D" w:rsidP="00C9594D">
      <w:r>
        <w:t>850.</w:t>
      </w:r>
      <w:r>
        <w:tab/>
        <w:t xml:space="preserve">На основании результатов исследования, проведенного в 2001 году Агентством по координации связей с Японией, ежегодный объем опасных отходов на Филиппинах составляет около 273 000 тонн.  Кроме того, согласно оценкам, при наличии 5 000 потенциальных источников опасных отходов будет произведено еще около 2,51 млн. т таких отходов.  Исследование Азиатского банка в области отходов медицинских учреждений показало, что ежегодные объемы таких отходов составляют порядка 30 000 тонн.  </w:t>
      </w:r>
    </w:p>
    <w:p w:rsidR="00C9594D" w:rsidRDefault="00C9594D" w:rsidP="00C9594D"/>
    <w:p w:rsidR="00C9594D" w:rsidRDefault="00C9594D" w:rsidP="00C9594D">
      <w:r>
        <w:t>851.</w:t>
      </w:r>
      <w:r>
        <w:tab/>
        <w:t xml:space="preserve">В настоящее время в стране отсутствует единая система утилизации опасных отходов.  Вместе с тем существует около 95 малых и средних предприятий, занимающихся утилизацией опасных отходов.  В связи с отсутствием надлежащих систем очистки и мест захоронения отходов примерно 50 000 т опасных отходов накапливается на предприятиях и за их пределами.  Остальные опасные отходы вывозятся в другие страны для их утилизации и уничтожения (например, металлоносные отходы и растворители) и очистки (ПБ).  </w:t>
      </w:r>
    </w:p>
    <w:p w:rsidR="00C9594D" w:rsidRDefault="00C9594D" w:rsidP="00C9594D"/>
    <w:p w:rsidR="006768A9" w:rsidRDefault="006768A9" w:rsidP="006768A9">
      <w:pPr>
        <w:jc w:val="center"/>
        <w:rPr>
          <w:b/>
        </w:rPr>
      </w:pPr>
      <w:r>
        <w:rPr>
          <w:b/>
        </w:rPr>
        <w:t>Статья 13</w:t>
      </w:r>
    </w:p>
    <w:p w:rsidR="006768A9" w:rsidRDefault="006768A9" w:rsidP="006768A9">
      <w:pPr>
        <w:jc w:val="center"/>
        <w:rPr>
          <w:b/>
        </w:rPr>
      </w:pPr>
    </w:p>
    <w:p w:rsidR="006768A9" w:rsidRDefault="006768A9" w:rsidP="00D16190">
      <w:pPr>
        <w:rPr>
          <w:b/>
        </w:rPr>
      </w:pPr>
      <w:r>
        <w:rPr>
          <w:b/>
        </w:rPr>
        <w:t xml:space="preserve">Вопрос </w:t>
      </w:r>
      <w:r w:rsidR="00CE23AC">
        <w:rPr>
          <w:b/>
        </w:rPr>
        <w:t xml:space="preserve">№ </w:t>
      </w:r>
      <w:r>
        <w:rPr>
          <w:b/>
        </w:rPr>
        <w:t>1.</w:t>
      </w:r>
      <w:r w:rsidR="00D16190">
        <w:rPr>
          <w:b/>
        </w:rPr>
        <w:tab/>
      </w:r>
      <w:r>
        <w:rPr>
          <w:b/>
        </w:rPr>
        <w:t>Полное осуществление права на образование</w:t>
      </w:r>
    </w:p>
    <w:p w:rsidR="006768A9" w:rsidRDefault="006768A9" w:rsidP="006768A9">
      <w:pPr>
        <w:jc w:val="center"/>
        <w:rPr>
          <w:b/>
        </w:rPr>
      </w:pPr>
    </w:p>
    <w:p w:rsidR="006768A9" w:rsidRPr="00F71205" w:rsidRDefault="006768A9" w:rsidP="006768A9">
      <w:pPr>
        <w:rPr>
          <w:i/>
        </w:rPr>
      </w:pPr>
      <w:r w:rsidRPr="00F71205">
        <w:rPr>
          <w:i/>
        </w:rPr>
        <w:t>Общие положения</w:t>
      </w:r>
    </w:p>
    <w:p w:rsidR="006768A9" w:rsidRDefault="006768A9" w:rsidP="006768A9">
      <w:pPr>
        <w:rPr>
          <w:u w:val="single"/>
        </w:rPr>
      </w:pPr>
    </w:p>
    <w:p w:rsidR="006768A9" w:rsidRDefault="006768A9" w:rsidP="006768A9">
      <w:r w:rsidRPr="00966AC2">
        <w:t>852.</w:t>
      </w:r>
      <w:r w:rsidRPr="00966AC2">
        <w:tab/>
      </w:r>
      <w:r>
        <w:t>Базовое образование на Филиппинах - одно из самых коротких по продолжительности в Азиатско-Тихоокеанском регионе (шесть лет обучения в начальной и четыре года - в средней школе).  Как правило, ребенок начинает формальное обучение в начальной школе в возрасте шести лет.  Вместе с тем дети, получающие образование в частных учебных заведениях, проходят дошкольную подготовку начиная с трех лет.  В этой связи см. пункты 429-430 о дошкольном обучении в рамках системы ухода за детьми и их развития в раннем возрасте (УДРРВ).</w:t>
      </w:r>
    </w:p>
    <w:p w:rsidR="006768A9" w:rsidRDefault="006768A9" w:rsidP="006768A9"/>
    <w:p w:rsidR="006768A9" w:rsidRDefault="006768A9" w:rsidP="006768A9">
      <w:pPr>
        <w:rPr>
          <w:b/>
        </w:rPr>
      </w:pPr>
      <w:r>
        <w:rPr>
          <w:b/>
        </w:rPr>
        <w:t>1.а</w:t>
      </w:r>
      <w:r>
        <w:rPr>
          <w:b/>
        </w:rPr>
        <w:tab/>
        <w:t>Начальное образование</w:t>
      </w:r>
    </w:p>
    <w:p w:rsidR="006768A9" w:rsidRDefault="006768A9" w:rsidP="006768A9">
      <w:pPr>
        <w:rPr>
          <w:b/>
        </w:rPr>
      </w:pPr>
    </w:p>
    <w:p w:rsidR="006768A9" w:rsidRDefault="006768A9" w:rsidP="006768A9">
      <w:r>
        <w:t>853.</w:t>
      </w:r>
      <w:r>
        <w:tab/>
        <w:t xml:space="preserve">Статья 2 Главы </w:t>
      </w:r>
      <w:r>
        <w:rPr>
          <w:lang w:val="en-US"/>
        </w:rPr>
        <w:t>XIV</w:t>
      </w:r>
      <w:r>
        <w:t xml:space="preserve"> Конституции 1987 года предусматривает, что "государство создает и поддерживает систему бесплатного публичного образования на уровне начальной и средней школы.  Не ограничивая естественное право родителей на воспитание своих детей, начальное образование является обязательным для всех детей школьного возраста".</w:t>
      </w:r>
    </w:p>
    <w:p w:rsidR="006768A9" w:rsidRDefault="006768A9" w:rsidP="006768A9"/>
    <w:p w:rsidR="006768A9" w:rsidRDefault="006768A9" w:rsidP="006768A9">
      <w:r>
        <w:t>854.</w:t>
      </w:r>
      <w:r>
        <w:tab/>
        <w:t>Система образования Филиппин является одной из самых развитых в Азии и может по праву гордиться впечатляющими количественными показателями.  Всеобщее начальное образование в стране было введено еще в середине 1960-х годов.</w:t>
      </w:r>
    </w:p>
    <w:p w:rsidR="006768A9" w:rsidRDefault="006768A9" w:rsidP="006768A9"/>
    <w:p w:rsidR="006768A9" w:rsidRDefault="006768A9" w:rsidP="00CE23AC">
      <w:pPr>
        <w:keepNext/>
      </w:pPr>
      <w:r w:rsidRPr="000B5D7A">
        <w:rPr>
          <w:b/>
        </w:rPr>
        <w:t>1.</w:t>
      </w:r>
      <w:r>
        <w:rPr>
          <w:b/>
          <w:lang w:val="en-US"/>
        </w:rPr>
        <w:t>b</w:t>
      </w:r>
      <w:r w:rsidRPr="000B5D7A">
        <w:rPr>
          <w:b/>
        </w:rPr>
        <w:tab/>
      </w:r>
      <w:r>
        <w:rPr>
          <w:b/>
        </w:rPr>
        <w:t>Среднее образование</w:t>
      </w:r>
    </w:p>
    <w:p w:rsidR="006768A9" w:rsidRDefault="006768A9" w:rsidP="00CE23AC">
      <w:pPr>
        <w:keepNext/>
      </w:pPr>
    </w:p>
    <w:p w:rsidR="006768A9" w:rsidRDefault="006768A9" w:rsidP="006768A9">
      <w:r>
        <w:t>855.</w:t>
      </w:r>
      <w:r>
        <w:tab/>
        <w:t xml:space="preserve">Как и в случае начального образования, среднее образование является всеобщим и общедоступным.  Республиканский </w:t>
      </w:r>
      <w:r w:rsidR="00A4183A">
        <w:t>з</w:t>
      </w:r>
      <w:r>
        <w:t xml:space="preserve">акон № 6655, известный как </w:t>
      </w:r>
      <w:r>
        <w:rPr>
          <w:i/>
        </w:rPr>
        <w:t>Закон о бесплатном среднем образовании</w:t>
      </w:r>
      <w:r>
        <w:t>, объявляет в качестве одной из задач государства обеспечение бесплатного публичного среднего образования для всех учащихся, отвечающих соответствующим условиям.  В этом качестве учащиеся, зачисленные в средние школы, созданные, управляемые, поддерживаемые и финансируемые правительством, освобождаются от платы за обучение и от других школьных "сборов", за исключением "взносов, необходимых для обучения в школе, например, для получения удостоверения личности, участия в школьных кружках и приобретения печатных изданий".</w:t>
      </w:r>
    </w:p>
    <w:p w:rsidR="006768A9" w:rsidRDefault="006768A9" w:rsidP="006768A9"/>
    <w:p w:rsidR="006768A9" w:rsidRDefault="006768A9" w:rsidP="006768A9">
      <w:r>
        <w:t>856.</w:t>
      </w:r>
      <w:r>
        <w:tab/>
        <w:t>В зависимости от источников финансирования школы делятся на государственные и</w:t>
      </w:r>
      <w:r w:rsidR="00BB5C57">
        <w:t> </w:t>
      </w:r>
      <w:r>
        <w:t>частные.  И в тех и в других предлагается обучение по рассчитанной на четыре года общеобразовательной учебной программе (ОУП) средней школы.  Вместе с тем в некоторых школах существуют специальные и расширенные учебные программы;  в качестве примера можно привести региональные средние школы с научным уклоном, спортивные школы, школы с углубленным изучением искусств, науки и техники, а также профессионально-технические училища.  В них предлагается изучение предметов по дополнительной и/или факультативной программе с целью расширения общеобразовательной учебной программы (ОУП), а также развития у учащихся различных способностей/навыков</w:t>
      </w:r>
      <w:r>
        <w:rPr>
          <w:rStyle w:val="FootnoteReference"/>
        </w:rPr>
        <w:footnoteReference w:id="51"/>
      </w:r>
      <w:r>
        <w:t>.</w:t>
      </w:r>
    </w:p>
    <w:p w:rsidR="006768A9" w:rsidRDefault="006768A9" w:rsidP="006768A9"/>
    <w:p w:rsidR="006768A9" w:rsidRDefault="006768A9" w:rsidP="00CE23AC">
      <w:pPr>
        <w:keepNext/>
        <w:rPr>
          <w:b/>
        </w:rPr>
      </w:pPr>
      <w:r>
        <w:rPr>
          <w:b/>
        </w:rPr>
        <w:t>1.с</w:t>
      </w:r>
      <w:r>
        <w:rPr>
          <w:b/>
        </w:rPr>
        <w:tab/>
        <w:t>Высшее образование</w:t>
      </w:r>
    </w:p>
    <w:p w:rsidR="006768A9" w:rsidRDefault="006768A9" w:rsidP="006768A9">
      <w:pPr>
        <w:rPr>
          <w:b/>
        </w:rPr>
      </w:pPr>
    </w:p>
    <w:p w:rsidR="006768A9" w:rsidRDefault="006768A9" w:rsidP="006768A9">
      <w:r>
        <w:t>857.</w:t>
      </w:r>
      <w:r>
        <w:tab/>
        <w:t>Высшее образование на Филиппинах осуществляется частными и государственными высшими учебными заведениями.  Из 1 605 вузов страны 1 431 является частным, а 174 </w:t>
      </w:r>
      <w:r>
        <w:noBreakHyphen/>
        <w:t xml:space="preserve"> государственными.  Среднее число учащихся вузов за последние девять академических лет с 1994-1995 по 2002-2003 учебный год составило 2 222 395 человек.  По отношению к численности населения страны, оцениваемой в 88 млн. человек, учащиеся вузов составляют 2,8%.  Поскольку процент учащихся вузов на Филиппинах намного выше, чем во многих других странах, представляется, что доступ к высшему образованию является менее острой проблемой для Филиппин, чем для других стран.  Вместе с тем сама по себе численность учащихся еще не отражает всей полноты проблем, связанных с обеспечением равноправного доступа к высшему образованию.</w:t>
      </w:r>
    </w:p>
    <w:p w:rsidR="006768A9" w:rsidRDefault="006768A9" w:rsidP="006768A9"/>
    <w:p w:rsidR="006768A9" w:rsidRDefault="006768A9" w:rsidP="006768A9">
      <w:r>
        <w:t>858.</w:t>
      </w:r>
      <w:r>
        <w:tab/>
        <w:t>Объем расходов на цели высшего образования существенно увеличился, особенно за последние четыре десятилетия.  Стоимость университетского образования на одного студента составляет сегодня от 5 000 до 90 000 филиппинских песо (ФП) за учебный год.  Этот большой разрыв в цифрах объясняется разницей в качестве обучения, существующей между различными категориями высшего образования.</w:t>
      </w:r>
    </w:p>
    <w:p w:rsidR="006768A9" w:rsidRPr="006768A9" w:rsidRDefault="006768A9" w:rsidP="006768A9"/>
    <w:p w:rsidR="006768A9" w:rsidRDefault="006768A9" w:rsidP="006768A9">
      <w:r w:rsidRPr="00B76B35">
        <w:t>859.</w:t>
      </w:r>
      <w:r w:rsidRPr="00B76B35">
        <w:tab/>
      </w:r>
      <w:r>
        <w:t>Размер платы за обучение в различных учебных заведениях существенно варьируется.  (Курс или предмет в колледже, как правило, состоит из двух или трех лекционных циклов.  Один цикл занимает от 14 до 18 часов лекционного или классного времени.)  В некоторых государственных университетах стоимость одного цикла составляет 8,00 ФП, тогда как в некоторых престижных частных университетах она доходит до 1 млн. ФП.  В Филиппинском государственном университете (ФГУ) цикл лекций стоит 300,00 ФП.  К этому следует добавить субсидии, выделяемые правительством для того, чтобы ФГУ - первый по значению государственный университет в стране - обеспечивал качественное образование.</w:t>
      </w:r>
    </w:p>
    <w:p w:rsidR="006768A9" w:rsidRDefault="006768A9" w:rsidP="006768A9"/>
    <w:p w:rsidR="006768A9" w:rsidRDefault="006768A9" w:rsidP="006768A9">
      <w:r>
        <w:t>860.</w:t>
      </w:r>
      <w:r>
        <w:tab/>
        <w:t>Проблема стоимости высшего образования в определенной мере решается за счет государственных университетов и колледжей.  В стране насчитывается 111 государственных университетов и колледжей (ГУК), 56 местных университетов и колледжей (МУК), один вуз, курируемый КВО (КВУЗ), пять специальных высших учебных заведений (СВУЗ) и девять других правительственных школ (ДПШ), что, по состоянию на январь 2006 года, в общей сложности составляло 182 государственных высших учебных заведения.  Для сравнения следует отметить, что в стране существует 1 465 частных колледжей и университетов, деятельность которых целиком зависит от платы за обучение.</w:t>
      </w:r>
    </w:p>
    <w:p w:rsidR="006768A9" w:rsidRDefault="006768A9" w:rsidP="006768A9"/>
    <w:p w:rsidR="006768A9" w:rsidRDefault="006768A9" w:rsidP="006768A9">
      <w:r>
        <w:t>861.</w:t>
      </w:r>
      <w:r>
        <w:tab/>
        <w:t xml:space="preserve">ГУК являются государственными высшими учебными заведениями, которые создаются с разрешения властей и в соответствии с законом и управляются и финансируются правительством.  МУК учреждаются постановлениями и распоряжениями органов местного самоуправления, которые их и финансируют.  Курируемые КВО вузы - это учреждаемые без специального разрешения властей, но в соответствии с законом государственные учебные заведения послесреднего образования, которые управляются, контролируются и финансируются правительством.  ДПШ - это государственные учреждения среднего и послесреднего образования, как правило специализирующиеся на профессионально-техническом обучении по программам системы высшего образования.  Спецвузы непосредственно подчиняются учредившему их ведомству и обеспечивают специальную военную подготовку и подготовку специалистов в сфере национальной обороны.  </w:t>
      </w:r>
    </w:p>
    <w:p w:rsidR="006768A9" w:rsidRDefault="006768A9" w:rsidP="006768A9"/>
    <w:p w:rsidR="006768A9" w:rsidRDefault="006768A9" w:rsidP="006768A9">
      <w:r>
        <w:t>862.</w:t>
      </w:r>
      <w:r>
        <w:tab/>
        <w:t xml:space="preserve">Частные колледжи и университеты учреждаются в соответствии с положениями Кодекса и законов о корпорациях, и их деятельность регулируется специальными законами.  Светские школы целиком являются частью структуры частных учреждений, которые владеют и управляют ими, но не связаны с какой-либо религиозной организацией, а религиозные университеты и колледжи, как правило, являются неакционерными, некоммерческими учебными заведениями в рамках какой-либо религиозной организации, которая ими владеет и управляет.  </w:t>
      </w:r>
    </w:p>
    <w:p w:rsidR="006768A9" w:rsidRDefault="006768A9" w:rsidP="006768A9"/>
    <w:p w:rsidR="006768A9" w:rsidRDefault="006768A9" w:rsidP="006768A9">
      <w:pPr>
        <w:rPr>
          <w:b/>
        </w:rPr>
      </w:pPr>
      <w:r>
        <w:rPr>
          <w:b/>
        </w:rPr>
        <w:t>1.</w:t>
      </w:r>
      <w:r>
        <w:rPr>
          <w:b/>
          <w:lang w:val="en-US"/>
        </w:rPr>
        <w:t>d</w:t>
      </w:r>
      <w:r w:rsidRPr="00982BEC">
        <w:rPr>
          <w:b/>
        </w:rPr>
        <w:tab/>
      </w:r>
      <w:r>
        <w:rPr>
          <w:b/>
        </w:rPr>
        <w:t>Образование лиц, не получивших или не закончивших начальное образование</w:t>
      </w:r>
    </w:p>
    <w:p w:rsidR="006768A9" w:rsidRDefault="006768A9" w:rsidP="006768A9">
      <w:pPr>
        <w:rPr>
          <w:b/>
        </w:rPr>
      </w:pPr>
    </w:p>
    <w:p w:rsidR="006768A9" w:rsidRDefault="006768A9" w:rsidP="006768A9">
      <w:r>
        <w:t>863.</w:t>
      </w:r>
      <w:r>
        <w:tab/>
        <w:t>С учетом потребностей отдельных групп населения государство по линии министерства образования (Минобраз), Комиссии по делам высшего образования (КВО) и Управления по техническому образованию и развитию навыков (УТОРН)</w:t>
      </w:r>
      <w:r w:rsidRPr="00413855">
        <w:t xml:space="preserve"> </w:t>
      </w:r>
      <w:r>
        <w:t>предоставляет специальные услуги в области образования, включающие среди прочего следующее:</w:t>
      </w:r>
    </w:p>
    <w:p w:rsidR="006768A9" w:rsidRDefault="006768A9" w:rsidP="006768A9"/>
    <w:p w:rsidR="006768A9" w:rsidRDefault="006768A9" w:rsidP="006768A9">
      <w:r>
        <w:tab/>
      </w:r>
      <w:r>
        <w:rPr>
          <w:lang w:val="en-US"/>
        </w:rPr>
        <w:t>a</w:t>
      </w:r>
      <w:r w:rsidRPr="00497D2E">
        <w:t>)</w:t>
      </w:r>
      <w:r w:rsidRPr="00497D2E">
        <w:tab/>
      </w:r>
      <w:r>
        <w:rPr>
          <w:b/>
          <w:i/>
        </w:rPr>
        <w:t>неформальное образование</w:t>
      </w:r>
      <w:r>
        <w:t>, которое представляет собой любую форму организованной систематической педагогической деятельности, осуществляемой вне рамок формальной учебной системы в целях обеспечения определенного вида образования какой-либо категории населения;</w:t>
      </w:r>
    </w:p>
    <w:p w:rsidR="006768A9" w:rsidRDefault="006768A9" w:rsidP="006768A9">
      <w:pPr>
        <w:ind w:left="567" w:hanging="567"/>
      </w:pPr>
    </w:p>
    <w:p w:rsidR="006768A9" w:rsidRDefault="006768A9" w:rsidP="006768A9">
      <w:r w:rsidRPr="00497D2E">
        <w:tab/>
      </w:r>
      <w:r>
        <w:rPr>
          <w:lang w:val="en-US"/>
        </w:rPr>
        <w:t>b</w:t>
      </w:r>
      <w:r w:rsidRPr="00497D2E">
        <w:t>)</w:t>
      </w:r>
      <w:r w:rsidRPr="00497D2E">
        <w:tab/>
      </w:r>
      <w:r>
        <w:rPr>
          <w:b/>
          <w:i/>
        </w:rPr>
        <w:t>профессионально-техническое образование</w:t>
      </w:r>
      <w:r>
        <w:t>, которое представляет собой любую неспециализированную программу на уровне послесреднего образования, позволяющую приобрести профессиональные навыки.  См. пункты 147-156, касающиеся профессионально-технического образования и подготовки;</w:t>
      </w:r>
    </w:p>
    <w:p w:rsidR="006768A9" w:rsidRDefault="006768A9" w:rsidP="006768A9">
      <w:pPr>
        <w:ind w:left="567" w:hanging="567"/>
      </w:pPr>
    </w:p>
    <w:p w:rsidR="006768A9" w:rsidRDefault="006768A9" w:rsidP="006768A9">
      <w:r w:rsidRPr="00497D2E">
        <w:tab/>
      </w:r>
      <w:r>
        <w:rPr>
          <w:lang w:val="en-US"/>
        </w:rPr>
        <w:t>c</w:t>
      </w:r>
      <w:r w:rsidRPr="00497D2E">
        <w:t>)</w:t>
      </w:r>
      <w:r w:rsidRPr="00497D2E">
        <w:tab/>
      </w:r>
      <w:r>
        <w:rPr>
          <w:b/>
          <w:i/>
        </w:rPr>
        <w:t xml:space="preserve">трудовое воспитание </w:t>
      </w:r>
      <w:r w:rsidRPr="00CB74CD">
        <w:t>или освоение ремесла</w:t>
      </w:r>
      <w:r>
        <w:t>, которое обеспечивает базовое образование, нацеленное на развитие конкретных трудовых навыков;  и</w:t>
      </w:r>
    </w:p>
    <w:p w:rsidR="006768A9" w:rsidRDefault="006768A9" w:rsidP="006768A9">
      <w:pPr>
        <w:ind w:left="567" w:hanging="567"/>
      </w:pPr>
    </w:p>
    <w:p w:rsidR="006768A9" w:rsidRDefault="006768A9" w:rsidP="006768A9">
      <w:r w:rsidRPr="00497D2E">
        <w:tab/>
      </w:r>
      <w:r>
        <w:rPr>
          <w:lang w:val="en-US"/>
        </w:rPr>
        <w:t>d</w:t>
      </w:r>
      <w:r w:rsidRPr="00B76C70">
        <w:t>)</w:t>
      </w:r>
      <w:r w:rsidRPr="00B76C70">
        <w:tab/>
      </w:r>
      <w:r>
        <w:rPr>
          <w:b/>
          <w:i/>
        </w:rPr>
        <w:t>специальное образование</w:t>
      </w:r>
      <w:r>
        <w:t>, которое позволяет развить способности лиц с физической, умственной, эмоциональной, социальной или культурной неполноценностью, а также одаренных детей.  Пользователи этой формы образования обучаются по модифицированным учебным программам.</w:t>
      </w:r>
    </w:p>
    <w:p w:rsidR="006768A9" w:rsidRDefault="006768A9" w:rsidP="006768A9">
      <w:pPr>
        <w:ind w:left="567" w:hanging="567"/>
      </w:pPr>
    </w:p>
    <w:p w:rsidR="006768A9" w:rsidRDefault="006768A9" w:rsidP="006768A9">
      <w:pPr>
        <w:rPr>
          <w:b/>
        </w:rPr>
      </w:pPr>
      <w:r>
        <w:rPr>
          <w:b/>
        </w:rPr>
        <w:t>Вопрос № 2.  Трудности на пути осуществлении права на образование</w:t>
      </w:r>
    </w:p>
    <w:p w:rsidR="006768A9" w:rsidRDefault="006768A9" w:rsidP="006768A9">
      <w:pPr>
        <w:rPr>
          <w:b/>
        </w:rPr>
      </w:pPr>
    </w:p>
    <w:p w:rsidR="006768A9" w:rsidRDefault="006768A9" w:rsidP="006768A9">
      <w:r>
        <w:t>864.</w:t>
      </w:r>
      <w:r>
        <w:tab/>
        <w:t>Качество базового образования на Филиппинах постоянно ухудшается, что обусловлено последствиями быстрого ежегодного прироста населения, оцениваемого в 2,3%.  Государственная школьная система с трудом справляется с наплывом большого числа учащихся, особенно на уровне государственного среднего образования, в том числе из-за его бесплатного характера.  Жесткие бюджетные ограничения привели к сокращению капиталовложений в базовое образование.</w:t>
      </w:r>
    </w:p>
    <w:p w:rsidR="006768A9" w:rsidRDefault="006768A9" w:rsidP="006768A9"/>
    <w:p w:rsidR="006768A9" w:rsidRDefault="006768A9" w:rsidP="006768A9">
      <w:pPr>
        <w:rPr>
          <w:b/>
          <w:u w:val="single"/>
        </w:rPr>
      </w:pPr>
      <w:r>
        <w:rPr>
          <w:b/>
          <w:lang w:val="en-US"/>
        </w:rPr>
        <w:t>i</w:t>
      </w:r>
      <w:r w:rsidRPr="005A50C6">
        <w:rPr>
          <w:b/>
        </w:rPr>
        <w:t>.</w:t>
      </w:r>
      <w:r w:rsidRPr="005A50C6">
        <w:rPr>
          <w:b/>
        </w:rPr>
        <w:tab/>
      </w:r>
      <w:r w:rsidRPr="00F71205">
        <w:rPr>
          <w:b/>
        </w:rPr>
        <w:t>Начальное и среднее образование</w:t>
      </w:r>
    </w:p>
    <w:p w:rsidR="006768A9" w:rsidRDefault="006768A9" w:rsidP="006768A9">
      <w:pPr>
        <w:rPr>
          <w:b/>
          <w:u w:val="single"/>
        </w:rPr>
      </w:pPr>
    </w:p>
    <w:p w:rsidR="006768A9" w:rsidRDefault="006768A9" w:rsidP="006768A9">
      <w:r>
        <w:t>865.</w:t>
      </w:r>
      <w:r>
        <w:tab/>
        <w:t xml:space="preserve">Система начального и среднего образования, по мнению министерства образования, сталкивается со следующими трудностями.  </w:t>
      </w:r>
    </w:p>
    <w:p w:rsidR="006768A9" w:rsidRDefault="006768A9" w:rsidP="006768A9"/>
    <w:p w:rsidR="006768A9" w:rsidRPr="00F71205" w:rsidRDefault="006768A9" w:rsidP="006768A9">
      <w:pPr>
        <w:rPr>
          <w:i/>
        </w:rPr>
      </w:pPr>
      <w:r w:rsidRPr="00F71205">
        <w:rPr>
          <w:i/>
        </w:rPr>
        <w:t>Доступ к базовому образованию</w:t>
      </w:r>
    </w:p>
    <w:p w:rsidR="006768A9" w:rsidRDefault="006768A9" w:rsidP="006768A9">
      <w:pPr>
        <w:rPr>
          <w:u w:val="single"/>
        </w:rPr>
      </w:pPr>
    </w:p>
    <w:p w:rsidR="006768A9" w:rsidRDefault="006768A9" w:rsidP="006768A9">
      <w:r>
        <w:t>866.</w:t>
      </w:r>
      <w:r>
        <w:tab/>
        <w:t>В 2000 году в 4 569 </w:t>
      </w:r>
      <w:r>
        <w:rPr>
          <w:i/>
        </w:rPr>
        <w:t>барангаях</w:t>
      </w:r>
      <w:r>
        <w:t xml:space="preserve"> (т.е. в 10% от их общего числа) не было начальных школ.  Вместе с тем в 2001 году было установлено, что только 1 617 из этих барангаев нуждаются в школах, поскольку в остальных из них школьное обучение обеспечивается за счет учебных заведений, находящихся в соседних барангаях.  В 2004 году начальных школ не было только в 118 барангаях.</w:t>
      </w:r>
    </w:p>
    <w:p w:rsidR="006768A9" w:rsidRDefault="006768A9" w:rsidP="006768A9"/>
    <w:p w:rsidR="006768A9" w:rsidRPr="00F71205" w:rsidRDefault="006768A9" w:rsidP="006768A9">
      <w:pPr>
        <w:rPr>
          <w:i/>
        </w:rPr>
      </w:pPr>
      <w:r w:rsidRPr="00F71205">
        <w:rPr>
          <w:i/>
        </w:rPr>
        <w:t>Эффективность</w:t>
      </w:r>
    </w:p>
    <w:p w:rsidR="006768A9" w:rsidRDefault="006768A9" w:rsidP="006768A9">
      <w:pPr>
        <w:rPr>
          <w:u w:val="single"/>
        </w:rPr>
      </w:pPr>
    </w:p>
    <w:p w:rsidR="006768A9" w:rsidRDefault="006768A9" w:rsidP="006768A9">
      <w:r>
        <w:t>867.</w:t>
      </w:r>
      <w:r>
        <w:tab/>
        <w:t>Высокий уровень отсева учащихся вызван как внутришкольными, так и внешними факторами, например, плохим состоянием здоровья и/или недостаточным питанием, отношением родителей, финансовыми возможностями, географическим положением, политическими конфликтами и инвалидностью;  а также фактором качества преподавания.</w:t>
      </w:r>
    </w:p>
    <w:p w:rsidR="006768A9" w:rsidRDefault="006768A9" w:rsidP="006768A9"/>
    <w:p w:rsidR="006768A9" w:rsidRPr="00F71205" w:rsidRDefault="006768A9" w:rsidP="00CE23AC">
      <w:pPr>
        <w:keepNext/>
        <w:rPr>
          <w:i/>
        </w:rPr>
      </w:pPr>
      <w:r w:rsidRPr="00F71205">
        <w:rPr>
          <w:i/>
        </w:rPr>
        <w:t>Качество</w:t>
      </w:r>
    </w:p>
    <w:p w:rsidR="006768A9" w:rsidRDefault="006768A9" w:rsidP="006768A9">
      <w:pPr>
        <w:rPr>
          <w:u w:val="single"/>
        </w:rPr>
      </w:pPr>
    </w:p>
    <w:p w:rsidR="006768A9" w:rsidRDefault="006768A9" w:rsidP="006768A9">
      <w:r>
        <w:t>868.</w:t>
      </w:r>
      <w:r>
        <w:tab/>
        <w:t>Другой насущной и острой проблемой является улучшение качества образования.  Результаты различных проверок успеваемости выявили наличие серьезной проблемы качества образования в стране.  В 2002 году только 51,73% учащихся начальных школ успешно прошли общенациональную проверку успеваемости, а в ходе недавно проведенной проверки уровня готовности учащихся средних школ только 0,52% экзаменуемых получили оценки на уровне 75% и выше.</w:t>
      </w:r>
    </w:p>
    <w:p w:rsidR="006768A9" w:rsidRDefault="006768A9" w:rsidP="006768A9"/>
    <w:p w:rsidR="006768A9" w:rsidRDefault="006768A9" w:rsidP="006768A9">
      <w:r>
        <w:t>869.</w:t>
      </w:r>
      <w:r>
        <w:tab/>
        <w:t xml:space="preserve">Контрольная проверка, проведенная министерством образования в начале 2002/03 учебного года для учащихся IV ступени начальной школы и </w:t>
      </w:r>
      <w:r>
        <w:rPr>
          <w:lang w:val="en-US"/>
        </w:rPr>
        <w:t>I</w:t>
      </w:r>
      <w:r w:rsidRPr="006F12B2">
        <w:t xml:space="preserve"> ступени средней школы в государственных школах</w:t>
      </w:r>
      <w:r>
        <w:t>,</w:t>
      </w:r>
      <w:r w:rsidRPr="006F12B2">
        <w:t xml:space="preserve"> показа</w:t>
      </w:r>
      <w:r>
        <w:t>ла, что учащиеся обладают весьма слабыми познаниями в математике, в естественных науках и английском языке.</w:t>
      </w:r>
    </w:p>
    <w:p w:rsidR="006768A9" w:rsidRDefault="006768A9" w:rsidP="006768A9"/>
    <w:p w:rsidR="006768A9" w:rsidRDefault="006768A9" w:rsidP="006768A9">
      <w:r>
        <w:t>870.</w:t>
      </w:r>
      <w:r>
        <w:tab/>
        <w:t>Еще более тревожными явились результаты проверки, проведенной в 2004/05 учебном году среди учащихся первого года обучения, когда только половина экзаменуемых получила оценки на уровне 79-94%, а менее 20% из них - на уровне 50%, хотя речь идет только о начальном курсе.  Большинство учащихся получили оценки на уровне 49% или ниже.  Однако следует отметить, что нынешние показатели успеваемости учащихся в 21 провинции, где осуществляется Третий проект начального образования (ТПНО), как правило, находятся на значительно более высоком уровне (56%), чем в целом по стране (44%).  ТПНО - это один из официальных проектов помощи в целях развития, направленный на повышение качества образования в провинциях.  В число других проектов, реализуемых в провинции, входят проект Общеобразовательной помощи в Минданао (ООПМ), осуществляемый при содействии австралийского правительства, проекты по улучшению оснащенности учебных заведений, осуществляемые при содействии Японии, Пятая страновая программа помощи детям и Программа повышения квалификации на базе школ, осуществляемые при содействии ЮНИСЕФ.</w:t>
      </w:r>
    </w:p>
    <w:p w:rsidR="006768A9" w:rsidRDefault="006768A9" w:rsidP="006768A9"/>
    <w:p w:rsidR="006768A9" w:rsidRDefault="006768A9" w:rsidP="006768A9">
      <w:r>
        <w:t>871.</w:t>
      </w:r>
      <w:r>
        <w:tab/>
        <w:t>Проблема низкого качества образования вызвана рядом причин, к числу которых, помимо других факторов, связанных с компетенцией и навыками преподавателей, относится необходимость институционализации вспомогательной системы повышения квалификации преподавателей без отрыва от производства</w:t>
      </w:r>
      <w:r w:rsidRPr="00887712">
        <w:t>;</w:t>
      </w:r>
      <w:r>
        <w:t xml:space="preserve">  необходимость четкого определения путей и перспектив продвижения по службе преподавателей, с тем чтобы усилить их профессиональную мотивацию, а также необходимость регулирования нагрузки преподавателей, в отношении которой проведенное исследование показало, что, помимо непосредственно преподавания, филиппинский учитель выполняет 72 другие функции.</w:t>
      </w:r>
    </w:p>
    <w:p w:rsidR="006768A9" w:rsidRDefault="006768A9" w:rsidP="006768A9"/>
    <w:p w:rsidR="006768A9" w:rsidRDefault="006768A9" w:rsidP="006768A9">
      <w:r>
        <w:t>872.</w:t>
      </w:r>
      <w:r>
        <w:tab/>
        <w:t>Квалификация преподавательского состава как с точки зрения уровня подготовки, так и педагогического опыта, также остается одной из проблем, особенно в системе среднего образования.  По состоянию на 2004/05 учебный год, только 80% преподавателей математики в государственных школах не имели специального математического образования, а в области естественных наук специальное образование было только у 44% преподавателей биологии, 34% преподавателей химии и 27% учителей физики.  Другие преподаватели обладали лишь общей подготовкой в области естественных наук.  В то же время даже у преподавателей, имевших специальное образование по соответствующим предметам, уровень и качество подготовки оставляли желать лучшего.</w:t>
      </w:r>
    </w:p>
    <w:p w:rsidR="006768A9" w:rsidRDefault="006768A9" w:rsidP="006768A9"/>
    <w:p w:rsidR="00D4715C" w:rsidRDefault="00D4715C" w:rsidP="00D4715C">
      <w:r>
        <w:t>873.</w:t>
      </w:r>
      <w:r>
        <w:tab/>
        <w:t>Другими факторами, влияющими на качество образования, являются:  довольно плотная учебная программа </w:t>
      </w:r>
      <w:r>
        <w:noBreakHyphen/>
        <w:t xml:space="preserve"> самая короткая по сравнению с другими странами АСЕАН, причем при отсутствии надлежащих учебных материалов;  политика двуязычия учебной системы, которая влияет на уровень знаний в области естественных наук и математики, требующих хорошего знания английского языка;  особенности самих учащихся и их семей, а также педагогические методы, не оставляющие учащимся возможности для "поиска и постижения знаний".</w:t>
      </w:r>
    </w:p>
    <w:p w:rsidR="00D4715C" w:rsidRDefault="00D4715C" w:rsidP="00D4715C"/>
    <w:p w:rsidR="00D4715C" w:rsidRPr="00F71205" w:rsidRDefault="00D4715C" w:rsidP="00D4715C">
      <w:pPr>
        <w:rPr>
          <w:i/>
        </w:rPr>
      </w:pPr>
      <w:r w:rsidRPr="00F71205">
        <w:rPr>
          <w:i/>
        </w:rPr>
        <w:t>Недостаточность вложений в образование</w:t>
      </w:r>
    </w:p>
    <w:p w:rsidR="00D4715C" w:rsidRDefault="00D4715C" w:rsidP="00D4715C">
      <w:pPr>
        <w:rPr>
          <w:u w:val="single"/>
        </w:rPr>
      </w:pPr>
    </w:p>
    <w:p w:rsidR="00D4715C" w:rsidRDefault="00D4715C" w:rsidP="00D4715C">
      <w:r>
        <w:t>874.</w:t>
      </w:r>
      <w:r>
        <w:tab/>
        <w:t>Объем государственных ассигнований на цели образования является относительно низким.  В 2005/2006 учебном году он составлял 88% от общего объема расходов на заработную плату.</w:t>
      </w:r>
    </w:p>
    <w:p w:rsidR="00D4715C" w:rsidRDefault="00D4715C" w:rsidP="00D4715C"/>
    <w:p w:rsidR="00D4715C" w:rsidRDefault="00D4715C" w:rsidP="00D4715C">
      <w:r>
        <w:t>875.</w:t>
      </w:r>
      <w:r>
        <w:tab/>
        <w:t>В результате недостаточных инвестиций в образование нехватка классных комнат в 2000 году в государственных начальных школах достигла 4%.  В 2006/2007 учебном году, несмотря на проведение занятий в две смены, нехватка классных комнат составляла 3 416 единиц.  Нехватка учебников при соотношении 1:1 достигла в 2006/2007 учебном году 67,30 млн. экз.</w:t>
      </w:r>
    </w:p>
    <w:p w:rsidR="00D4715C" w:rsidRDefault="00D4715C" w:rsidP="00D4715C"/>
    <w:p w:rsidR="00D4715C" w:rsidRDefault="00D4715C" w:rsidP="00D4715C">
      <w:r>
        <w:t>876.</w:t>
      </w:r>
      <w:r>
        <w:tab/>
        <w:t xml:space="preserve">Соотношение количества преподавателей и учащихся в 2003/2004 году составило 1:36 в начальной школе и 1:42 в средней школе.  Средняя численность учеников в классе </w:t>
      </w:r>
      <w:r>
        <w:br/>
        <w:t>в этом же учебном году составила 38,64 в начальной школе и 56,37 в средней школе.  Неспособность сектора образования к модернизации проявлялась в прошлом в виде отсутствия некоторых основных услуг, помещений и оборудования, что негативно сказалось на усилиях по максимальному использованию преимуществ технологического развития.</w:t>
      </w:r>
    </w:p>
    <w:p w:rsidR="00D4715C" w:rsidRDefault="00D4715C" w:rsidP="00D4715C"/>
    <w:p w:rsidR="00D4715C" w:rsidRDefault="00D4715C" w:rsidP="00D4715C">
      <w:r>
        <w:t>877.</w:t>
      </w:r>
      <w:r>
        <w:tab/>
        <w:t>Хотя в общенациональном масштабе положение в сфере образования представляется достаточно нормальным, данные в разбивке по округам/провинциям свидетельствуют о наличии серьезных недостатков, например о случаях, когда в одном классе обучаются свыше 100 детей, за двухместной партой вынуждены сидеть три-четыре ученика, а на одного учителя приходится 100 или более учеников.  Кроме того, излишек учителей в некоторых районах не может быть перенаправлен в районы острой нехватки преподавателей, поскольку это запрещается Законом о преподавателях государственных школ.</w:t>
      </w:r>
    </w:p>
    <w:p w:rsidR="00D4715C" w:rsidRDefault="00D4715C" w:rsidP="00D4715C"/>
    <w:p w:rsidR="00D4715C" w:rsidRPr="00F71205" w:rsidRDefault="00D4715C" w:rsidP="00D4715C">
      <w:pPr>
        <w:rPr>
          <w:b/>
        </w:rPr>
      </w:pPr>
      <w:r>
        <w:rPr>
          <w:b/>
          <w:lang w:val="en-US"/>
        </w:rPr>
        <w:t>ii</w:t>
      </w:r>
      <w:r w:rsidR="0091508C">
        <w:rPr>
          <w:b/>
        </w:rPr>
        <w:t>.</w:t>
      </w:r>
      <w:r>
        <w:rPr>
          <w:b/>
        </w:rPr>
        <w:tab/>
      </w:r>
      <w:r w:rsidRPr="00F71205">
        <w:rPr>
          <w:b/>
        </w:rPr>
        <w:t>Высшее образование</w:t>
      </w:r>
    </w:p>
    <w:p w:rsidR="00D4715C" w:rsidRDefault="00D4715C" w:rsidP="00D4715C">
      <w:pPr>
        <w:rPr>
          <w:b/>
          <w:u w:val="single"/>
        </w:rPr>
      </w:pPr>
    </w:p>
    <w:p w:rsidR="00D4715C" w:rsidRDefault="00D4715C" w:rsidP="00D4715C">
      <w:r>
        <w:t>878.</w:t>
      </w:r>
      <w:r>
        <w:tab/>
        <w:t>В системе высшего образования существуют те же проблемы, что и в начальном и среднем образовании.  В 2000 году Комиссия по делам высшего образования (КВО) утвердила Долгосрочный план развития системы высшего образования (ДПРВО) на 2001</w:t>
      </w:r>
      <w:r>
        <w:noBreakHyphen/>
        <w:t>2010 годы, который является программным документом, в котором сформулированы концепция и задачи высшего образования на Филиппинах, стратегические направления действий по решению различных проблем и преодолению трудностей в системе высшего образования, а также излагаются перспективы развития этой области.</w:t>
      </w:r>
    </w:p>
    <w:p w:rsidR="00D4715C" w:rsidRDefault="00D4715C" w:rsidP="00D4715C"/>
    <w:p w:rsidR="00D4715C" w:rsidRDefault="00D4715C" w:rsidP="00D4715C">
      <w:r>
        <w:t>879.</w:t>
      </w:r>
      <w:r>
        <w:tab/>
        <w:t>Основные инициативы в области высшего образования направлены на достижение следующих четырех целей:</w:t>
      </w:r>
    </w:p>
    <w:p w:rsidR="00D4715C" w:rsidRDefault="00D4715C" w:rsidP="00D4715C"/>
    <w:p w:rsidR="00D4715C" w:rsidRDefault="00D4715C" w:rsidP="00D4715C">
      <w:r>
        <w:tab/>
        <w:t>а)</w:t>
      </w:r>
      <w:r>
        <w:tab/>
      </w:r>
      <w:r>
        <w:rPr>
          <w:i/>
        </w:rPr>
        <w:t>высокое качество и мастерство</w:t>
      </w:r>
      <w:r>
        <w:t xml:space="preserve"> - обеспечение неполного и полного высшего образования в соответствии с международными стандартами;</w:t>
      </w:r>
    </w:p>
    <w:p w:rsidR="00D4715C" w:rsidRDefault="00D4715C" w:rsidP="00D4715C"/>
    <w:p w:rsidR="00D4715C" w:rsidRDefault="00D4715C" w:rsidP="00D4715C">
      <w:r>
        <w:tab/>
      </w:r>
      <w:r>
        <w:rPr>
          <w:lang w:val="en-US"/>
        </w:rPr>
        <w:t>b</w:t>
      </w:r>
      <w:r>
        <w:t>)</w:t>
      </w:r>
      <w:r>
        <w:tab/>
      </w:r>
      <w:r>
        <w:rPr>
          <w:i/>
        </w:rPr>
        <w:t>актуальность и эффективность</w:t>
      </w:r>
      <w:r>
        <w:t xml:space="preserve"> - получение и распространение знаний по широкому спектру дисциплин, отвечающих динамичным изменениям внутренней и международной обстановки;</w:t>
      </w:r>
    </w:p>
    <w:p w:rsidR="00D4715C" w:rsidRDefault="00D4715C" w:rsidP="00D4715C"/>
    <w:p w:rsidR="00D4715C" w:rsidRDefault="00D4715C" w:rsidP="00D4715C">
      <w:r>
        <w:tab/>
        <w:t>с)</w:t>
      </w:r>
      <w:r>
        <w:tab/>
      </w:r>
      <w:r>
        <w:rPr>
          <w:i/>
        </w:rPr>
        <w:t>доступность и равенство</w:t>
      </w:r>
      <w:r>
        <w:t xml:space="preserve"> - расширение доступа способных и достойных студентов к возможностям получения высшего образования;</w:t>
      </w:r>
    </w:p>
    <w:p w:rsidR="00D4715C" w:rsidRDefault="00D4715C" w:rsidP="00D4715C"/>
    <w:p w:rsidR="00D4715C" w:rsidRDefault="00D4715C" w:rsidP="00D4715C">
      <w:r>
        <w:tab/>
      </w:r>
      <w:r>
        <w:rPr>
          <w:lang w:val="en-US"/>
        </w:rPr>
        <w:t>d</w:t>
      </w:r>
      <w:r>
        <w:t>)</w:t>
      </w:r>
      <w:r>
        <w:tab/>
      </w:r>
      <w:r>
        <w:rPr>
          <w:i/>
        </w:rPr>
        <w:t>результативность и эффективность</w:t>
      </w:r>
      <w:r>
        <w:t xml:space="preserve"> - повышение социальной, институциональной и индивидуальной отдачи от использования ресурсов высшего образования.</w:t>
      </w:r>
    </w:p>
    <w:p w:rsidR="00D4715C" w:rsidRDefault="00D4715C" w:rsidP="00D4715C"/>
    <w:p w:rsidR="00D4715C" w:rsidRDefault="00CE23AC" w:rsidP="00D4715C">
      <w:pPr>
        <w:rPr>
          <w:b/>
        </w:rPr>
      </w:pPr>
      <w:r>
        <w:rPr>
          <w:b/>
        </w:rPr>
        <w:br w:type="page"/>
      </w:r>
      <w:r w:rsidR="00D4715C">
        <w:rPr>
          <w:b/>
        </w:rPr>
        <w:t>Вопрос № 3.</w:t>
      </w:r>
      <w:r w:rsidR="00D4715C">
        <w:rPr>
          <w:b/>
        </w:rPr>
        <w:tab/>
        <w:t>Статистические данные об образовании</w:t>
      </w:r>
    </w:p>
    <w:p w:rsidR="00D4715C" w:rsidRDefault="00D4715C" w:rsidP="00D4715C">
      <w:pPr>
        <w:rPr>
          <w:b/>
        </w:rPr>
      </w:pPr>
    </w:p>
    <w:p w:rsidR="00D4715C" w:rsidRPr="00F71205" w:rsidRDefault="00D4715C" w:rsidP="00D4715C">
      <w:pPr>
        <w:rPr>
          <w:i/>
        </w:rPr>
      </w:pPr>
      <w:r w:rsidRPr="00F71205">
        <w:rPr>
          <w:i/>
        </w:rPr>
        <w:t>Уровень грамотности</w:t>
      </w:r>
    </w:p>
    <w:p w:rsidR="00D4715C" w:rsidRDefault="00D4715C" w:rsidP="00D4715C">
      <w:pPr>
        <w:rPr>
          <w:u w:val="single"/>
        </w:rPr>
      </w:pPr>
    </w:p>
    <w:p w:rsidR="00D4715C" w:rsidRDefault="00D4715C" w:rsidP="00D4715C">
      <w:r>
        <w:t>880.</w:t>
      </w:r>
      <w:r>
        <w:tab/>
        <w:t>По данным проведенного в 2003 году Обследования в области функциональной грамотности и СМИ (ОФГС), уровень базовой или общей грамотности филиппинцев составлял 93,9%.  Существенно различался уровень грамотности мужчин (93,2%) и женщин (94,6%).  По сравнению с данными за 1994 год показатель общей грамотности женщин повысился на 0,6%, а уровень грамотности мужчин снизился на 0,5%.</w:t>
      </w:r>
    </w:p>
    <w:p w:rsidR="00D4715C" w:rsidRDefault="00D4715C" w:rsidP="00D4715C"/>
    <w:p w:rsidR="00D4715C" w:rsidRDefault="00D4715C" w:rsidP="00D4715C">
      <w:r w:rsidRPr="001E04AE">
        <w:t>881.</w:t>
      </w:r>
      <w:r w:rsidRPr="001E04AE">
        <w:tab/>
      </w:r>
      <w:r>
        <w:t>Среди</w:t>
      </w:r>
      <w:r w:rsidRPr="001E04AE">
        <w:t xml:space="preserve"> </w:t>
      </w:r>
      <w:r>
        <w:t>различных</w:t>
      </w:r>
      <w:r w:rsidRPr="001E04AE">
        <w:t xml:space="preserve"> </w:t>
      </w:r>
      <w:r>
        <w:t>районов</w:t>
      </w:r>
      <w:r w:rsidRPr="001E04AE">
        <w:t xml:space="preserve"> </w:t>
      </w:r>
      <w:r>
        <w:t>самый</w:t>
      </w:r>
      <w:r w:rsidRPr="001E04AE">
        <w:t xml:space="preserve"> </w:t>
      </w:r>
      <w:r>
        <w:t>высокий</w:t>
      </w:r>
      <w:r w:rsidRPr="001E04AE">
        <w:t xml:space="preserve"> </w:t>
      </w:r>
      <w:r>
        <w:t>уровень</w:t>
      </w:r>
      <w:r w:rsidRPr="001E04AE">
        <w:t xml:space="preserve"> </w:t>
      </w:r>
      <w:r>
        <w:t>грамотности</w:t>
      </w:r>
      <w:r w:rsidRPr="008D24BA">
        <w:t> </w:t>
      </w:r>
      <w:r w:rsidRPr="001E04AE">
        <w:noBreakHyphen/>
        <w:t xml:space="preserve"> 99,1%</w:t>
      </w:r>
      <w:r w:rsidRPr="008D24BA">
        <w:t> </w:t>
      </w:r>
      <w:r w:rsidRPr="001E04AE">
        <w:noBreakHyphen/>
        <w:t xml:space="preserve"> </w:t>
      </w:r>
      <w:r>
        <w:t>отмечался</w:t>
      </w:r>
      <w:r w:rsidRPr="001E04AE">
        <w:t xml:space="preserve"> </w:t>
      </w:r>
      <w:r>
        <w:t>в</w:t>
      </w:r>
      <w:r w:rsidRPr="001E04AE">
        <w:t xml:space="preserve"> </w:t>
      </w:r>
      <w:r>
        <w:t>Столичном районе</w:t>
      </w:r>
      <w:r w:rsidRPr="001E04AE">
        <w:t xml:space="preserve">, </w:t>
      </w:r>
      <w:r>
        <w:t>а</w:t>
      </w:r>
      <w:r w:rsidRPr="001E04AE">
        <w:t xml:space="preserve"> </w:t>
      </w:r>
      <w:r>
        <w:t>самый</w:t>
      </w:r>
      <w:r w:rsidRPr="001E04AE">
        <w:t xml:space="preserve"> </w:t>
      </w:r>
      <w:r>
        <w:t>низкий</w:t>
      </w:r>
      <w:r w:rsidRPr="008D24BA">
        <w:t> </w:t>
      </w:r>
      <w:r w:rsidRPr="001E04AE">
        <w:noBreakHyphen/>
        <w:t xml:space="preserve"> 70,7%</w:t>
      </w:r>
      <w:r w:rsidRPr="008D24BA">
        <w:t> </w:t>
      </w:r>
      <w:r w:rsidRPr="001E04AE">
        <w:noBreakHyphen/>
        <w:t xml:space="preserve"> </w:t>
      </w:r>
      <w:r>
        <w:t>в</w:t>
      </w:r>
      <w:r w:rsidRPr="008D24BA">
        <w:t> </w:t>
      </w:r>
      <w:r>
        <w:t>Автономном</w:t>
      </w:r>
      <w:r w:rsidRPr="001E04AE">
        <w:t xml:space="preserve"> </w:t>
      </w:r>
      <w:r>
        <w:t>районе</w:t>
      </w:r>
      <w:r w:rsidRPr="001E04AE">
        <w:t xml:space="preserve"> </w:t>
      </w:r>
      <w:r>
        <w:t>мусульманского</w:t>
      </w:r>
      <w:r w:rsidRPr="001E04AE">
        <w:t xml:space="preserve"> </w:t>
      </w:r>
      <w:r>
        <w:t>Минданао (АРММ).  Другими</w:t>
      </w:r>
      <w:r w:rsidRPr="001E04AE">
        <w:t xml:space="preserve"> </w:t>
      </w:r>
      <w:r>
        <w:t>районами</w:t>
      </w:r>
      <w:r w:rsidRPr="001E04AE">
        <w:t xml:space="preserve">, </w:t>
      </w:r>
      <w:r>
        <w:t>где</w:t>
      </w:r>
      <w:r w:rsidRPr="001E04AE">
        <w:t xml:space="preserve"> </w:t>
      </w:r>
      <w:r>
        <w:t>уровень</w:t>
      </w:r>
      <w:r w:rsidRPr="001E04AE">
        <w:t xml:space="preserve"> </w:t>
      </w:r>
      <w:r>
        <w:t>грамотности</w:t>
      </w:r>
      <w:r w:rsidRPr="001E04AE">
        <w:t xml:space="preserve"> </w:t>
      </w:r>
      <w:r>
        <w:t>превышал</w:t>
      </w:r>
      <w:r w:rsidRPr="001E04AE">
        <w:t xml:space="preserve"> </w:t>
      </w:r>
      <w:r>
        <w:t>национальный</w:t>
      </w:r>
      <w:r w:rsidRPr="001E04AE">
        <w:t xml:space="preserve"> </w:t>
      </w:r>
      <w:r>
        <w:t>показатель, были</w:t>
      </w:r>
      <w:r w:rsidRPr="001E04AE">
        <w:t xml:space="preserve"> </w:t>
      </w:r>
      <w:r>
        <w:t>Район</w:t>
      </w:r>
      <w:r w:rsidRPr="008D24BA">
        <w:t> I</w:t>
      </w:r>
      <w:r w:rsidRPr="001E04AE">
        <w:t xml:space="preserve"> </w:t>
      </w:r>
      <w:r>
        <w:t>(Илокос) - 97,1% - и Район </w:t>
      </w:r>
      <w:r w:rsidRPr="008D24BA">
        <w:t>V</w:t>
      </w:r>
      <w:r w:rsidRPr="001E04AE">
        <w:t xml:space="preserve"> </w:t>
      </w:r>
      <w:r>
        <w:t>(Биколь) - 95,5%.  Уровень функциональной грамотности в стране увеличился с 83,8% в 1994 году до 85,1% в 2003 году.</w:t>
      </w:r>
    </w:p>
    <w:p w:rsidR="00D4715C" w:rsidRPr="00F71205" w:rsidRDefault="00D4715C" w:rsidP="00D4715C">
      <w:pPr>
        <w:rPr>
          <w:i/>
        </w:rPr>
      </w:pPr>
    </w:p>
    <w:p w:rsidR="00D4715C" w:rsidRPr="00F71205" w:rsidRDefault="00D4715C" w:rsidP="00D4715C">
      <w:pPr>
        <w:pStyle w:val="Heading4"/>
        <w:rPr>
          <w:b w:val="0"/>
        </w:rPr>
      </w:pPr>
      <w:r w:rsidRPr="00F71205">
        <w:rPr>
          <w:b w:val="0"/>
        </w:rPr>
        <w:t>Статистические данные о начальном образовании</w:t>
      </w:r>
    </w:p>
    <w:p w:rsidR="00D4715C" w:rsidRDefault="00D4715C" w:rsidP="00D4715C">
      <w:pPr>
        <w:pStyle w:val="Heading4"/>
        <w:rPr>
          <w:b w:val="0"/>
          <w:i w:val="0"/>
          <w:u w:val="single"/>
        </w:rPr>
      </w:pPr>
    </w:p>
    <w:p w:rsidR="00D4715C" w:rsidRDefault="00D4715C" w:rsidP="00D4715C">
      <w:r w:rsidRPr="00723F72">
        <w:t>882.</w:t>
      </w:r>
      <w:r w:rsidRPr="00723F72">
        <w:tab/>
      </w:r>
      <w:r>
        <w:t>В</w:t>
      </w:r>
      <w:r w:rsidRPr="00723F72">
        <w:t xml:space="preserve"> </w:t>
      </w:r>
      <w:r>
        <w:t>настоящее</w:t>
      </w:r>
      <w:r w:rsidRPr="00723F72">
        <w:t xml:space="preserve"> </w:t>
      </w:r>
      <w:r>
        <w:t>время</w:t>
      </w:r>
      <w:r w:rsidRPr="00723F72">
        <w:t xml:space="preserve"> </w:t>
      </w:r>
      <w:r>
        <w:t>в</w:t>
      </w:r>
      <w:r w:rsidRPr="00723F72">
        <w:t xml:space="preserve"> </w:t>
      </w:r>
      <w:r>
        <w:t>стране</w:t>
      </w:r>
      <w:r w:rsidRPr="00723F72">
        <w:t xml:space="preserve"> </w:t>
      </w:r>
      <w:r>
        <w:t>насчитывается</w:t>
      </w:r>
      <w:r w:rsidRPr="00723F72">
        <w:t xml:space="preserve"> </w:t>
      </w:r>
      <w:r>
        <w:t>свыше</w:t>
      </w:r>
      <w:r w:rsidRPr="00723F72">
        <w:t xml:space="preserve"> 42</w:t>
      </w:r>
      <w:r w:rsidRPr="008D24BA">
        <w:t> </w:t>
      </w:r>
      <w:r w:rsidRPr="00723F72">
        <w:t>000</w:t>
      </w:r>
      <w:r w:rsidRPr="008D24BA">
        <w:t> </w:t>
      </w:r>
      <w:r>
        <w:t>государственных</w:t>
      </w:r>
      <w:r w:rsidRPr="00723F72">
        <w:t xml:space="preserve"> </w:t>
      </w:r>
      <w:r>
        <w:t>начальных</w:t>
      </w:r>
      <w:r w:rsidRPr="00723F72">
        <w:t xml:space="preserve"> </w:t>
      </w:r>
      <w:r>
        <w:t>и</w:t>
      </w:r>
      <w:r w:rsidRPr="00723F72">
        <w:t xml:space="preserve"> </w:t>
      </w:r>
      <w:r>
        <w:t>средних</w:t>
      </w:r>
      <w:r w:rsidRPr="00723F72">
        <w:t xml:space="preserve"> </w:t>
      </w:r>
      <w:r>
        <w:t>школ, образование</w:t>
      </w:r>
      <w:r w:rsidRPr="000F40BC">
        <w:t xml:space="preserve"> </w:t>
      </w:r>
      <w:r>
        <w:t>в которых является бесплатным.</w:t>
      </w:r>
    </w:p>
    <w:p w:rsidR="00D4715C" w:rsidRDefault="00D4715C" w:rsidP="00D4715C"/>
    <w:p w:rsidR="00D4715C" w:rsidRDefault="00D4715C" w:rsidP="00D4715C">
      <w:r w:rsidRPr="00723F72">
        <w:t>883.</w:t>
      </w:r>
      <w:r w:rsidRPr="00723F72">
        <w:tab/>
      </w:r>
      <w:r>
        <w:t>Число</w:t>
      </w:r>
      <w:r w:rsidRPr="00723F72">
        <w:t xml:space="preserve"> </w:t>
      </w:r>
      <w:r>
        <w:t>учащихся</w:t>
      </w:r>
      <w:r w:rsidRPr="00723F72">
        <w:t xml:space="preserve"> </w:t>
      </w:r>
      <w:r>
        <w:t>в</w:t>
      </w:r>
      <w:r w:rsidRPr="00723F72">
        <w:t xml:space="preserve"> </w:t>
      </w:r>
      <w:r>
        <w:t>государственных</w:t>
      </w:r>
      <w:r w:rsidRPr="00723F72">
        <w:t xml:space="preserve"> </w:t>
      </w:r>
      <w:r>
        <w:t>и</w:t>
      </w:r>
      <w:r w:rsidRPr="00723F72">
        <w:t xml:space="preserve"> </w:t>
      </w:r>
      <w:r>
        <w:t>частных</w:t>
      </w:r>
      <w:r w:rsidRPr="00723F72">
        <w:t xml:space="preserve"> </w:t>
      </w:r>
      <w:r>
        <w:t>начальных</w:t>
      </w:r>
      <w:r w:rsidRPr="00723F72">
        <w:t xml:space="preserve"> </w:t>
      </w:r>
      <w:r>
        <w:t>школах</w:t>
      </w:r>
      <w:r w:rsidRPr="00723F72">
        <w:t xml:space="preserve"> </w:t>
      </w:r>
      <w:r>
        <w:t>в</w:t>
      </w:r>
      <w:r w:rsidRPr="00723F72">
        <w:t xml:space="preserve"> 2003</w:t>
      </w:r>
      <w:r>
        <w:t>/</w:t>
      </w:r>
      <w:r w:rsidRPr="00723F72">
        <w:t>2004</w:t>
      </w:r>
      <w:r w:rsidRPr="008D24BA">
        <w:t> </w:t>
      </w:r>
      <w:r>
        <w:t>учебном</w:t>
      </w:r>
      <w:r w:rsidRPr="00723F72">
        <w:t xml:space="preserve"> </w:t>
      </w:r>
      <w:r>
        <w:t>году</w:t>
      </w:r>
      <w:r w:rsidRPr="00723F72">
        <w:t xml:space="preserve"> </w:t>
      </w:r>
      <w:r>
        <w:t>достигло</w:t>
      </w:r>
      <w:r w:rsidRPr="00723F72">
        <w:t xml:space="preserve"> 13</w:t>
      </w:r>
      <w:r w:rsidRPr="008D24BA">
        <w:t> </w:t>
      </w:r>
      <w:r>
        <w:t>млн</w:t>
      </w:r>
      <w:r w:rsidRPr="00723F72">
        <w:t>.</w:t>
      </w:r>
      <w:r>
        <w:t xml:space="preserve"> чел.</w:t>
      </w:r>
      <w:r w:rsidRPr="00723F72">
        <w:t>,</w:t>
      </w:r>
      <w:r>
        <w:t xml:space="preserve"> что на 1,96% выше уровня 2000/2001 учебного года (12,8 млн.).  Среди</w:t>
      </w:r>
      <w:r w:rsidRPr="00723F72">
        <w:t xml:space="preserve"> </w:t>
      </w:r>
      <w:r>
        <w:t>детей</w:t>
      </w:r>
      <w:r w:rsidRPr="00723F72">
        <w:t xml:space="preserve"> </w:t>
      </w:r>
      <w:r>
        <w:t>школьного</w:t>
      </w:r>
      <w:r w:rsidRPr="00723F72">
        <w:t xml:space="preserve"> </w:t>
      </w:r>
      <w:r>
        <w:t>возраста</w:t>
      </w:r>
      <w:r w:rsidRPr="00723F72">
        <w:t xml:space="preserve"> </w:t>
      </w:r>
      <w:r>
        <w:t>от</w:t>
      </w:r>
      <w:r w:rsidRPr="00723F72">
        <w:t xml:space="preserve"> </w:t>
      </w:r>
      <w:r>
        <w:t>шести</w:t>
      </w:r>
      <w:r w:rsidRPr="00723F72">
        <w:t xml:space="preserve"> </w:t>
      </w:r>
      <w:r>
        <w:t>до</w:t>
      </w:r>
      <w:r w:rsidRPr="00723F72">
        <w:t xml:space="preserve"> 11</w:t>
      </w:r>
      <w:r w:rsidRPr="008D24BA">
        <w:t> </w:t>
      </w:r>
      <w:r>
        <w:t>лет</w:t>
      </w:r>
      <w:r w:rsidRPr="00723F72">
        <w:t xml:space="preserve"> </w:t>
      </w:r>
      <w:r>
        <w:t>доля</w:t>
      </w:r>
      <w:r w:rsidRPr="00723F72">
        <w:t xml:space="preserve"> </w:t>
      </w:r>
      <w:r>
        <w:t>учащихся</w:t>
      </w:r>
      <w:r w:rsidRPr="00723F72">
        <w:t xml:space="preserve"> </w:t>
      </w:r>
      <w:r>
        <w:t>начальных</w:t>
      </w:r>
      <w:r w:rsidRPr="00723F72">
        <w:t xml:space="preserve"> </w:t>
      </w:r>
      <w:r>
        <w:t>школ</w:t>
      </w:r>
      <w:r w:rsidRPr="00723F72">
        <w:t xml:space="preserve"> </w:t>
      </w:r>
      <w:r>
        <w:t>в</w:t>
      </w:r>
      <w:r w:rsidRPr="00723F72">
        <w:t xml:space="preserve"> 2002</w:t>
      </w:r>
      <w:r>
        <w:t>/</w:t>
      </w:r>
      <w:r w:rsidRPr="00723F72">
        <w:t>2003</w:t>
      </w:r>
      <w:r w:rsidRPr="008D24BA">
        <w:t> </w:t>
      </w:r>
      <w:r>
        <w:t>учебном году</w:t>
      </w:r>
      <w:r w:rsidRPr="006906B5">
        <w:t xml:space="preserve"> </w:t>
      </w:r>
      <w:r>
        <w:t>составляла</w:t>
      </w:r>
      <w:r w:rsidRPr="00723F72">
        <w:t xml:space="preserve"> 90%</w:t>
      </w:r>
      <w:r>
        <w:t>.  Последние</w:t>
      </w:r>
      <w:r w:rsidRPr="00723F72">
        <w:t xml:space="preserve"> </w:t>
      </w:r>
      <w:r>
        <w:t>данные</w:t>
      </w:r>
      <w:r w:rsidRPr="00723F72">
        <w:t xml:space="preserve"> </w:t>
      </w:r>
      <w:r>
        <w:t>о</w:t>
      </w:r>
      <w:r w:rsidRPr="00723F72">
        <w:t xml:space="preserve"> </w:t>
      </w:r>
      <w:r>
        <w:t>численности учащихся в системе начального образования свидетельствуют о необходимости дополнительных усилий для достижения поставленной цели - обеспечения всеобщего доступа к начальному образованию.  Среди различных районов самый высокий уровень учащихся начальных школ </w:t>
      </w:r>
      <w:r>
        <w:noBreakHyphen/>
        <w:t xml:space="preserve"> 91% </w:t>
      </w:r>
      <w:r>
        <w:noBreakHyphen/>
        <w:t xml:space="preserve"> зарегистрирован в АРММ, а самый низкий </w:t>
      </w:r>
      <w:r>
        <w:noBreakHyphen/>
        <w:t xml:space="preserve"> 77% </w:t>
      </w:r>
      <w:r>
        <w:noBreakHyphen/>
        <w:t xml:space="preserve"> в РНС.</w:t>
      </w:r>
    </w:p>
    <w:p w:rsidR="00D4715C" w:rsidRDefault="00D4715C" w:rsidP="00D4715C"/>
    <w:p w:rsidR="00D4715C" w:rsidRDefault="00D4715C" w:rsidP="00D4715C">
      <w:r w:rsidRPr="006E1FCF">
        <w:t>884.</w:t>
      </w:r>
      <w:r w:rsidRPr="006E1FCF">
        <w:tab/>
      </w:r>
      <w:r>
        <w:t>Данные</w:t>
      </w:r>
      <w:r w:rsidRPr="006E1FCF">
        <w:t xml:space="preserve"> </w:t>
      </w:r>
      <w:r>
        <w:t>о</w:t>
      </w:r>
      <w:r w:rsidRPr="006E1FCF">
        <w:t xml:space="preserve"> </w:t>
      </w:r>
      <w:r>
        <w:t>количестве</w:t>
      </w:r>
      <w:r w:rsidRPr="006E1FCF">
        <w:t xml:space="preserve"> </w:t>
      </w:r>
      <w:r>
        <w:t>школьников</w:t>
      </w:r>
      <w:r w:rsidRPr="006E1FCF">
        <w:t xml:space="preserve"> </w:t>
      </w:r>
      <w:r>
        <w:t>в</w:t>
      </w:r>
      <w:r w:rsidRPr="006E1FCF">
        <w:t xml:space="preserve"> 2003/2004</w:t>
      </w:r>
      <w:r w:rsidRPr="008D24BA">
        <w:t> </w:t>
      </w:r>
      <w:r>
        <w:t>учебном году</w:t>
      </w:r>
      <w:r w:rsidRPr="006E1FCF">
        <w:t xml:space="preserve"> </w:t>
      </w:r>
      <w:r>
        <w:t>свидетельствуют о том</w:t>
      </w:r>
      <w:r w:rsidRPr="006E1FCF">
        <w:t xml:space="preserve">, </w:t>
      </w:r>
      <w:r>
        <w:t>что в начальной школе посещаемость среди девочек была выше, чем у мальчиков (соответственно, 82,59% и 80,88%), а в средней школе эти показатели составляли 51,19% и 42,97%</w:t>
      </w:r>
      <w:r>
        <w:rPr>
          <w:rStyle w:val="FootnoteReference"/>
        </w:rPr>
        <w:footnoteReference w:id="52"/>
      </w:r>
      <w:r>
        <w:t>.  Расхождения в посещаемости начальной школы между районами, как правило, были минимальными, за исключением АРММ, где индекс гендерного равенства (ИГР)</w:t>
      </w:r>
      <w:r>
        <w:rPr>
          <w:rStyle w:val="FootnoteReference"/>
        </w:rPr>
        <w:footnoteReference w:id="53"/>
      </w:r>
      <w:r>
        <w:t xml:space="preserve"> составлял 1,10 (93,91% к 84,85%).  Гораздо большие расхождения в соотношении мальчиков и девочек отмечались в системе среднего образования, где ИГР колебался в пределах 1,08 (58,02% к 53,8%) в РНС - 1,34 (48,99% к 36,66%) в Восточных Висаях.</w:t>
      </w:r>
    </w:p>
    <w:p w:rsidR="00D4715C" w:rsidRDefault="00D4715C" w:rsidP="00D4715C"/>
    <w:p w:rsidR="00D4715C" w:rsidRDefault="00D4715C" w:rsidP="00D4715C">
      <w:r w:rsidRPr="006D0977">
        <w:t>885.</w:t>
      </w:r>
      <w:r w:rsidRPr="006D0977">
        <w:tab/>
      </w:r>
      <w:r>
        <w:t>Данные</w:t>
      </w:r>
      <w:r w:rsidRPr="006D0977">
        <w:t xml:space="preserve"> </w:t>
      </w:r>
      <w:r>
        <w:t>о</w:t>
      </w:r>
      <w:r w:rsidRPr="006D0977">
        <w:t xml:space="preserve"> </w:t>
      </w:r>
      <w:r>
        <w:t>численности</w:t>
      </w:r>
      <w:r w:rsidRPr="006D0977">
        <w:t xml:space="preserve"> </w:t>
      </w:r>
      <w:r>
        <w:t>учащихся</w:t>
      </w:r>
      <w:r w:rsidRPr="006D0977">
        <w:t xml:space="preserve"> </w:t>
      </w:r>
      <w:r>
        <w:t>первого класса в</w:t>
      </w:r>
      <w:r w:rsidRPr="006D0977">
        <w:t xml:space="preserve"> 2003/2004</w:t>
      </w:r>
      <w:r>
        <w:t> учебном году также свидетельствуют о том, что в школу поступало больше девочек (45,99%), чем мальчиков (41,88%).</w:t>
      </w:r>
    </w:p>
    <w:p w:rsidR="00D4715C" w:rsidRDefault="00D4715C" w:rsidP="00D4715C"/>
    <w:p w:rsidR="00D4715C" w:rsidRDefault="00D4715C" w:rsidP="00D4715C">
      <w:r w:rsidRPr="006D0977">
        <w:t>886.</w:t>
      </w:r>
      <w:r w:rsidRPr="006D0977">
        <w:tab/>
      </w:r>
      <w:r>
        <w:t xml:space="preserve">Групповой показатель числа лиц, продолжающих обучение в начальной школе (ГПЛ), увеличился с 67,21% в 2000/2001 учебном году до 69,84% в 2002-2003 году.  </w:t>
      </w:r>
      <w:r>
        <w:br/>
        <w:t>За этот же период показатель числа лиц, закончивших начальную школу, слегка повысился  - с 66,13% до 66,85%.  И</w:t>
      </w:r>
      <w:r w:rsidRPr="008D24BA">
        <w:t> </w:t>
      </w:r>
      <w:r>
        <w:t>наоборот</w:t>
      </w:r>
      <w:r w:rsidRPr="00B30C40">
        <w:t xml:space="preserve">, </w:t>
      </w:r>
      <w:r>
        <w:t>процент</w:t>
      </w:r>
      <w:r w:rsidRPr="00B30C40">
        <w:t xml:space="preserve"> </w:t>
      </w:r>
      <w:r>
        <w:t>отсева</w:t>
      </w:r>
      <w:r w:rsidRPr="00B30C40">
        <w:t xml:space="preserve"> </w:t>
      </w:r>
      <w:r>
        <w:t>учащихся из</w:t>
      </w:r>
      <w:r w:rsidRPr="00B30C40">
        <w:t xml:space="preserve"> </w:t>
      </w:r>
      <w:r>
        <w:t>начальной</w:t>
      </w:r>
      <w:r w:rsidRPr="00B30C40">
        <w:t xml:space="preserve"> </w:t>
      </w:r>
      <w:r>
        <w:t>школы</w:t>
      </w:r>
      <w:r w:rsidRPr="00B30C40">
        <w:t xml:space="preserve"> </w:t>
      </w:r>
      <w:r>
        <w:t>несколько</w:t>
      </w:r>
      <w:r w:rsidRPr="00B30C40">
        <w:t xml:space="preserve"> </w:t>
      </w:r>
      <w:r>
        <w:t>сократился</w:t>
      </w:r>
      <w:r w:rsidRPr="00B30C40">
        <w:t xml:space="preserve"> </w:t>
      </w:r>
      <w:r>
        <w:t>с</w:t>
      </w:r>
      <w:r w:rsidRPr="00B30C40">
        <w:t xml:space="preserve"> 7,67% </w:t>
      </w:r>
      <w:r>
        <w:t>в</w:t>
      </w:r>
      <w:r w:rsidRPr="00B30C40">
        <w:t xml:space="preserve"> 2000</w:t>
      </w:r>
      <w:r>
        <w:t>/</w:t>
      </w:r>
      <w:r w:rsidRPr="00B30C40">
        <w:t>2001</w:t>
      </w:r>
      <w:r w:rsidRPr="008D24BA">
        <w:t> </w:t>
      </w:r>
      <w:r>
        <w:t>учебном году до 7,34% в 2002/2003 учебном году.</w:t>
      </w:r>
    </w:p>
    <w:p w:rsidR="00D4715C" w:rsidRDefault="00D4715C" w:rsidP="00D4715C"/>
    <w:p w:rsidR="00D4715C" w:rsidRDefault="00D4715C" w:rsidP="00D4715C">
      <w:r w:rsidRPr="0018377B">
        <w:t>887.</w:t>
      </w:r>
      <w:r w:rsidRPr="0018377B">
        <w:tab/>
      </w:r>
      <w:r>
        <w:t>Хотя</w:t>
      </w:r>
      <w:r w:rsidRPr="0018377B">
        <w:t xml:space="preserve"> </w:t>
      </w:r>
      <w:r>
        <w:t>в</w:t>
      </w:r>
      <w:r w:rsidRPr="0018377B">
        <w:t xml:space="preserve"> </w:t>
      </w:r>
      <w:r>
        <w:t>АРММ</w:t>
      </w:r>
      <w:r w:rsidRPr="0018377B">
        <w:t xml:space="preserve"> </w:t>
      </w:r>
      <w:r>
        <w:t>отмечен</w:t>
      </w:r>
      <w:r w:rsidRPr="0018377B">
        <w:t xml:space="preserve"> </w:t>
      </w:r>
      <w:r>
        <w:t>высокий</w:t>
      </w:r>
      <w:r w:rsidRPr="0018377B">
        <w:t xml:space="preserve"> </w:t>
      </w:r>
      <w:r>
        <w:t>показатель</w:t>
      </w:r>
      <w:r w:rsidRPr="0018377B">
        <w:t xml:space="preserve"> </w:t>
      </w:r>
      <w:r>
        <w:t>посещаемости</w:t>
      </w:r>
      <w:r w:rsidRPr="0018377B">
        <w:t xml:space="preserve"> </w:t>
      </w:r>
      <w:r>
        <w:t>начальной</w:t>
      </w:r>
      <w:r w:rsidRPr="0018377B">
        <w:t xml:space="preserve"> </w:t>
      </w:r>
      <w:r>
        <w:t>школы</w:t>
      </w:r>
      <w:r w:rsidRPr="0018377B">
        <w:t xml:space="preserve"> </w:t>
      </w:r>
      <w:r>
        <w:t>в</w:t>
      </w:r>
      <w:r w:rsidRPr="0018377B">
        <w:t xml:space="preserve"> </w:t>
      </w:r>
      <w:r>
        <w:br/>
      </w:r>
      <w:r w:rsidRPr="0018377B">
        <w:t>2</w:t>
      </w:r>
      <w:r>
        <w:t>003/2004 учебном году, самым низким там же было число продолжавших учебу и закончивших начальную школу лиц – соответственно, 37,02% и 33,34%.  В</w:t>
      </w:r>
      <w:r w:rsidRPr="0018377B">
        <w:rPr>
          <w:lang w:val="en-US"/>
        </w:rPr>
        <w:t> </w:t>
      </w:r>
      <w:r>
        <w:t>то</w:t>
      </w:r>
      <w:r w:rsidRPr="008D24BA">
        <w:t xml:space="preserve"> </w:t>
      </w:r>
      <w:r>
        <w:t>же</w:t>
      </w:r>
      <w:r w:rsidRPr="008D24BA">
        <w:t xml:space="preserve"> </w:t>
      </w:r>
      <w:r>
        <w:t>время</w:t>
      </w:r>
      <w:r w:rsidRPr="008D24BA">
        <w:t xml:space="preserve"> </w:t>
      </w:r>
      <w:r>
        <w:t>самый</w:t>
      </w:r>
      <w:r w:rsidRPr="008D24BA">
        <w:t xml:space="preserve"> </w:t>
      </w:r>
      <w:r>
        <w:t>высокий</w:t>
      </w:r>
      <w:r w:rsidRPr="008D24BA">
        <w:t xml:space="preserve"> </w:t>
      </w:r>
      <w:r>
        <w:t>показатель числа продолжавших обучение и закончивших</w:t>
      </w:r>
      <w:r w:rsidRPr="008D24BA">
        <w:t xml:space="preserve"> </w:t>
      </w:r>
      <w:r>
        <w:t>начальную</w:t>
      </w:r>
      <w:r w:rsidRPr="008D24BA">
        <w:t xml:space="preserve"> </w:t>
      </w:r>
      <w:r>
        <w:t>школу</w:t>
      </w:r>
      <w:r w:rsidRPr="008D24BA">
        <w:t xml:space="preserve"> </w:t>
      </w:r>
      <w:r>
        <w:t>лиц наблюдался</w:t>
      </w:r>
      <w:r w:rsidRPr="008D24BA">
        <w:t xml:space="preserve"> </w:t>
      </w:r>
      <w:r>
        <w:t>в</w:t>
      </w:r>
      <w:r w:rsidRPr="008D24BA">
        <w:t xml:space="preserve"> </w:t>
      </w:r>
      <w:r>
        <w:t>Районе</w:t>
      </w:r>
      <w:r w:rsidRPr="008D24BA">
        <w:rPr>
          <w:lang w:val="en-US"/>
        </w:rPr>
        <w:t> </w:t>
      </w:r>
      <w:r>
        <w:rPr>
          <w:lang w:val="en-US"/>
        </w:rPr>
        <w:t>I</w:t>
      </w:r>
      <w:r w:rsidRPr="008D24BA">
        <w:t xml:space="preserve"> </w:t>
      </w:r>
      <w:r>
        <w:t>(Илокос) </w:t>
      </w:r>
      <w:r>
        <w:noBreakHyphen/>
        <w:t xml:space="preserve"> соответственно, 76,98% и 75,97%.  А самый</w:t>
      </w:r>
      <w:r w:rsidRPr="0006202E">
        <w:t xml:space="preserve"> </w:t>
      </w:r>
      <w:r>
        <w:t>высокий</w:t>
      </w:r>
      <w:r w:rsidRPr="0006202E">
        <w:t xml:space="preserve"> </w:t>
      </w:r>
      <w:r>
        <w:t>процент</w:t>
      </w:r>
      <w:r w:rsidRPr="0006202E">
        <w:t xml:space="preserve"> </w:t>
      </w:r>
      <w:r>
        <w:t>отсева</w:t>
      </w:r>
      <w:r w:rsidRPr="0006202E">
        <w:t xml:space="preserve"> </w:t>
      </w:r>
      <w:r>
        <w:t>учащихся</w:t>
      </w:r>
      <w:r w:rsidRPr="0006202E">
        <w:t xml:space="preserve"> </w:t>
      </w:r>
      <w:r>
        <w:t>был</w:t>
      </w:r>
      <w:r w:rsidRPr="0006202E">
        <w:t xml:space="preserve"> </w:t>
      </w:r>
      <w:r>
        <w:t>отмечен</w:t>
      </w:r>
      <w:r w:rsidRPr="0006202E">
        <w:t xml:space="preserve"> </w:t>
      </w:r>
      <w:r>
        <w:t>в</w:t>
      </w:r>
      <w:r w:rsidRPr="0006202E">
        <w:t xml:space="preserve"> </w:t>
      </w:r>
      <w:r>
        <w:t>Районе</w:t>
      </w:r>
      <w:r w:rsidRPr="008D24BA">
        <w:rPr>
          <w:lang w:val="en-US"/>
        </w:rPr>
        <w:t> </w:t>
      </w:r>
      <w:r>
        <w:rPr>
          <w:lang w:val="en-US"/>
        </w:rPr>
        <w:t>VII</w:t>
      </w:r>
      <w:r w:rsidRPr="0006202E">
        <w:t xml:space="preserve"> (</w:t>
      </w:r>
      <w:r>
        <w:t>Центральные</w:t>
      </w:r>
      <w:r w:rsidRPr="0006202E">
        <w:t xml:space="preserve"> </w:t>
      </w:r>
      <w:r>
        <w:t>Висайи</w:t>
      </w:r>
      <w:r w:rsidRPr="0006202E">
        <w:t>)</w:t>
      </w:r>
      <w:r w:rsidRPr="008D24BA">
        <w:rPr>
          <w:lang w:val="en-US"/>
        </w:rPr>
        <w:t> </w:t>
      </w:r>
      <w:r w:rsidRPr="0006202E">
        <w:noBreakHyphen/>
        <w:t xml:space="preserve"> 3</w:t>
      </w:r>
      <w:r>
        <w:t>,</w:t>
      </w:r>
      <w:r w:rsidRPr="0006202E">
        <w:t>27%.</w:t>
      </w:r>
    </w:p>
    <w:p w:rsidR="00D4715C" w:rsidRDefault="00D4715C" w:rsidP="00D4715C"/>
    <w:p w:rsidR="00D4715C" w:rsidRDefault="00D4715C" w:rsidP="00D4715C">
      <w:r w:rsidRPr="008D24BA">
        <w:t>888.</w:t>
      </w:r>
      <w:r w:rsidRPr="008D24BA">
        <w:tab/>
      </w:r>
      <w:r>
        <w:t>Данные</w:t>
      </w:r>
      <w:r w:rsidRPr="008D24BA">
        <w:t xml:space="preserve"> </w:t>
      </w:r>
      <w:r>
        <w:t>за</w:t>
      </w:r>
      <w:r w:rsidRPr="008D24BA">
        <w:t xml:space="preserve"> 2003</w:t>
      </w:r>
      <w:r>
        <w:t>/</w:t>
      </w:r>
      <w:r w:rsidRPr="008D24BA">
        <w:t>2004</w:t>
      </w:r>
      <w:r>
        <w:t> учебный год свидетельствуют о том, что в процентном отношении количество девочек, закончивших обучение, опережало количество мальчиков (66,86% против 57,76% в начальной школе и 63,7% против 48,77% в средней школе).</w:t>
      </w:r>
    </w:p>
    <w:p w:rsidR="00D4715C" w:rsidRDefault="00D4715C" w:rsidP="00D4715C"/>
    <w:p w:rsidR="00D4715C" w:rsidRDefault="00D4715C" w:rsidP="00D4715C">
      <w:r w:rsidRPr="008D24BA">
        <w:t>889.</w:t>
      </w:r>
      <w:r w:rsidRPr="008D24BA">
        <w:tab/>
      </w:r>
      <w:r>
        <w:t>Результаты</w:t>
      </w:r>
      <w:r w:rsidRPr="008D24BA">
        <w:t xml:space="preserve"> </w:t>
      </w:r>
      <w:r>
        <w:t>Ежегодного</w:t>
      </w:r>
      <w:r w:rsidRPr="008D24BA">
        <w:t xml:space="preserve"> </w:t>
      </w:r>
      <w:r>
        <w:t>обзора</w:t>
      </w:r>
      <w:r w:rsidRPr="008D24BA">
        <w:t xml:space="preserve"> </w:t>
      </w:r>
      <w:r>
        <w:t>показателей</w:t>
      </w:r>
      <w:r w:rsidRPr="008D24BA">
        <w:t xml:space="preserve"> </w:t>
      </w:r>
      <w:r>
        <w:t>нищеты</w:t>
      </w:r>
      <w:r w:rsidRPr="008D24BA">
        <w:t xml:space="preserve"> (</w:t>
      </w:r>
      <w:r>
        <w:t>ЕОПН</w:t>
      </w:r>
      <w:r w:rsidRPr="008D24BA">
        <w:t xml:space="preserve">) </w:t>
      </w:r>
      <w:r>
        <w:t>за</w:t>
      </w:r>
      <w:r w:rsidRPr="008D24BA">
        <w:t xml:space="preserve"> 2002</w:t>
      </w:r>
      <w:r w:rsidRPr="008D24BA">
        <w:rPr>
          <w:lang w:val="en-US"/>
        </w:rPr>
        <w:t> </w:t>
      </w:r>
      <w:r>
        <w:t>год, который также содержит полезные данные о школьном образовании, показали, что как в городских, так и в сельских районах школу посещало больше девочек, чем мальчиков (72% против 66%).  Среди причин непосещения школы мальчиками наиболее часто называлась необходимость получения средств к существованию (30%), отсутствие личного интереса (25%) и высокая стоимость образования (23%).  Соображения, связанные с трудоустройством (22%), также отмечались в качестве основной причины, препятствовавшей посещению школы девочками, за которыми следовали высокая стоимость образования (21%) и обязанности по ведению домашнего хозяйства (16%).</w:t>
      </w:r>
    </w:p>
    <w:p w:rsidR="00D4715C" w:rsidRDefault="00D4715C" w:rsidP="00D4715C"/>
    <w:p w:rsidR="00D4715C" w:rsidRPr="00F71205" w:rsidRDefault="00D4715C" w:rsidP="00D4715C">
      <w:pPr>
        <w:ind w:left="567" w:hanging="567"/>
        <w:rPr>
          <w:i/>
        </w:rPr>
      </w:pPr>
      <w:r w:rsidRPr="00F71205">
        <w:rPr>
          <w:i/>
        </w:rPr>
        <w:t>Статистические данные о среднем образовании</w:t>
      </w:r>
    </w:p>
    <w:p w:rsidR="00C9594D" w:rsidRDefault="00C9594D" w:rsidP="00C9594D"/>
    <w:p w:rsidR="001F10D7" w:rsidRDefault="001F10D7" w:rsidP="001F10D7">
      <w:r>
        <w:t>890.</w:t>
      </w:r>
      <w:r>
        <w:tab/>
        <w:t>В 2006/2007 учебном году в стране насчитывалось 8 059 государственных и частных средних школ.  Численность учащихся этих школ составляла 6,78 млн. человек, что на 1,69% превышает показатели 2000/2001 учебного года (5,8 млн. учащихся).</w:t>
      </w:r>
    </w:p>
    <w:p w:rsidR="001F10D7" w:rsidRDefault="001F10D7" w:rsidP="001F10D7"/>
    <w:p w:rsidR="001F10D7" w:rsidRDefault="001F10D7" w:rsidP="001F10D7">
      <w:r>
        <w:t>891.</w:t>
      </w:r>
      <w:r>
        <w:tab/>
        <w:t xml:space="preserve">Число лиц, продолжавших учебу в соответствующей возрастной группе, в соответствии с формулой </w:t>
      </w:r>
      <w:r>
        <w:rPr>
          <w:lang w:val="en-US"/>
        </w:rPr>
        <w:t>EFA</w:t>
      </w:r>
      <w:r w:rsidRPr="00C3294C">
        <w:t xml:space="preserve"> </w:t>
      </w:r>
      <w:r>
        <w:t>сократилось с 71,68% в 2000/2001 учебном году до 65,63% в 2002/2003 учебном году.  За этот же период число лиц, закончивших среднюю школу, также сократилось с 70,62% до 59,79%.  И наоборот, процент отсева учащихся (число бросивших учебу лиц) увеличился с 8,50% в 2000/2001 учебном году до 13,10% в 2002/2003 учебном году.</w:t>
      </w:r>
    </w:p>
    <w:p w:rsidR="001F10D7" w:rsidRDefault="001F10D7" w:rsidP="001F10D7"/>
    <w:p w:rsidR="001F10D7" w:rsidRPr="00F71205" w:rsidRDefault="001F10D7" w:rsidP="001F10D7">
      <w:pPr>
        <w:rPr>
          <w:i/>
        </w:rPr>
      </w:pPr>
      <w:r w:rsidRPr="00F71205">
        <w:rPr>
          <w:i/>
        </w:rPr>
        <w:t>Статистические данные о высшем образовании</w:t>
      </w:r>
    </w:p>
    <w:p w:rsidR="001F10D7" w:rsidRDefault="001F10D7" w:rsidP="001F10D7">
      <w:pPr>
        <w:rPr>
          <w:u w:val="single"/>
        </w:rPr>
      </w:pPr>
    </w:p>
    <w:p w:rsidR="001F10D7" w:rsidRDefault="001F10D7" w:rsidP="001F10D7">
      <w:r>
        <w:t>892.</w:t>
      </w:r>
      <w:r>
        <w:tab/>
        <w:t>Среднее число студентов высших учебных заведений за последние 11 академических лет с 1994/1995 года по 2004/2005 учебный год составляет 2 256 248 человек.  По отношению к численности населения страны, оцениваемой в 88 млн. человек, студенты высших учебных заведений составляют 2,8%.</w:t>
      </w:r>
    </w:p>
    <w:p w:rsidR="001F10D7" w:rsidRDefault="001F10D7" w:rsidP="001F10D7"/>
    <w:p w:rsidR="001F10D7" w:rsidRDefault="001F10D7" w:rsidP="001F10D7">
      <w:r>
        <w:t>893.</w:t>
      </w:r>
      <w:r>
        <w:tab/>
        <w:t xml:space="preserve">Программы неполного и полного курса обучения, предлагаемые высшими учебными заведениями страны, можно разделить на 20 групп предметов или областей знаний:  i)  сельское, лесное и рыбное хозяйства и ветеринария;  ii)  архитектура и городское планирование;  iii)  основы бизнеса и управления;  </w:t>
      </w:r>
      <w:r>
        <w:rPr>
          <w:lang w:val="en-US"/>
        </w:rPr>
        <w:t>iv</w:t>
      </w:r>
      <w:r>
        <w:t xml:space="preserve">)  образование и профессиональная подготовка преподавателей;  </w:t>
      </w:r>
      <w:r>
        <w:rPr>
          <w:lang w:val="en-US"/>
        </w:rPr>
        <w:t>v</w:t>
      </w:r>
      <w:r>
        <w:t xml:space="preserve">)  инженерно-технические предметы;  </w:t>
      </w:r>
      <w:r>
        <w:rPr>
          <w:lang w:val="en-US"/>
        </w:rPr>
        <w:t>vi</w:t>
      </w:r>
      <w:r>
        <w:t xml:space="preserve">)  изобразительное и прикладное искусство;  </w:t>
      </w:r>
      <w:r>
        <w:rPr>
          <w:lang w:val="en-US"/>
        </w:rPr>
        <w:t>vii</w:t>
      </w:r>
      <w:r>
        <w:t xml:space="preserve">)  общеобразовательная подготовка;  </w:t>
      </w:r>
      <w:r>
        <w:rPr>
          <w:lang w:val="en-US"/>
        </w:rPr>
        <w:t>viii</w:t>
      </w:r>
      <w:r>
        <w:t xml:space="preserve">)  национальная экономика;  </w:t>
      </w:r>
      <w:r>
        <w:rPr>
          <w:lang w:val="en-US"/>
        </w:rPr>
        <w:t>ix</w:t>
      </w:r>
      <w:r>
        <w:t xml:space="preserve">)  гуманитарные науки;  </w:t>
      </w:r>
      <w:r>
        <w:rPr>
          <w:lang w:val="en-US"/>
        </w:rPr>
        <w:t>x</w:t>
      </w:r>
      <w:r>
        <w:t xml:space="preserve">)  информационные технологии;  </w:t>
      </w:r>
      <w:r>
        <w:rPr>
          <w:lang w:val="en-US"/>
        </w:rPr>
        <w:t>xi</w:t>
      </w:r>
      <w:r>
        <w:t xml:space="preserve">)  право и юриспруденция;  </w:t>
      </w:r>
      <w:r>
        <w:rPr>
          <w:lang w:val="en-US"/>
        </w:rPr>
        <w:t>xii</w:t>
      </w:r>
      <w:r>
        <w:t xml:space="preserve">)  морское дело;  </w:t>
      </w:r>
      <w:r>
        <w:rPr>
          <w:lang w:val="en-US"/>
        </w:rPr>
        <w:t>xiii</w:t>
      </w:r>
      <w:r>
        <w:t xml:space="preserve">)  средства массовой информации и документации;  </w:t>
      </w:r>
      <w:r>
        <w:rPr>
          <w:lang w:val="en-US"/>
        </w:rPr>
        <w:t>xiv</w:t>
      </w:r>
      <w:r>
        <w:t xml:space="preserve">)  математика;  </w:t>
      </w:r>
      <w:r>
        <w:rPr>
          <w:lang w:val="en-US"/>
        </w:rPr>
        <w:t>xv</w:t>
      </w:r>
      <w:r>
        <w:t xml:space="preserve">)  медицина и смежные науки;  </w:t>
      </w:r>
      <w:r>
        <w:rPr>
          <w:lang w:val="en-US"/>
        </w:rPr>
        <w:t>xvi</w:t>
      </w:r>
      <w:r>
        <w:t xml:space="preserve">)  естественные науки;  </w:t>
      </w:r>
      <w:r>
        <w:rPr>
          <w:lang w:val="en-US"/>
        </w:rPr>
        <w:t>xvii</w:t>
      </w:r>
      <w:r>
        <w:t xml:space="preserve">)  религия и теология;  </w:t>
      </w:r>
      <w:r>
        <w:rPr>
          <w:lang w:val="en-US"/>
        </w:rPr>
        <w:t>xviii</w:t>
      </w:r>
      <w:r>
        <w:t xml:space="preserve">)  сфера обслуживания;  </w:t>
      </w:r>
      <w:r>
        <w:rPr>
          <w:lang w:val="en-US"/>
        </w:rPr>
        <w:t>xix</w:t>
      </w:r>
      <w:r>
        <w:t xml:space="preserve">)  социальные и поведенческие науки;  </w:t>
      </w:r>
      <w:r>
        <w:rPr>
          <w:lang w:val="en-US"/>
        </w:rPr>
        <w:t>xx</w:t>
      </w:r>
      <w:r>
        <w:t>)  торговля, ремесленничество и промышленное производство.</w:t>
      </w:r>
    </w:p>
    <w:p w:rsidR="001F10D7" w:rsidRDefault="001F10D7" w:rsidP="001F10D7"/>
    <w:p w:rsidR="001F10D7" w:rsidRDefault="001F10D7" w:rsidP="001F10D7">
      <w:r>
        <w:t>894.</w:t>
      </w:r>
      <w:r>
        <w:tab/>
        <w:t>Число учащихся является высоким на курсах медицины и смежных наук, образования и профессиональной подготовки преподавателей, бизнеса, управления и администрации и сопутствующих областей, инженерных наук и информационных технологий.  В настоящее время в связи с возросшим спросом за рубежом все большей популярностью пользуется программа подготовки вспомогательного медицинского персонала.</w:t>
      </w:r>
    </w:p>
    <w:p w:rsidR="001F10D7" w:rsidRDefault="001F10D7" w:rsidP="001F10D7"/>
    <w:p w:rsidR="001F10D7" w:rsidRDefault="001F10D7" w:rsidP="001F10D7">
      <w:r>
        <w:t>895.</w:t>
      </w:r>
      <w:r>
        <w:tab/>
        <w:t>В настоящее время показатель числа лиц, продолжающих обучение в колледже с первого по четвертый курс, колеблется в пределах 20% и 22%.  В частных школах этот показатель гораздо ниже, чем в государственных.</w:t>
      </w:r>
    </w:p>
    <w:p w:rsidR="001F10D7" w:rsidRDefault="001F10D7" w:rsidP="001F10D7"/>
    <w:p w:rsidR="001F10D7" w:rsidRPr="00F71205" w:rsidRDefault="001F10D7" w:rsidP="001F10D7">
      <w:pPr>
        <w:rPr>
          <w:i/>
        </w:rPr>
      </w:pPr>
      <w:r w:rsidRPr="00F71205">
        <w:rPr>
          <w:i/>
        </w:rPr>
        <w:t>Политика и программы правительства в целях поощрения образования на всех уровнях</w:t>
      </w:r>
    </w:p>
    <w:p w:rsidR="001F10D7" w:rsidRDefault="001F10D7" w:rsidP="001F10D7">
      <w:pPr>
        <w:rPr>
          <w:u w:val="single"/>
        </w:rPr>
      </w:pPr>
    </w:p>
    <w:p w:rsidR="001F10D7" w:rsidRDefault="001F10D7" w:rsidP="001F10D7">
      <w:r>
        <w:t>896.</w:t>
      </w:r>
      <w:r>
        <w:tab/>
        <w:t>В целях расширения доступа к высшему образованию, а также повышения его качества и эффективности в структуру и программы высших учебных заведений был внесен ряд изменений.</w:t>
      </w:r>
    </w:p>
    <w:p w:rsidR="001F10D7" w:rsidRDefault="001F10D7" w:rsidP="001F10D7"/>
    <w:p w:rsidR="001F10D7" w:rsidRDefault="001F10D7" w:rsidP="001F10D7">
      <w:r>
        <w:t>897.</w:t>
      </w:r>
      <w:r>
        <w:tab/>
        <w:t>В течение многих лет административные, надзорные и контрольные функции в области образования лежали на одном единственном государственном учреждении, именовавшемся тогда министерством образования, культуры и спорта</w:t>
      </w:r>
      <w:r>
        <w:rPr>
          <w:rStyle w:val="FootnoteReference"/>
        </w:rPr>
        <w:footnoteReference w:id="54"/>
      </w:r>
      <w:r>
        <w:t>.  Однако практически все усилия этого министерства были направлены в основном на обеспечение базового образования.</w:t>
      </w:r>
    </w:p>
    <w:p w:rsidR="001F10D7" w:rsidRDefault="001F10D7" w:rsidP="001F10D7"/>
    <w:p w:rsidR="001F10D7" w:rsidRDefault="001F10D7" w:rsidP="001F10D7">
      <w:r>
        <w:t>898.</w:t>
      </w:r>
      <w:r>
        <w:tab/>
        <w:t>В 1991 году в соответствии с решением конгресса специально созданная комиссия  подготовила доклад о положении в области образования, в котором рекомендовалось реорганизовать всю систему управления образованием.  Этот доклад дал конгрессу основание для принятия РЗ № 7722 и РЗ № 7796, в соответствии с которыми в 1994 году были созданы Комиссия по делам высшего образования (КВО) и Управление по техническому образованию и развитию навыков (УТОРН).</w:t>
      </w:r>
    </w:p>
    <w:p w:rsidR="001F10D7" w:rsidRDefault="001F10D7" w:rsidP="001F10D7"/>
    <w:p w:rsidR="001F10D7" w:rsidRDefault="001F10D7" w:rsidP="001F10D7">
      <w:r>
        <w:t>899.</w:t>
      </w:r>
      <w:r>
        <w:tab/>
        <w:t>В результате создания трех центров управления системой образования министерство образования сосредоточилось только на вопросах администрации, надзора и регулирования системы базового образования (начального и среднего).  КВО как учреждение в ранге министерства, входящее в сферу компетенции администрации президента, осуществляет надзор за сектором высшего образования.  Сосредоточивая внимание на руководстве системой образования и направлениях политики в области государственных и частных высших учебных заведений, КВО осуществляет контроль и проводит оценку программ этих учреждений, разрабатывает и осуществляет планы развития, стратегии и нормативы, а также реализует экспериментальные программы и проекты в области высшего образования.  В свою очередь, УТОРН, как учреждение, входящее в систему министерства труда и занятости, осуществляет надзор за послесредним профессионально-техническим образованием, включая профориентацию, профессиональную подготовку и обучение не посещающих школу молодежи и взрослых.</w:t>
      </w:r>
    </w:p>
    <w:p w:rsidR="001F10D7" w:rsidRDefault="001F10D7" w:rsidP="001F10D7">
      <w:pPr>
        <w:ind w:left="567"/>
      </w:pPr>
    </w:p>
    <w:p w:rsidR="001F10D7" w:rsidRDefault="001F10D7" w:rsidP="001F10D7">
      <w:r>
        <w:t>900.</w:t>
      </w:r>
      <w:r>
        <w:tab/>
        <w:t>На основании Кодекса законов об органах местного самоуправления 1991 года органам местного самоуправления (ОМС) был предоставлен гораздо больший объем ресурсов для обеспечения функционирования начальных и средних школ.  ОМС получили большую автономию в области расходования средств, в основном за счет доли отчислений от государственных доходов и расширения их полномочий в области формирования и мобилизации ресурсов.  Вместе с тем гораздо более важным, чем расширение возможностей увеличения объема расходов на образование, явилось то, что этот закон приблизил систему образования к его главным субъектам, возложив на них еще большую, чем прежде, ответственность за перспективы развития образования в соответствующих общинах.</w:t>
      </w:r>
    </w:p>
    <w:p w:rsidR="001F10D7" w:rsidRDefault="001F10D7" w:rsidP="001F10D7">
      <w:pPr>
        <w:ind w:left="567" w:hanging="567"/>
      </w:pPr>
    </w:p>
    <w:p w:rsidR="001F10D7" w:rsidRDefault="001F10D7" w:rsidP="001F10D7">
      <w:r>
        <w:t>901.</w:t>
      </w:r>
      <w:r>
        <w:tab/>
        <w:t>В частности, этим законом предусмотрено создание Специального фонда образования (СФО) в финансовом департаменте каждой провинции, города или муниципалитета.  СФО формируется из соответствующей доли провинций, городов и барангаев от общей суммы дополнительного налога на недвижимость, эквивалентного 1%.  В соответствии со статьей 272 Кодекса законов об органах местного самоуправления налоговые поступления должны направляться на деятельность и содержание государственных школ, строительство и ремонт школьных зданий, помещений и оборудования, проведение исследований в сфере образования, приобретение книг и периодических изданий, а также на проведение спортивных мероприятий, планируемых и утверждаемых местными школьными советами.</w:t>
      </w:r>
    </w:p>
    <w:p w:rsidR="001F10D7" w:rsidRDefault="001F10D7" w:rsidP="001F10D7">
      <w:pPr>
        <w:ind w:left="567" w:hanging="567"/>
      </w:pPr>
    </w:p>
    <w:p w:rsidR="001F10D7" w:rsidRDefault="001F10D7" w:rsidP="001F10D7">
      <w:r>
        <w:t>902.</w:t>
      </w:r>
      <w:r>
        <w:tab/>
        <w:t>Дальнейшее развитие получили партнерские отношения между школой и заинтересованными сторонами, включая общины, родителей, органы местного самоуправления, неправительственные организации и деловые круги.</w:t>
      </w:r>
    </w:p>
    <w:p w:rsidR="001F10D7" w:rsidRDefault="001F10D7" w:rsidP="001F10D7">
      <w:pPr>
        <w:ind w:left="567" w:hanging="567"/>
      </w:pPr>
    </w:p>
    <w:p w:rsidR="001F10D7" w:rsidRPr="00F71205" w:rsidRDefault="001F10D7" w:rsidP="00FB7F7B">
      <w:pPr>
        <w:keepNext/>
        <w:ind w:left="567" w:hanging="567"/>
        <w:rPr>
          <w:i/>
        </w:rPr>
      </w:pPr>
      <w:r w:rsidRPr="00F71205">
        <w:rPr>
          <w:i/>
        </w:rPr>
        <w:t>Начальное образование</w:t>
      </w:r>
    </w:p>
    <w:p w:rsidR="001F10D7" w:rsidRDefault="001F10D7" w:rsidP="00FB7F7B">
      <w:pPr>
        <w:keepNext/>
        <w:ind w:left="567" w:hanging="567"/>
        <w:rPr>
          <w:u w:val="single"/>
        </w:rPr>
      </w:pPr>
    </w:p>
    <w:p w:rsidR="001F10D7" w:rsidRDefault="001F10D7" w:rsidP="001F10D7">
      <w:r>
        <w:t>903.</w:t>
      </w:r>
      <w:r>
        <w:tab/>
        <w:t>В 1995/96 учебном году министерство образования понизило возраст для поступления в первый класс до шести с половиной лет, а в следующем учебном году – до шести лет.  Чтобы иметь больше времени для планирования необходимого числа учителей, классных помещений и учебников, МО учредило Национальный день первоклассников (НДП) для детей, которым к началу учебного года должно исполниться шесть с половиной лет (впоследствии шесть лет).  НДП проводится в последний понедельник января каждого года.</w:t>
      </w:r>
    </w:p>
    <w:p w:rsidR="001F10D7" w:rsidRDefault="001F10D7" w:rsidP="001F10D7">
      <w:pPr>
        <w:ind w:left="567" w:hanging="567"/>
      </w:pPr>
    </w:p>
    <w:p w:rsidR="001F10D7" w:rsidRDefault="001F10D7" w:rsidP="001F10D7">
      <w:r>
        <w:t>904.</w:t>
      </w:r>
      <w:r>
        <w:tab/>
        <w:t xml:space="preserve">В деле выполнения задач по улучшению доступа к начальному образованию и повышению его качества МО опирается на </w:t>
      </w:r>
      <w:r>
        <w:rPr>
          <w:i/>
        </w:rPr>
        <w:t>Многоступенчатую программу образования на Филиппинах</w:t>
      </w:r>
      <w:r>
        <w:t xml:space="preserve"> (МПОФ), которая включает несколько компонентов</w:t>
      </w:r>
      <w:r>
        <w:rPr>
          <w:rStyle w:val="FootnoteReference"/>
        </w:rPr>
        <w:footnoteReference w:id="55"/>
      </w:r>
      <w:r>
        <w:t>.</w:t>
      </w:r>
    </w:p>
    <w:p w:rsidR="00F26757" w:rsidRDefault="00F26757" w:rsidP="00F26757"/>
    <w:p w:rsidR="00F26757" w:rsidRDefault="00FB7F7B" w:rsidP="00F26757">
      <w:r>
        <w:br w:type="page"/>
      </w:r>
      <w:r w:rsidR="00F26757">
        <w:t>905.</w:t>
      </w:r>
      <w:r w:rsidR="00F26757">
        <w:tab/>
        <w:t>Министерство образования осуществляет и многие другие программы, направленные на улучшение доступа к начальному образованию и повышение его качества</w:t>
      </w:r>
      <w:r w:rsidR="00F26757">
        <w:rPr>
          <w:rStyle w:val="FootnoteReference"/>
        </w:rPr>
        <w:footnoteReference w:id="56"/>
      </w:r>
      <w:r w:rsidR="00F26757">
        <w:t>.</w:t>
      </w:r>
    </w:p>
    <w:p w:rsidR="00F26757" w:rsidRDefault="00F26757" w:rsidP="00F26757"/>
    <w:p w:rsidR="00F26757" w:rsidRDefault="00F26757" w:rsidP="00F26757">
      <w:r>
        <w:t>906.</w:t>
      </w:r>
      <w:r>
        <w:tab/>
        <w:t>Министерство образования также издало ряд директив с целью активизации конкретных мер, направленных на повышение эффективности школ</w:t>
      </w:r>
      <w:r>
        <w:rPr>
          <w:rStyle w:val="FootnoteReference"/>
        </w:rPr>
        <w:footnoteReference w:id="57"/>
      </w:r>
      <w:r>
        <w:t>.</w:t>
      </w:r>
    </w:p>
    <w:p w:rsidR="00F26757" w:rsidRDefault="00F26757" w:rsidP="00F26757"/>
    <w:p w:rsidR="00F26757" w:rsidRPr="00F71205" w:rsidRDefault="00F26757" w:rsidP="00F26757">
      <w:pPr>
        <w:rPr>
          <w:i/>
        </w:rPr>
      </w:pPr>
      <w:r w:rsidRPr="00F71205">
        <w:rPr>
          <w:i/>
        </w:rPr>
        <w:t>Среднее образование</w:t>
      </w:r>
    </w:p>
    <w:p w:rsidR="00F26757" w:rsidRDefault="00F26757" w:rsidP="00F26757">
      <w:pPr>
        <w:rPr>
          <w:u w:val="single"/>
        </w:rPr>
      </w:pPr>
    </w:p>
    <w:p w:rsidR="00F26757" w:rsidRDefault="00F26757" w:rsidP="00F26757">
      <w:r>
        <w:t>907.</w:t>
      </w:r>
      <w:r>
        <w:tab/>
        <w:t xml:space="preserve">С целью повышения готовности выпускников начальной школы к переходу в среднюю школу министерство образования приняло соответствующую факультативную программу, в соответствии с которой учащиеся, планирующие записаться на первый курс обучения в государственные средние школы, должны пройти тест или сдать квалификационный экзамен.  В зависимости от его результатов они либо учатся по действующей программе первого года обучения в средней школе, либо выбирают пятилетнюю переходную учебную программу, ориентированную на изучение английского языка, естественных наук и математики. </w:t>
      </w:r>
    </w:p>
    <w:p w:rsidR="00F26757" w:rsidRDefault="00F26757" w:rsidP="00F26757"/>
    <w:p w:rsidR="00F26757" w:rsidRDefault="00FB7F7B" w:rsidP="00F26757">
      <w:r>
        <w:br w:type="page"/>
      </w:r>
      <w:r w:rsidR="00F26757">
        <w:t>908.</w:t>
      </w:r>
      <w:r w:rsidR="00F26757">
        <w:tab/>
        <w:t>Министерство образования также приняло несколько программ, направленных на предоставление учащимся средних школ возможности получить среднее образование</w:t>
      </w:r>
      <w:r w:rsidR="00F26757">
        <w:rPr>
          <w:rStyle w:val="FootnoteReference"/>
        </w:rPr>
        <w:footnoteReference w:id="58"/>
      </w:r>
      <w:r w:rsidR="00F26757">
        <w:t>.</w:t>
      </w:r>
    </w:p>
    <w:p w:rsidR="00F26757" w:rsidRDefault="00F26757" w:rsidP="00F26757"/>
    <w:p w:rsidR="00F26757" w:rsidRPr="00F71205" w:rsidRDefault="00F26757" w:rsidP="00F26757">
      <w:pPr>
        <w:rPr>
          <w:i/>
        </w:rPr>
      </w:pPr>
      <w:r w:rsidRPr="00F71205">
        <w:rPr>
          <w:i/>
        </w:rPr>
        <w:t>Высшее образование</w:t>
      </w:r>
    </w:p>
    <w:p w:rsidR="00F26757" w:rsidRDefault="00F26757" w:rsidP="00F26757"/>
    <w:p w:rsidR="00F26757" w:rsidRDefault="00F26757" w:rsidP="00F26757">
      <w:r>
        <w:t>909.</w:t>
      </w:r>
      <w:r>
        <w:tab/>
        <w:t>Зная о проблемах, существующих в системе высшего образования страны, КВО осуществляет различные инициативы и стратегии с целью улучшения положения в этой сфере.  Большинство этих программ и проектов финансируется из Фонда развития высшего образования с учетом четырех упомянутых выше главных целей, а именно:  высокое качество и мастерство;  актуальность и гибкое реагирование;  доступность и равенство;  и результативность и эффективность.</w:t>
      </w:r>
    </w:p>
    <w:p w:rsidR="00F26757" w:rsidRDefault="00F26757" w:rsidP="00F26757"/>
    <w:p w:rsidR="00F26757" w:rsidRDefault="00F26757" w:rsidP="00F26757">
      <w:r>
        <w:t>910.</w:t>
      </w:r>
      <w:r>
        <w:tab/>
        <w:t>В настоящее время в стране осуществляется целый ряд программ и инициатив реорганизационного характера, направленных на расширение доступа к высшему образованию</w:t>
      </w:r>
      <w:r>
        <w:rPr>
          <w:rStyle w:val="FootnoteReference"/>
        </w:rPr>
        <w:footnoteReference w:id="59"/>
      </w:r>
      <w:r>
        <w:t>.</w:t>
      </w:r>
    </w:p>
    <w:p w:rsidR="00F26757" w:rsidRDefault="00F26757" w:rsidP="00F26757"/>
    <w:p w:rsidR="00F26757" w:rsidRDefault="00F26757" w:rsidP="00F26757">
      <w:pPr>
        <w:tabs>
          <w:tab w:val="clear" w:pos="1701"/>
          <w:tab w:val="left" w:pos="1496"/>
        </w:tabs>
        <w:ind w:left="1496" w:hanging="1496"/>
      </w:pPr>
      <w:r w:rsidRPr="00215530">
        <w:rPr>
          <w:b/>
        </w:rPr>
        <w:t>Вопрос № 4.</w:t>
      </w:r>
      <w:r>
        <w:rPr>
          <w:b/>
        </w:rPr>
        <w:tab/>
      </w:r>
      <w:r w:rsidRPr="00215530">
        <w:rPr>
          <w:b/>
        </w:rPr>
        <w:t xml:space="preserve">Бюджет </w:t>
      </w:r>
      <w:r>
        <w:rPr>
          <w:b/>
        </w:rPr>
        <w:t xml:space="preserve">системы </w:t>
      </w:r>
      <w:r w:rsidRPr="00215530">
        <w:rPr>
          <w:b/>
        </w:rPr>
        <w:t xml:space="preserve">образования, школьная система, состояние классных </w:t>
      </w:r>
      <w:r>
        <w:rPr>
          <w:b/>
        </w:rPr>
        <w:t>комнат</w:t>
      </w:r>
    </w:p>
    <w:p w:rsidR="00F26757" w:rsidRDefault="00F26757" w:rsidP="00F26757"/>
    <w:p w:rsidR="00F26757" w:rsidRPr="00F71205" w:rsidRDefault="00F26757" w:rsidP="00F26757">
      <w:pPr>
        <w:rPr>
          <w:i/>
        </w:rPr>
      </w:pPr>
      <w:r w:rsidRPr="00F71205">
        <w:rPr>
          <w:i/>
        </w:rPr>
        <w:t>Бюджет системы образования</w:t>
      </w:r>
    </w:p>
    <w:p w:rsidR="00F26757" w:rsidRDefault="00F26757" w:rsidP="00F26757"/>
    <w:p w:rsidR="00F26757" w:rsidRDefault="00F26757" w:rsidP="00F26757">
      <w:r w:rsidRPr="00215530">
        <w:t>911.</w:t>
      </w:r>
      <w:r w:rsidRPr="00215530">
        <w:tab/>
        <w:t xml:space="preserve">Сектор образования получает самые большие бюджетные ассигнования в размере около 112 млрд. </w:t>
      </w:r>
      <w:r>
        <w:t>ФП (</w:t>
      </w:r>
      <w:r w:rsidRPr="00215530">
        <w:t>12,35% бюджета филиппинского правительства на 2005 год</w:t>
      </w:r>
      <w:r>
        <w:t>)</w:t>
      </w:r>
      <w:r w:rsidRPr="00215530">
        <w:t xml:space="preserve">.  88,11% этой суммы </w:t>
      </w:r>
      <w:r>
        <w:t xml:space="preserve">было </w:t>
      </w:r>
      <w:r w:rsidRPr="00215530">
        <w:t>ассигн</w:t>
      </w:r>
      <w:r>
        <w:t>овано</w:t>
      </w:r>
      <w:r w:rsidRPr="00215530">
        <w:t xml:space="preserve"> на оплату труда работников образования, 7,79% - на </w:t>
      </w:r>
      <w:r>
        <w:t>эксплуатационные</w:t>
      </w:r>
      <w:r w:rsidRPr="00215530">
        <w:t xml:space="preserve"> и другие оперативные расходы и 4,10% </w:t>
      </w:r>
      <w:r>
        <w:t xml:space="preserve">- </w:t>
      </w:r>
      <w:r w:rsidRPr="00215530">
        <w:t>на капитальные затраты.</w:t>
      </w:r>
    </w:p>
    <w:p w:rsidR="00F26757" w:rsidRDefault="00F26757" w:rsidP="00F26757"/>
    <w:p w:rsidR="00F26757" w:rsidRDefault="00F26757" w:rsidP="00F26757">
      <w:r w:rsidRPr="00215530">
        <w:t>912.</w:t>
      </w:r>
      <w:r w:rsidRPr="00215530">
        <w:tab/>
        <w:t xml:space="preserve">В последние 10 лет, </w:t>
      </w:r>
      <w:r>
        <w:t xml:space="preserve">с </w:t>
      </w:r>
      <w:r w:rsidRPr="00215530">
        <w:t>1995</w:t>
      </w:r>
      <w:r>
        <w:t xml:space="preserve"> по </w:t>
      </w:r>
      <w:r w:rsidRPr="00215530">
        <w:t>2005 год, бюджет министерства образования увеличивался ежегодно в среднем на 7,18%</w:t>
      </w:r>
      <w:r>
        <w:t>, а в</w:t>
      </w:r>
      <w:r w:rsidRPr="00215530">
        <w:t xml:space="preserve"> 2002-2004 годах расходы правительства на образование увеличивались ежегодно в среднем на 4,5% в год.  В 2004 году бюджет </w:t>
      </w:r>
      <w:r>
        <w:t xml:space="preserve">системы </w:t>
      </w:r>
      <w:r w:rsidRPr="00215530">
        <w:t xml:space="preserve">общего образования </w:t>
      </w:r>
      <w:r>
        <w:t>вырос</w:t>
      </w:r>
      <w:r w:rsidRPr="00215530">
        <w:t xml:space="preserve"> на 10</w:t>
      </w:r>
      <w:r>
        <w:t>0</w:t>
      </w:r>
      <w:r w:rsidRPr="00215530">
        <w:t xml:space="preserve">,8 млрд. </w:t>
      </w:r>
      <w:r>
        <w:t>ФП</w:t>
      </w:r>
      <w:r w:rsidRPr="00215530">
        <w:t xml:space="preserve">, или почти на 11%, по сравнению с уровнем 2001 года (98,2 млрд.).  89% бюджета </w:t>
      </w:r>
      <w:r>
        <w:t>тратится</w:t>
      </w:r>
      <w:r w:rsidRPr="00215530">
        <w:t xml:space="preserve"> на зарплату и другие </w:t>
      </w:r>
      <w:r>
        <w:t>выплаты</w:t>
      </w:r>
      <w:r w:rsidRPr="00215530">
        <w:t xml:space="preserve"> персонал</w:t>
      </w:r>
      <w:r>
        <w:t>у</w:t>
      </w:r>
      <w:r w:rsidRPr="00215530">
        <w:t xml:space="preserve">, а расходы на цели развития (например, </w:t>
      </w:r>
      <w:r>
        <w:t xml:space="preserve">участие в </w:t>
      </w:r>
      <w:r w:rsidRPr="00215530">
        <w:t>программ</w:t>
      </w:r>
      <w:r>
        <w:t>ах</w:t>
      </w:r>
      <w:r w:rsidRPr="00215530">
        <w:t xml:space="preserve"> повышения квалификации, приобретение учебных материалов, осуществление институционального надзора) покрываются из </w:t>
      </w:r>
      <w:r>
        <w:t>средств</w:t>
      </w:r>
      <w:r w:rsidRPr="00215530">
        <w:t xml:space="preserve">, </w:t>
      </w:r>
      <w:r>
        <w:t>выделяемых</w:t>
      </w:r>
      <w:r w:rsidRPr="00215530">
        <w:t xml:space="preserve"> на </w:t>
      </w:r>
      <w:r>
        <w:t>эксплуатационные</w:t>
      </w:r>
      <w:r w:rsidRPr="00215530">
        <w:t xml:space="preserve"> и другие оперативные расходы</w:t>
      </w:r>
      <w:r>
        <w:t>, составляющие всего</w:t>
      </w:r>
      <w:r w:rsidRPr="00215530">
        <w:t xml:space="preserve"> 7%.  </w:t>
      </w:r>
      <w:r>
        <w:t>О</w:t>
      </w:r>
      <w:r w:rsidRPr="00215530">
        <w:t xml:space="preserve">снащение классных </w:t>
      </w:r>
      <w:r>
        <w:t>комнат</w:t>
      </w:r>
      <w:r w:rsidRPr="00215530">
        <w:t xml:space="preserve"> и приобретение учебного оборудования, включая компьютеры, обеспечива</w:t>
      </w:r>
      <w:r>
        <w:t>е</w:t>
      </w:r>
      <w:r w:rsidRPr="00215530">
        <w:t xml:space="preserve">тся по </w:t>
      </w:r>
      <w:r>
        <w:t>статье</w:t>
      </w:r>
      <w:r w:rsidRPr="00215530">
        <w:t xml:space="preserve"> капитальных затрат в пределах 4%.</w:t>
      </w:r>
    </w:p>
    <w:p w:rsidR="00F26757" w:rsidRDefault="00F26757" w:rsidP="00F26757"/>
    <w:p w:rsidR="00F26757" w:rsidRDefault="00F26757" w:rsidP="00F26757">
      <w:r w:rsidRPr="00215530">
        <w:t>913.</w:t>
      </w:r>
      <w:r w:rsidRPr="00215530">
        <w:tab/>
        <w:t>Вместе с тем</w:t>
      </w:r>
      <w:r>
        <w:t>,</w:t>
      </w:r>
      <w:r w:rsidRPr="00215530">
        <w:t xml:space="preserve"> </w:t>
      </w:r>
      <w:r>
        <w:t>з</w:t>
      </w:r>
      <w:r w:rsidRPr="00215530">
        <w:t>а период 2003</w:t>
      </w:r>
      <w:r>
        <w:t>-</w:t>
      </w:r>
      <w:r w:rsidRPr="00215530">
        <w:t>2005 год</w:t>
      </w:r>
      <w:r>
        <w:t xml:space="preserve">ов </w:t>
      </w:r>
      <w:r w:rsidRPr="00215530">
        <w:t xml:space="preserve">доля образования в общих расходах государства сократилась с 13,24% до 12,35%.  Кроме того, сумма, расходуемая на одного </w:t>
      </w:r>
      <w:r>
        <w:t>ученика</w:t>
      </w:r>
      <w:r w:rsidRPr="00215530">
        <w:t xml:space="preserve"> в год (приблизительно 150 долл. США) является одной из самых маленьких в регионе (</w:t>
      </w:r>
      <w:r>
        <w:t>по</w:t>
      </w:r>
      <w:r w:rsidRPr="00215530">
        <w:t xml:space="preserve"> сравнени</w:t>
      </w:r>
      <w:r>
        <w:t>ю</w:t>
      </w:r>
      <w:r w:rsidRPr="00215530">
        <w:t>, например, с 950 долл. США на ребенка в Таиланде).</w:t>
      </w:r>
    </w:p>
    <w:p w:rsidR="006C60E8" w:rsidRDefault="006C60E8" w:rsidP="006C60E8">
      <w:pPr>
        <w:rPr>
          <w:lang w:val="en-US"/>
        </w:rPr>
      </w:pPr>
    </w:p>
    <w:p w:rsidR="006C60E8" w:rsidRDefault="006C60E8" w:rsidP="006C60E8">
      <w:r w:rsidRPr="00842FD6">
        <w:t>914.</w:t>
      </w:r>
      <w:r w:rsidRPr="00842FD6">
        <w:tab/>
        <w:t>Сектор начального образования продолжает поглощать наибольшую часть бюджет</w:t>
      </w:r>
      <w:r>
        <w:t>ных</w:t>
      </w:r>
      <w:r w:rsidRPr="00842FD6">
        <w:t xml:space="preserve"> </w:t>
      </w:r>
      <w:r>
        <w:t>ассигнований</w:t>
      </w:r>
      <w:r w:rsidRPr="00842FD6">
        <w:t xml:space="preserve"> в соответствии с </w:t>
      </w:r>
      <w:r>
        <w:t>политикой</w:t>
      </w:r>
      <w:r w:rsidRPr="00842FD6">
        <w:t xml:space="preserve"> правительства</w:t>
      </w:r>
      <w:r>
        <w:t>, направленной</w:t>
      </w:r>
      <w:r w:rsidRPr="00842FD6">
        <w:t xml:space="preserve"> на обеспечение бесплатного и обязательного начального образования.</w:t>
      </w:r>
    </w:p>
    <w:p w:rsidR="006C60E8" w:rsidRDefault="006C60E8" w:rsidP="006C60E8"/>
    <w:p w:rsidR="006C60E8" w:rsidRDefault="006C60E8" w:rsidP="00F71205">
      <w:r w:rsidRPr="00842FD6">
        <w:t>915.</w:t>
      </w:r>
      <w:r w:rsidRPr="00842FD6">
        <w:tab/>
      </w:r>
      <w:r>
        <w:t>В</w:t>
      </w:r>
      <w:r w:rsidRPr="00842FD6">
        <w:t xml:space="preserve"> 2005</w:t>
      </w:r>
      <w:r w:rsidRPr="0088535B">
        <w:t xml:space="preserve"> </w:t>
      </w:r>
      <w:r w:rsidRPr="00842FD6">
        <w:t>финансов</w:t>
      </w:r>
      <w:r>
        <w:t>ом</w:t>
      </w:r>
      <w:r w:rsidRPr="00842FD6">
        <w:t> год</w:t>
      </w:r>
      <w:r>
        <w:t>у</w:t>
      </w:r>
      <w:r w:rsidRPr="00842FD6">
        <w:t xml:space="preserve"> министерство образования выделяло 1,89</w:t>
      </w:r>
      <w:r>
        <w:t>%</w:t>
      </w:r>
      <w:r w:rsidRPr="00842FD6">
        <w:t xml:space="preserve"> ассигнований на дошкольно</w:t>
      </w:r>
      <w:r>
        <w:t>е</w:t>
      </w:r>
      <w:r w:rsidRPr="00842FD6">
        <w:t xml:space="preserve"> обучени</w:t>
      </w:r>
      <w:r>
        <w:t>е</w:t>
      </w:r>
      <w:r w:rsidRPr="00842FD6">
        <w:t>, 48% - на на</w:t>
      </w:r>
      <w:r>
        <w:t>чальное</w:t>
      </w:r>
      <w:r w:rsidRPr="00842FD6">
        <w:t xml:space="preserve"> образование</w:t>
      </w:r>
      <w:r>
        <w:t>,</w:t>
      </w:r>
      <w:r w:rsidRPr="00842FD6">
        <w:t xml:space="preserve"> 45,24% - на среднее образование и 55% - на альтернативную систему об</w:t>
      </w:r>
      <w:r>
        <w:t>учения</w:t>
      </w:r>
      <w:r w:rsidRPr="00842FD6">
        <w:t>.</w:t>
      </w:r>
    </w:p>
    <w:p w:rsidR="006C60E8" w:rsidRDefault="006C60E8" w:rsidP="006C60E8"/>
    <w:p w:rsidR="006C60E8" w:rsidRPr="00F71205" w:rsidRDefault="006C60E8" w:rsidP="006C60E8">
      <w:pPr>
        <w:rPr>
          <w:i/>
        </w:rPr>
      </w:pPr>
      <w:r w:rsidRPr="00F71205">
        <w:rPr>
          <w:i/>
        </w:rPr>
        <w:t>Система образования</w:t>
      </w:r>
    </w:p>
    <w:p w:rsidR="006C60E8" w:rsidRDefault="006C60E8" w:rsidP="006C60E8"/>
    <w:p w:rsidR="006C60E8" w:rsidRDefault="006C60E8" w:rsidP="006C60E8">
      <w:r w:rsidRPr="00842FD6">
        <w:t>916.</w:t>
      </w:r>
      <w:r w:rsidRPr="00842FD6">
        <w:tab/>
        <w:t>Система формального образования на Филиппинах состоит из трех уровней:</w:t>
      </w:r>
    </w:p>
    <w:p w:rsidR="006C60E8" w:rsidRDefault="006C60E8" w:rsidP="006C60E8"/>
    <w:p w:rsidR="006C60E8" w:rsidRDefault="006C60E8" w:rsidP="00F71205">
      <w:r w:rsidRPr="00842FD6">
        <w:tab/>
      </w:r>
      <w:r w:rsidRPr="00842FD6">
        <w:rPr>
          <w:b/>
          <w:i/>
        </w:rPr>
        <w:t>Начальное образование</w:t>
      </w:r>
      <w:r w:rsidRPr="00842FD6">
        <w:t xml:space="preserve"> - первый уровень, который обеспечивает</w:t>
      </w:r>
      <w:r>
        <w:t xml:space="preserve"> базовое</w:t>
      </w:r>
      <w:r w:rsidRPr="00842FD6">
        <w:t xml:space="preserve"> образовани</w:t>
      </w:r>
      <w:r>
        <w:t>е</w:t>
      </w:r>
      <w:r w:rsidRPr="00842FD6">
        <w:t xml:space="preserve"> и традиционно состоит из шести или семи классов.  </w:t>
      </w:r>
      <w:r>
        <w:t xml:space="preserve">Как правило, </w:t>
      </w:r>
      <w:r w:rsidRPr="00842FD6">
        <w:t xml:space="preserve">начальное образование подразделяется на два уровня:  </w:t>
      </w:r>
      <w:r w:rsidRPr="00842FD6">
        <w:rPr>
          <w:b/>
        </w:rPr>
        <w:t>первичный</w:t>
      </w:r>
      <w:r w:rsidRPr="00842FD6">
        <w:t xml:space="preserve"> уровень, который охватывает первые четыре класса, и </w:t>
      </w:r>
      <w:r w:rsidRPr="00842FD6">
        <w:rPr>
          <w:b/>
        </w:rPr>
        <w:t>промежуточный</w:t>
      </w:r>
      <w:r w:rsidRPr="00842FD6">
        <w:t>, который включает пятый и шестой или седьмой классы.  Дошкольное образование дополн</w:t>
      </w:r>
      <w:r>
        <w:t>яет</w:t>
      </w:r>
      <w:r w:rsidRPr="00842FD6">
        <w:t xml:space="preserve"> начально</w:t>
      </w:r>
      <w:r>
        <w:t>е образование</w:t>
      </w:r>
      <w:r w:rsidRPr="00842FD6">
        <w:t xml:space="preserve"> и включает обучение в яслях и детских садах (см. пункт 429 о УДР</w:t>
      </w:r>
      <w:r>
        <w:t>Р</w:t>
      </w:r>
      <w:r w:rsidRPr="00842FD6">
        <w:t>В).</w:t>
      </w:r>
    </w:p>
    <w:p w:rsidR="006C60E8" w:rsidRDefault="006C60E8" w:rsidP="006C60E8">
      <w:pPr>
        <w:ind w:left="567" w:hanging="567"/>
      </w:pPr>
    </w:p>
    <w:p w:rsidR="006C60E8" w:rsidRDefault="006C60E8" w:rsidP="00F71205">
      <w:r w:rsidRPr="00842FD6">
        <w:tab/>
      </w:r>
      <w:r w:rsidRPr="00842FD6">
        <w:rPr>
          <w:b/>
          <w:i/>
        </w:rPr>
        <w:t>Среднее образование</w:t>
      </w:r>
      <w:r w:rsidRPr="00842FD6">
        <w:t xml:space="preserve"> - второй уровень, являющийся продолжением базового образования, получаемого на первом уровне.  Оно включает обучение </w:t>
      </w:r>
      <w:r>
        <w:t xml:space="preserve">основным навыкам </w:t>
      </w:r>
      <w:r w:rsidRPr="00842FD6">
        <w:t xml:space="preserve">и </w:t>
      </w:r>
      <w:r>
        <w:t xml:space="preserve">профессиональную </w:t>
      </w:r>
      <w:r w:rsidRPr="00842FD6">
        <w:t>подготовку</w:t>
      </w:r>
      <w:r>
        <w:t>,</w:t>
      </w:r>
      <w:r w:rsidRPr="00842FD6">
        <w:t xml:space="preserve"> позволяющ</w:t>
      </w:r>
      <w:r>
        <w:t>ую</w:t>
      </w:r>
      <w:r w:rsidRPr="00842FD6">
        <w:t xml:space="preserve"> получить работу, и охватывает четырехлетний период формально</w:t>
      </w:r>
      <w:r>
        <w:t>го обучения</w:t>
      </w:r>
      <w:r w:rsidRPr="00842FD6">
        <w:t>.</w:t>
      </w:r>
    </w:p>
    <w:p w:rsidR="006C60E8" w:rsidRDefault="006C60E8" w:rsidP="006C60E8">
      <w:pPr>
        <w:ind w:left="567" w:hanging="567"/>
      </w:pPr>
    </w:p>
    <w:p w:rsidR="006C60E8" w:rsidRDefault="006C60E8" w:rsidP="00F71205">
      <w:r w:rsidRPr="00842FD6">
        <w:tab/>
      </w:r>
      <w:r w:rsidRPr="00842FD6">
        <w:rPr>
          <w:b/>
          <w:i/>
        </w:rPr>
        <w:t xml:space="preserve">Высшее образование </w:t>
      </w:r>
      <w:r w:rsidRPr="00842FD6">
        <w:t xml:space="preserve">- третий уровень, предусматривающий </w:t>
      </w:r>
      <w:r>
        <w:t>прохождение</w:t>
      </w:r>
      <w:r w:rsidRPr="00842FD6">
        <w:t xml:space="preserve"> </w:t>
      </w:r>
      <w:r>
        <w:t>определенных учебных к</w:t>
      </w:r>
      <w:r w:rsidRPr="00842FD6">
        <w:t>урсов</w:t>
      </w:r>
      <w:r>
        <w:t xml:space="preserve"> и</w:t>
      </w:r>
      <w:r w:rsidRPr="00842FD6">
        <w:t xml:space="preserve"> </w:t>
      </w:r>
      <w:r>
        <w:t>открывающий путь к</w:t>
      </w:r>
      <w:r w:rsidRPr="00842FD6">
        <w:t xml:space="preserve"> получению ученой степени или приобретению професси</w:t>
      </w:r>
      <w:r>
        <w:t>и</w:t>
      </w:r>
      <w:r w:rsidRPr="00842FD6">
        <w:t>.</w:t>
      </w:r>
    </w:p>
    <w:p w:rsidR="006C60E8" w:rsidRDefault="006C60E8" w:rsidP="006C60E8">
      <w:pPr>
        <w:ind w:left="567" w:hanging="567"/>
      </w:pPr>
    </w:p>
    <w:p w:rsidR="006C60E8" w:rsidRPr="00F71205" w:rsidRDefault="006C60E8" w:rsidP="00FB7F7B">
      <w:pPr>
        <w:keepNext/>
        <w:ind w:left="567" w:hanging="567"/>
        <w:rPr>
          <w:i/>
        </w:rPr>
      </w:pPr>
      <w:r w:rsidRPr="00F71205">
        <w:rPr>
          <w:i/>
        </w:rPr>
        <w:t>Строительство новых школ</w:t>
      </w:r>
    </w:p>
    <w:p w:rsidR="006C60E8" w:rsidRPr="00C07877" w:rsidRDefault="006C60E8" w:rsidP="00FB7F7B">
      <w:pPr>
        <w:keepNext/>
        <w:ind w:left="567" w:hanging="567"/>
        <w:rPr>
          <w:sz w:val="20"/>
        </w:rPr>
      </w:pPr>
    </w:p>
    <w:p w:rsidR="006C60E8" w:rsidRDefault="006C60E8" w:rsidP="00C07877">
      <w:pPr>
        <w:spacing w:line="276" w:lineRule="auto"/>
      </w:pPr>
      <w:r w:rsidRPr="00842FD6">
        <w:t>917.</w:t>
      </w:r>
      <w:r w:rsidRPr="00842FD6">
        <w:tab/>
        <w:t xml:space="preserve">Строительство школьных зданий, финансируемое правительством в соответствии с </w:t>
      </w:r>
      <w:r>
        <w:t>З</w:t>
      </w:r>
      <w:r w:rsidRPr="00842FD6">
        <w:t xml:space="preserve">аконом об </w:t>
      </w:r>
      <w:r>
        <w:t xml:space="preserve">общих </w:t>
      </w:r>
      <w:r w:rsidRPr="00842FD6">
        <w:t>ассигнованиях, осуществляется министерством общественных работ и дорожного строительства (МОРД).  В 2005 году бюджет</w:t>
      </w:r>
      <w:r>
        <w:t>ные средства на</w:t>
      </w:r>
      <w:r w:rsidRPr="00842FD6">
        <w:t xml:space="preserve"> строительств</w:t>
      </w:r>
      <w:r>
        <w:t>о</w:t>
      </w:r>
      <w:r w:rsidRPr="00842FD6">
        <w:t xml:space="preserve"> и/или ремонт/обновлени</w:t>
      </w:r>
      <w:r>
        <w:t>е</w:t>
      </w:r>
      <w:r w:rsidRPr="00842FD6">
        <w:t xml:space="preserve"> школьных зданий был</w:t>
      </w:r>
      <w:r>
        <w:t>и распределены</w:t>
      </w:r>
      <w:r w:rsidRPr="00842FD6">
        <w:t xml:space="preserve"> между двумя ведомствами-исполнителями - МОРД и </w:t>
      </w:r>
      <w:r>
        <w:t>МО</w:t>
      </w:r>
      <w:r w:rsidRPr="00842FD6">
        <w:t>.  Последн</w:t>
      </w:r>
      <w:r>
        <w:t>е</w:t>
      </w:r>
      <w:r w:rsidRPr="00842FD6">
        <w:t xml:space="preserve">е в соответствии со специальными положениями </w:t>
      </w:r>
      <w:r>
        <w:t>З</w:t>
      </w:r>
      <w:r w:rsidRPr="00842FD6">
        <w:t>акон</w:t>
      </w:r>
      <w:r>
        <w:t>а</w:t>
      </w:r>
      <w:r w:rsidRPr="00842FD6">
        <w:t xml:space="preserve"> об </w:t>
      </w:r>
      <w:r>
        <w:t xml:space="preserve">общих </w:t>
      </w:r>
      <w:r w:rsidRPr="00842FD6">
        <w:t>ассигнованиях</w:t>
      </w:r>
      <w:r>
        <w:t xml:space="preserve"> будет заниматься</w:t>
      </w:r>
      <w:r w:rsidRPr="00842FD6">
        <w:t xml:space="preserve"> строительств</w:t>
      </w:r>
      <w:r>
        <w:t>ом</w:t>
      </w:r>
      <w:r w:rsidRPr="00842FD6">
        <w:t xml:space="preserve"> новых классных помещений в районах, испытывающих острую нехватку </w:t>
      </w:r>
      <w:r>
        <w:t>классов</w:t>
      </w:r>
      <w:r w:rsidRPr="00842FD6">
        <w:t>, или школ, значащихся в "красной" или "черной" зоне Общеобразовательной информационной системы (ОИС).</w:t>
      </w:r>
    </w:p>
    <w:p w:rsidR="006C60E8" w:rsidRPr="00C07877" w:rsidRDefault="006C60E8" w:rsidP="00C07877">
      <w:pPr>
        <w:keepNext/>
        <w:ind w:left="567" w:hanging="567"/>
        <w:rPr>
          <w:sz w:val="20"/>
        </w:rPr>
      </w:pPr>
    </w:p>
    <w:p w:rsidR="006C60E8" w:rsidRDefault="006C60E8" w:rsidP="00C07877">
      <w:pPr>
        <w:spacing w:line="276" w:lineRule="auto"/>
      </w:pPr>
      <w:r w:rsidRPr="00842FD6">
        <w:t>918.</w:t>
      </w:r>
      <w:r w:rsidRPr="00842FD6">
        <w:tab/>
        <w:t xml:space="preserve">Органы местного самоуправления также отвечают за строительство и ремонт классных помещений и школьных зданий </w:t>
      </w:r>
      <w:r>
        <w:t>на территории, находящейся под</w:t>
      </w:r>
      <w:r w:rsidRPr="00842FD6">
        <w:t xml:space="preserve"> их юрисдикци</w:t>
      </w:r>
      <w:r>
        <w:t>ей.</w:t>
      </w:r>
      <w:r w:rsidRPr="00842FD6">
        <w:t xml:space="preserve">  В соответствии со статьей 272 Кодекса </w:t>
      </w:r>
      <w:r>
        <w:t xml:space="preserve">законов о </w:t>
      </w:r>
      <w:r w:rsidRPr="00842FD6">
        <w:t>местно</w:t>
      </w:r>
      <w:r>
        <w:t>м</w:t>
      </w:r>
      <w:r w:rsidRPr="00842FD6">
        <w:t xml:space="preserve"> самоуправлени</w:t>
      </w:r>
      <w:r>
        <w:t>и</w:t>
      </w:r>
      <w:r w:rsidRPr="00842FD6">
        <w:t xml:space="preserve"> ОМС должны обращаться </w:t>
      </w:r>
      <w:r>
        <w:t>в</w:t>
      </w:r>
      <w:r w:rsidRPr="00842FD6">
        <w:t xml:space="preserve"> Специальн</w:t>
      </w:r>
      <w:r>
        <w:t>ый</w:t>
      </w:r>
      <w:r w:rsidRPr="00842FD6">
        <w:t xml:space="preserve"> фонд образования с просьбой о выделении средств на текущую деятельность и содержание государственных школ, строительство и ремонт школьных зданий, </w:t>
      </w:r>
      <w:r>
        <w:t xml:space="preserve">содержание </w:t>
      </w:r>
      <w:r w:rsidRPr="00842FD6">
        <w:t xml:space="preserve">помещений и </w:t>
      </w:r>
      <w:r>
        <w:t xml:space="preserve">приобретение </w:t>
      </w:r>
      <w:r w:rsidRPr="00842FD6">
        <w:t xml:space="preserve">оборудования, проведение педагогических исследований, приобретение книг и периодических изданий, а также </w:t>
      </w:r>
      <w:r>
        <w:t xml:space="preserve">развитие </w:t>
      </w:r>
      <w:r w:rsidRPr="00842FD6">
        <w:t>спортивн</w:t>
      </w:r>
      <w:r>
        <w:t>ого движения</w:t>
      </w:r>
      <w:r w:rsidRPr="00842FD6">
        <w:t xml:space="preserve"> в соответствии с планами и решениями </w:t>
      </w:r>
      <w:r>
        <w:t>м</w:t>
      </w:r>
      <w:r w:rsidRPr="00842FD6">
        <w:t xml:space="preserve">естного </w:t>
      </w:r>
      <w:r>
        <w:t>с</w:t>
      </w:r>
      <w:r w:rsidRPr="00842FD6">
        <w:t>овета</w:t>
      </w:r>
      <w:r>
        <w:t xml:space="preserve"> по делам школы</w:t>
      </w:r>
      <w:r w:rsidRPr="00842FD6">
        <w:t>.</w:t>
      </w:r>
    </w:p>
    <w:p w:rsidR="006C60E8" w:rsidRDefault="006C60E8" w:rsidP="006C60E8"/>
    <w:p w:rsidR="006C60E8" w:rsidRDefault="006C60E8" w:rsidP="00C07877">
      <w:pPr>
        <w:spacing w:line="276" w:lineRule="auto"/>
      </w:pPr>
      <w:r w:rsidRPr="00842FD6">
        <w:t>919.</w:t>
      </w:r>
      <w:r w:rsidRPr="00842FD6">
        <w:tab/>
        <w:t xml:space="preserve">В соответствии с предусмотренным </w:t>
      </w:r>
      <w:r>
        <w:t>на 2005 год бюджетом на</w:t>
      </w:r>
      <w:r w:rsidRPr="00842FD6">
        <w:t xml:space="preserve"> строительство школьных зданий, в частности по линии </w:t>
      </w:r>
      <w:r>
        <w:t>министерства образования</w:t>
      </w:r>
      <w:r w:rsidRPr="00842FD6">
        <w:t>, органам местного самоуправления было отведено второе по значению после неправительственных организаций место в деле осуществления плана строительства</w:t>
      </w:r>
      <w:r w:rsidRPr="00187EB8">
        <w:t xml:space="preserve"> </w:t>
      </w:r>
      <w:r w:rsidRPr="00842FD6">
        <w:t>школ.</w:t>
      </w:r>
    </w:p>
    <w:p w:rsidR="006C60E8" w:rsidRPr="00C07877" w:rsidRDefault="006C60E8" w:rsidP="006C60E8">
      <w:pPr>
        <w:rPr>
          <w:sz w:val="20"/>
        </w:rPr>
      </w:pPr>
    </w:p>
    <w:p w:rsidR="006C60E8" w:rsidRDefault="006C60E8" w:rsidP="00C07877">
      <w:pPr>
        <w:spacing w:line="276" w:lineRule="auto"/>
      </w:pPr>
      <w:r w:rsidRPr="00842FD6">
        <w:t>920.</w:t>
      </w:r>
      <w:r w:rsidRPr="00842FD6">
        <w:tab/>
        <w:t xml:space="preserve">Через свой </w:t>
      </w:r>
      <w:r>
        <w:t>Фонд развития страны</w:t>
      </w:r>
      <w:r w:rsidRPr="00842FD6">
        <w:t xml:space="preserve"> (</w:t>
      </w:r>
      <w:r>
        <w:t>ФРС</w:t>
      </w:r>
      <w:r w:rsidRPr="00842FD6">
        <w:t xml:space="preserve">) законодатели также могут </w:t>
      </w:r>
      <w:r>
        <w:t>содействовать</w:t>
      </w:r>
      <w:r w:rsidRPr="00842FD6">
        <w:t xml:space="preserve"> строительств</w:t>
      </w:r>
      <w:r>
        <w:t>у</w:t>
      </w:r>
      <w:r w:rsidRPr="00842FD6">
        <w:t xml:space="preserve"> новых классных помещений.  </w:t>
      </w:r>
      <w:r>
        <w:t>ФРС</w:t>
      </w:r>
      <w:r w:rsidRPr="00842FD6">
        <w:t xml:space="preserve"> или Фонд приоритетной помощи в развитии выдел</w:t>
      </w:r>
      <w:r>
        <w:t>яет</w:t>
      </w:r>
      <w:r w:rsidRPr="00842FD6">
        <w:t xml:space="preserve"> средств</w:t>
      </w:r>
      <w:r>
        <w:t>а</w:t>
      </w:r>
      <w:r w:rsidRPr="00842FD6">
        <w:t xml:space="preserve"> членам </w:t>
      </w:r>
      <w:r>
        <w:t>с</w:t>
      </w:r>
      <w:r w:rsidRPr="00842FD6">
        <w:t xml:space="preserve">ената и </w:t>
      </w:r>
      <w:r>
        <w:t>п</w:t>
      </w:r>
      <w:r w:rsidRPr="00842FD6">
        <w:t xml:space="preserve">алаты представителей, которые могут использовать </w:t>
      </w:r>
      <w:r>
        <w:t xml:space="preserve">их </w:t>
      </w:r>
      <w:r w:rsidRPr="00842FD6">
        <w:t xml:space="preserve">для финансирования проектов в пределах своей юрисдикции.  </w:t>
      </w:r>
      <w:r>
        <w:t>Как правило,</w:t>
      </w:r>
      <w:r w:rsidRPr="00842FD6">
        <w:t xml:space="preserve"> законодатели финансируют проекты, которые </w:t>
      </w:r>
      <w:r>
        <w:t>способны</w:t>
      </w:r>
      <w:r w:rsidRPr="00842FD6">
        <w:t xml:space="preserve"> </w:t>
      </w:r>
      <w:r>
        <w:t>положительно</w:t>
      </w:r>
      <w:r w:rsidRPr="00842FD6">
        <w:t xml:space="preserve"> повлиять на жизнь их избирателей</w:t>
      </w:r>
      <w:r>
        <w:t>,</w:t>
      </w:r>
      <w:r w:rsidRPr="00842FD6">
        <w:t xml:space="preserve"> т.е. </w:t>
      </w:r>
      <w:r>
        <w:t xml:space="preserve">проекты, </w:t>
      </w:r>
      <w:r w:rsidRPr="00842FD6">
        <w:t xml:space="preserve">направленные на улучшение </w:t>
      </w:r>
      <w:r>
        <w:t xml:space="preserve">системы </w:t>
      </w:r>
      <w:r w:rsidRPr="00842FD6">
        <w:t xml:space="preserve">здравоохранения, ликвидацию нищеты или повышение качества образования.  </w:t>
      </w:r>
      <w:r>
        <w:t>За счет финансирования развития страны по линии</w:t>
      </w:r>
      <w:r w:rsidRPr="00842FD6">
        <w:t xml:space="preserve"> законодателей за период с января по декабрь 2005 года было в общей сложности построено 1 075 новых классных помещений.</w:t>
      </w:r>
    </w:p>
    <w:p w:rsidR="006C60E8" w:rsidRPr="00C07877" w:rsidRDefault="006C60E8" w:rsidP="006C60E8">
      <w:pPr>
        <w:rPr>
          <w:sz w:val="20"/>
        </w:rPr>
      </w:pPr>
    </w:p>
    <w:p w:rsidR="006C60E8" w:rsidRDefault="006C60E8" w:rsidP="00C07877">
      <w:pPr>
        <w:spacing w:line="276" w:lineRule="auto"/>
      </w:pPr>
      <w:r>
        <w:t>921.</w:t>
      </w:r>
      <w:r>
        <w:tab/>
        <w:t>В соответствии с третьим проектом начального образования МО строительство классных помещений для начальных школ в 22 слаборазвитых провинциях</w:t>
      </w:r>
      <w:r w:rsidRPr="00F022FD">
        <w:t xml:space="preserve"> </w:t>
      </w:r>
      <w:r>
        <w:t>осуществляется под надзором директоров и руководителей школ.  В рамках ТПНО органам местного самоуправления в слаборазвитых провинциях страны предоставляется техническо-финансовая помощь в строительстве и ремонте школьных зданий.  17 таких провинций определены в Программе социальной реформы (ПСР), а другие пять выбраны Президентской комиссией по борьбе с нищетой</w:t>
      </w:r>
      <w:r>
        <w:rPr>
          <w:rStyle w:val="FootnoteReference"/>
        </w:rPr>
        <w:footnoteReference w:id="60"/>
      </w:r>
      <w:r>
        <w:t xml:space="preserve">.   В рамках ТПНО уже построены в общей сложности 5 230 новых и отремонтировано 14 534 существующих школьных помещений.  </w:t>
      </w:r>
    </w:p>
    <w:p w:rsidR="006C60E8" w:rsidRDefault="006C60E8" w:rsidP="006C60E8"/>
    <w:p w:rsidR="006C60E8" w:rsidRDefault="006C60E8" w:rsidP="006C60E8">
      <w:r>
        <w:t>922.</w:t>
      </w:r>
      <w:r>
        <w:tab/>
        <w:t>В целях восполнения нехватки школьных помещений правительство осуществляет также целый ряд других программ</w:t>
      </w:r>
      <w:r>
        <w:rPr>
          <w:rStyle w:val="FootnoteReference"/>
        </w:rPr>
        <w:footnoteReference w:id="61"/>
      </w:r>
      <w:r>
        <w:t xml:space="preserve">.  </w:t>
      </w:r>
    </w:p>
    <w:p w:rsidR="006C60E8" w:rsidRDefault="006C60E8" w:rsidP="006C60E8"/>
    <w:p w:rsidR="006C60E8" w:rsidRPr="00F71205" w:rsidRDefault="006C60E8" w:rsidP="006C60E8">
      <w:pPr>
        <w:rPr>
          <w:b/>
        </w:rPr>
      </w:pPr>
      <w:r w:rsidRPr="00F71205">
        <w:rPr>
          <w:b/>
        </w:rPr>
        <w:t>Школьные расписания и учебные программы</w:t>
      </w:r>
    </w:p>
    <w:p w:rsidR="006C60E8" w:rsidRDefault="006C60E8" w:rsidP="006C60E8">
      <w:pPr>
        <w:rPr>
          <w:b/>
          <w:u w:val="single"/>
        </w:rPr>
      </w:pPr>
    </w:p>
    <w:p w:rsidR="006C60E8" w:rsidRPr="00F71205" w:rsidRDefault="006C60E8" w:rsidP="006C60E8">
      <w:pPr>
        <w:rPr>
          <w:i/>
        </w:rPr>
      </w:pPr>
      <w:r w:rsidRPr="00F71205">
        <w:rPr>
          <w:i/>
        </w:rPr>
        <w:t>Начальное образование</w:t>
      </w:r>
    </w:p>
    <w:p w:rsidR="006C60E8" w:rsidRDefault="006C60E8" w:rsidP="006C60E8">
      <w:pPr>
        <w:rPr>
          <w:u w:val="single"/>
        </w:rPr>
      </w:pPr>
    </w:p>
    <w:p w:rsidR="006C60E8" w:rsidRDefault="006C60E8" w:rsidP="006C60E8">
      <w:r>
        <w:t>923.</w:t>
      </w:r>
      <w:r>
        <w:tab/>
        <w:t>В начале 1993 года продолжительность занятий в начальных классах была увеличена со 185 до 200 дней.  Кроме того, было увеличено ежедневное время занятий по особо важным предметам.  В частности, время занятий по английскому языку в первом и втором классах было увеличено с 60 до 80 часов;  по математике в первом-третьем классах - с 40 до 60 часов.  А в первом и втором классах было введено изучение естественных наук и основ медицины, и отведенное для этого время составляет 40 часов.</w:t>
      </w:r>
    </w:p>
    <w:p w:rsidR="006C60E8" w:rsidRDefault="006C60E8" w:rsidP="006C60E8"/>
    <w:p w:rsidR="006C60E8" w:rsidRDefault="006C60E8" w:rsidP="006C60E8">
      <w:r>
        <w:t>924.</w:t>
      </w:r>
      <w:r>
        <w:tab/>
        <w:t>В 2003 году МО ввело Базовую учебную программу (БУП) для разгрузки перенасыщенной учебной программы за счет сокращения числа изучаемых предметов до пяти (математика, естественные науки, английский и филиппинский языки и патриотическое воспитание (</w:t>
      </w:r>
      <w:r>
        <w:rPr>
          <w:lang w:val="en-US"/>
        </w:rPr>
        <w:t>Makabayan</w:t>
      </w:r>
      <w:r>
        <w:t xml:space="preserve">)) и увеличения времени, отводимого на изучение этих предметов.  Составной частью всех этих предметов является этическое воспитание.  </w:t>
      </w:r>
    </w:p>
    <w:p w:rsidR="006C60E8" w:rsidRDefault="006C60E8" w:rsidP="006C60E8"/>
    <w:p w:rsidR="006C60E8" w:rsidRPr="00F71205" w:rsidRDefault="006C60E8" w:rsidP="006C60E8">
      <w:pPr>
        <w:rPr>
          <w:i/>
        </w:rPr>
      </w:pPr>
      <w:r w:rsidRPr="00F71205">
        <w:rPr>
          <w:i/>
        </w:rPr>
        <w:t>Среднее образование</w:t>
      </w:r>
    </w:p>
    <w:p w:rsidR="006C60E8" w:rsidRPr="00F71205" w:rsidRDefault="006C60E8" w:rsidP="006C60E8">
      <w:pPr>
        <w:rPr>
          <w:i/>
        </w:rPr>
      </w:pPr>
    </w:p>
    <w:p w:rsidR="006C60E8" w:rsidRDefault="006C60E8" w:rsidP="006C60E8">
      <w:r>
        <w:t>925.</w:t>
      </w:r>
      <w:r>
        <w:tab/>
        <w:t>В учебной программе средней школы основное внимание также уделяется изучению следующих предметов:  английского языка, естественных наук, математики, филиппинского языка и патриотического воспитания.  Изучение математики в средней школе перешло от спиральной системы, когда на каждом витке обучения происходило знакомство со всеми математическими дисциплинами, к линейной, последовательной системе, когда на первом году изучаются только элементарная алгебра, на втором - усложненная алгебра, а на третьем - геометрия.</w:t>
      </w:r>
    </w:p>
    <w:p w:rsidR="00717B88" w:rsidRDefault="00717B88" w:rsidP="00717B88"/>
    <w:p w:rsidR="00717B88" w:rsidRDefault="00717B88" w:rsidP="00717B88">
      <w:r>
        <w:t>926.</w:t>
      </w:r>
      <w:r>
        <w:tab/>
        <w:t>Усилены интегрирующие и интерактивные методы преподавания и обучения, которые заключаются в групповом изучении предмета, когда происходит обмен знаниями и опытом между преподавателями, между преподавателями и учащимися и между самими учащимися.  Так, например, в соответствии с прежней учебной программой преподаватели английского языка готовили планы проведения урока по английскому языку, а преподаватели этики </w:t>
      </w:r>
      <w:r>
        <w:noBreakHyphen/>
        <w:t xml:space="preserve"> к урокам этического воспитания.  В соответствии ОУП преподаватели английского языка и этики отныне вместе готовят планы проведения своих занятий.  </w:t>
      </w:r>
    </w:p>
    <w:p w:rsidR="00717B88" w:rsidRDefault="00717B88" w:rsidP="00717B88"/>
    <w:p w:rsidR="00717B88" w:rsidRDefault="00717B88" w:rsidP="00717B88">
      <w:pPr>
        <w:rPr>
          <w:b/>
        </w:rPr>
      </w:pPr>
      <w:r>
        <w:rPr>
          <w:b/>
        </w:rPr>
        <w:t>Вопрос № 5.</w:t>
      </w:r>
      <w:r w:rsidRPr="00125592">
        <w:rPr>
          <w:b/>
        </w:rPr>
        <w:tab/>
      </w:r>
      <w:r>
        <w:rPr>
          <w:b/>
        </w:rPr>
        <w:t>Равный доступ к образованию</w:t>
      </w:r>
    </w:p>
    <w:p w:rsidR="00717B88" w:rsidRDefault="00717B88" w:rsidP="00717B88">
      <w:pPr>
        <w:rPr>
          <w:b/>
        </w:rPr>
      </w:pPr>
    </w:p>
    <w:p w:rsidR="00717B88" w:rsidRDefault="00717B88" w:rsidP="00717B88">
      <w:pPr>
        <w:rPr>
          <w:b/>
        </w:rPr>
      </w:pPr>
      <w:r>
        <w:rPr>
          <w:b/>
        </w:rPr>
        <w:t>5.а</w:t>
      </w:r>
      <w:r>
        <w:rPr>
          <w:b/>
        </w:rPr>
        <w:tab/>
        <w:t>Соотношение мужчин и женщин на различных уровнях образования</w:t>
      </w:r>
    </w:p>
    <w:p w:rsidR="00717B88" w:rsidRDefault="00717B88" w:rsidP="00717B88">
      <w:pPr>
        <w:rPr>
          <w:b/>
        </w:rPr>
      </w:pPr>
    </w:p>
    <w:p w:rsidR="00717B88" w:rsidRDefault="00717B88" w:rsidP="00717B88">
      <w:r w:rsidRPr="00613128">
        <w:t>927</w:t>
      </w:r>
      <w:r>
        <w:t>.</w:t>
      </w:r>
      <w:r w:rsidRPr="00613128">
        <w:tab/>
      </w:r>
      <w:r>
        <w:t>По</w:t>
      </w:r>
      <w:r w:rsidRPr="00613128">
        <w:t xml:space="preserve"> </w:t>
      </w:r>
      <w:r>
        <w:t>данным</w:t>
      </w:r>
      <w:r w:rsidRPr="00613128">
        <w:t xml:space="preserve"> </w:t>
      </w:r>
      <w:r>
        <w:t>за</w:t>
      </w:r>
      <w:r w:rsidRPr="00613128">
        <w:t xml:space="preserve"> 2003</w:t>
      </w:r>
      <w:r>
        <w:t>/</w:t>
      </w:r>
      <w:r w:rsidRPr="00613128">
        <w:t>2004</w:t>
      </w:r>
      <w:r w:rsidRPr="00613128">
        <w:rPr>
          <w:lang w:val="en-US"/>
        </w:rPr>
        <w:t> </w:t>
      </w:r>
      <w:r>
        <w:t>учебный</w:t>
      </w:r>
      <w:r w:rsidRPr="00613128">
        <w:t xml:space="preserve"> </w:t>
      </w:r>
      <w:r>
        <w:t>год,</w:t>
      </w:r>
      <w:r w:rsidRPr="00613128">
        <w:t xml:space="preserve"> </w:t>
      </w:r>
      <w:r>
        <w:t>показатель</w:t>
      </w:r>
      <w:r w:rsidRPr="00613128">
        <w:t xml:space="preserve"> </w:t>
      </w:r>
      <w:r>
        <w:t>посещаемости</w:t>
      </w:r>
      <w:r w:rsidRPr="00613128">
        <w:t xml:space="preserve"> </w:t>
      </w:r>
      <w:r>
        <w:t>девочек</w:t>
      </w:r>
      <w:r w:rsidRPr="00613128">
        <w:t xml:space="preserve"> </w:t>
      </w:r>
      <w:r>
        <w:t>был</w:t>
      </w:r>
      <w:r w:rsidRPr="00613128">
        <w:t xml:space="preserve"> </w:t>
      </w:r>
      <w:r>
        <w:t>выше</w:t>
      </w:r>
      <w:r w:rsidRPr="00613128">
        <w:t xml:space="preserve">, </w:t>
      </w:r>
      <w:r>
        <w:t>чем</w:t>
      </w:r>
      <w:r w:rsidRPr="00613128">
        <w:t xml:space="preserve"> </w:t>
      </w:r>
      <w:r>
        <w:t>мальчиков</w:t>
      </w:r>
      <w:r w:rsidRPr="00613128">
        <w:t xml:space="preserve"> </w:t>
      </w:r>
      <w:r>
        <w:t>в</w:t>
      </w:r>
      <w:r w:rsidRPr="00613128">
        <w:t xml:space="preserve"> </w:t>
      </w:r>
      <w:r>
        <w:t>начальной</w:t>
      </w:r>
      <w:r w:rsidRPr="00613128">
        <w:t xml:space="preserve"> (82,59% против 80,88%) и </w:t>
      </w:r>
      <w:r>
        <w:t>средней школе</w:t>
      </w:r>
      <w:r w:rsidRPr="00613128">
        <w:t xml:space="preserve"> (51,19% против</w:t>
      </w:r>
      <w:r>
        <w:rPr>
          <w:lang w:val="en-US"/>
        </w:rPr>
        <w:t> </w:t>
      </w:r>
      <w:r w:rsidRPr="00613128">
        <w:t>42,97%)</w:t>
      </w:r>
      <w:r>
        <w:t xml:space="preserve">. </w:t>
      </w:r>
      <w:r w:rsidRPr="00613128">
        <w:t xml:space="preserve"> </w:t>
      </w:r>
      <w:r>
        <w:t>Данные о количестве закончивших школу лиц за</w:t>
      </w:r>
      <w:r w:rsidRPr="00613128">
        <w:t xml:space="preserve"> 2003</w:t>
      </w:r>
      <w:r>
        <w:t>/</w:t>
      </w:r>
      <w:r w:rsidRPr="00613128">
        <w:t>2004</w:t>
      </w:r>
      <w:r>
        <w:t> год свидетельствуют о том, что девочки по</w:t>
      </w:r>
      <w:r>
        <w:noBreakHyphen/>
        <w:t>прежнему опережали мальчиков как в начальной (</w:t>
      </w:r>
      <w:r w:rsidRPr="00613128">
        <w:t>66,86% против 57,76%)</w:t>
      </w:r>
      <w:r>
        <w:t>, так</w:t>
      </w:r>
      <w:r w:rsidRPr="00613128">
        <w:t xml:space="preserve"> и </w:t>
      </w:r>
      <w:r>
        <w:t>в средней школе</w:t>
      </w:r>
      <w:r w:rsidRPr="00613128">
        <w:t xml:space="preserve"> (63,7% против 48,77%)</w:t>
      </w:r>
      <w:r>
        <w:t>.</w:t>
      </w:r>
    </w:p>
    <w:p w:rsidR="00717B88" w:rsidRDefault="00717B88" w:rsidP="00717B88"/>
    <w:p w:rsidR="00717B88" w:rsidRDefault="00717B88" w:rsidP="00717B88">
      <w:r w:rsidRPr="00613128">
        <w:t>928.</w:t>
      </w:r>
      <w:r w:rsidRPr="00613128">
        <w:tab/>
      </w:r>
      <w:r>
        <w:t>Поскольку</w:t>
      </w:r>
      <w:r w:rsidRPr="00613128">
        <w:t xml:space="preserve"> </w:t>
      </w:r>
      <w:r>
        <w:t>большее</w:t>
      </w:r>
      <w:r w:rsidRPr="00613128">
        <w:t xml:space="preserve"> </w:t>
      </w:r>
      <w:r>
        <w:t>количество</w:t>
      </w:r>
      <w:r w:rsidRPr="00613128">
        <w:t xml:space="preserve"> </w:t>
      </w:r>
      <w:r>
        <w:t>девочек</w:t>
      </w:r>
      <w:r w:rsidRPr="00613128">
        <w:t xml:space="preserve"> </w:t>
      </w:r>
      <w:r>
        <w:t>успешно</w:t>
      </w:r>
      <w:r w:rsidRPr="00613128">
        <w:t xml:space="preserve"> </w:t>
      </w:r>
      <w:r>
        <w:t>заканчивают</w:t>
      </w:r>
      <w:r w:rsidRPr="00613128">
        <w:t xml:space="preserve"> </w:t>
      </w:r>
      <w:r>
        <w:t>среднюю школу</w:t>
      </w:r>
      <w:r w:rsidRPr="00613128">
        <w:t xml:space="preserve"> </w:t>
      </w:r>
      <w:r>
        <w:t>и</w:t>
      </w:r>
      <w:r w:rsidRPr="00613128">
        <w:t xml:space="preserve"> </w:t>
      </w:r>
      <w:r>
        <w:t>в</w:t>
      </w:r>
      <w:r w:rsidRPr="00613128">
        <w:t xml:space="preserve"> </w:t>
      </w:r>
      <w:r>
        <w:t>целом</w:t>
      </w:r>
      <w:r w:rsidRPr="00613128">
        <w:t xml:space="preserve"> </w:t>
      </w:r>
      <w:r>
        <w:t>проявляют большую склонность к</w:t>
      </w:r>
      <w:r w:rsidRPr="00613128">
        <w:t xml:space="preserve"> </w:t>
      </w:r>
      <w:r>
        <w:t>учебе</w:t>
      </w:r>
      <w:r w:rsidRPr="00613128">
        <w:t xml:space="preserve">, </w:t>
      </w:r>
      <w:r>
        <w:t>женщины преобладают и среди учащихся вузов</w:t>
      </w:r>
      <w:r w:rsidRPr="00613128">
        <w:t xml:space="preserve">. </w:t>
      </w:r>
      <w:r>
        <w:t xml:space="preserve"> В </w:t>
      </w:r>
      <w:r w:rsidRPr="00613128">
        <w:t>2001</w:t>
      </w:r>
      <w:r>
        <w:t>/</w:t>
      </w:r>
      <w:r w:rsidRPr="00613128">
        <w:t>2002</w:t>
      </w:r>
      <w:r>
        <w:t xml:space="preserve"> учебном году они составляли </w:t>
      </w:r>
      <w:r w:rsidRPr="00613128">
        <w:t xml:space="preserve">55% </w:t>
      </w:r>
      <w:r>
        <w:t>от общего числа поступивших в вузы лиц.  Данные</w:t>
      </w:r>
      <w:r w:rsidRPr="00613128">
        <w:t xml:space="preserve"> </w:t>
      </w:r>
      <w:r>
        <w:t>за</w:t>
      </w:r>
      <w:r w:rsidRPr="00613128">
        <w:t xml:space="preserve"> 2000</w:t>
      </w:r>
      <w:r>
        <w:t>/</w:t>
      </w:r>
      <w:r w:rsidRPr="00613128">
        <w:t xml:space="preserve">2001 </w:t>
      </w:r>
      <w:r>
        <w:t>учебный год о</w:t>
      </w:r>
      <w:r w:rsidRPr="00613128">
        <w:t xml:space="preserve"> </w:t>
      </w:r>
      <w:r>
        <w:t>числе лиц, получивших</w:t>
      </w:r>
      <w:r w:rsidRPr="00613128">
        <w:t xml:space="preserve"> </w:t>
      </w:r>
      <w:r>
        <w:t>дипломы,</w:t>
      </w:r>
      <w:r w:rsidRPr="00613128">
        <w:t xml:space="preserve"> </w:t>
      </w:r>
      <w:r>
        <w:t xml:space="preserve">свидетельствуют о еще большем разрыве, поскольку </w:t>
      </w:r>
      <w:r w:rsidRPr="00613128">
        <w:t xml:space="preserve">60% </w:t>
      </w:r>
      <w:r>
        <w:t xml:space="preserve">дипломов об окончании учебного заведения получили лица женского пола.  </w:t>
      </w:r>
    </w:p>
    <w:p w:rsidR="00717B88" w:rsidRDefault="00717B88" w:rsidP="00717B88"/>
    <w:p w:rsidR="00717B88" w:rsidRDefault="00717B88" w:rsidP="00717B88">
      <w:r w:rsidRPr="00F935D6">
        <w:t>929.</w:t>
      </w:r>
      <w:r w:rsidRPr="00F935D6">
        <w:tab/>
      </w:r>
      <w:r>
        <w:t>Стабильно</w:t>
      </w:r>
      <w:r w:rsidRPr="00F935D6">
        <w:t xml:space="preserve"> </w:t>
      </w:r>
      <w:r>
        <w:t>продолжалось</w:t>
      </w:r>
      <w:r w:rsidRPr="00F935D6">
        <w:t xml:space="preserve"> </w:t>
      </w:r>
      <w:r>
        <w:t>подключение</w:t>
      </w:r>
      <w:r w:rsidRPr="00F935D6">
        <w:t xml:space="preserve"> </w:t>
      </w:r>
      <w:r>
        <w:t>женщин</w:t>
      </w:r>
      <w:r w:rsidRPr="00F935D6">
        <w:t xml:space="preserve"> </w:t>
      </w:r>
      <w:r>
        <w:t>к</w:t>
      </w:r>
      <w:r w:rsidRPr="00F935D6">
        <w:t xml:space="preserve"> </w:t>
      </w:r>
      <w:r>
        <w:t>изучению</w:t>
      </w:r>
      <w:r w:rsidRPr="00F935D6">
        <w:t xml:space="preserve"> </w:t>
      </w:r>
      <w:r>
        <w:t>некоторых</w:t>
      </w:r>
      <w:r w:rsidRPr="00F935D6">
        <w:t xml:space="preserve"> </w:t>
      </w:r>
      <w:r>
        <w:t>дисциплин</w:t>
      </w:r>
      <w:r w:rsidRPr="00F935D6">
        <w:t xml:space="preserve">, </w:t>
      </w:r>
      <w:r>
        <w:t>в</w:t>
      </w:r>
      <w:r w:rsidRPr="00F935D6">
        <w:t xml:space="preserve"> </w:t>
      </w:r>
      <w:r>
        <w:t>которых традиционно доминировали мужчины.  Так</w:t>
      </w:r>
      <w:r w:rsidRPr="00757AE8">
        <w:t xml:space="preserve">, </w:t>
      </w:r>
      <w:r>
        <w:t>в</w:t>
      </w:r>
      <w:r w:rsidRPr="00757AE8">
        <w:t xml:space="preserve"> 2004</w:t>
      </w:r>
      <w:r>
        <w:t>/</w:t>
      </w:r>
      <w:r w:rsidRPr="00757AE8">
        <w:t>2005</w:t>
      </w:r>
      <w:r w:rsidRPr="00757AE8">
        <w:rPr>
          <w:lang w:val="en-US"/>
        </w:rPr>
        <w:t> </w:t>
      </w:r>
      <w:r>
        <w:t>учебном</w:t>
      </w:r>
      <w:r w:rsidRPr="00757AE8">
        <w:t xml:space="preserve"> </w:t>
      </w:r>
      <w:r>
        <w:t>году</w:t>
      </w:r>
      <w:r w:rsidRPr="00757AE8">
        <w:t xml:space="preserve"> </w:t>
      </w:r>
      <w:r>
        <w:t>женщины</w:t>
      </w:r>
      <w:r w:rsidRPr="00757AE8">
        <w:t xml:space="preserve">, </w:t>
      </w:r>
      <w:r>
        <w:t>поступившие</w:t>
      </w:r>
      <w:r w:rsidRPr="00757AE8">
        <w:t xml:space="preserve"> </w:t>
      </w:r>
      <w:r>
        <w:t>на</w:t>
      </w:r>
      <w:r w:rsidRPr="00757AE8">
        <w:t xml:space="preserve"> </w:t>
      </w:r>
      <w:r>
        <w:t>отделения</w:t>
      </w:r>
      <w:r w:rsidRPr="00757AE8">
        <w:t xml:space="preserve"> </w:t>
      </w:r>
      <w:r>
        <w:t>сельского</w:t>
      </w:r>
      <w:r w:rsidRPr="00757AE8">
        <w:t xml:space="preserve">, </w:t>
      </w:r>
      <w:r>
        <w:t>лесного</w:t>
      </w:r>
      <w:r w:rsidRPr="00757AE8">
        <w:t xml:space="preserve"> </w:t>
      </w:r>
      <w:r>
        <w:t>и</w:t>
      </w:r>
      <w:r w:rsidRPr="00757AE8">
        <w:t xml:space="preserve"> </w:t>
      </w:r>
      <w:r>
        <w:t>рыбного хозяйства и ветеринарии, а также математики и информатики, составили соответственно</w:t>
      </w:r>
      <w:r w:rsidRPr="00757AE8">
        <w:t xml:space="preserve"> 49% </w:t>
      </w:r>
      <w:r w:rsidRPr="00F935D6">
        <w:t>и</w:t>
      </w:r>
      <w:r w:rsidRPr="00757AE8">
        <w:t xml:space="preserve"> 57%</w:t>
      </w:r>
      <w:r>
        <w:t>.  Возросло</w:t>
      </w:r>
      <w:r w:rsidRPr="001277E9">
        <w:t xml:space="preserve"> </w:t>
      </w:r>
      <w:r>
        <w:t>также</w:t>
      </w:r>
      <w:r w:rsidRPr="001277E9">
        <w:t xml:space="preserve"> </w:t>
      </w:r>
      <w:r>
        <w:t>число женщин, обучающихся в военной и полицейской академиях.</w:t>
      </w:r>
    </w:p>
    <w:p w:rsidR="00717B88" w:rsidRDefault="00717B88" w:rsidP="00717B88"/>
    <w:p w:rsidR="00717B88" w:rsidRDefault="00717B88" w:rsidP="00717B88">
      <w:r w:rsidRPr="00794818">
        <w:t>930.</w:t>
      </w:r>
      <w:r w:rsidRPr="00794818">
        <w:tab/>
      </w:r>
      <w:r>
        <w:t>В</w:t>
      </w:r>
      <w:r w:rsidRPr="00794818">
        <w:t xml:space="preserve"> </w:t>
      </w:r>
      <w:r>
        <w:t>рамках</w:t>
      </w:r>
      <w:r w:rsidRPr="00794818">
        <w:t xml:space="preserve"> </w:t>
      </w:r>
      <w:r>
        <w:t>Программы</w:t>
      </w:r>
      <w:r w:rsidRPr="00794818">
        <w:t xml:space="preserve"> </w:t>
      </w:r>
      <w:r>
        <w:t>профессионально</w:t>
      </w:r>
      <w:r w:rsidRPr="00794818">
        <w:t>-</w:t>
      </w:r>
      <w:r>
        <w:t>технического</w:t>
      </w:r>
      <w:r w:rsidRPr="00794818">
        <w:t xml:space="preserve"> </w:t>
      </w:r>
      <w:r>
        <w:t>образования</w:t>
      </w:r>
      <w:r w:rsidRPr="00794818">
        <w:t xml:space="preserve"> </w:t>
      </w:r>
      <w:r>
        <w:t>и</w:t>
      </w:r>
      <w:r w:rsidRPr="00794818">
        <w:t xml:space="preserve"> </w:t>
      </w:r>
      <w:r>
        <w:t>подготовки</w:t>
      </w:r>
      <w:r w:rsidRPr="00794818">
        <w:t xml:space="preserve"> </w:t>
      </w:r>
      <w:r>
        <w:t>(ПТОП) общее</w:t>
      </w:r>
      <w:r w:rsidRPr="00794818">
        <w:t xml:space="preserve"> </w:t>
      </w:r>
      <w:r>
        <w:t>число</w:t>
      </w:r>
      <w:r w:rsidRPr="00794818">
        <w:t xml:space="preserve"> </w:t>
      </w:r>
      <w:r>
        <w:t>выпускников</w:t>
      </w:r>
      <w:r w:rsidRPr="00794818">
        <w:t xml:space="preserve"> </w:t>
      </w:r>
      <w:r>
        <w:t>в</w:t>
      </w:r>
      <w:r w:rsidRPr="00794818">
        <w:t xml:space="preserve"> 2002</w:t>
      </w:r>
      <w:r>
        <w:t>/</w:t>
      </w:r>
      <w:r w:rsidRPr="00794818">
        <w:t xml:space="preserve">2003 </w:t>
      </w:r>
      <w:r>
        <w:t>учебном</w:t>
      </w:r>
      <w:r w:rsidRPr="00794818">
        <w:t xml:space="preserve"> </w:t>
      </w:r>
      <w:r>
        <w:t>году</w:t>
      </w:r>
      <w:r w:rsidRPr="00794818">
        <w:t xml:space="preserve"> </w:t>
      </w:r>
      <w:r>
        <w:t>свидетельствовало</w:t>
      </w:r>
      <w:r w:rsidRPr="00794818">
        <w:t xml:space="preserve"> </w:t>
      </w:r>
      <w:r>
        <w:t>о</w:t>
      </w:r>
      <w:r w:rsidRPr="00794818">
        <w:t xml:space="preserve"> </w:t>
      </w:r>
      <w:r>
        <w:t>почти</w:t>
      </w:r>
      <w:r w:rsidRPr="00794818">
        <w:t xml:space="preserve"> </w:t>
      </w:r>
      <w:r>
        <w:t>равном</w:t>
      </w:r>
      <w:r w:rsidRPr="00794818">
        <w:t xml:space="preserve"> </w:t>
      </w:r>
      <w:r>
        <w:t xml:space="preserve">количестве лиц женского </w:t>
      </w:r>
      <w:r w:rsidRPr="00794818">
        <w:t xml:space="preserve">(48%) и </w:t>
      </w:r>
      <w:r>
        <w:t>мужского пола</w:t>
      </w:r>
      <w:r w:rsidRPr="00794818">
        <w:t xml:space="preserve"> (51%)</w:t>
      </w:r>
      <w:r>
        <w:t>.  То</w:t>
      </w:r>
      <w:r w:rsidRPr="00794818">
        <w:t xml:space="preserve"> </w:t>
      </w:r>
      <w:r>
        <w:t>же</w:t>
      </w:r>
      <w:r w:rsidRPr="00794818">
        <w:t xml:space="preserve"> </w:t>
      </w:r>
      <w:r>
        <w:t>самое,</w:t>
      </w:r>
      <w:r w:rsidRPr="00794818">
        <w:t xml:space="preserve"> </w:t>
      </w:r>
      <w:r>
        <w:t>по</w:t>
      </w:r>
      <w:r w:rsidRPr="00794818">
        <w:t xml:space="preserve"> </w:t>
      </w:r>
      <w:r>
        <w:t>данным</w:t>
      </w:r>
      <w:r w:rsidRPr="00794818">
        <w:t xml:space="preserve"> </w:t>
      </w:r>
      <w:r>
        <w:t>за 2003/</w:t>
      </w:r>
      <w:r w:rsidRPr="00794818">
        <w:t xml:space="preserve">2004 </w:t>
      </w:r>
      <w:r>
        <w:t>учебный год, относится</w:t>
      </w:r>
      <w:r w:rsidRPr="00794818">
        <w:t xml:space="preserve"> </w:t>
      </w:r>
      <w:r>
        <w:t>и к</w:t>
      </w:r>
      <w:r w:rsidRPr="00794818">
        <w:t xml:space="preserve"> </w:t>
      </w:r>
      <w:r>
        <w:t>общему</w:t>
      </w:r>
      <w:r w:rsidRPr="00794818">
        <w:t xml:space="preserve"> </w:t>
      </w:r>
      <w:r>
        <w:t>числу</w:t>
      </w:r>
      <w:r w:rsidRPr="00794818">
        <w:t xml:space="preserve"> </w:t>
      </w:r>
      <w:r>
        <w:t>поступивших лиц, которое показывает, что соотношение между женщинами и мужчинами составляло</w:t>
      </w:r>
      <w:r w:rsidRPr="00794818">
        <w:t xml:space="preserve"> 49</w:t>
      </w:r>
      <w:r>
        <w:t xml:space="preserve">% к </w:t>
      </w:r>
      <w:r w:rsidRPr="00794818">
        <w:t>50%</w:t>
      </w:r>
      <w:r>
        <w:t>.  Вместе</w:t>
      </w:r>
      <w:r w:rsidRPr="008D76DD">
        <w:t xml:space="preserve"> </w:t>
      </w:r>
      <w:r>
        <w:t>с</w:t>
      </w:r>
      <w:r w:rsidRPr="008D76DD">
        <w:t xml:space="preserve"> </w:t>
      </w:r>
      <w:r>
        <w:t>тем аналогичные</w:t>
      </w:r>
      <w:r w:rsidRPr="008D76DD">
        <w:t xml:space="preserve"> </w:t>
      </w:r>
      <w:r>
        <w:t>данные</w:t>
      </w:r>
      <w:r w:rsidRPr="008D76DD">
        <w:t xml:space="preserve"> </w:t>
      </w:r>
      <w:r>
        <w:t>по</w:t>
      </w:r>
      <w:r w:rsidRPr="008D76DD">
        <w:t xml:space="preserve"> </w:t>
      </w:r>
      <w:r>
        <w:t>регионам</w:t>
      </w:r>
      <w:r w:rsidRPr="008D76DD">
        <w:t xml:space="preserve"> </w:t>
      </w:r>
      <w:r>
        <w:t>расходились</w:t>
      </w:r>
      <w:r w:rsidRPr="008D76DD">
        <w:t xml:space="preserve">. </w:t>
      </w:r>
      <w:r>
        <w:t xml:space="preserve"> В</w:t>
      </w:r>
      <w:r w:rsidRPr="008D76DD">
        <w:rPr>
          <w:lang w:val="en-US"/>
        </w:rPr>
        <w:t> </w:t>
      </w:r>
      <w:r>
        <w:t>РНС</w:t>
      </w:r>
      <w:r w:rsidRPr="008D76DD">
        <w:t xml:space="preserve">, </w:t>
      </w:r>
      <w:r>
        <w:t>например</w:t>
      </w:r>
      <w:r w:rsidRPr="008D76DD">
        <w:t xml:space="preserve">, </w:t>
      </w:r>
      <w:r>
        <w:t>число</w:t>
      </w:r>
      <w:r w:rsidRPr="008D76DD">
        <w:t xml:space="preserve"> </w:t>
      </w:r>
      <w:r>
        <w:t>женщин</w:t>
      </w:r>
      <w:r w:rsidRPr="008D76DD">
        <w:t xml:space="preserve"> </w:t>
      </w:r>
      <w:r>
        <w:t>превышало</w:t>
      </w:r>
      <w:r w:rsidRPr="008D76DD">
        <w:t xml:space="preserve"> </w:t>
      </w:r>
      <w:r>
        <w:t>число</w:t>
      </w:r>
      <w:r w:rsidRPr="008D76DD">
        <w:t xml:space="preserve"> </w:t>
      </w:r>
      <w:r>
        <w:t xml:space="preserve">мужчин в соотношении </w:t>
      </w:r>
      <w:r w:rsidRPr="008D76DD">
        <w:t>14</w:t>
      </w:r>
      <w:r>
        <w:t xml:space="preserve"> к </w:t>
      </w:r>
      <w:r w:rsidRPr="008D76DD">
        <w:t>10</w:t>
      </w:r>
      <w:r>
        <w:t>, а в Районе</w:t>
      </w:r>
      <w:r w:rsidRPr="008D76DD">
        <w:t xml:space="preserve"> </w:t>
      </w:r>
      <w:r w:rsidRPr="00556F1E">
        <w:rPr>
          <w:lang w:val="en-US"/>
        </w:rPr>
        <w:t>II</w:t>
      </w:r>
      <w:r>
        <w:t>, наоборот, соотношение женщин и мужчин составляло</w:t>
      </w:r>
      <w:r w:rsidRPr="008D76DD">
        <w:t xml:space="preserve"> 6</w:t>
      </w:r>
      <w:r>
        <w:t xml:space="preserve"> к</w:t>
      </w:r>
      <w:r w:rsidR="000B71E2">
        <w:t xml:space="preserve"> </w:t>
      </w:r>
      <w:r w:rsidRPr="008D76DD">
        <w:t>10</w:t>
      </w:r>
      <w:r>
        <w:t>.</w:t>
      </w:r>
      <w:r w:rsidRPr="008D76DD">
        <w:t xml:space="preserve"> </w:t>
      </w:r>
    </w:p>
    <w:p w:rsidR="00717B88" w:rsidRDefault="00717B88" w:rsidP="00717B88"/>
    <w:p w:rsidR="00717B88" w:rsidRPr="0088009C" w:rsidRDefault="00717B88" w:rsidP="00C07877">
      <w:pPr>
        <w:keepNext/>
        <w:rPr>
          <w:b/>
        </w:rPr>
      </w:pPr>
      <w:r w:rsidRPr="0088009C">
        <w:rPr>
          <w:b/>
        </w:rPr>
        <w:t>5.</w:t>
      </w:r>
      <w:r w:rsidRPr="00556F1E">
        <w:rPr>
          <w:b/>
          <w:lang w:val="en-US"/>
        </w:rPr>
        <w:t>b</w:t>
      </w:r>
      <w:r w:rsidRPr="0088009C">
        <w:rPr>
          <w:b/>
        </w:rPr>
        <w:tab/>
      </w:r>
      <w:r>
        <w:rPr>
          <w:b/>
        </w:rPr>
        <w:t>Уязвимые</w:t>
      </w:r>
      <w:r w:rsidRPr="0088009C">
        <w:rPr>
          <w:b/>
        </w:rPr>
        <w:t xml:space="preserve"> </w:t>
      </w:r>
      <w:r>
        <w:rPr>
          <w:b/>
        </w:rPr>
        <w:t>и</w:t>
      </w:r>
      <w:r w:rsidRPr="0088009C">
        <w:rPr>
          <w:b/>
        </w:rPr>
        <w:t xml:space="preserve"> </w:t>
      </w:r>
      <w:r>
        <w:rPr>
          <w:b/>
        </w:rPr>
        <w:t>находящиеся в неблагоприятном положении</w:t>
      </w:r>
      <w:r w:rsidRPr="0088009C">
        <w:rPr>
          <w:b/>
        </w:rPr>
        <w:t xml:space="preserve"> </w:t>
      </w:r>
      <w:r>
        <w:rPr>
          <w:b/>
        </w:rPr>
        <w:t>группы</w:t>
      </w:r>
    </w:p>
    <w:p w:rsidR="00717B88" w:rsidRPr="0088009C" w:rsidRDefault="00717B88" w:rsidP="00C07877">
      <w:pPr>
        <w:keepNext/>
        <w:rPr>
          <w:b/>
        </w:rPr>
      </w:pPr>
    </w:p>
    <w:p w:rsidR="00717B88" w:rsidRDefault="00717B88" w:rsidP="00717B88">
      <w:r w:rsidRPr="008D76DD">
        <w:t>931.</w:t>
      </w:r>
      <w:r w:rsidRPr="008D76DD">
        <w:tab/>
      </w:r>
      <w:r>
        <w:t>В</w:t>
      </w:r>
      <w:r w:rsidRPr="008D76DD">
        <w:t xml:space="preserve"> </w:t>
      </w:r>
      <w:r>
        <w:t>наиболее</w:t>
      </w:r>
      <w:r w:rsidRPr="008D76DD">
        <w:t xml:space="preserve"> </w:t>
      </w:r>
      <w:r>
        <w:t>неблагоприятном</w:t>
      </w:r>
      <w:r w:rsidRPr="008D76DD">
        <w:t xml:space="preserve"> </w:t>
      </w:r>
      <w:r>
        <w:t>положении</w:t>
      </w:r>
      <w:r w:rsidRPr="008D76DD">
        <w:t xml:space="preserve"> </w:t>
      </w:r>
      <w:r>
        <w:t>с точки зрения</w:t>
      </w:r>
      <w:r w:rsidRPr="008D76DD">
        <w:t xml:space="preserve"> </w:t>
      </w:r>
      <w:r>
        <w:t>доступа</w:t>
      </w:r>
      <w:r w:rsidRPr="008D76DD">
        <w:t xml:space="preserve"> </w:t>
      </w:r>
      <w:r>
        <w:t>к</w:t>
      </w:r>
      <w:r w:rsidRPr="008D76DD">
        <w:t xml:space="preserve"> </w:t>
      </w:r>
      <w:r>
        <w:t>образованию</w:t>
      </w:r>
      <w:r w:rsidRPr="008D76DD">
        <w:t xml:space="preserve"> </w:t>
      </w:r>
      <w:r>
        <w:t>находится</w:t>
      </w:r>
      <w:r w:rsidRPr="008D76DD">
        <w:t xml:space="preserve"> </w:t>
      </w:r>
      <w:r>
        <w:t>городская и сельская беднота, а также члены общин коренных народов.</w:t>
      </w:r>
    </w:p>
    <w:p w:rsidR="00717B88" w:rsidRDefault="00717B88" w:rsidP="00717B88"/>
    <w:p w:rsidR="00717B88" w:rsidRDefault="00717B88" w:rsidP="00717B88">
      <w:r w:rsidRPr="008D76DD">
        <w:t>932.</w:t>
      </w:r>
      <w:r w:rsidRPr="008D76DD">
        <w:tab/>
      </w:r>
      <w:r>
        <w:t>Осуществляемая</w:t>
      </w:r>
      <w:r w:rsidRPr="008D76DD">
        <w:t xml:space="preserve"> </w:t>
      </w:r>
      <w:r>
        <w:t>в</w:t>
      </w:r>
      <w:r w:rsidRPr="008D76DD">
        <w:t xml:space="preserve"> </w:t>
      </w:r>
      <w:r>
        <w:t>настоящее</w:t>
      </w:r>
      <w:r w:rsidRPr="008D76DD">
        <w:t xml:space="preserve"> </w:t>
      </w:r>
      <w:r>
        <w:t>время</w:t>
      </w:r>
      <w:r w:rsidRPr="008D76DD">
        <w:t xml:space="preserve"> </w:t>
      </w:r>
      <w:r>
        <w:t>социально</w:t>
      </w:r>
      <w:r w:rsidRPr="008D76DD">
        <w:t>-</w:t>
      </w:r>
      <w:r>
        <w:t>политическая</w:t>
      </w:r>
      <w:r w:rsidRPr="008D76DD">
        <w:t xml:space="preserve"> </w:t>
      </w:r>
      <w:r>
        <w:t>интеграция</w:t>
      </w:r>
      <w:r w:rsidRPr="008D76DD">
        <w:t xml:space="preserve"> </w:t>
      </w:r>
      <w:r>
        <w:t>культурных</w:t>
      </w:r>
      <w:r w:rsidRPr="008D76DD">
        <w:t xml:space="preserve"> </w:t>
      </w:r>
      <w:r>
        <w:t>сообществ</w:t>
      </w:r>
      <w:r w:rsidRPr="008D76DD">
        <w:t xml:space="preserve"> </w:t>
      </w:r>
      <w:r>
        <w:t>коренных</w:t>
      </w:r>
      <w:r w:rsidRPr="008D76DD">
        <w:t xml:space="preserve"> </w:t>
      </w:r>
      <w:r>
        <w:t>народов (КСКН) в единое национальное сообщество заметно тормозится, среди прочего, неграмотностью.  В свою очередь низкий уровень грамотности объясняется нехваткой школ в районах, населяемых КСКН.</w:t>
      </w:r>
    </w:p>
    <w:p w:rsidR="00717B88" w:rsidRDefault="00717B88" w:rsidP="00717B88"/>
    <w:p w:rsidR="00717B88" w:rsidRDefault="00717B88" w:rsidP="00717B88">
      <w:pPr>
        <w:rPr>
          <w:b/>
        </w:rPr>
      </w:pPr>
      <w:r w:rsidRPr="008D76DD">
        <w:rPr>
          <w:b/>
        </w:rPr>
        <w:t>5.</w:t>
      </w:r>
      <w:r w:rsidRPr="00556F1E">
        <w:rPr>
          <w:b/>
          <w:lang w:val="en-US"/>
        </w:rPr>
        <w:t>c</w:t>
      </w:r>
      <w:r w:rsidRPr="008D76DD">
        <w:rPr>
          <w:b/>
        </w:rPr>
        <w:tab/>
      </w:r>
      <w:r>
        <w:rPr>
          <w:b/>
        </w:rPr>
        <w:t>Меры по обеспечению равного доступа к образованию</w:t>
      </w:r>
      <w:r w:rsidRPr="008D76DD">
        <w:rPr>
          <w:b/>
        </w:rPr>
        <w:t xml:space="preserve"> </w:t>
      </w:r>
    </w:p>
    <w:p w:rsidR="00717B88" w:rsidRDefault="00717B88" w:rsidP="00717B88">
      <w:pPr>
        <w:rPr>
          <w:b/>
        </w:rPr>
      </w:pPr>
    </w:p>
    <w:p w:rsidR="00717B88" w:rsidRDefault="00717B88" w:rsidP="00717B88">
      <w:r w:rsidRPr="008D76DD">
        <w:t>933.</w:t>
      </w:r>
      <w:r w:rsidRPr="008D76DD">
        <w:tab/>
      </w:r>
      <w:r>
        <w:t>Для</w:t>
      </w:r>
      <w:r w:rsidRPr="008D76DD">
        <w:t xml:space="preserve"> </w:t>
      </w:r>
      <w:r>
        <w:t>лиц</w:t>
      </w:r>
      <w:r w:rsidRPr="008D76DD">
        <w:t xml:space="preserve">, </w:t>
      </w:r>
      <w:r>
        <w:t>не</w:t>
      </w:r>
      <w:r w:rsidRPr="008D76DD">
        <w:t xml:space="preserve"> </w:t>
      </w:r>
      <w:r>
        <w:t>получивших</w:t>
      </w:r>
      <w:r w:rsidRPr="008D76DD">
        <w:t xml:space="preserve"> </w:t>
      </w:r>
      <w:r>
        <w:t>или</w:t>
      </w:r>
      <w:r w:rsidRPr="008D76DD">
        <w:t xml:space="preserve"> </w:t>
      </w:r>
      <w:r>
        <w:t>не</w:t>
      </w:r>
      <w:r w:rsidRPr="008D76DD">
        <w:t xml:space="preserve"> </w:t>
      </w:r>
      <w:r>
        <w:t>завершивших</w:t>
      </w:r>
      <w:r w:rsidRPr="008D76DD">
        <w:t xml:space="preserve"> </w:t>
      </w:r>
      <w:r>
        <w:t>полный</w:t>
      </w:r>
      <w:r w:rsidRPr="008D76DD">
        <w:t xml:space="preserve"> </w:t>
      </w:r>
      <w:r>
        <w:t>курс</w:t>
      </w:r>
      <w:r w:rsidRPr="008D76DD">
        <w:t xml:space="preserve"> </w:t>
      </w:r>
      <w:r>
        <w:t>начального</w:t>
      </w:r>
      <w:r w:rsidRPr="008D76DD">
        <w:t xml:space="preserve"> </w:t>
      </w:r>
      <w:r>
        <w:t>образования,</w:t>
      </w:r>
      <w:r w:rsidRPr="008D76DD">
        <w:t xml:space="preserve"> </w:t>
      </w:r>
      <w:r>
        <w:t>существуют</w:t>
      </w:r>
      <w:r w:rsidRPr="008D76DD">
        <w:t xml:space="preserve"> </w:t>
      </w:r>
      <w:r>
        <w:t>различные</w:t>
      </w:r>
      <w:r w:rsidRPr="008D76DD">
        <w:t xml:space="preserve"> </w:t>
      </w:r>
      <w:r>
        <w:t>программы</w:t>
      </w:r>
      <w:r w:rsidRPr="008D76DD">
        <w:t xml:space="preserve"> </w:t>
      </w:r>
      <w:r>
        <w:t>и</w:t>
      </w:r>
      <w:r w:rsidRPr="008D76DD">
        <w:t xml:space="preserve"> </w:t>
      </w:r>
      <w:r>
        <w:t>проекты</w:t>
      </w:r>
      <w:r w:rsidRPr="008D76DD">
        <w:t xml:space="preserve">, </w:t>
      </w:r>
      <w:r>
        <w:t>осуществляемые</w:t>
      </w:r>
      <w:r w:rsidRPr="008D76DD">
        <w:t xml:space="preserve"> </w:t>
      </w:r>
      <w:r>
        <w:t>по линии Бюро</w:t>
      </w:r>
      <w:r w:rsidRPr="008D76DD">
        <w:t xml:space="preserve"> </w:t>
      </w:r>
      <w:r>
        <w:t>по вопросам</w:t>
      </w:r>
      <w:r w:rsidRPr="008D76DD">
        <w:t xml:space="preserve"> </w:t>
      </w:r>
      <w:r>
        <w:t>альтернативного</w:t>
      </w:r>
      <w:r w:rsidRPr="008D76DD">
        <w:t xml:space="preserve"> </w:t>
      </w:r>
      <w:r>
        <w:t>обучения (БСАО).  В</w:t>
      </w:r>
      <w:r w:rsidRPr="008D76DD">
        <w:rPr>
          <w:lang w:val="en-US"/>
        </w:rPr>
        <w:t> </w:t>
      </w:r>
      <w:r>
        <w:t>число</w:t>
      </w:r>
      <w:r w:rsidRPr="008D76DD">
        <w:t xml:space="preserve"> </w:t>
      </w:r>
      <w:r>
        <w:t>этих</w:t>
      </w:r>
      <w:r w:rsidRPr="008D76DD">
        <w:t xml:space="preserve"> </w:t>
      </w:r>
      <w:r>
        <w:t>программ</w:t>
      </w:r>
      <w:r w:rsidRPr="008D76DD">
        <w:t xml:space="preserve"> </w:t>
      </w:r>
      <w:r>
        <w:t>и</w:t>
      </w:r>
      <w:r w:rsidRPr="008D76DD">
        <w:t xml:space="preserve"> </w:t>
      </w:r>
      <w:r>
        <w:t>проектов</w:t>
      </w:r>
      <w:r w:rsidRPr="008D76DD">
        <w:t xml:space="preserve"> </w:t>
      </w:r>
      <w:r>
        <w:t>входит</w:t>
      </w:r>
      <w:r w:rsidRPr="008D76DD">
        <w:t xml:space="preserve"> </w:t>
      </w:r>
      <w:r>
        <w:t>Система</w:t>
      </w:r>
      <w:r w:rsidRPr="008D76DD">
        <w:t xml:space="preserve"> </w:t>
      </w:r>
      <w:r>
        <w:t>проверки</w:t>
      </w:r>
      <w:r w:rsidRPr="008D76DD">
        <w:t xml:space="preserve"> </w:t>
      </w:r>
      <w:r>
        <w:t>соответствия</w:t>
      </w:r>
      <w:r w:rsidRPr="008D76DD">
        <w:t xml:space="preserve"> </w:t>
      </w:r>
      <w:r>
        <w:t>и</w:t>
      </w:r>
      <w:r w:rsidRPr="008D76DD">
        <w:t xml:space="preserve"> </w:t>
      </w:r>
      <w:r>
        <w:t>признания</w:t>
      </w:r>
      <w:r w:rsidRPr="008D76DD">
        <w:t xml:space="preserve"> </w:t>
      </w:r>
      <w:r>
        <w:t>неформального</w:t>
      </w:r>
      <w:r w:rsidRPr="008D76DD">
        <w:t xml:space="preserve"> </w:t>
      </w:r>
      <w:r>
        <w:t>образования</w:t>
      </w:r>
      <w:r w:rsidRPr="008D76DD">
        <w:t xml:space="preserve">, </w:t>
      </w:r>
      <w:r>
        <w:t>Проект</w:t>
      </w:r>
      <w:r w:rsidRPr="008D76DD">
        <w:t xml:space="preserve"> </w:t>
      </w:r>
      <w:r>
        <w:t>передвижных</w:t>
      </w:r>
      <w:r w:rsidRPr="008D76DD">
        <w:t xml:space="preserve"> </w:t>
      </w:r>
      <w:r>
        <w:t>центров</w:t>
      </w:r>
      <w:r w:rsidRPr="008D76DD">
        <w:t xml:space="preserve"> </w:t>
      </w:r>
      <w:r>
        <w:t>обучения</w:t>
      </w:r>
      <w:r w:rsidRPr="008D76DD">
        <w:t xml:space="preserve">, </w:t>
      </w:r>
      <w:r>
        <w:t>Проект</w:t>
      </w:r>
      <w:r w:rsidRPr="008D76DD">
        <w:t xml:space="preserve"> </w:t>
      </w:r>
      <w:r>
        <w:t>овладения основами грамотности на контрактной основе и Проект обучения молодежи и взрослых, не посещавших школу (</w:t>
      </w:r>
      <w:r w:rsidRPr="00556F1E">
        <w:rPr>
          <w:i/>
          <w:lang w:val="en-US"/>
        </w:rPr>
        <w:t>Balik</w:t>
      </w:r>
      <w:r w:rsidRPr="008D76DD">
        <w:rPr>
          <w:i/>
        </w:rPr>
        <w:t>-</w:t>
      </w:r>
      <w:r w:rsidRPr="00556F1E">
        <w:rPr>
          <w:i/>
          <w:lang w:val="en-US"/>
        </w:rPr>
        <w:t>Paaralan</w:t>
      </w:r>
      <w:r w:rsidRPr="008D76DD">
        <w:rPr>
          <w:i/>
        </w:rPr>
        <w:t xml:space="preserve"> </w:t>
      </w:r>
      <w:r w:rsidRPr="00556F1E">
        <w:rPr>
          <w:i/>
          <w:lang w:val="en-US"/>
        </w:rPr>
        <w:t>Para</w:t>
      </w:r>
      <w:r w:rsidRPr="00FA767E">
        <w:rPr>
          <w:i/>
        </w:rPr>
        <w:t xml:space="preserve"> </w:t>
      </w:r>
      <w:r w:rsidRPr="00556F1E">
        <w:rPr>
          <w:i/>
          <w:lang w:val="en-US"/>
        </w:rPr>
        <w:t>sa</w:t>
      </w:r>
      <w:r>
        <w:t xml:space="preserve">).  </w:t>
      </w:r>
    </w:p>
    <w:p w:rsidR="00717B88" w:rsidRDefault="00717B88" w:rsidP="00717B88"/>
    <w:p w:rsidR="00717B88" w:rsidRDefault="00717B88" w:rsidP="00717B88">
      <w:r w:rsidRPr="00FA767E">
        <w:t>934.</w:t>
      </w:r>
      <w:r w:rsidRPr="00FA767E">
        <w:tab/>
      </w:r>
      <w:r>
        <w:t>Программы</w:t>
      </w:r>
      <w:r w:rsidRPr="00FA767E">
        <w:t xml:space="preserve"> </w:t>
      </w:r>
      <w:r>
        <w:t>обеспечения</w:t>
      </w:r>
      <w:r w:rsidRPr="00FA767E">
        <w:t xml:space="preserve"> </w:t>
      </w:r>
      <w:r>
        <w:t>функциональной</w:t>
      </w:r>
      <w:r w:rsidRPr="00FA767E">
        <w:t xml:space="preserve"> </w:t>
      </w:r>
      <w:r>
        <w:t>грамотности</w:t>
      </w:r>
      <w:r w:rsidRPr="00FA767E">
        <w:t xml:space="preserve">, </w:t>
      </w:r>
      <w:r>
        <w:t xml:space="preserve">которые направлены на обучение счету и развитие коммуникационных навыков населения, также широко используются в интересах не посещавших школу молодых людей и взрослых в отдаленных районах.  См. пункт 749. </w:t>
      </w:r>
    </w:p>
    <w:p w:rsidR="00717B88" w:rsidRDefault="00717B88" w:rsidP="00717B88"/>
    <w:p w:rsidR="00717B88" w:rsidRDefault="00717B88" w:rsidP="00717B88">
      <w:r>
        <w:t xml:space="preserve">935.  Для тех, кто хотел бы продолжать свое образование после многолетнего перерыва, правительство также проводит Национальный тест проверки уровня знаний учащихся (НТУЗ).  НТУЗ - это письменный экзамен, с помощью которого определяется и подтверждается уровень неформального образования молодых людей, не посещавших школу, с тем чтобы они могли быть повторно зачислены и в систему формального школьного образования.  </w:t>
      </w:r>
    </w:p>
    <w:p w:rsidR="00717B88" w:rsidRDefault="00717B88" w:rsidP="00717B88"/>
    <w:p w:rsidR="00717B88" w:rsidRDefault="00717B88" w:rsidP="00717B88">
      <w:r>
        <w:t>936.</w:t>
      </w:r>
      <w:r>
        <w:tab/>
        <w:t>Расширенная программа проверки соответствия и признания дипломов о высшем образовании (РПЭДВО)</w:t>
      </w:r>
      <w:r>
        <w:rPr>
          <w:rStyle w:val="FootnoteReference"/>
        </w:rPr>
        <w:footnoteReference w:id="62"/>
      </w:r>
      <w:r>
        <w:t xml:space="preserve"> является комплексной программой определения, оценки и подтверждения уровня знаний на уровне колледжа, приобретенных в рамках неформальной и неофициальной системы обучения и накопленных благодаря трудовому опыту.  Эта</w:t>
      </w:r>
      <w:r w:rsidRPr="00973587">
        <w:t xml:space="preserve"> </w:t>
      </w:r>
      <w:r>
        <w:t>программа предусматривает выдачу документа, подтверждающего уровень образования и/или наличие соответствующей научной степени.  Оценку и подтверждение уровня знаний кандидата, а также его расширенной/дополнительной компетенции, необходимой для выполнения требований академической программы, осуществляется Группой экспертов, сформированной из представителей научных, промышленных и профессиональных кругов.  В настоящее время 88 учебным заведениям (64 частным и 24 государственным колледжам и университетам) поручено осуществлять РПЭДВО, а также 50 других реализуемых в рамках РПЭДВО</w:t>
      </w:r>
      <w:r w:rsidRPr="00552162">
        <w:t xml:space="preserve"> </w:t>
      </w:r>
      <w:r>
        <w:t xml:space="preserve">программ получения степени бакалавра и 20 программ, предусматривающих получение диплома об окончании учебного заведения.  С начала </w:t>
      </w:r>
      <w:r w:rsidRPr="00A14903">
        <w:t>1999</w:t>
      </w:r>
      <w:r>
        <w:rPr>
          <w:lang w:val="en-US"/>
        </w:rPr>
        <w:t> </w:t>
      </w:r>
      <w:r w:rsidRPr="00A14903">
        <w:t>год</w:t>
      </w:r>
      <w:r>
        <w:t>а по 2005 год дипломы по линии РПЭДВО получили 1 947 учащихся.</w:t>
      </w:r>
    </w:p>
    <w:p w:rsidR="00717B88" w:rsidRDefault="00717B88" w:rsidP="00717B88"/>
    <w:p w:rsidR="00717B88" w:rsidRPr="00F71205" w:rsidRDefault="00717B88" w:rsidP="00717B88">
      <w:pPr>
        <w:rPr>
          <w:i/>
        </w:rPr>
      </w:pPr>
      <w:r w:rsidRPr="00F71205">
        <w:rPr>
          <w:i/>
        </w:rPr>
        <w:t>Образование детей из числа коренных народов</w:t>
      </w:r>
    </w:p>
    <w:p w:rsidR="00717B88" w:rsidRDefault="00717B88" w:rsidP="00717B88"/>
    <w:p w:rsidR="00717B88" w:rsidRDefault="00717B88" w:rsidP="00717B88">
      <w:r>
        <w:t>937.</w:t>
      </w:r>
      <w:r>
        <w:tab/>
        <w:t xml:space="preserve">Статья 30 Закона 1997 года о правах коренных народов (РЗ 8371) предусматривает, что члены культурных сообществ коренных народов должны иметь равный доступ к образованию.  В этой связи правительство оказывает соответствующе содействие через </w:t>
      </w:r>
      <w:r>
        <w:rPr>
          <w:i/>
        </w:rPr>
        <w:t>Программу помощи отдельным этническим группам в получении образования,</w:t>
      </w:r>
      <w:r>
        <w:t xml:space="preserve"> а также предоставляет коренным народам возможности образования для взрослых, включающего овладение основами чтения, письма и математики.</w:t>
      </w:r>
    </w:p>
    <w:p w:rsidR="00717B88" w:rsidRDefault="00717B88" w:rsidP="00717B88"/>
    <w:p w:rsidR="00717B88" w:rsidRDefault="00717B88" w:rsidP="00717B88">
      <w:r>
        <w:t>938.</w:t>
      </w:r>
      <w:r>
        <w:tab/>
        <w:t>Министерству образования поручено также разработать и ввести в действие альтернативную систему образования для детей из общин коренных народов, которая учитывает особенности их культуры, а также потребности и реальное положение их общин.</w:t>
      </w:r>
    </w:p>
    <w:p w:rsidR="00717B88" w:rsidRDefault="00717B88" w:rsidP="00717B88"/>
    <w:p w:rsidR="00717B88" w:rsidRPr="00F71205" w:rsidRDefault="00717B88" w:rsidP="00717B88">
      <w:pPr>
        <w:rPr>
          <w:i/>
        </w:rPr>
      </w:pPr>
      <w:r w:rsidRPr="00F71205">
        <w:rPr>
          <w:i/>
        </w:rPr>
        <w:t>Дети из мусульманского Минданао</w:t>
      </w:r>
    </w:p>
    <w:p w:rsidR="00717B88" w:rsidRDefault="00717B88" w:rsidP="00717B88"/>
    <w:p w:rsidR="00717B88" w:rsidRDefault="00717B88" w:rsidP="00717B88">
      <w:r>
        <w:t>939.</w:t>
      </w:r>
      <w:r>
        <w:tab/>
        <w:t>Острая нехватка учителей и классных помещений, усугубляемая удаленностью школ от мест проживания, приводит к тому, что многие дети в отдаленных селениях (</w:t>
      </w:r>
      <w:r w:rsidRPr="00556F1E">
        <w:rPr>
          <w:i/>
          <w:lang w:val="en-US"/>
        </w:rPr>
        <w:t>sitios</w:t>
      </w:r>
      <w:r>
        <w:rPr>
          <w:i/>
        </w:rPr>
        <w:t>)</w:t>
      </w:r>
      <w:r>
        <w:t xml:space="preserve"> и горных районах Минданао не в состоянии посещать школу и получать начальное образование.</w:t>
      </w:r>
    </w:p>
    <w:p w:rsidR="00717B88" w:rsidRDefault="00717B88" w:rsidP="00717B88"/>
    <w:p w:rsidR="00717B88" w:rsidRDefault="00717B88" w:rsidP="00717B88">
      <w:r>
        <w:t>940.</w:t>
      </w:r>
      <w:r>
        <w:tab/>
        <w:t xml:space="preserve">С целью решения этой проблемы Министерство образования разработало программу </w:t>
      </w:r>
      <w:r>
        <w:rPr>
          <w:i/>
        </w:rPr>
        <w:t>Общеобразовательной помощи в Минданао</w:t>
      </w:r>
      <w:r>
        <w:t xml:space="preserve"> (ООПМ), которая финансируется правительствами Филиппин и Австралии</w:t>
      </w:r>
      <w:r>
        <w:rPr>
          <w:rStyle w:val="FootnoteReference"/>
        </w:rPr>
        <w:footnoteReference w:id="63"/>
      </w:r>
      <w:r>
        <w:t>.</w:t>
      </w:r>
    </w:p>
    <w:p w:rsidR="00717B88" w:rsidRDefault="00717B88" w:rsidP="00717B88"/>
    <w:p w:rsidR="00717B88" w:rsidRPr="00F71205" w:rsidRDefault="00717B88" w:rsidP="00717B88">
      <w:pPr>
        <w:rPr>
          <w:i/>
        </w:rPr>
      </w:pPr>
      <w:r w:rsidRPr="00F71205">
        <w:rPr>
          <w:i/>
        </w:rPr>
        <w:t>Образование детей в условиях вооруженного конфликта</w:t>
      </w:r>
    </w:p>
    <w:p w:rsidR="00717B88" w:rsidRDefault="00717B88" w:rsidP="00717B88"/>
    <w:p w:rsidR="00717B88" w:rsidRDefault="00717B88" w:rsidP="00717B88">
      <w:r w:rsidRPr="00D54294">
        <w:t>942.</w:t>
      </w:r>
      <w:r w:rsidRPr="00D54294">
        <w:tab/>
        <w:t xml:space="preserve">Республиканский закон № 7610, известный иначе как </w:t>
      </w:r>
      <w:r w:rsidRPr="00D54294">
        <w:rPr>
          <w:i/>
        </w:rPr>
        <w:t>Закон о специальных мерах</w:t>
      </w:r>
      <w:r>
        <w:rPr>
          <w:i/>
        </w:rPr>
        <w:t xml:space="preserve"> по</w:t>
      </w:r>
      <w:r w:rsidRPr="00D54294">
        <w:rPr>
          <w:i/>
        </w:rPr>
        <w:t xml:space="preserve"> защит</w:t>
      </w:r>
      <w:r>
        <w:rPr>
          <w:i/>
        </w:rPr>
        <w:t>е</w:t>
      </w:r>
      <w:r w:rsidRPr="00D54294">
        <w:rPr>
          <w:i/>
        </w:rPr>
        <w:t xml:space="preserve"> детей от надругательств, эксплуатации и дискриминации</w:t>
      </w:r>
      <w:r w:rsidRPr="00D54294">
        <w:t xml:space="preserve">, направлен на обеспечение выживания и защиты детей в условиях ведущихся военных действий.  В соответствии с </w:t>
      </w:r>
      <w:r>
        <w:t xml:space="preserve">этим </w:t>
      </w:r>
      <w:r w:rsidRPr="00D54294">
        <w:t xml:space="preserve">законом правительство обеспечивает предоставление основных услуг, оказывает помощь в </w:t>
      </w:r>
      <w:r>
        <w:t>деле</w:t>
      </w:r>
      <w:r w:rsidRPr="00D54294">
        <w:t xml:space="preserve"> физической и психологической реабилитации, а также защищает и обеспечивает права детей в условиях вооруженного конфликта.  В число мероприятий, проводим</w:t>
      </w:r>
      <w:r>
        <w:t>ых</w:t>
      </w:r>
      <w:r w:rsidRPr="00D54294">
        <w:t xml:space="preserve"> в рамках </w:t>
      </w:r>
      <w:r>
        <w:t xml:space="preserve">данной </w:t>
      </w:r>
      <w:r w:rsidRPr="00D54294">
        <w:t>программ</w:t>
      </w:r>
      <w:r>
        <w:t>ы</w:t>
      </w:r>
      <w:r w:rsidRPr="00D54294">
        <w:t xml:space="preserve">, входят подготовка персонала по вопросам ухода за детьми и их развития в раннем возрасте (УДРРВ) и психосоциальной помощи;  изготовление и распространение </w:t>
      </w:r>
      <w:r>
        <w:t>печатных</w:t>
      </w:r>
      <w:r w:rsidRPr="00D54294">
        <w:t xml:space="preserve"> материалов по вопросам развития детей в раннем возрасте;  проведение семинаров по </w:t>
      </w:r>
      <w:r>
        <w:t>вопросам</w:t>
      </w:r>
      <w:r w:rsidRPr="00D54294">
        <w:t xml:space="preserve"> эффективно</w:t>
      </w:r>
      <w:r>
        <w:t>го выполнения</w:t>
      </w:r>
      <w:r w:rsidRPr="00D54294">
        <w:t xml:space="preserve"> родител</w:t>
      </w:r>
      <w:r>
        <w:t>ьских обязанностей</w:t>
      </w:r>
      <w:r w:rsidRPr="00D54294">
        <w:t xml:space="preserve">;  подготовка </w:t>
      </w:r>
      <w:r>
        <w:t>медработников-добровольцев</w:t>
      </w:r>
      <w:r w:rsidRPr="00D54294">
        <w:t xml:space="preserve"> из числа жителей общин</w:t>
      </w:r>
      <w:r>
        <w:t>ы</w:t>
      </w:r>
      <w:r w:rsidRPr="00D54294">
        <w:t>;  проведение занятий для матерей по вопросам здоровья и питания ребенка;  обучение родителей и лиц, ухаживающих за детьми, навыкам поведения в условиях стресса, вызванного критическими ситуациями;  и снабжение питьевой водой и средствами санитарии.</w:t>
      </w:r>
    </w:p>
    <w:p w:rsidR="00717B88" w:rsidRPr="00F71205" w:rsidRDefault="000B71E2" w:rsidP="00C07877">
      <w:pPr>
        <w:spacing w:line="240" w:lineRule="auto"/>
        <w:rPr>
          <w:i/>
        </w:rPr>
      </w:pPr>
      <w:r w:rsidRPr="00F71205">
        <w:rPr>
          <w:i/>
        </w:rPr>
        <w:t>Доступ к образованию малоимущих учащихся, имеющих право на получение высшего образовани</w:t>
      </w:r>
      <w:r>
        <w:rPr>
          <w:i/>
        </w:rPr>
        <w:t>я</w:t>
      </w:r>
    </w:p>
    <w:p w:rsidR="00717B88" w:rsidRPr="00C07877" w:rsidRDefault="00717B88" w:rsidP="00717B88">
      <w:pPr>
        <w:rPr>
          <w:sz w:val="20"/>
        </w:rPr>
      </w:pPr>
    </w:p>
    <w:p w:rsidR="00717B88" w:rsidRDefault="00717B88" w:rsidP="00C07877">
      <w:pPr>
        <w:spacing w:line="276" w:lineRule="auto"/>
      </w:pPr>
      <w:r w:rsidRPr="00D54294">
        <w:t>943.</w:t>
      </w:r>
      <w:r w:rsidRPr="00D54294">
        <w:tab/>
      </w:r>
      <w:r>
        <w:t>Для</w:t>
      </w:r>
      <w:r w:rsidRPr="00D54294">
        <w:t xml:space="preserve"> обеспечения широкого доступа к</w:t>
      </w:r>
      <w:r>
        <w:t xml:space="preserve"> о</w:t>
      </w:r>
      <w:r w:rsidRPr="00D54294">
        <w:t>бразовани</w:t>
      </w:r>
      <w:r>
        <w:t>ю</w:t>
      </w:r>
      <w:r w:rsidRPr="00D54294">
        <w:t xml:space="preserve"> </w:t>
      </w:r>
      <w:r>
        <w:t>малоимущих</w:t>
      </w:r>
      <w:r w:rsidRPr="00D54294">
        <w:t xml:space="preserve">, но </w:t>
      </w:r>
      <w:r>
        <w:t>имеющих право на получение высшего образования</w:t>
      </w:r>
      <w:r w:rsidRPr="00D54294">
        <w:t xml:space="preserve"> учащихся</w:t>
      </w:r>
      <w:r>
        <w:t xml:space="preserve"> в рамках программ для высших школ</w:t>
      </w:r>
      <w:r w:rsidRPr="00D54294">
        <w:t xml:space="preserve"> и приоритетных учебных курсов филиппинское</w:t>
      </w:r>
      <w:r>
        <w:t>,</w:t>
      </w:r>
      <w:r w:rsidRPr="00D54294">
        <w:t xml:space="preserve"> правительство осуществляет и финансирует ряд программ</w:t>
      </w:r>
      <w:r>
        <w:t>, предусматривающих выплату стипендий</w:t>
      </w:r>
      <w:r w:rsidRPr="00D54294">
        <w:rPr>
          <w:rStyle w:val="FootnoteReference"/>
        </w:rPr>
        <w:footnoteReference w:id="64"/>
      </w:r>
      <w:r w:rsidRPr="00D54294">
        <w:t>.</w:t>
      </w:r>
    </w:p>
    <w:p w:rsidR="00717B88" w:rsidRPr="00C07877" w:rsidRDefault="00717B88" w:rsidP="00C07877">
      <w:pPr>
        <w:spacing w:line="216" w:lineRule="auto"/>
        <w:rPr>
          <w:sz w:val="20"/>
        </w:rPr>
      </w:pPr>
    </w:p>
    <w:p w:rsidR="00717B88" w:rsidRDefault="00717B88" w:rsidP="00C07877">
      <w:pPr>
        <w:spacing w:line="216" w:lineRule="auto"/>
      </w:pPr>
      <w:r w:rsidRPr="00D54294">
        <w:rPr>
          <w:b/>
        </w:rPr>
        <w:t>5.d</w:t>
      </w:r>
      <w:r w:rsidRPr="00D54294">
        <w:rPr>
          <w:b/>
        </w:rPr>
        <w:tab/>
        <w:t>Условия для изучения языков</w:t>
      </w:r>
    </w:p>
    <w:p w:rsidR="00717B88" w:rsidRPr="00C07877" w:rsidRDefault="00717B88" w:rsidP="00C07877">
      <w:pPr>
        <w:spacing w:line="216" w:lineRule="auto"/>
        <w:rPr>
          <w:sz w:val="20"/>
        </w:rPr>
      </w:pPr>
    </w:p>
    <w:p w:rsidR="00717B88" w:rsidRDefault="00717B88" w:rsidP="00C07877">
      <w:pPr>
        <w:spacing w:line="276" w:lineRule="auto"/>
      </w:pPr>
      <w:r w:rsidRPr="00D54294">
        <w:t>944.</w:t>
      </w:r>
      <w:r w:rsidRPr="00D54294">
        <w:tab/>
        <w:t xml:space="preserve">Двуязычное образование на Филиппинах в практическом плане выглядит как раздельное использование филиппинского и английского языков в качестве средства преподавания </w:t>
      </w:r>
      <w:r>
        <w:t>ряда</w:t>
      </w:r>
      <w:r w:rsidRPr="00D54294">
        <w:t xml:space="preserve"> предметов.  </w:t>
      </w:r>
      <w:r>
        <w:t xml:space="preserve">Согласно </w:t>
      </w:r>
      <w:r w:rsidRPr="00D54294">
        <w:t>распоряжени</w:t>
      </w:r>
      <w:r>
        <w:t>ю</w:t>
      </w:r>
      <w:r w:rsidRPr="00D54294">
        <w:t xml:space="preserve"> МКОС № 25, филиппинский язык должен использоваться как средство преподавания общественных наук, музыки, искусств, физического воспитания, национальной экономики, прикладных искусств и нравственного воспитания.  А на английском языке должно вестись преподавание </w:t>
      </w:r>
      <w:r>
        <w:t xml:space="preserve">естественных </w:t>
      </w:r>
      <w:r w:rsidRPr="00D54294">
        <w:t xml:space="preserve">наук, математики и технологических дисциплин.  Такое же распределение </w:t>
      </w:r>
      <w:r>
        <w:t>предметов</w:t>
      </w:r>
      <w:r w:rsidRPr="00D54294">
        <w:t xml:space="preserve"> предусмотрено в принятом министерством в 1987 году распоряжении № 52 о политике в области двуязычного образования</w:t>
      </w:r>
      <w:r w:rsidRPr="00D54294">
        <w:rPr>
          <w:rStyle w:val="FootnoteReference"/>
        </w:rPr>
        <w:footnoteReference w:id="65"/>
      </w:r>
      <w:r w:rsidRPr="00D54294">
        <w:t>.</w:t>
      </w:r>
    </w:p>
    <w:p w:rsidR="00717B88" w:rsidRDefault="00717B88" w:rsidP="00717B88"/>
    <w:p w:rsidR="00717B88" w:rsidRDefault="00717B88" w:rsidP="00717B88">
      <w:r>
        <w:t>945.</w:t>
      </w:r>
      <w:r>
        <w:tab/>
        <w:t>Наряду с этим региональные языки должны использоваться как вспомогательные на уровне начального образования.  Три основных языка (</w:t>
      </w:r>
      <w:r w:rsidRPr="00256F25">
        <w:rPr>
          <w:i/>
          <w:lang w:val="en-US"/>
        </w:rPr>
        <w:t>lingua</w:t>
      </w:r>
      <w:r w:rsidRPr="00256F25">
        <w:rPr>
          <w:i/>
        </w:rPr>
        <w:t xml:space="preserve"> </w:t>
      </w:r>
      <w:r w:rsidRPr="00256F25">
        <w:rPr>
          <w:i/>
          <w:lang w:val="en-US"/>
        </w:rPr>
        <w:t>francas</w:t>
      </w:r>
      <w:r>
        <w:t xml:space="preserve">) - тагальский, себуанский и илоканский - используются при обучении основам грамотности и навыкам счета учащихся первого и второго классов.  Это предусмотрено проектом "Лингуа Франка", который разработан с целью проверки возможностей использования местных языков, преобладающих в данном регионе, в качестве средства обучения детей.  В рамках данного проекта осуществляется выпуск учебных пособий на местных языках.  Кроме того, в соответствии с проектом овладения основами грамотности, базовые учебные материалы были переведены на семь основных диалектов. </w:t>
      </w:r>
    </w:p>
    <w:p w:rsidR="00717B88" w:rsidRDefault="00717B88" w:rsidP="00717B88"/>
    <w:p w:rsidR="00717B88" w:rsidRDefault="00717B88" w:rsidP="00717B88">
      <w:r>
        <w:t>946.</w:t>
      </w:r>
      <w:r>
        <w:tab/>
        <w:t>Лингвистическая политика в сфере высшего образования закреплена в Памятной записке КВО № 59 от 1996 года, которая предусматривает, что преподавание на курсах по изучению филиппинского или английского языка должно вестись на соответствующем языке, а по усмотрению вузов литература может преподаваться на филиппинском, английском или любом другом языке при условии, что для этого имеется достаточно  учебных материалов и что студенты и преподаватели владеют данным языком.</w:t>
      </w:r>
    </w:p>
    <w:p w:rsidR="00717B88" w:rsidRDefault="00717B88" w:rsidP="00717B88"/>
    <w:p w:rsidR="00717B88" w:rsidRDefault="00717B88" w:rsidP="00717B88">
      <w:pPr>
        <w:rPr>
          <w:b/>
        </w:rPr>
      </w:pPr>
      <w:r>
        <w:rPr>
          <w:b/>
        </w:rPr>
        <w:t>Вопрос № 6.</w:t>
      </w:r>
      <w:r w:rsidR="00F71205">
        <w:rPr>
          <w:b/>
        </w:rPr>
        <w:tab/>
      </w:r>
      <w:r>
        <w:rPr>
          <w:b/>
        </w:rPr>
        <w:t>Положение преподавательского состава на всех уровнях</w:t>
      </w:r>
    </w:p>
    <w:p w:rsidR="00717B88" w:rsidRDefault="00717B88" w:rsidP="00717B88">
      <w:pPr>
        <w:rPr>
          <w:b/>
        </w:rPr>
      </w:pPr>
    </w:p>
    <w:p w:rsidR="00717B88" w:rsidRPr="00F71205" w:rsidRDefault="00717B88" w:rsidP="00717B88">
      <w:pPr>
        <w:rPr>
          <w:i/>
        </w:rPr>
      </w:pPr>
      <w:r w:rsidRPr="00F71205">
        <w:rPr>
          <w:i/>
        </w:rPr>
        <w:t>Профессиональная подготовка преподавателей</w:t>
      </w:r>
    </w:p>
    <w:p w:rsidR="00717B88" w:rsidRPr="00F71205" w:rsidRDefault="00717B88" w:rsidP="00717B88">
      <w:pPr>
        <w:rPr>
          <w:i/>
        </w:rPr>
      </w:pPr>
    </w:p>
    <w:p w:rsidR="00717B88" w:rsidRDefault="00717B88" w:rsidP="00717B88">
      <w:r>
        <w:t>947.</w:t>
      </w:r>
      <w:r>
        <w:tab/>
        <w:t xml:space="preserve">С целью обеспечения достаточного количества преподавателей, повышения их компетентности и качества преподавания были созданы Центры усовершенствования преподавателей, где осуществляется их предварительная профессиональная подготовка.  Эти центры были созданы в соответствии с РЗ 7784 </w:t>
      </w:r>
      <w:r>
        <w:rPr>
          <w:i/>
        </w:rPr>
        <w:t>Об усовершенствовании подготовки преподавателей</w:t>
      </w:r>
      <w:r>
        <w:t>, принятым с целью обеспечения высокого качества образования для всех детей.</w:t>
      </w:r>
    </w:p>
    <w:p w:rsidR="00717B88" w:rsidRDefault="00717B88" w:rsidP="00717B88"/>
    <w:p w:rsidR="00717B88" w:rsidRDefault="00717B88" w:rsidP="00717B88">
      <w:r>
        <w:t>948.</w:t>
      </w:r>
      <w:r>
        <w:tab/>
        <w:t>Учителя в государственных и частных начальных школах должны иметь как минимум диплом бакалавра для преподавания в начальной школе.  Преподаватели средней школы должны иметь диплом бакалавра со специализацией (большей или меньшей) по предметам, преподаваемым в средней школе, дающий право преподавать в средней школе.  Оба диплома должны быть получены по окончании установленных курсов педагогического образования в профилированных учебных заведениях.</w:t>
      </w:r>
    </w:p>
    <w:p w:rsidR="00717B88" w:rsidRDefault="00717B88" w:rsidP="00717B88"/>
    <w:p w:rsidR="00717B88" w:rsidRDefault="00717B88" w:rsidP="00717B88">
      <w:r>
        <w:t>949.</w:t>
      </w:r>
      <w:r>
        <w:tab/>
        <w:t>Квалификация профессорско-преподавательского состава в системе высшего образования в процентном выражении повысилась, судя по числу имеющихся дипломов магистра, которое увеличилось с 25,7</w:t>
      </w:r>
      <w:r w:rsidRPr="00805EC8">
        <w:t>%</w:t>
      </w:r>
      <w:r>
        <w:t xml:space="preserve"> в 2000 году до 28,88</w:t>
      </w:r>
      <w:r w:rsidRPr="00805EC8">
        <w:t>%</w:t>
      </w:r>
      <w:r>
        <w:t xml:space="preserve"> в 2003 году.  За этот же период выросло с 7,5</w:t>
      </w:r>
      <w:r w:rsidRPr="00805EC8">
        <w:t>%</w:t>
      </w:r>
      <w:r>
        <w:t xml:space="preserve"> до 9,21</w:t>
      </w:r>
      <w:r w:rsidRPr="00805EC8">
        <w:t>%</w:t>
      </w:r>
      <w:r>
        <w:t xml:space="preserve"> и число преподавателей, имеющих докторскую степень.</w:t>
      </w:r>
    </w:p>
    <w:p w:rsidR="00717B88" w:rsidRDefault="00717B88" w:rsidP="00717B88"/>
    <w:p w:rsidR="00717B88" w:rsidRDefault="00717B88" w:rsidP="00717B88">
      <w:r>
        <w:t>950.</w:t>
      </w:r>
      <w:r>
        <w:tab/>
        <w:t xml:space="preserve">Продолжительность программ профессиональной подготовки преподавателей всех уровней составляет четыре года.  Выпускники непедагогических факультетов могут пройти обучение по 18-курсовой программе на получение удостоверения профессионального педагога, с тем чтобы иметь право работать преподавателем в начальной или средней школе.  По прохождении этих программ слушатели в соответствии с РЗ 7836, известным иначе как </w:t>
      </w:r>
      <w:r>
        <w:rPr>
          <w:i/>
        </w:rPr>
        <w:t>Закон о профессиональной подготовке преподавателей</w:t>
      </w:r>
      <w:r w:rsidRPr="000005F3">
        <w:t>,</w:t>
      </w:r>
      <w:r>
        <w:t xml:space="preserve"> должны пройти лицензионный экзамен для учителей, дающий право на преподавание в начальной и средней школе.</w:t>
      </w:r>
    </w:p>
    <w:p w:rsidR="00717B88" w:rsidRDefault="00717B88" w:rsidP="00717B88"/>
    <w:p w:rsidR="00717B88" w:rsidRPr="00F71205" w:rsidRDefault="00717B88" w:rsidP="00717B88">
      <w:pPr>
        <w:rPr>
          <w:i/>
        </w:rPr>
      </w:pPr>
      <w:r w:rsidRPr="00F71205">
        <w:rPr>
          <w:i/>
        </w:rPr>
        <w:t>Повышение компетенции учителей</w:t>
      </w:r>
    </w:p>
    <w:p w:rsidR="00717B88" w:rsidRDefault="00717B88" w:rsidP="00717B88"/>
    <w:p w:rsidR="00717B88" w:rsidRDefault="00717B88" w:rsidP="00717B88">
      <w:r>
        <w:t>951.</w:t>
      </w:r>
      <w:r>
        <w:tab/>
        <w:t xml:space="preserve">Министерство образования осуществляет регулярную профессиональную подготовку преподавателей без отрыва от производства в учебных округах и регионах.  Регулярно проводятся и курсы повышения квалификации в административных округах и школах с целью непрерывного улучшения управленческих и педагогических навыков учителей. </w:t>
      </w:r>
    </w:p>
    <w:p w:rsidR="00717B88" w:rsidRDefault="00717B88" w:rsidP="00717B88"/>
    <w:p w:rsidR="00717B88" w:rsidRDefault="00717B88" w:rsidP="00717B88">
      <w:r>
        <w:t>952.</w:t>
      </w:r>
      <w:r>
        <w:tab/>
        <w:t xml:space="preserve">Национальная педагогическая академия Филиппин (НПАФ) отвечает за обеспечение профессиональной компетенции педагогического состава, а также владение им и навыками управления и руководства.  В рамках выполнения своих функций НПАФ сосредоточивает свои усилия на следующих трех направлениях:  профессиональная подготовка преподавателей и ее совершенствование;  преподавание предметов и совершенствование методов преподавания;  и научно-исследовательская работа преподавателей и ее совершенствование.  </w:t>
      </w:r>
    </w:p>
    <w:p w:rsidR="00717B88" w:rsidRDefault="00717B88" w:rsidP="00717B88"/>
    <w:p w:rsidR="00717B88" w:rsidRDefault="00717B88" w:rsidP="00717B88">
      <w:r>
        <w:t>953.</w:t>
      </w:r>
      <w:r>
        <w:tab/>
        <w:t>Ежегодный спрос на наиболее результативные государственные начальные и средние школы способствует повышению профессиональной квалификации административных работников и преподавателей системы образования.  При этом используются следующие критерии:  1)  высокий уровень мотивации педагогов;  2)  высокий уровень компетенции и самоотдачи преподавателей;  3)  умелое и динамичное управление;  4)  наличие надлежащей и способствующей обучению обстановки;  5)  гармоничные отношения между школой, родителями и местной общиной.</w:t>
      </w:r>
    </w:p>
    <w:p w:rsidR="00717B88" w:rsidRDefault="00717B88" w:rsidP="00717B88"/>
    <w:p w:rsidR="00D676C2" w:rsidRPr="00F71205" w:rsidRDefault="00D676C2" w:rsidP="00C07877">
      <w:pPr>
        <w:keepNext/>
        <w:rPr>
          <w:i/>
        </w:rPr>
      </w:pPr>
      <w:r w:rsidRPr="00F71205">
        <w:rPr>
          <w:i/>
        </w:rPr>
        <w:t>Заработная плата преподавателей</w:t>
      </w:r>
    </w:p>
    <w:p w:rsidR="00D676C2" w:rsidRDefault="00D676C2" w:rsidP="00C07877">
      <w:pPr>
        <w:keepNext/>
        <w:rPr>
          <w:u w:val="single"/>
        </w:rPr>
      </w:pPr>
    </w:p>
    <w:p w:rsidR="00D676C2" w:rsidRDefault="00D676C2" w:rsidP="00D676C2">
      <w:r>
        <w:t>954.</w:t>
      </w:r>
      <w:r>
        <w:tab/>
        <w:t>Минимальный базовый месячный оклад-брутто преподавателя государственной начальной и средней школы составляет 9 930,00 ФП (183, 21 долл. США)</w:t>
      </w:r>
      <w:r>
        <w:rPr>
          <w:rStyle w:val="FootnoteReference"/>
        </w:rPr>
        <w:footnoteReference w:id="66"/>
      </w:r>
      <w:r>
        <w:t>.</w:t>
      </w:r>
    </w:p>
    <w:p w:rsidR="00D676C2" w:rsidRDefault="00D676C2" w:rsidP="00D676C2"/>
    <w:p w:rsidR="00D676C2" w:rsidRDefault="00D676C2" w:rsidP="00D676C2">
      <w:pPr>
        <w:rPr>
          <w:b/>
        </w:rPr>
      </w:pPr>
      <w:r>
        <w:rPr>
          <w:b/>
        </w:rPr>
        <w:t>Вопрос № 7.</w:t>
      </w:r>
      <w:r w:rsidR="00F71205">
        <w:rPr>
          <w:b/>
        </w:rPr>
        <w:tab/>
      </w:r>
      <w:r>
        <w:rPr>
          <w:b/>
        </w:rPr>
        <w:t>Доля школ, находящихся в частном владении и управлении</w:t>
      </w:r>
    </w:p>
    <w:p w:rsidR="00D676C2" w:rsidRDefault="00D676C2" w:rsidP="00D676C2">
      <w:pPr>
        <w:rPr>
          <w:b/>
        </w:rPr>
      </w:pPr>
    </w:p>
    <w:p w:rsidR="00D676C2" w:rsidRDefault="00D676C2" w:rsidP="00D676C2">
      <w:r>
        <w:t>955.</w:t>
      </w:r>
      <w:r>
        <w:tab/>
        <w:t>Как отмечалось выше, в 2006/2007 учебном году в стране насчитывалось 42 160 начальных школ, из которых 4 668 находились в частном владении и под частным управлением.  В тот же самый период в стране было 8 059 средних школ, из которых 3 331 находились в частном владении и управлении.</w:t>
      </w:r>
    </w:p>
    <w:p w:rsidR="00D676C2" w:rsidRDefault="00D676C2" w:rsidP="00D676C2"/>
    <w:p w:rsidR="00D676C2" w:rsidRDefault="00D676C2" w:rsidP="00D676C2">
      <w:r>
        <w:t>956.</w:t>
      </w:r>
      <w:r>
        <w:tab/>
        <w:t>Как отмечалось выше, в 2005/2006 учебном году в стране насчитывалось 1 647 высших учебных заведений, из которых 1 465 находились в частном владении и под частным управлением.</w:t>
      </w:r>
    </w:p>
    <w:p w:rsidR="00D676C2" w:rsidRDefault="00D676C2" w:rsidP="00D676C2"/>
    <w:p w:rsidR="00D676C2" w:rsidRDefault="00D676C2" w:rsidP="00CA5347">
      <w:pPr>
        <w:jc w:val="center"/>
        <w:rPr>
          <w:b/>
        </w:rPr>
      </w:pPr>
      <w:r w:rsidRPr="001F02AF">
        <w:rPr>
          <w:b/>
        </w:rPr>
        <w:t>Статья 15</w:t>
      </w:r>
    </w:p>
    <w:p w:rsidR="00D676C2" w:rsidRDefault="00D676C2" w:rsidP="00CA5347">
      <w:pPr>
        <w:jc w:val="center"/>
        <w:rPr>
          <w:b/>
        </w:rPr>
      </w:pPr>
    </w:p>
    <w:p w:rsidR="00D676C2" w:rsidRDefault="00D676C2" w:rsidP="00F71205">
      <w:pPr>
        <w:tabs>
          <w:tab w:val="clear" w:pos="1701"/>
          <w:tab w:val="left" w:pos="1560"/>
        </w:tabs>
        <w:ind w:left="1560" w:hanging="1560"/>
      </w:pPr>
      <w:r w:rsidRPr="001F02AF">
        <w:rPr>
          <w:b/>
        </w:rPr>
        <w:t xml:space="preserve">Вопрос </w:t>
      </w:r>
      <w:r w:rsidR="00F71205">
        <w:rPr>
          <w:b/>
        </w:rPr>
        <w:t xml:space="preserve">№ </w:t>
      </w:r>
      <w:r w:rsidRPr="001F02AF">
        <w:rPr>
          <w:b/>
        </w:rPr>
        <w:t>1.</w:t>
      </w:r>
      <w:r w:rsidR="00F71205">
        <w:rPr>
          <w:b/>
        </w:rPr>
        <w:tab/>
      </w:r>
      <w:r w:rsidRPr="001F02AF">
        <w:rPr>
          <w:b/>
        </w:rPr>
        <w:t>Меры, принятые для осуществления права каждого</w:t>
      </w:r>
      <w:r w:rsidR="00F71205">
        <w:rPr>
          <w:b/>
        </w:rPr>
        <w:t xml:space="preserve"> </w:t>
      </w:r>
      <w:r w:rsidRPr="001F02AF">
        <w:rPr>
          <w:b/>
        </w:rPr>
        <w:t>на участие</w:t>
      </w:r>
      <w:r w:rsidR="00F71205">
        <w:rPr>
          <w:b/>
        </w:rPr>
        <w:br/>
      </w:r>
      <w:r w:rsidRPr="001F02AF">
        <w:rPr>
          <w:b/>
        </w:rPr>
        <w:t>в культурной жизни</w:t>
      </w:r>
    </w:p>
    <w:p w:rsidR="00D676C2" w:rsidRDefault="00D676C2" w:rsidP="00CA5347">
      <w:pPr>
        <w:jc w:val="center"/>
      </w:pPr>
    </w:p>
    <w:p w:rsidR="00D676C2" w:rsidRDefault="00D676C2" w:rsidP="00F71205">
      <w:r>
        <w:t>957.</w:t>
      </w:r>
      <w:r>
        <w:tab/>
        <w:t>Республиканским законом № 7356 предусмотрено создание Национальной комиссии по культуре и искусству (НККИ), которая действует как главный орган по разработке и координации политики, занимающийся систематизацией национальных усилий, направленных на развитие, сохранение и распространение достояний культуры и искусства.</w:t>
      </w:r>
    </w:p>
    <w:p w:rsidR="00D676C2" w:rsidRDefault="00D676C2" w:rsidP="00D676C2"/>
    <w:p w:rsidR="00D676C2" w:rsidRDefault="00D676C2" w:rsidP="00D676C2">
      <w:r>
        <w:t>958.</w:t>
      </w:r>
      <w:r>
        <w:tab/>
        <w:t>Комиссия состоит из 12 представителей государственного сектора и трех представителей частного сектора.  Последние являются избираемыми руководителями трех подкомиссий, а именно:  Подкомиссии по культурному наследию, Подкомиссии по делам искусств и Подкомиссии по распространению культуры.</w:t>
      </w:r>
    </w:p>
    <w:p w:rsidR="00D676C2" w:rsidRDefault="00D676C2" w:rsidP="00D676C2"/>
    <w:p w:rsidR="00D676C2" w:rsidRDefault="00D676C2" w:rsidP="00D676C2">
      <w:r>
        <w:t>959.</w:t>
      </w:r>
      <w:r>
        <w:tab/>
        <w:t>Следует отметить, что, помимо трех упомянутых выше подкомиссий, в Комиссии есть еще Подкомиссия по делам культурных сообществ и традиционного искусства</w:t>
      </w:r>
      <w:r>
        <w:rPr>
          <w:rStyle w:val="FootnoteReference"/>
        </w:rPr>
        <w:footnoteReference w:id="67"/>
      </w:r>
      <w:r>
        <w:t>.</w:t>
      </w:r>
    </w:p>
    <w:p w:rsidR="00D676C2" w:rsidRDefault="00D676C2" w:rsidP="00D676C2"/>
    <w:p w:rsidR="00D676C2" w:rsidRDefault="00D676C2" w:rsidP="00D676C2">
      <w:r>
        <w:t>960.</w:t>
      </w:r>
      <w:r>
        <w:tab/>
        <w:t>НККИ руководит шестью культурными учреждениями, а именно:  Культурным центром Филиппин, Национальным музеем, Институтом национальной истории, Национальной библиотекой, Национальным архивом и Комиссией по филиппинским языкам.</w:t>
      </w:r>
    </w:p>
    <w:p w:rsidR="00D676C2" w:rsidRDefault="00D676C2" w:rsidP="00D676C2"/>
    <w:p w:rsidR="00D676C2" w:rsidRDefault="00D676C2" w:rsidP="00D676C2">
      <w:r>
        <w:t>961.</w:t>
      </w:r>
      <w:r>
        <w:tab/>
        <w:t>Культурный центр Филиппин является национальным центром исполнительского искусства.  Он призван содействовать обеспечению высокого уровня искусств путем инициирования и осуществления мероприятий, направленных на улучшение и повышение стандартов творчества среди работников культуры, артистов и зрительной аудитории, а также отражать многообразие и различие эстетического опыта и норм различных форм искусства, начиная с низового уровня и заканчивая уровнем профессиональных артистов.  В Центре имеется несколько помещений для организации спектаклей, а также проведения постоянных или временных выставок.  Он служит репетиционной базой для ведущих исполнительских</w:t>
      </w:r>
      <w:r w:rsidRPr="008927FA">
        <w:t xml:space="preserve"> </w:t>
      </w:r>
      <w:r>
        <w:t xml:space="preserve">коллективов страны, включая как </w:t>
      </w:r>
      <w:r>
        <w:rPr>
          <w:i/>
        </w:rPr>
        <w:t>Филиппинский балет, Филиппинский филармонический оркестр, Филиппинский драматический театр (</w:t>
      </w:r>
      <w:r>
        <w:rPr>
          <w:i/>
          <w:lang w:val="en-US"/>
        </w:rPr>
        <w:t>Tanghalang</w:t>
      </w:r>
      <w:r w:rsidRPr="00883EBD">
        <w:rPr>
          <w:i/>
        </w:rPr>
        <w:t xml:space="preserve"> </w:t>
      </w:r>
      <w:r>
        <w:rPr>
          <w:i/>
          <w:lang w:val="en-US"/>
        </w:rPr>
        <w:t>Pilipino</w:t>
      </w:r>
      <w:r>
        <w:rPr>
          <w:i/>
        </w:rPr>
        <w:t xml:space="preserve">) </w:t>
      </w:r>
      <w:r>
        <w:t>и т.д.</w:t>
      </w:r>
    </w:p>
    <w:p w:rsidR="00D676C2" w:rsidRDefault="00D676C2" w:rsidP="00D676C2"/>
    <w:p w:rsidR="00D676C2" w:rsidRDefault="00D676C2" w:rsidP="00D676C2">
      <w:r>
        <w:t>962.</w:t>
      </w:r>
      <w:r>
        <w:tab/>
        <w:t>Задачей Национального музея является хранение, консервация и защита движимого и недвижимого культурного достояния в интересах нынешних и будущих поколений.  В качестве просветительского учреждения музей занимается распространением научно-технических знаний в наиболее доступной и практической форме посредством лекций, выставок, интервью и публикаций, предназначенных для учащейся молодежи и публики в целом.  В качестве научного центра музей осуществляет основные исследовательские программы в сочетании с лабораторными изысканиями и работой на местах в области антропологии, археологии, ботаники и зоологии.  Он выпускает справочные издания по этим дисциплинам с целью продвижения научных исследований на Филиппинах.  В качестве культурного центра Национальному музею принадлежит ведущая роль в изучении и сохранении богатейшего национального художественного, исторического и культурного наследия.</w:t>
      </w:r>
    </w:p>
    <w:p w:rsidR="00D676C2" w:rsidRDefault="00D676C2" w:rsidP="00D676C2"/>
    <w:p w:rsidR="00D676C2" w:rsidRPr="00242FDA" w:rsidRDefault="00D676C2" w:rsidP="00D676C2">
      <w:r>
        <w:t>963.</w:t>
      </w:r>
      <w:r>
        <w:tab/>
        <w:t>Национальная библиотека является главным в стране хранилищем печатных и аудиовизуальных материалов, отражающих интеллектуальное, литературное и культурное наследие Филиппин, а также знания и мудрость других народов мира.  Накапливая и поддерживая обширное национальное собрание</w:t>
      </w:r>
      <w:r w:rsidRPr="00242FDA">
        <w:t xml:space="preserve"> </w:t>
      </w:r>
      <w:r>
        <w:t>книг, библиотека в то же время расширяет доступ к этим научным и информационным материалам и сохраняет их для нынешнего и будущего поколений филиппинцев.</w:t>
      </w:r>
    </w:p>
    <w:p w:rsidR="00D676C2" w:rsidRDefault="00D676C2" w:rsidP="00D676C2"/>
    <w:p w:rsidR="00D676C2" w:rsidRDefault="00D676C2" w:rsidP="00D676C2">
      <w:r>
        <w:t>964.</w:t>
      </w:r>
      <w:r>
        <w:tab/>
        <w:t xml:space="preserve">Институт национальной истории (ИНИ) был создан в 1972 году, объединив функции различных учреждений, занимающихся вопросами истории.  ИНИ отвечает за сохранение и защиту исторического наследия страны.  Его основные усилия направлены на реализацию перспективной культурной программы исторических исследований и включают кураторскую деятельность, охрану архитектурных памятников, изучение геральдики Филиппин, распространение информации на темы истории, реставрацию и сохранение реликвий и памятников, связанных с жизнью героев и других выдающихся филиппинцев.  ИНИ постоянно проводит мероприятия, посвященные различным важным событиям и персонажам филиппинской истории, а также хранит государственные знаки и эмблемы, в том числе эмблемы политических партий и государственных органов.  </w:t>
      </w:r>
    </w:p>
    <w:p w:rsidR="00D676C2" w:rsidRDefault="00D676C2" w:rsidP="00D676C2"/>
    <w:p w:rsidR="00D676C2" w:rsidRDefault="00D676C2" w:rsidP="00D676C2">
      <w:r>
        <w:t>965.</w:t>
      </w:r>
      <w:r>
        <w:tab/>
        <w:t>Управление документации и архивов является официальным местом хранения текущей документации страны, а также документов, представляющих собой архивную и историческую ценность.  В его задачи входит планирование, разработка и координация общеправительственных программ, политики, правил и норм, регулирующих порядок использования, хранения и передачи текущей и архивной документации, а также оказание содействия правительственным учреждениям в поиске важных архивных документов.</w:t>
      </w:r>
    </w:p>
    <w:p w:rsidR="00D676C2" w:rsidRDefault="00D676C2" w:rsidP="00D676C2"/>
    <w:p w:rsidR="00D676C2" w:rsidRDefault="00D676C2" w:rsidP="00D676C2">
      <w:r>
        <w:t>966.</w:t>
      </w:r>
      <w:r>
        <w:tab/>
        <w:t>Задачей Комиссии по филиппинским языкам является проведение, координация и расширение исследовательской работы по вопросам развития, популяризации и сохранения филиппинского языка и других языков, распространенных на Филиппинах.</w:t>
      </w:r>
    </w:p>
    <w:p w:rsidR="00D676C2" w:rsidRDefault="00D676C2" w:rsidP="00D676C2"/>
    <w:p w:rsidR="00D676C2" w:rsidRDefault="00D676C2" w:rsidP="00D676C2">
      <w:r>
        <w:t>967.</w:t>
      </w:r>
      <w:r>
        <w:tab/>
        <w:t>Начиная с 2002 года инициативы, политика и стратегии в области культуры регулируются Среднесрочным планом развития культуры и искусства Филиппин (ССПР</w:t>
      </w:r>
      <w:r>
        <w:noBreakHyphen/>
        <w:t>КИ) на 2002</w:t>
      </w:r>
      <w:r>
        <w:noBreakHyphen/>
        <w:t xml:space="preserve">2005 годы.  Этим планом предусмотрены семь программных направлений деятельности в данной области:  </w:t>
      </w:r>
      <w:r>
        <w:rPr>
          <w:lang w:val="en-US"/>
        </w:rPr>
        <w:t>a</w:t>
      </w:r>
      <w:r w:rsidRPr="00A54D87">
        <w:t>)</w:t>
      </w:r>
      <w:r>
        <w:rPr>
          <w:lang w:val="en-US"/>
        </w:rPr>
        <w:t>  </w:t>
      </w:r>
      <w:r>
        <w:t xml:space="preserve">культура и образование; </w:t>
      </w:r>
      <w:r w:rsidRPr="00A54D87">
        <w:t xml:space="preserve"> </w:t>
      </w:r>
      <w:r>
        <w:rPr>
          <w:lang w:val="en-US"/>
        </w:rPr>
        <w:t>b</w:t>
      </w:r>
      <w:r w:rsidRPr="00A54D87">
        <w:t>)</w:t>
      </w:r>
      <w:r>
        <w:t xml:space="preserve">  культура и развитие; </w:t>
      </w:r>
      <w:r w:rsidRPr="00A54D87">
        <w:t xml:space="preserve"> </w:t>
      </w:r>
      <w:r>
        <w:rPr>
          <w:lang w:val="en-US"/>
        </w:rPr>
        <w:t>c</w:t>
      </w:r>
      <w:r w:rsidRPr="00A54D87">
        <w:t>)</w:t>
      </w:r>
      <w:r>
        <w:t xml:space="preserve">  поддержка артистических талантов;  </w:t>
      </w:r>
      <w:r>
        <w:rPr>
          <w:lang w:val="en-US"/>
        </w:rPr>
        <w:t>d</w:t>
      </w:r>
      <w:r w:rsidRPr="00A54D87">
        <w:t>)</w:t>
      </w:r>
      <w:r>
        <w:t xml:space="preserve">  содействие развитию культуры и искусства; </w:t>
      </w:r>
      <w:r w:rsidRPr="00A54D87">
        <w:t xml:space="preserve"> </w:t>
      </w:r>
      <w:r>
        <w:rPr>
          <w:lang w:val="en-US"/>
        </w:rPr>
        <w:t>e</w:t>
      </w:r>
      <w:r w:rsidRPr="00A54D87">
        <w:t>)</w:t>
      </w:r>
      <w:r>
        <w:t xml:space="preserve">  сохранение культурного наследия; </w:t>
      </w:r>
      <w:r w:rsidRPr="00A54D87">
        <w:t xml:space="preserve"> </w:t>
      </w:r>
      <w:r>
        <w:t xml:space="preserve">и  </w:t>
      </w:r>
      <w:r>
        <w:rPr>
          <w:lang w:val="en-US"/>
        </w:rPr>
        <w:t>f</w:t>
      </w:r>
      <w:r w:rsidRPr="00A54D87">
        <w:t>)</w:t>
      </w:r>
      <w:r>
        <w:t>  культура и дипломатия.  К концу 2003 года НККИ утвердила седьмую программу - культура и обеспечение мира.  Эти программы были утверждены в качестве руководящей политической основы, на базе которой могут разрабатываться соответствующие проекты.</w:t>
      </w:r>
    </w:p>
    <w:p w:rsidR="00D676C2" w:rsidRDefault="00D676C2" w:rsidP="00D676C2"/>
    <w:p w:rsidR="00D676C2" w:rsidRDefault="00D676C2" w:rsidP="00D676C2">
      <w:r>
        <w:t>968.</w:t>
      </w:r>
      <w:r>
        <w:tab/>
        <w:t xml:space="preserve">Правительство также проводит политику поощрения выдающихся филиппинских артистов и художников посредством присуждения таких премий, как </w:t>
      </w:r>
      <w:r w:rsidRPr="00840634">
        <w:rPr>
          <w:lang w:val="en-US"/>
        </w:rPr>
        <w:t>Gawad</w:t>
      </w:r>
      <w:r w:rsidRPr="00840634">
        <w:t xml:space="preserve"> </w:t>
      </w:r>
      <w:r w:rsidRPr="00840634">
        <w:rPr>
          <w:lang w:val="en-US"/>
        </w:rPr>
        <w:t>Manlilikha</w:t>
      </w:r>
      <w:r w:rsidRPr="00840634">
        <w:t xml:space="preserve"> </w:t>
      </w:r>
      <w:r w:rsidRPr="00840634">
        <w:rPr>
          <w:lang w:val="en-US"/>
        </w:rPr>
        <w:t>ng</w:t>
      </w:r>
      <w:r w:rsidRPr="00840634">
        <w:t xml:space="preserve"> </w:t>
      </w:r>
      <w:r w:rsidRPr="00840634">
        <w:rPr>
          <w:lang w:val="en-US"/>
        </w:rPr>
        <w:t>Bayan</w:t>
      </w:r>
      <w:r>
        <w:rPr>
          <w:i/>
        </w:rPr>
        <w:t xml:space="preserve"> </w:t>
      </w:r>
      <w:r>
        <w:t>и Национальная премия в области искусств.</w:t>
      </w:r>
    </w:p>
    <w:p w:rsidR="00D676C2" w:rsidRDefault="00D676C2" w:rsidP="00D676C2"/>
    <w:p w:rsidR="00D676C2" w:rsidRPr="00794E22" w:rsidRDefault="00D676C2" w:rsidP="00D676C2">
      <w:pPr>
        <w:rPr>
          <w:i/>
        </w:rPr>
      </w:pPr>
      <w:r w:rsidRPr="00794E22">
        <w:rPr>
          <w:i/>
        </w:rPr>
        <w:t>Культурные центры, музеи, библиотеки, театры и кинотеатры</w:t>
      </w:r>
    </w:p>
    <w:p w:rsidR="00D676C2" w:rsidRDefault="00D676C2" w:rsidP="00D676C2">
      <w:pPr>
        <w:rPr>
          <w:u w:val="single"/>
        </w:rPr>
      </w:pPr>
    </w:p>
    <w:p w:rsidR="00D676C2" w:rsidRDefault="00D676C2" w:rsidP="00D676C2">
      <w:r>
        <w:t>969.</w:t>
      </w:r>
      <w:r>
        <w:tab/>
        <w:t>Старейший музей страны - Музей искусств и наук при Университете Св. Томаса (УСТ) - существует уже более 100 лет.  Когда университет создавал свой медицинский факультет, он должен был выполнить ряд требований, включая наличие кабинета физики (</w:t>
      </w:r>
      <w:r w:rsidRPr="00DB468F">
        <w:rPr>
          <w:i/>
          <w:lang w:val="en-US"/>
        </w:rPr>
        <w:t>Gabinete</w:t>
      </w:r>
      <w:r w:rsidRPr="00DB468F">
        <w:rPr>
          <w:i/>
        </w:rPr>
        <w:t xml:space="preserve"> </w:t>
      </w:r>
      <w:r w:rsidRPr="00DB468F">
        <w:rPr>
          <w:i/>
          <w:lang w:val="en-US"/>
        </w:rPr>
        <w:t>de</w:t>
      </w:r>
      <w:r w:rsidRPr="00DB468F">
        <w:rPr>
          <w:i/>
        </w:rPr>
        <w:t xml:space="preserve"> </w:t>
      </w:r>
      <w:r w:rsidRPr="00DB468F">
        <w:rPr>
          <w:i/>
          <w:lang w:val="en-US"/>
        </w:rPr>
        <w:t>Fisica</w:t>
      </w:r>
      <w:r>
        <w:t xml:space="preserve">), где должны были храниться образцы минералов, растений и животных, обладающих медицинскими свойствами (так называемая </w:t>
      </w:r>
      <w:r w:rsidRPr="00DB468F">
        <w:rPr>
          <w:i/>
          <w:lang w:val="en-US"/>
        </w:rPr>
        <w:t>materia</w:t>
      </w:r>
      <w:r w:rsidRPr="00DB468F">
        <w:rPr>
          <w:i/>
        </w:rPr>
        <w:t xml:space="preserve"> </w:t>
      </w:r>
      <w:r w:rsidRPr="00DB468F">
        <w:rPr>
          <w:i/>
          <w:lang w:val="en-US"/>
        </w:rPr>
        <w:t>medica</w:t>
      </w:r>
      <w:r>
        <w:t>).  Таким образом, создание медицинского факультета в 1971 году считается и началом существования музея УСТ.</w:t>
      </w:r>
    </w:p>
    <w:p w:rsidR="00D676C2" w:rsidRDefault="00D676C2" w:rsidP="00D676C2"/>
    <w:p w:rsidR="00D676C2" w:rsidRDefault="00D676C2" w:rsidP="00D676C2">
      <w:r>
        <w:t>970.</w:t>
      </w:r>
      <w:r>
        <w:tab/>
        <w:t>Деятельность Национального музея, учрежденного Законом </w:t>
      </w:r>
      <w:r w:rsidR="0061746C">
        <w:t xml:space="preserve">№ </w:t>
      </w:r>
      <w:r>
        <w:t>284 филиппинского парламента, началась в 1901 году в качестве островного музея этнологии, естественной истории и торговли при министерстве народного образования.  В 1903 году музей получил новое название - Бюро этнологических изысканий при министерстве внутренних дел.  После всемирной выставки в Сент-Луисе (США) в 1904 году Бюро было вновь переименовано в Национальный музей Филиппин.  В настоящее время Национальный музей имеет 18 региональных отделений, действующих на всей территории страны.</w:t>
      </w:r>
    </w:p>
    <w:p w:rsidR="00D676C2" w:rsidRDefault="00D676C2" w:rsidP="00D676C2"/>
    <w:p w:rsidR="00444EE2" w:rsidRDefault="00444EE2" w:rsidP="00444EE2">
      <w:r>
        <w:t>971.</w:t>
      </w:r>
      <w:r>
        <w:tab/>
        <w:t xml:space="preserve">С целью приобщения народных масс к искусству в различных районах страны были построены и открыты государственные музеи и другие центры культуры.  В 1969 году открылся музей Филиппинского культурного центра (ФКЦ), разместивший коллекцию филиппинского искусства.  В 1974 году был открыт музей денег Центрального банка, выставивший замечательную коллекцию филиппинских и зарубежных монет, банкнот и медалей.  В 1976 году в Маниле был открыт музей "Метрополитен", где демонстрируется зарубежное искусство.  Музеем такого же уровня стал музей филиппинского искусства, открывшийся в 1976 году и посвященный филиппинскому изобразительному искусству.  В 1978 году показом коллекции мебели Фонда им. Д.М. Геварры открылся музей </w:t>
      </w:r>
      <w:r w:rsidRPr="00556F1E">
        <w:rPr>
          <w:lang w:val="en-US"/>
        </w:rPr>
        <w:t>ng</w:t>
      </w:r>
      <w:r w:rsidRPr="0037548B">
        <w:t xml:space="preserve"> </w:t>
      </w:r>
      <w:r w:rsidRPr="00556F1E">
        <w:rPr>
          <w:lang w:val="en-US"/>
        </w:rPr>
        <w:t>Buhay</w:t>
      </w:r>
      <w:r w:rsidRPr="0037548B">
        <w:t xml:space="preserve"> </w:t>
      </w:r>
      <w:r w:rsidRPr="00556F1E">
        <w:rPr>
          <w:lang w:val="en-US"/>
        </w:rPr>
        <w:t>Pilipino</w:t>
      </w:r>
      <w:r>
        <w:t>, находящийся в помещении Центрального банка в комплексе Кесон-Сити (пригород Манилы).  В 1979 году президентским указом было создано Управление Интрамурос, задачей которой является сохранение и восстановление Старых районов Манилы.  В ведении этого Управления находится музейный комплекс, включающий музей Каса Манила и галерею Пуэрто де Исабель.</w:t>
      </w:r>
    </w:p>
    <w:p w:rsidR="00444EE2" w:rsidRDefault="00444EE2" w:rsidP="00444EE2"/>
    <w:p w:rsidR="00444EE2" w:rsidRDefault="00444EE2" w:rsidP="00444EE2">
      <w:r>
        <w:t>972.</w:t>
      </w:r>
      <w:r>
        <w:tab/>
        <w:t>Филиппинские музеи увеличились не только в количестве, но и стали развиваться в смысле структуры и качества программ и услуг.  В настоящее время в стране существует 161 музей.  В РНС насчитывается 56 музеев;  в Северном Лусоне </w:t>
      </w:r>
      <w:r>
        <w:noBreakHyphen/>
        <w:t xml:space="preserve"> 22 музея;  в Южном Лусоне </w:t>
      </w:r>
      <w:r>
        <w:noBreakHyphen/>
        <w:t xml:space="preserve"> 36 музеев;  в Вивайясе </w:t>
      </w:r>
      <w:r>
        <w:noBreakHyphen/>
        <w:t xml:space="preserve"> 36 музеев и в Минданао </w:t>
      </w:r>
      <w:r>
        <w:noBreakHyphen/>
        <w:t xml:space="preserve"> 11 музеев.  Их организационная структура не ограничивается только административными и кураторскими функциями, но и включает службы по вопросам просвещения, маркетинга, связей с общественностью, разработки и расширения программ, художественные магазины и рестораны при музее.  Традиционные функции пополнения коллекций, организации экспозиций, проведения научных исследований и подготовки публикаций дополняются отныне организацией семинаров, концертов, мероприятий для детей, стажировок, профессионального обучения, показов кинофильмов и технических обменов.  </w:t>
      </w:r>
    </w:p>
    <w:p w:rsidR="00444EE2" w:rsidRDefault="00444EE2" w:rsidP="00444EE2"/>
    <w:p w:rsidR="00F64556" w:rsidRDefault="00444EE2" w:rsidP="00444EE2">
      <w:r>
        <w:t>973.</w:t>
      </w:r>
      <w:r>
        <w:tab/>
        <w:t xml:space="preserve">Последним словом в развитии филиппинского музейного дела является появление интерактивных музеев и экомузеев.  Деятельность интерактивного музея исходит из концепции, согласно которой посетители могут входить в непосредственный контакт с элементами экспозиции, что повышает отдачу от просмотра экспонатов и содействует расширению кругозора посетителей.  По этому принципу, например, действуют экспозиции в Центре наук и в музее Памбата.  Экомузеи, такие, как </w:t>
      </w:r>
      <w:r w:rsidRPr="00556F1E">
        <w:rPr>
          <w:i/>
          <w:lang w:val="en-US"/>
        </w:rPr>
        <w:t>Museo</w:t>
      </w:r>
      <w:r w:rsidRPr="00180070">
        <w:rPr>
          <w:i/>
        </w:rPr>
        <w:t xml:space="preserve"> </w:t>
      </w:r>
      <w:r w:rsidRPr="00556F1E">
        <w:rPr>
          <w:i/>
          <w:lang w:val="en-US"/>
        </w:rPr>
        <w:t>San</w:t>
      </w:r>
      <w:r w:rsidRPr="00180070">
        <w:rPr>
          <w:i/>
        </w:rPr>
        <w:t xml:space="preserve"> </w:t>
      </w:r>
      <w:r w:rsidRPr="00556F1E">
        <w:rPr>
          <w:i/>
          <w:lang w:val="en-US"/>
        </w:rPr>
        <w:t>Isidro</w:t>
      </w:r>
      <w:r w:rsidRPr="00180070">
        <w:rPr>
          <w:i/>
        </w:rPr>
        <w:t xml:space="preserve"> </w:t>
      </w:r>
      <w:r w:rsidRPr="00556F1E">
        <w:rPr>
          <w:i/>
          <w:lang w:val="en-US"/>
        </w:rPr>
        <w:t>de</w:t>
      </w:r>
      <w:r w:rsidRPr="00180070">
        <w:rPr>
          <w:i/>
        </w:rPr>
        <w:t xml:space="preserve"> </w:t>
      </w:r>
      <w:r w:rsidRPr="00556F1E">
        <w:rPr>
          <w:i/>
          <w:lang w:val="en-US"/>
        </w:rPr>
        <w:t>Pulilan</w:t>
      </w:r>
      <w:r w:rsidRPr="00180070">
        <w:t xml:space="preserve">, </w:t>
      </w:r>
      <w:r w:rsidRPr="00556F1E">
        <w:rPr>
          <w:i/>
          <w:lang w:val="en-US"/>
        </w:rPr>
        <w:t>Bahay</w:t>
      </w:r>
      <w:r w:rsidRPr="00180070">
        <w:rPr>
          <w:i/>
        </w:rPr>
        <w:t xml:space="preserve"> </w:t>
      </w:r>
      <w:r w:rsidRPr="00556F1E">
        <w:rPr>
          <w:i/>
          <w:lang w:val="en-US"/>
        </w:rPr>
        <w:t>Nakpil</w:t>
      </w:r>
      <w:r w:rsidRPr="00180070">
        <w:rPr>
          <w:i/>
        </w:rPr>
        <w:t xml:space="preserve"> </w:t>
      </w:r>
      <w:r w:rsidRPr="00556F1E">
        <w:rPr>
          <w:i/>
          <w:lang w:val="en-US"/>
        </w:rPr>
        <w:t>Bautista</w:t>
      </w:r>
      <w:r w:rsidRPr="00180070">
        <w:rPr>
          <w:i/>
        </w:rPr>
        <w:t xml:space="preserve"> </w:t>
      </w:r>
      <w:r w:rsidRPr="00556F1E">
        <w:rPr>
          <w:i/>
          <w:lang w:val="en-US"/>
        </w:rPr>
        <w:t>ng</w:t>
      </w:r>
      <w:r w:rsidRPr="00180070">
        <w:rPr>
          <w:i/>
        </w:rPr>
        <w:t xml:space="preserve"> </w:t>
      </w:r>
      <w:r w:rsidRPr="00556F1E">
        <w:rPr>
          <w:i/>
          <w:lang w:val="en-US"/>
        </w:rPr>
        <w:t>Quiapo</w:t>
      </w:r>
      <w:r w:rsidRPr="00180070">
        <w:t xml:space="preserve">, </w:t>
      </w:r>
      <w:r>
        <w:t xml:space="preserve">а также </w:t>
      </w:r>
      <w:r w:rsidRPr="00556F1E">
        <w:rPr>
          <w:i/>
          <w:lang w:val="en-US"/>
        </w:rPr>
        <w:t>Museo</w:t>
      </w:r>
      <w:r w:rsidRPr="00180070">
        <w:rPr>
          <w:i/>
        </w:rPr>
        <w:t xml:space="preserve"> </w:t>
      </w:r>
      <w:r w:rsidRPr="00556F1E">
        <w:rPr>
          <w:i/>
          <w:lang w:val="en-US"/>
        </w:rPr>
        <w:t>ng</w:t>
      </w:r>
      <w:r w:rsidRPr="00180070">
        <w:rPr>
          <w:i/>
        </w:rPr>
        <w:t xml:space="preserve"> </w:t>
      </w:r>
      <w:r w:rsidRPr="00556F1E">
        <w:rPr>
          <w:i/>
          <w:lang w:val="en-US"/>
        </w:rPr>
        <w:t>Maynila</w:t>
      </w:r>
      <w:r>
        <w:t xml:space="preserve">, являются общинными </w:t>
      </w:r>
    </w:p>
    <w:p w:rsidR="00444EE2" w:rsidRDefault="00F64556" w:rsidP="00444EE2">
      <w:r>
        <w:br w:type="page"/>
      </w:r>
      <w:r w:rsidR="00444EE2">
        <w:t>учебными центрами обучения, которые увязывают изучение прошлого с настоящим в качестве способа решения будущих проблем общества</w:t>
      </w:r>
      <w:r w:rsidR="00444EE2">
        <w:rPr>
          <w:rStyle w:val="FootnoteReference"/>
        </w:rPr>
        <w:footnoteReference w:id="68"/>
      </w:r>
      <w:r w:rsidR="00444EE2">
        <w:t xml:space="preserve">.  </w:t>
      </w:r>
    </w:p>
    <w:p w:rsidR="00444EE2" w:rsidRDefault="00444EE2" w:rsidP="00444EE2"/>
    <w:p w:rsidR="00444EE2" w:rsidRDefault="00444EE2" w:rsidP="00444EE2">
      <w:r>
        <w:t>974.</w:t>
      </w:r>
      <w:r>
        <w:tab/>
        <w:t>Органами местного самоуправления также созданы отдельные музеи, в которых можно ознакомиться с историей и этнографическими достопримечательностями данного населенного пункта.  В 1969 году провинция Илоило передала в дар музею участок площадью в 2 000 м</w:t>
      </w:r>
      <w:r w:rsidRPr="005834D7">
        <w:rPr>
          <w:vertAlign w:val="superscript"/>
        </w:rPr>
        <w:t>2</w:t>
      </w:r>
      <w:r>
        <w:t xml:space="preserve"> на территории капитолия провинции.  В 1970 году Совет провинции Бенгует образовал Комитет по вопросам культуры, который учредил музей Бенгуета.  Музей в городе Кагайян был задуман в 1971 году и открыт для посетителей двумя годами позже.  Музей провинции Ла Унион был построен и открыт в 1979 году как хранилище собранной в провинции богатой коллекции экспонатов, имеющих культурное и историческое значение.  Музей провинции Илоко был отреставрирован Государственной службой туризма Филиппин в 1981 году.  </w:t>
      </w:r>
    </w:p>
    <w:p w:rsidR="00444EE2" w:rsidRDefault="00444EE2" w:rsidP="00444EE2"/>
    <w:p w:rsidR="00444EE2" w:rsidRDefault="00444EE2" w:rsidP="00444EE2">
      <w:r>
        <w:t>975.</w:t>
      </w:r>
      <w:r>
        <w:tab/>
        <w:t xml:space="preserve">С целью укрепления морального и боевого духа вооруженных сил были созданы военные и полицейские музеи.  В 1974 году были открыты музей филиппинских военно-воздушных сил, музей национальной полиции и музей Западного полицейского округа.  В 1978 году в городе Кавите-Сити был открыт музей филиппинских военно-морских сил, а в 1979 году в форте Бонифасио был открыт музей филиппинской армии.  </w:t>
      </w:r>
    </w:p>
    <w:p w:rsidR="00444EE2" w:rsidRDefault="00444EE2" w:rsidP="00444EE2"/>
    <w:p w:rsidR="00BE4485" w:rsidRDefault="00444EE2" w:rsidP="00444EE2">
      <w:r>
        <w:t>976.</w:t>
      </w:r>
      <w:r>
        <w:tab/>
        <w:t>Еще раньше с инициативой создания корпоративного музея выступил музей Айала, где хранятся архивы по истории и иконографии Филиппин.  Идея музея заключалась в том, чтобы предоставить посетителям возможность ознакомиться со всей историей Филиппин.  Для этого были сконструированы диорамы с изображением 60 самых важных исторических событий страны.  Этот музей, являющийся проектом компании Филипинас</w:t>
      </w:r>
      <w:r w:rsidRPr="00444EE2">
        <w:t xml:space="preserve"> </w:t>
      </w:r>
      <w:r>
        <w:t xml:space="preserve">Фаундейшн Инк., открылся в 1967 году.  </w:t>
      </w:r>
    </w:p>
    <w:p w:rsidR="00444EE2" w:rsidRDefault="00444EE2" w:rsidP="00444EE2"/>
    <w:p w:rsidR="005167E8" w:rsidRDefault="005167E8" w:rsidP="005167E8">
      <w:r>
        <w:t>977.</w:t>
      </w:r>
      <w:r>
        <w:tab/>
        <w:t>В 1974 году был открыт Народный театр искусств, а в 1976 году - Филиппинский международный центр конференций.  Семью годами позже в 1983 году был открыт киноцентр для проведения Международного кинофестиваля в Маниле.</w:t>
      </w:r>
    </w:p>
    <w:p w:rsidR="005167E8" w:rsidRDefault="005167E8" w:rsidP="005167E8"/>
    <w:p w:rsidR="005167E8" w:rsidRPr="00794E22" w:rsidRDefault="005167E8" w:rsidP="005167E8">
      <w:pPr>
        <w:rPr>
          <w:i/>
        </w:rPr>
      </w:pPr>
      <w:r w:rsidRPr="00794E22">
        <w:rPr>
          <w:i/>
        </w:rPr>
        <w:t>Сохранение и показ культурного наследия человечества</w:t>
      </w:r>
    </w:p>
    <w:p w:rsidR="005167E8" w:rsidRDefault="005167E8" w:rsidP="005167E8">
      <w:pPr>
        <w:rPr>
          <w:u w:val="single"/>
        </w:rPr>
      </w:pPr>
    </w:p>
    <w:p w:rsidR="005167E8" w:rsidRDefault="005167E8" w:rsidP="005167E8">
      <w:r>
        <w:t>978.</w:t>
      </w:r>
      <w:r>
        <w:tab/>
        <w:t>Сохранение важнейших памятников филиппинской культуры - как, например, террасы рисовых полей Ифугао, церкви эпохи испанского колониального господства, здания в стиле арт-деко, произведения этнической архитектуры - до сих пор является серьезной и не решенной до конца проблемой.  В стране существует настоятельная необходимость сохранения культурного наследия, что требует принятия Закона о национальном культурном наследии и проведения систематической работы по его сохранению.</w:t>
      </w:r>
    </w:p>
    <w:p w:rsidR="005167E8" w:rsidRDefault="005167E8" w:rsidP="005167E8"/>
    <w:p w:rsidR="005167E8" w:rsidRDefault="005167E8" w:rsidP="005167E8">
      <w:r>
        <w:t>979.</w:t>
      </w:r>
      <w:r>
        <w:tab/>
        <w:t>У НККИ есть целый ряд проектов, предусматривающих оказание помощи в изучении и описании исторических и культурных мест и объектов, событий и персонажей в различных районах страны.</w:t>
      </w:r>
    </w:p>
    <w:p w:rsidR="005167E8" w:rsidRDefault="005167E8" w:rsidP="005167E8"/>
    <w:p w:rsidR="005167E8" w:rsidRDefault="005167E8" w:rsidP="005167E8">
      <w:r>
        <w:t>980.</w:t>
      </w:r>
      <w:r>
        <w:tab/>
        <w:t>Признавая важность сохранения и защиты духовного наследия, НККИ оказывает также поддержку осуществлению проектов по восстановлению этнической литературы;  сохранению записей традиционной филиппинской музыки, песен и танцев;  а также популяризации филиппинских культурных традиций посредством публикаций и средств массовой информации.</w:t>
      </w:r>
    </w:p>
    <w:p w:rsidR="005167E8" w:rsidRDefault="005167E8" w:rsidP="005167E8"/>
    <w:p w:rsidR="005167E8" w:rsidRDefault="005167E8" w:rsidP="005167E8">
      <w:r>
        <w:t>981.</w:t>
      </w:r>
      <w:r>
        <w:tab/>
        <w:t>НККИ оказывает помощь в консервации объектов движимого и недвижимого достояния, прежде всего тех из них, которым угрожает разрушение, и особенно тех, которые объявлены ЮНЕСКО объектами мирового наследия.  НККИ финансирует программу, направленную на защиту выдающихся достижений филиппинцев в области культуры и творчества и на одновременное развитие культурного туризма.  Этой программой предусмотрены оказание технической помощи в реставрации зданий, консервации и реставрации картин и других произведений искусства, а также в сохранении печатных изданий;  проведение текущих реставрационных работ;  реконструкция и совершенствование экспозиции местных музеев;  частичное финансирование новых музеев;  и расширение культурного туризма.  Техническая помощь распространяется также на создание местных музеев и культурных центров, библиотек и архивов, включая профессиональную подготовку и повышение квалификации обслуживающего персонала.</w:t>
      </w:r>
    </w:p>
    <w:p w:rsidR="005167E8" w:rsidRDefault="005167E8" w:rsidP="005167E8"/>
    <w:p w:rsidR="005167E8" w:rsidRDefault="005167E8" w:rsidP="005167E8">
      <w:pPr>
        <w:rPr>
          <w:i/>
        </w:rPr>
      </w:pPr>
      <w:r>
        <w:t>982.</w:t>
      </w:r>
      <w:r>
        <w:tab/>
        <w:t>НККИ побуждает молодых людей изучать и ценить культуру и искусство своих общин.  В этой связи НККИ оказывает помощь Школам живых традиций (ШЖТ) в проведении учебных мероприятий, направленных на передачу знаний и навыков другим членам общины, особенно молодежи, как способа сохранения традиций.  В рамках этой программы также предоставляется помощь в проведении фестивалей (</w:t>
      </w:r>
      <w:r w:rsidRPr="00C20CB3">
        <w:rPr>
          <w:i/>
        </w:rPr>
        <w:t>традиционных искусств и</w:t>
      </w:r>
      <w:r>
        <w:rPr>
          <w:i/>
        </w:rPr>
        <w:t xml:space="preserve"> обрядов</w:t>
      </w:r>
      <w:r>
        <w:t>) с целью возрождения различных местных обрядов и проведения выставок произведений искусства и ремесленного творчества различных культурных сообществ.  В период с 1995 по 2003 год НККИ утвердила 30 ШЖТ, создание 13 из которых уже закончено;  создание еще восьми школ завершается, а девять школ планируется создать в 2004 году.</w:t>
      </w:r>
    </w:p>
    <w:p w:rsidR="005167E8" w:rsidRDefault="005167E8" w:rsidP="005167E8">
      <w:pPr>
        <w:rPr>
          <w:i/>
        </w:rPr>
      </w:pPr>
    </w:p>
    <w:p w:rsidR="005167E8" w:rsidRDefault="005167E8" w:rsidP="005167E8">
      <w:r>
        <w:t>983.</w:t>
      </w:r>
      <w:r>
        <w:tab/>
        <w:t>Был разработан трехлетний план с целью сохранения эпоса</w:t>
      </w:r>
      <w:r>
        <w:rPr>
          <w:i/>
        </w:rPr>
        <w:t xml:space="preserve"> Хухуд</w:t>
      </w:r>
      <w:r>
        <w:t xml:space="preserve"> народности ифугао, который был объявлен ЮНЕСКО одним из шедевров устного духовного наследия человечества.  Эпос</w:t>
      </w:r>
      <w:r>
        <w:rPr>
          <w:i/>
        </w:rPr>
        <w:t xml:space="preserve"> Даранган</w:t>
      </w:r>
      <w:r>
        <w:t xml:space="preserve"> народа, проживающего в районе озера Ланао на острове Минданао, также был представлен в ЮНЕСКО для номинации и включения в регистр "Памяти мира" как выдающийся образец устного духовного творчества человечества.</w:t>
      </w:r>
    </w:p>
    <w:p w:rsidR="005167E8" w:rsidRDefault="005167E8" w:rsidP="005167E8"/>
    <w:p w:rsidR="005167E8" w:rsidRPr="00794E22" w:rsidRDefault="005167E8" w:rsidP="005167E8">
      <w:pPr>
        <w:rPr>
          <w:i/>
        </w:rPr>
      </w:pPr>
      <w:r w:rsidRPr="00794E22">
        <w:rPr>
          <w:i/>
        </w:rPr>
        <w:t>Специальные мероприятия для мусульман Минданао</w:t>
      </w:r>
    </w:p>
    <w:p w:rsidR="005167E8" w:rsidRDefault="005167E8" w:rsidP="005167E8">
      <w:pPr>
        <w:rPr>
          <w:u w:val="single"/>
        </w:rPr>
      </w:pPr>
    </w:p>
    <w:p w:rsidR="005167E8" w:rsidRDefault="005167E8" w:rsidP="005167E8">
      <w:r>
        <w:t>984.</w:t>
      </w:r>
      <w:r>
        <w:tab/>
        <w:t>С целью осуществления специальных культурных мероприятий для Минданао была разработана и осуществляется программа культуры и укрепления мира, направленная на оказание содействия в реализации проектов, служащих упрочению мира, в частности в районе Минданао.  Эта программа основывается на убежденности в том, что культурный диалог играет ключевую роль в деле установления мира.  С этой же целью были осуществлены проекты, направленные на укрепление мира и национального единства в Минданао.  Большинство мероприятий представляло собой содействие проведению фестивалей коренного населения, семинаров, призванных помочь членам сообществ разрабатывать культурные программы и осуществлять культурные обмены, а также расширять связи НККИ в регионах.</w:t>
      </w:r>
    </w:p>
    <w:p w:rsidR="005167E8" w:rsidRDefault="005167E8" w:rsidP="005167E8"/>
    <w:p w:rsidR="005167E8" w:rsidRDefault="005167E8" w:rsidP="005167E8">
      <w:r w:rsidRPr="00C90804">
        <w:t>985.</w:t>
      </w:r>
      <w:r w:rsidRPr="00C90804">
        <w:tab/>
        <w:t>Одним из важнейших направлений усилий НККИ</w:t>
      </w:r>
      <w:r>
        <w:t xml:space="preserve"> является оказание помощи в реализации проекта </w:t>
      </w:r>
      <w:r>
        <w:rPr>
          <w:i/>
        </w:rPr>
        <w:t>Минданао Натин</w:t>
      </w:r>
      <w:r>
        <w:t>, курируемого Канцелярией советника президента по вопросам мирного процесса, в частности, его компонента, направленного на пропаганду идей мира и развития среди молодежи Минданао, который осуществляется во взаимодействии с Национальной комиссией по делам молодежи, Управлением по делам мусульман, Национальным советом по делам коренных народов, Филиппинской комиссией по делам спорта и министерством социального обеспечения и развития (МСОР).</w:t>
      </w:r>
    </w:p>
    <w:p w:rsidR="005167E8" w:rsidRDefault="005167E8" w:rsidP="005167E8"/>
    <w:p w:rsidR="005167E8" w:rsidRPr="00794E22" w:rsidRDefault="005167E8" w:rsidP="005167E8">
      <w:pPr>
        <w:rPr>
          <w:i/>
        </w:rPr>
      </w:pPr>
      <w:r w:rsidRPr="00794E22">
        <w:rPr>
          <w:i/>
        </w:rPr>
        <w:t>Законодательная структура и судебные решения</w:t>
      </w:r>
    </w:p>
    <w:p w:rsidR="005167E8" w:rsidRDefault="005167E8" w:rsidP="005167E8">
      <w:pPr>
        <w:rPr>
          <w:u w:val="single"/>
        </w:rPr>
      </w:pPr>
    </w:p>
    <w:p w:rsidR="005167E8" w:rsidRDefault="005167E8" w:rsidP="005167E8">
      <w:r>
        <w:t>986.</w:t>
      </w:r>
      <w:r>
        <w:tab/>
        <w:t>Статьи 14-18 главы XIV Конституции Филиппин предусматривают обязанность государства сохранять, защищать и обогащать историческое и культурное наследие страны</w:t>
      </w:r>
      <w:r>
        <w:rPr>
          <w:rStyle w:val="FootnoteReference"/>
        </w:rPr>
        <w:footnoteReference w:id="69"/>
      </w:r>
      <w:r>
        <w:t>.</w:t>
      </w:r>
    </w:p>
    <w:p w:rsidR="005167E8" w:rsidRDefault="005167E8" w:rsidP="005167E8"/>
    <w:p w:rsidR="005167E8" w:rsidRDefault="005167E8" w:rsidP="005167E8">
      <w:r>
        <w:t>987.</w:t>
      </w:r>
      <w:r>
        <w:tab/>
        <w:t xml:space="preserve">На Филиппинах был принят ряд законов, направленных на развитие и защиту культурного наследия страны, в частности Закон о сохранении и защите культурной собственности (РЗ 4846), Закон о национальных музеях (РЗ 8492), Закон о Национальной комиссии по вопросам истории (РЗ 4368), Закон о Национальной комиссии по культуре и искусству (РЗ 7356), Президентские указы о </w:t>
      </w:r>
      <w:r>
        <w:rPr>
          <w:i/>
        </w:rPr>
        <w:t xml:space="preserve">Памятных местах и святынях </w:t>
      </w:r>
      <w:r>
        <w:t>(ПУ</w:t>
      </w:r>
      <w:r w:rsidRPr="002819B0">
        <w:t xml:space="preserve"> 260) и об </w:t>
      </w:r>
      <w:r>
        <w:rPr>
          <w:i/>
        </w:rPr>
        <w:t xml:space="preserve">Археологических заповедниках в долине Кагайан </w:t>
      </w:r>
      <w:r>
        <w:t xml:space="preserve">(ПУ 1109) и Закон об археологических заповедниках в </w:t>
      </w:r>
      <w:r w:rsidRPr="002819B0">
        <w:rPr>
          <w:i/>
        </w:rPr>
        <w:t>Калинга-Апа</w:t>
      </w:r>
      <w:r>
        <w:rPr>
          <w:i/>
        </w:rPr>
        <w:t>йа</w:t>
      </w:r>
      <w:r w:rsidRPr="002819B0">
        <w:rPr>
          <w:i/>
        </w:rPr>
        <w:t>о</w:t>
      </w:r>
      <w:r>
        <w:rPr>
          <w:i/>
        </w:rPr>
        <w:t xml:space="preserve"> </w:t>
      </w:r>
      <w:r>
        <w:t>(РЗ 4368).</w:t>
      </w:r>
    </w:p>
    <w:p w:rsidR="005167E8" w:rsidRDefault="005167E8" w:rsidP="005167E8"/>
    <w:p w:rsidR="005167E8" w:rsidRDefault="005167E8" w:rsidP="005167E8">
      <w:r>
        <w:t>988.</w:t>
      </w:r>
      <w:r>
        <w:tab/>
        <w:t xml:space="preserve">В 1997 году Верховный суд признал незаконной принадлежность иностранным владельцам исторического объекта "Манила Отель".  В решении </w:t>
      </w:r>
      <w:r>
        <w:rPr>
          <w:i/>
        </w:rPr>
        <w:t xml:space="preserve">Манила Принс Отель против Системы страхования государственных служащих </w:t>
      </w:r>
      <w:r>
        <w:t>(3 февраля 1997 года) суд постановил, что "Манила Отель" стал частью национального достояния и при его продаже, в соответствии со статьей 10 (2) главы X</w:t>
      </w:r>
      <w:r>
        <w:rPr>
          <w:lang w:val="en-US"/>
        </w:rPr>
        <w:t>II</w:t>
      </w:r>
      <w:r w:rsidRPr="002819B0">
        <w:t xml:space="preserve"> Конституции</w:t>
      </w:r>
      <w:r>
        <w:t>,</w:t>
      </w:r>
      <w:r w:rsidRPr="009B1174">
        <w:t xml:space="preserve"> </w:t>
      </w:r>
      <w:r>
        <w:t>предпочтение должно отдаваться филиппинцам</w:t>
      </w:r>
      <w:r w:rsidRPr="002819B0">
        <w:t xml:space="preserve">. </w:t>
      </w:r>
      <w:r>
        <w:t xml:space="preserve"> Вышеупомянутое положение гласит, что при предоставлении прав, привилегий и концессий, касающихся национальной экономики и национального достояния, государство должно отдавать предпочтение правомочным филиппинцам.  По мнению суда, понятие национального достояния относится и к культурному достоянию, частью которого стал "Манила Отель".</w:t>
      </w:r>
    </w:p>
    <w:p w:rsidR="005167E8" w:rsidRDefault="005167E8" w:rsidP="005167E8"/>
    <w:p w:rsidR="005167E8" w:rsidRDefault="005167E8" w:rsidP="005167E8">
      <w:r>
        <w:t>989.</w:t>
      </w:r>
      <w:r>
        <w:tab/>
        <w:t xml:space="preserve">Другими решениями Верховного суда, имеющими отношение к защите культурного наследия, являются следующие:  </w:t>
      </w:r>
      <w:r>
        <w:rPr>
          <w:i/>
        </w:rPr>
        <w:t xml:space="preserve">Хойа против Президентской комиссии по эффективному управлению </w:t>
      </w:r>
      <w:r>
        <w:t xml:space="preserve">(ПС № 96541, 24 августа 1993 года), </w:t>
      </w:r>
      <w:r>
        <w:rPr>
          <w:i/>
        </w:rPr>
        <w:t xml:space="preserve">Армейский и военно-морской клуб против Апелляционного суда </w:t>
      </w:r>
      <w:r>
        <w:t xml:space="preserve">(ПС № 110223, 8 апреля 1997 года) и </w:t>
      </w:r>
      <w:r>
        <w:rPr>
          <w:i/>
        </w:rPr>
        <w:t xml:space="preserve">Маноска против Апелляционного суда </w:t>
      </w:r>
      <w:r>
        <w:t>(ПС № 106440, 29 января 1996 года)</w:t>
      </w:r>
      <w:r>
        <w:rPr>
          <w:rStyle w:val="FootnoteReference"/>
        </w:rPr>
        <w:footnoteReference w:id="70"/>
      </w:r>
      <w:r>
        <w:t>.</w:t>
      </w:r>
    </w:p>
    <w:p w:rsidR="005167E8" w:rsidRDefault="005167E8" w:rsidP="005167E8"/>
    <w:p w:rsidR="005167E8" w:rsidRPr="00794E22" w:rsidRDefault="005167E8" w:rsidP="005167E8">
      <w:pPr>
        <w:rPr>
          <w:i/>
        </w:rPr>
      </w:pPr>
      <w:r w:rsidRPr="00794E22">
        <w:rPr>
          <w:i/>
        </w:rPr>
        <w:t>Другие программы, посвященные вопросам культуры и развития</w:t>
      </w:r>
    </w:p>
    <w:p w:rsidR="005167E8" w:rsidRDefault="005167E8" w:rsidP="005167E8">
      <w:pPr>
        <w:rPr>
          <w:u w:val="single"/>
        </w:rPr>
      </w:pPr>
    </w:p>
    <w:p w:rsidR="005167E8" w:rsidRDefault="005167E8" w:rsidP="005167E8">
      <w:r>
        <w:t>990.</w:t>
      </w:r>
      <w:r>
        <w:tab/>
      </w:r>
      <w:r>
        <w:rPr>
          <w:b/>
          <w:i/>
        </w:rPr>
        <w:t>Укрепление социальной инфраструктуры</w:t>
      </w:r>
      <w:r>
        <w:t xml:space="preserve"> </w:t>
      </w:r>
      <w:r w:rsidRPr="00E6387A">
        <w:rPr>
          <w:i/>
        </w:rPr>
        <w:t>[Наращивание потенци</w:t>
      </w:r>
      <w:r>
        <w:rPr>
          <w:i/>
        </w:rPr>
        <w:t>ала местных общин;  организация общин;  местные проекты культурных обменов/межкультурного диалога;  создание местных советов по культуре и искусству;  и проекты по укреплению мира</w:t>
      </w:r>
      <w:r w:rsidRPr="00E6387A">
        <w:rPr>
          <w:i/>
        </w:rPr>
        <w:t>]</w:t>
      </w:r>
      <w:r>
        <w:rPr>
          <w:i/>
        </w:rPr>
        <w:t xml:space="preserve">. </w:t>
      </w:r>
      <w:r w:rsidRPr="00081D45">
        <w:rPr>
          <w:i/>
        </w:rPr>
        <w:t xml:space="preserve"> </w:t>
      </w:r>
      <w:r w:rsidRPr="00081D45">
        <w:t>Э</w:t>
      </w:r>
      <w:r>
        <w:t>та программа предусматривает оказание помощи общинам в расширении их возможностей в области культуры и повышении ценности их культурных ресурсов.  Он</w:t>
      </w:r>
      <w:r w:rsidR="00F64556">
        <w:t xml:space="preserve"> </w:t>
      </w:r>
      <w:r>
        <w:t xml:space="preserve">предоставляет общинам возможность самостоятельно организовывать работу, устанавливать рамки и налаживать сотрудничество в целях создания более прочной социальной инфраструктуры.  Эта программа предусматривает оказание содействия различным культурным сообществам в выявлении их культурных ресурсов, возрождении их традиций и духовных ценностей, освоении способов управления культурой и показа ее достопримечательностей, с тем чтобы они могли обеспечивать свое весомое участие в жизни филиппинского общества.  Этот проект также направлен на поощрение и обеспечение устойчивого развития местной культуры и творческих групп посредством следующих стимулирующих мер:  а)  оказание поддержки в проведении организационных мероприятий, например профессиональной подготовки по вопросам управления искусством, планирования и т.п.;  </w:t>
      </w:r>
      <w:r>
        <w:rPr>
          <w:lang w:val="en-US"/>
        </w:rPr>
        <w:t>b</w:t>
      </w:r>
      <w:r>
        <w:t>)  осуществление программ и проектов, которые являются частью комплексного долгосрочного плана развития.</w:t>
      </w:r>
    </w:p>
    <w:p w:rsidR="005167E8" w:rsidRDefault="005167E8" w:rsidP="005167E8"/>
    <w:p w:rsidR="005167E8" w:rsidRDefault="005167E8" w:rsidP="005167E8">
      <w:r>
        <w:t>991.</w:t>
      </w:r>
      <w:r>
        <w:tab/>
      </w:r>
      <w:r>
        <w:rPr>
          <w:b/>
          <w:i/>
        </w:rPr>
        <w:t xml:space="preserve">Проекты, направленные на популяризацию искусства среди обездоленных общин;  культурное развитие общин. </w:t>
      </w:r>
      <w:r w:rsidRPr="001E0F1D">
        <w:rPr>
          <w:b/>
        </w:rPr>
        <w:t xml:space="preserve"> </w:t>
      </w:r>
      <w:r>
        <w:t>В рамках этой программы помощь и поддержка оказываются главным образом обездоленным группам, в число которых входят:  безземельные крестьяне, рыбаки, трудящиеся неформального сектора, городская беднота, переселенцы, беспризорные дети, пожилые люди, инвалиды, учащиеся и преподаватели государственных школ, государственные служащие.  Проекты, осуществляемые в рамках этой программы, могут иметь различные формы</w:t>
      </w:r>
      <w:r>
        <w:rPr>
          <w:rStyle w:val="FootnoteReference"/>
        </w:rPr>
        <w:footnoteReference w:id="71"/>
      </w:r>
      <w:r>
        <w:t>.</w:t>
      </w:r>
    </w:p>
    <w:p w:rsidR="005167E8" w:rsidRDefault="005167E8" w:rsidP="005167E8"/>
    <w:p w:rsidR="005167E8" w:rsidRDefault="005167E8" w:rsidP="005167E8">
      <w:r>
        <w:t>992.</w:t>
      </w:r>
      <w:r>
        <w:tab/>
      </w:r>
      <w:r>
        <w:rPr>
          <w:b/>
          <w:i/>
        </w:rPr>
        <w:t xml:space="preserve">Культурный туризм.  </w:t>
      </w:r>
      <w:r>
        <w:t>НККИ оказывает содействие министерству туризма (МТ) и органам местного самоуправления в разработке культурных программ и выявлении местных достопримечательностей в населенных пунктах, перспективных с точки зрения развития туризма, а также в производстве соответствующих рекламных материалов.  Эта программа предусматривает проведение регулярных культурных мероприятий;  выпуск брошюр или видеоматериалов;  реставрацию исторических памятников, которые могут повысить туристическую притягательность данной местности.</w:t>
      </w:r>
    </w:p>
    <w:p w:rsidR="005167E8" w:rsidRDefault="005167E8" w:rsidP="005167E8"/>
    <w:p w:rsidR="005167E8" w:rsidRDefault="005167E8" w:rsidP="005167E8">
      <w:r>
        <w:t>993.</w:t>
      </w:r>
      <w:r>
        <w:tab/>
      </w:r>
      <w:r>
        <w:rPr>
          <w:b/>
          <w:i/>
        </w:rPr>
        <w:t xml:space="preserve">Культурная индустрия.  </w:t>
      </w:r>
      <w:r>
        <w:t>Через эту программу НККИ оказывает помощь в развитии кустарных промыслов, типичных для той или иной общины и являющихся составной частью ее культуры, включая, например, ткацкое и гончарное искусство, производство изделий из бамбука и плетеных изделий, музыку, кинофильмы и т.д.</w:t>
      </w:r>
    </w:p>
    <w:p w:rsidR="005167E8" w:rsidRDefault="005167E8" w:rsidP="005167E8"/>
    <w:p w:rsidR="005167E8" w:rsidRDefault="005167E8" w:rsidP="005167E8">
      <w:r>
        <w:t>994.</w:t>
      </w:r>
      <w:r>
        <w:tab/>
      </w:r>
      <w:r>
        <w:rPr>
          <w:b/>
          <w:i/>
        </w:rPr>
        <w:t xml:space="preserve">Культура и управление.  </w:t>
      </w:r>
      <w:r w:rsidRPr="007971BD">
        <w:rPr>
          <w:i/>
        </w:rPr>
        <w:t>[</w:t>
      </w:r>
      <w:r>
        <w:rPr>
          <w:i/>
        </w:rPr>
        <w:t>Расширение прав и возможностей регионов;  сотрудничество между НККИ, МВДМС и ОМС;  планирование культурных мероприятий на местном уровне</w:t>
      </w:r>
      <w:r w:rsidRPr="007971BD">
        <w:rPr>
          <w:i/>
        </w:rPr>
        <w:t>]</w:t>
      </w:r>
      <w:r>
        <w:rPr>
          <w:i/>
        </w:rPr>
        <w:t xml:space="preserve">.  </w:t>
      </w:r>
      <w:r>
        <w:t>НККИ поддерживает проекты ОМС в области культуры и искусства, в частности те из них, которые направлены на выявление и развитие местных талантов, сохранение культурного наследия и расширение числа посетителей культурных и художественных мероприятий</w:t>
      </w:r>
      <w:r>
        <w:rPr>
          <w:rStyle w:val="FootnoteReference"/>
        </w:rPr>
        <w:footnoteReference w:id="72"/>
      </w:r>
      <w:r>
        <w:t>.</w:t>
      </w:r>
    </w:p>
    <w:p w:rsidR="005167E8" w:rsidRDefault="005167E8" w:rsidP="005167E8"/>
    <w:p w:rsidR="005167E8" w:rsidRPr="00794E22" w:rsidRDefault="005167E8" w:rsidP="005167E8">
      <w:pPr>
        <w:rPr>
          <w:i/>
        </w:rPr>
      </w:pPr>
      <w:r w:rsidRPr="00794E22">
        <w:rPr>
          <w:i/>
        </w:rPr>
        <w:t>Образование в области культуры и искусства</w:t>
      </w:r>
    </w:p>
    <w:p w:rsidR="005167E8" w:rsidRDefault="005167E8" w:rsidP="005167E8">
      <w:pPr>
        <w:rPr>
          <w:u w:val="single"/>
        </w:rPr>
      </w:pPr>
    </w:p>
    <w:p w:rsidR="005167E8" w:rsidRDefault="005167E8" w:rsidP="005167E8">
      <w:r>
        <w:t>995.</w:t>
      </w:r>
      <w:r>
        <w:tab/>
        <w:t xml:space="preserve">В рамках своих усилий по расширению культурного кругозора филиппинцев НККИ поддерживает мероприятия в рамках </w:t>
      </w:r>
      <w:r>
        <w:rPr>
          <w:i/>
        </w:rPr>
        <w:t xml:space="preserve">Филиппинского плана культурного просвещения (ФПКП), </w:t>
      </w:r>
      <w:r>
        <w:t>цель которого состоит в том, чтобы сделать культурное просвещение доступным для всех слоев филиппинского общества, особенно для молодежи, преподавателей, артистов и работников культуры, должностных лиц и государственных служащих, работников СМИ и представителей гражданского общества.</w:t>
      </w:r>
    </w:p>
    <w:p w:rsidR="005167E8" w:rsidRDefault="005167E8" w:rsidP="005167E8"/>
    <w:p w:rsidR="005167E8" w:rsidRDefault="005167E8" w:rsidP="005167E8">
      <w:r>
        <w:t>996.</w:t>
      </w:r>
      <w:r>
        <w:tab/>
        <w:t>В ответ на многочисленные заявки из школ, советов культуры, органов местного самоуправления и других учреждений культуры было создано Лекционное бюро, проведены курсы профессиональной подготовки и лекции для учителей и учащихся, организованы курсы просвещения в высших учебных заведениях, а также было передано в дар государственным библиотекам и школам по всей стране свыше 30 000 экземпляров различных публикаций/книг и почти 2 000 материалов в электронном формате.</w:t>
      </w:r>
    </w:p>
    <w:p w:rsidR="005167E8" w:rsidRDefault="005167E8" w:rsidP="005167E8"/>
    <w:p w:rsidR="00F64556" w:rsidRDefault="00C34C45" w:rsidP="00C34C45">
      <w:r>
        <w:t>997.</w:t>
      </w:r>
      <w:r>
        <w:tab/>
        <w:t xml:space="preserve">Одновременно с этим </w:t>
      </w:r>
      <w:r>
        <w:rPr>
          <w:i/>
        </w:rPr>
        <w:t>Институт по вопросам управления культурой и искусством</w:t>
      </w:r>
      <w:r>
        <w:t xml:space="preserve"> (ИУКИ), являясь подразделением НККИ, занимающимся вопросами образования, продолжает осуществлять подготовку менеджеров в области культуры и искусства, развивая их управленческие и технические способности.  Начиная с 2003 года он подготовил почти 2 500 работников культуры, артистов, менеджеров искусства, </w:t>
      </w:r>
    </w:p>
    <w:p w:rsidR="00C34C45" w:rsidRDefault="00F64556" w:rsidP="00C34C45">
      <w:r>
        <w:br w:type="page"/>
      </w:r>
      <w:r w:rsidR="00C34C45">
        <w:t>сотрудников культурных служб ОМС и частных компаний, преподавателей и культурных атташе.  С помощью ИУКИ реализуется целый ряд проектов при поддержке НККИ</w:t>
      </w:r>
      <w:r w:rsidR="00C34C45">
        <w:rPr>
          <w:rStyle w:val="FootnoteReference"/>
        </w:rPr>
        <w:footnoteReference w:id="73"/>
      </w:r>
      <w:r w:rsidR="00C34C45">
        <w:t>.</w:t>
      </w:r>
    </w:p>
    <w:p w:rsidR="00C34C45" w:rsidRDefault="00C34C45" w:rsidP="00C34C45"/>
    <w:p w:rsidR="00DF1BA8" w:rsidRDefault="00DF1BA8" w:rsidP="00DF1BA8">
      <w:r>
        <w:t>998.</w:t>
      </w:r>
      <w:r>
        <w:tab/>
        <w:t>Правительство также открыло среднюю школу для художественно одаренных и талантливых подростков - Филиппинскую высшую школу искусств (ФВШИ).  Обучение в этой школе ведется по специальной программе среднего образования и вспомогательным программам, направленным на сохранение и развитие художественных и культурных традиций Филиппин.  Созданная в 1977 году ФВШИ стремится развивать опыт и потенциал творчески одаренных учащихся, профессорско-преподавательского состава и сотрудников как работников культуры, способных осуществлять программы, направленные на развитие и расширение подлинно национальных направлений в искусстве.</w:t>
      </w:r>
    </w:p>
    <w:p w:rsidR="00DF1BA8" w:rsidRDefault="00DF1BA8" w:rsidP="00DF1BA8"/>
    <w:p w:rsidR="00DF1BA8" w:rsidRPr="00FE1E9B" w:rsidRDefault="00DF1BA8" w:rsidP="00F64556">
      <w:pPr>
        <w:keepNext/>
        <w:rPr>
          <w:i/>
        </w:rPr>
      </w:pPr>
      <w:r w:rsidRPr="00FE1E9B">
        <w:rPr>
          <w:i/>
        </w:rPr>
        <w:t>Роль средств массовой информации и коммуникации в поощрении участия в культурной жизни</w:t>
      </w:r>
    </w:p>
    <w:p w:rsidR="00DF1BA8" w:rsidRDefault="00DF1BA8" w:rsidP="00F64556">
      <w:pPr>
        <w:keepNext/>
        <w:rPr>
          <w:u w:val="single"/>
        </w:rPr>
      </w:pPr>
    </w:p>
    <w:p w:rsidR="00DF1BA8" w:rsidRDefault="00DF1BA8" w:rsidP="00DF1BA8">
      <w:r>
        <w:t>999.</w:t>
      </w:r>
      <w:r>
        <w:tab/>
        <w:t>НККИ поощряет развитие самоокупающихся публикаций и аудиовизуальных материалов по вопросам филиппинской культуры и искусства, а также современных форм культурного и художественного выражения, рассчитанных на национальную и международную аудиторию.  НККИ обеспечивает выпуск публикаций (например, журналов, газет, периодических изданий, книг) и электронных материалов (например, видео- и аудиокассет, компакт-дисков, цифровых универсальных дисков (</w:t>
      </w:r>
      <w:r>
        <w:rPr>
          <w:lang w:val="en-US"/>
        </w:rPr>
        <w:t>DVD</w:t>
      </w:r>
      <w:r>
        <w:t>)) по вопросам культуры и искусства как в образовательных, так и в развлекательных целях.  НККИ поддерживает производство радио- и телевизионных программ различных форматов (игровые шоу, теленовеллы, ток-шоу и т.п.), которые привлекают широкую  зрительскую аудиторию и направлены на популяризацию истории, культурных ценностей, национальных достижений и искусства Филиппин.  Для обслуживания сектора культуры и искусства НККИ имеет вебстраницу, посвященную вопросам укрепления филиппинской самобытности и расширения осведомленности национальной и международной общественности о филиппинской культуре и искусстве.  Также обеспечивается развитие и поддержание на местном и более широком уровне взаимосвязи между учреждениями культуры и аналогичными учреждениями в целях расширения доступа к обмену ресурсами в области информационных технологий</w:t>
      </w:r>
      <w:r w:rsidRPr="00B8156A">
        <w:t xml:space="preserve"> </w:t>
      </w:r>
      <w:r>
        <w:t>по вопросам искусства и культуры.</w:t>
      </w:r>
    </w:p>
    <w:p w:rsidR="00DF1BA8" w:rsidRDefault="00DF1BA8" w:rsidP="00DF1BA8"/>
    <w:p w:rsidR="00DF1BA8" w:rsidRDefault="00DF1BA8" w:rsidP="00DF1BA8">
      <w:r>
        <w:t xml:space="preserve">1000.  Кроме того, в рамках НККИ действует </w:t>
      </w:r>
      <w:r w:rsidRPr="00FE1E9B">
        <w:rPr>
          <w:i/>
        </w:rPr>
        <w:t>Комплексная программа переводов произведений филиппинской литературы</w:t>
      </w:r>
      <w:r>
        <w:t>, предназначенная для того, чтобы сделать филиппинскую литературу и отдельные произведения зарубежной классики доступными для филиппинцев и читателей из других стран мира путем содействия переводу произведений с других филиппинских языков на филиппинский и английский языки и наоборот.</w:t>
      </w:r>
    </w:p>
    <w:p w:rsidR="00DF1BA8" w:rsidRDefault="00DF1BA8" w:rsidP="00DF1BA8"/>
    <w:p w:rsidR="00DF1BA8" w:rsidRDefault="00DF1BA8" w:rsidP="00DF1BA8">
      <w:r>
        <w:t>1001.  НККИ также оказывает поддержку музеям, галереям, библиотекам, архивам и другим аналогичным учреждениям культуры, государственным учреждениям, организациям, занимающимся вопросами искусства, а также учебным заведениям в подготовке и организации выставок, освещающих различные аспекты культуры и искусства Филиппин.</w:t>
      </w:r>
    </w:p>
    <w:p w:rsidR="00DF1BA8" w:rsidRDefault="00DF1BA8" w:rsidP="00DF1BA8"/>
    <w:p w:rsidR="00DF1BA8" w:rsidRDefault="00F64556" w:rsidP="00F64556">
      <w:pPr>
        <w:tabs>
          <w:tab w:val="clear" w:pos="1134"/>
          <w:tab w:val="left" w:pos="1190"/>
        </w:tabs>
        <w:ind w:left="1701" w:hanging="1701"/>
        <w:rPr>
          <w:b/>
        </w:rPr>
      </w:pPr>
      <w:r>
        <w:rPr>
          <w:b/>
        </w:rPr>
        <w:br w:type="page"/>
      </w:r>
      <w:r w:rsidR="00DF1BA8">
        <w:rPr>
          <w:b/>
        </w:rPr>
        <w:t xml:space="preserve">Вопрос </w:t>
      </w:r>
      <w:r>
        <w:rPr>
          <w:b/>
        </w:rPr>
        <w:t xml:space="preserve">№ </w:t>
      </w:r>
      <w:r w:rsidR="00DF1BA8">
        <w:rPr>
          <w:b/>
        </w:rPr>
        <w:t>2.</w:t>
      </w:r>
      <w:r w:rsidR="00DF1BA8">
        <w:rPr>
          <w:b/>
        </w:rPr>
        <w:tab/>
        <w:t>Меры, принятые для осуществления права каждого на пользование результатами научного прогресса и их практического применения</w:t>
      </w:r>
    </w:p>
    <w:p w:rsidR="00DF1BA8" w:rsidRDefault="00DF1BA8" w:rsidP="00DF1BA8"/>
    <w:p w:rsidR="00DF1BA8" w:rsidRDefault="00DF1BA8" w:rsidP="00DF1BA8">
      <w:r>
        <w:t>1002.  В 1987 году в ответ на растущие просьбы о привлечении науки и технологии к решению задач национального развития правительство повысило статус бывшего органа по науке и технике до правительственного уровня.  Этот орган, получивший название министерства науки и техники (МНТ), был наделен широкими полномочиями по разработке и осуществлению политики и программ.</w:t>
      </w:r>
    </w:p>
    <w:p w:rsidR="00DF1BA8" w:rsidRDefault="00DF1BA8" w:rsidP="00DF1BA8"/>
    <w:p w:rsidR="00DF1BA8" w:rsidRPr="00FE1E9B" w:rsidRDefault="00DF1BA8" w:rsidP="00DF1BA8">
      <w:pPr>
        <w:rPr>
          <w:i/>
        </w:rPr>
      </w:pPr>
      <w:r w:rsidRPr="00FE1E9B">
        <w:rPr>
          <w:i/>
        </w:rPr>
        <w:t>Приоритетные программы МНТ</w:t>
      </w:r>
    </w:p>
    <w:p w:rsidR="00DF1BA8" w:rsidRPr="00FE1E9B" w:rsidRDefault="00DF1BA8" w:rsidP="00DF1BA8">
      <w:pPr>
        <w:rPr>
          <w:i/>
        </w:rPr>
      </w:pPr>
    </w:p>
    <w:p w:rsidR="00DF1BA8" w:rsidRDefault="00DF1BA8" w:rsidP="00DF1BA8">
      <w:r>
        <w:t>1003.  В настоящее время МНТ осуществляет шесть приоритетных программ по повышению уровня компетентности, конкурентоспособности и удовлетворению потребностей различных слоев общества.</w:t>
      </w:r>
    </w:p>
    <w:p w:rsidR="00DF1BA8" w:rsidRDefault="00DF1BA8" w:rsidP="00DF1BA8"/>
    <w:p w:rsidR="00DF1BA8" w:rsidRDefault="00DF1BA8" w:rsidP="00DF1BA8">
      <w:r>
        <w:t>1004.  </w:t>
      </w:r>
      <w:r>
        <w:rPr>
          <w:b/>
          <w:i/>
        </w:rPr>
        <w:t>Комплексная программа повышения уровня технологической оснащенности предприятий (КОПТОП).</w:t>
      </w:r>
      <w:r>
        <w:t xml:space="preserve">  Эта программа направлена на активизацию частных инициатив в области научных исследований и опытно-конструкторских разработок (НИОКР), особенно среди малых и средних предприятий (МСП);  расширение участия государственного и частного секторов в мероприятиях по развитию науки и техники;  и укрепление потенциала и повышение технической компетентности государственных ведомств, научных учреждений и учреждений частного сектора, занимающихся вопросами развития науки и техники.  Достижение этой цели осуществляется главным образом за счет создания виртуальных центров технических инноваций в области микроэлектроники и информационной технологии.</w:t>
      </w:r>
    </w:p>
    <w:p w:rsidR="00DF1BA8" w:rsidRDefault="00DF1BA8" w:rsidP="00DF1BA8"/>
    <w:p w:rsidR="00DF1BA8" w:rsidRDefault="00DF1BA8" w:rsidP="00DF1BA8">
      <w:r>
        <w:t>1005.  </w:t>
      </w:r>
      <w:r>
        <w:rPr>
          <w:b/>
          <w:i/>
        </w:rPr>
        <w:t>Комплексная программа развития чистых производственных технологий.</w:t>
      </w:r>
      <w:r>
        <w:t xml:space="preserve">  Целью этой программы является обеспечение устойчивого развития и повышение конкурентоспособности отраслей филиппинской индустрии, особенно малых и средних предприятий, путем предоставления технической информации и содействия в развитии чистых производственных технологий, что включает технические методы сокращения уровня отходов и предотвращения загрязнения окружающей среды.  В результате внедрения этих индустриальных методов отрасли филиппинской промышленности должны добиться высокой конкурентоспособности на мировом рынке.  Программа состоит из четырех компонентов, а именно:  а)  подготовка стратегического исследования о методах обеспечения передачи чистых производственных технологий;  </w:t>
      </w:r>
      <w:r>
        <w:rPr>
          <w:lang w:val="en-US"/>
        </w:rPr>
        <w:t>b</w:t>
      </w:r>
      <w:r>
        <w:t xml:space="preserve">)  создание центра по разработке чистых производственных технологий;  с)  создание региональной сети по передаче чистых производственных технологий;  и  </w:t>
      </w:r>
      <w:r>
        <w:rPr>
          <w:lang w:val="en-US"/>
        </w:rPr>
        <w:t>d</w:t>
      </w:r>
      <w:r>
        <w:t>)  определение ориентированных на рынок командно-контрольных инструментов для внедрения чистых производственных технологий.</w:t>
      </w:r>
    </w:p>
    <w:p w:rsidR="00DF1BA8" w:rsidRDefault="00DF1BA8" w:rsidP="00DF1BA8"/>
    <w:p w:rsidR="00DF1BA8" w:rsidRDefault="00DF1BA8" w:rsidP="00DF1BA8">
      <w:r>
        <w:t>1006.  </w:t>
      </w:r>
      <w:r>
        <w:rPr>
          <w:b/>
          <w:i/>
        </w:rPr>
        <w:t xml:space="preserve">Создание центра научных исследований и разработок в области упаковки.  </w:t>
      </w:r>
      <w:r>
        <w:t>МНТ намерено создать национальный центр научных исследований и разработок в области упаковки, который, среди прочего, будет выполнять общие сервисные функции по обслуживанию индустрии.  Через этот центр МНТ будет предлагать промышленности возможность проведения производственных испытаний и другие услуги;  осуществлять программы профессиональной подготовки и проводить кампании по распространению информации;  содействовать передаче технологий в промышленности;  а также развивать и поддерживать региональные промышленные связи, касающиеся упаковочной технологии и услуг, в частности для МСП.  Этот центр является ответом МНТ на озабоченность по поводу низкого качества и низкой добавленной стоимости, а также отсутствия конкурентоспособности филиппинской экспортной продукции.  За счет разработки привлекательных, недорогостоящих, адекватных и экологичных упаковочных материалов, а также дизайна, соответствующего международным стандартам, центр намерен повысить конкурентоспособность филиппинской экспортной продукции.</w:t>
      </w:r>
    </w:p>
    <w:p w:rsidR="00DF1BA8" w:rsidRDefault="00DF1BA8" w:rsidP="00DF1BA8"/>
    <w:p w:rsidR="00DF1BA8" w:rsidRDefault="00DF1BA8" w:rsidP="00DF1BA8">
      <w:r>
        <w:t xml:space="preserve">1007.  </w:t>
      </w:r>
      <w:r>
        <w:rPr>
          <w:b/>
          <w:i/>
        </w:rPr>
        <w:t xml:space="preserve">Расширение сети региональных метрологических центров.  </w:t>
      </w:r>
      <w:r>
        <w:t xml:space="preserve">В настоящее время МНТ разрабатывает пирамидальную инфраструктуру системы мер и весов страны, а также наращивает потенциал государственных и частных региональных лабораторий по калибровке для удовлетворения потребностей различных пользователей.  Цель программы состоит в том, чтобы создать структуру для повышения осведомленности в вопросах метрологии и применения новых методов во всех секторах и регионах страны.  Она состоит из четырех компонентов:  а)  выявление пробелов в существующей системе мер и весов;  </w:t>
      </w:r>
      <w:r>
        <w:rPr>
          <w:lang w:val="en-US"/>
        </w:rPr>
        <w:t>b</w:t>
      </w:r>
      <w:r>
        <w:t xml:space="preserve">)  развитие национальной измерительной системы путем укрепления и расширения региональных/местных лабораторий по измерительной технике;  с)  создание центра профессиональной подготовки в области метрологии;  </w:t>
      </w:r>
      <w:r>
        <w:rPr>
          <w:lang w:val="en-US"/>
        </w:rPr>
        <w:t>d</w:t>
      </w:r>
      <w:r>
        <w:t>)  разработка и осуществление программы оценки профессиональной квалификации лабораторий.</w:t>
      </w:r>
    </w:p>
    <w:p w:rsidR="00DF1BA8" w:rsidRDefault="00DF1BA8" w:rsidP="00DF1BA8"/>
    <w:p w:rsidR="00DF1BA8" w:rsidRDefault="00DF1BA8" w:rsidP="00DF1BA8">
      <w:r>
        <w:t>1008.  </w:t>
      </w:r>
      <w:r>
        <w:rPr>
          <w:b/>
          <w:i/>
        </w:rPr>
        <w:t xml:space="preserve">Программа развития науки и техники в интересах малоимущих, уязвимых и нетрудоспособных групп населения.  </w:t>
      </w:r>
      <w:r>
        <w:t>Целью этой программы является обеспечение доступа неимущих и обездоленных представителей гражданского общества к внедряемым/финансируемым по линии МНТ технологиям и научно обоснованным методам управления ресурсами с целью удовлетворения минимальных основных потребностей и создания возможностей для получения средств к существованию с опорой на технологии путем предоставления эффективных и экономичных услуг в области науки и техники.  Посредством этой программы жителям маргинализованных общин, расположенных на побережье и в горных районах страны, общинам коренного населения, поселениям перемещенных лиц, инвалидам и другим уязвимым группам будет обеспечиваться профессиональная подготовка по вопросам передачи технологий, техническая помощь, возможность приобретения более современных навыков/знаний, им будут предоставляться дотации на приобретение оборудования и/или создание прототипов, а также будут укрепляться связи, позволяющие наладить приток ресурсов, включая маркетинг и финансирование;  все эти меры будут сочетаться с ценностной ориентацией, способствующей выработке целостного подхода к развитию.</w:t>
      </w:r>
    </w:p>
    <w:p w:rsidR="00DF1BA8" w:rsidRDefault="00DF1BA8" w:rsidP="00DF1BA8"/>
    <w:p w:rsidR="00131E8E" w:rsidRPr="00345212" w:rsidRDefault="00131E8E" w:rsidP="00131E8E">
      <w:r w:rsidRPr="00345212">
        <w:t>1009.  </w:t>
      </w:r>
      <w:r w:rsidRPr="00345212">
        <w:rPr>
          <w:b/>
          <w:i/>
        </w:rPr>
        <w:t>Научно-техническое развитие Минданао.</w:t>
      </w:r>
      <w:r w:rsidRPr="00345212">
        <w:t xml:space="preserve">  Эта программа направлена на укрепление технологического потенциала Минданао с целью увеличения в долгосрочной перспективе его привлекательности для инвесторов.  Она способствовала активизации помощи и сотрудничества со стороны различных партнерских учреждений и органов местного самоуправления, в том числе некоторых культурных меньшинств Минданао.  Программа состоит из двух основных компонентов:  1)  технологическая программа для микро- и малых предприятий;  и  2)  программа подготовки научно-технических кадров Минданао.  С целью повышения отдачи от использования ограниченных государственных ресурсов эта программа сосредоточится на четырех приоритетных направлениях, а именно:  1)  пищевая промышленность;  2)  освоение морских запасов;  3)  садоводство;  и</w:t>
      </w:r>
      <w:r w:rsidR="000E33F5">
        <w:t>  </w:t>
      </w:r>
      <w:r w:rsidRPr="00345212">
        <w:t>4)  производство мебели.</w:t>
      </w:r>
    </w:p>
    <w:p w:rsidR="00131E8E" w:rsidRPr="00345212" w:rsidRDefault="00131E8E" w:rsidP="00131E8E"/>
    <w:p w:rsidR="00131E8E" w:rsidRPr="00FD1ABB" w:rsidRDefault="00131E8E" w:rsidP="00131E8E">
      <w:pPr>
        <w:rPr>
          <w:i/>
        </w:rPr>
      </w:pPr>
      <w:r w:rsidRPr="00FD1ABB">
        <w:rPr>
          <w:i/>
        </w:rPr>
        <w:t>Научные исследования и опытно-конструкторские разработки</w:t>
      </w:r>
    </w:p>
    <w:p w:rsidR="00131E8E" w:rsidRPr="00345212" w:rsidRDefault="00131E8E" w:rsidP="00131E8E">
      <w:pPr>
        <w:rPr>
          <w:u w:val="single"/>
        </w:rPr>
      </w:pPr>
    </w:p>
    <w:p w:rsidR="00131E8E" w:rsidRPr="00345212" w:rsidRDefault="00131E8E" w:rsidP="00131E8E">
      <w:r w:rsidRPr="00345212">
        <w:t>1010.  Развивая деятельность и поддерживая проекты в области НИОКР, МНТ отдает предпочтение тем из них, которые:  а)  способствуют решению наиболее насущных проблем общества;  b)  имеют практическое применение или учитывают спрос;  с)  способствуют расширению участия частного сектора;  и  d)  способствуют повышению компетенции и укреплению потенциала сферы НИОКР на Филиппинах.  С учетом новой социальной направленности первоочередное внимание будет также уделяться мероприятиям по развитию НИОКР, способствующим обеспечению равенства между поколениями (в частности, учитывающим интересы будущих поколений).</w:t>
      </w:r>
    </w:p>
    <w:p w:rsidR="00131E8E" w:rsidRPr="00345212" w:rsidRDefault="00131E8E" w:rsidP="00131E8E"/>
    <w:p w:rsidR="00131E8E" w:rsidRPr="00345212" w:rsidRDefault="00131E8E" w:rsidP="00131E8E">
      <w:r w:rsidRPr="00345212">
        <w:t>1011.  При осуществлении комплексной программы развития НИОКР в соответствии с Законом о модернизации сельского хозяйства и рыболовства (ЗМСХР) МНТ работает в тандеме с министерством сельского хозяйства.  В частности, МНТ поддерживает НИОКР, направленные на повышение производительности сельского хозяйства, путем внедрения современных, эффективных и приемлемых технологий, способствующих увеличению его конкурентоспособности на мировом рынке и обеспечивающих продовольственную безопасность.</w:t>
      </w:r>
    </w:p>
    <w:p w:rsidR="00131E8E" w:rsidRPr="00345212" w:rsidRDefault="00131E8E" w:rsidP="00131E8E"/>
    <w:p w:rsidR="00131E8E" w:rsidRPr="00FD1ABB" w:rsidRDefault="00131E8E" w:rsidP="00131E8E">
      <w:pPr>
        <w:rPr>
          <w:i/>
        </w:rPr>
      </w:pPr>
      <w:r w:rsidRPr="00FD1ABB">
        <w:rPr>
          <w:i/>
        </w:rPr>
        <w:t>Передача и коммерциализация технологий</w:t>
      </w:r>
    </w:p>
    <w:p w:rsidR="00131E8E" w:rsidRPr="00345212" w:rsidRDefault="00131E8E" w:rsidP="00131E8E">
      <w:pPr>
        <w:rPr>
          <w:u w:val="single"/>
        </w:rPr>
      </w:pPr>
    </w:p>
    <w:p w:rsidR="00131E8E" w:rsidRPr="00345212" w:rsidRDefault="00131E8E" w:rsidP="00131E8E">
      <w:r w:rsidRPr="00345212">
        <w:t>1012.  Программа министерства в области передачи и коммерциализации технологии направлена на ускорение процесса адаптации, коммерциализации и поставки соответствующих технологий фермерам и предпринимателям.  В рамках этой программы обеспечивается ускоренное создание технологических инкубаторов и центров НИОКР, с тем чтобы содействовать передаче технологий из научной сферы в промышленность и создавать условия для развития сотрудничества между промышленными и научными кругами в области НИОКР и внедрения новшеств.</w:t>
      </w:r>
    </w:p>
    <w:p w:rsidR="00131E8E" w:rsidRPr="00345212" w:rsidRDefault="00131E8E" w:rsidP="00131E8E"/>
    <w:p w:rsidR="00131E8E" w:rsidRPr="00FD1ABB" w:rsidRDefault="00131E8E" w:rsidP="00131E8E">
      <w:pPr>
        <w:rPr>
          <w:i/>
        </w:rPr>
      </w:pPr>
      <w:r w:rsidRPr="00FD1ABB">
        <w:rPr>
          <w:i/>
        </w:rPr>
        <w:t>Услуги в области НИОКР, тестирования и калибровки</w:t>
      </w:r>
    </w:p>
    <w:p w:rsidR="00131E8E" w:rsidRPr="00345212" w:rsidRDefault="00131E8E" w:rsidP="00131E8E">
      <w:pPr>
        <w:rPr>
          <w:u w:val="single"/>
        </w:rPr>
      </w:pPr>
    </w:p>
    <w:p w:rsidR="00131E8E" w:rsidRPr="00345212" w:rsidRDefault="00131E8E" w:rsidP="00131E8E">
      <w:r w:rsidRPr="00345212">
        <w:t>1013.  В соответствии с линией на повышение производительности труда и конкурентоспособности местной промышленности МНТ расширяет свои услуги в области калибровки, тестирования и НИОКР.  Это согласуется с целями Среднесрочного плана развития Филиппин (СПРФ) по повышению стандартов и качества продукции, поощрению новаторства и защите интересов потребителей.  Эта программа включает следующие компоненты:  Программу увеличения объема производства в целях расширения экспорта (МПЭКС), Консультативную службу по вопросам повышения продуктивности сельского хозяйства (КППСХ), Муниципальную консультативную программу по вопросам науки и техники (МКПНТ) и Программу добровольного объединения экспертов по вопросам науки и техники (ПДОЭНТ), а также помощь изобретателям.</w:t>
      </w:r>
    </w:p>
    <w:p w:rsidR="00131E8E" w:rsidRPr="00345212" w:rsidRDefault="00131E8E" w:rsidP="00131E8E"/>
    <w:p w:rsidR="00131E8E" w:rsidRPr="00345212" w:rsidRDefault="00131E8E" w:rsidP="00131E8E">
      <w:pPr>
        <w:tabs>
          <w:tab w:val="clear" w:pos="567"/>
          <w:tab w:val="clear" w:pos="1134"/>
          <w:tab w:val="clear" w:pos="1701"/>
          <w:tab w:val="clear" w:pos="2268"/>
          <w:tab w:val="clear" w:pos="6237"/>
        </w:tabs>
      </w:pPr>
      <w:r w:rsidRPr="00345212">
        <w:t>1014.  Цель МПЭКС состоит в сокращении производственных расходов и повышении производительности и прибыльности МСП за счет предоставления технического содействия и консультационных услуг.  В рамках Программы ККПСХ министерство предоставляет техническую помощь фермерам с целью повышения доходов фермерских хозяйств.  В рамках ПДОЭНТ эксперты оказывают бесплатную помощь (в частности</w:t>
      </w:r>
      <w:r>
        <w:t>,</w:t>
      </w:r>
      <w:r w:rsidRPr="00345212">
        <w:t xml:space="preserve"> в проведении курсов профессионально-технической подготовки, семинаров, практикумов и наглядных демонстраций) организациям, кооперативам и другим заинтересованным сторонам по всей стране.</w:t>
      </w:r>
    </w:p>
    <w:p w:rsidR="00131E8E" w:rsidRPr="00345212" w:rsidRDefault="00131E8E" w:rsidP="00131E8E">
      <w:pPr>
        <w:tabs>
          <w:tab w:val="clear" w:pos="567"/>
          <w:tab w:val="clear" w:pos="1134"/>
          <w:tab w:val="clear" w:pos="1701"/>
          <w:tab w:val="clear" w:pos="2268"/>
          <w:tab w:val="clear" w:pos="6237"/>
        </w:tabs>
      </w:pPr>
    </w:p>
    <w:p w:rsidR="00131E8E" w:rsidRPr="00345212" w:rsidRDefault="00131E8E" w:rsidP="00131E8E">
      <w:pPr>
        <w:tabs>
          <w:tab w:val="clear" w:pos="567"/>
          <w:tab w:val="clear" w:pos="1134"/>
          <w:tab w:val="clear" w:pos="1701"/>
          <w:tab w:val="clear" w:pos="2268"/>
          <w:tab w:val="clear" w:pos="6237"/>
        </w:tabs>
      </w:pPr>
      <w:r w:rsidRPr="00345212">
        <w:t>1015.  Министерство оказывает также услуги филиппинским фирмам в области калибровки, анализа и тестирования с целью обеспечения качества, надежности и конкурентоспособности их продукции и оказания им помощи в получении сертификата МОС.</w:t>
      </w:r>
    </w:p>
    <w:p w:rsidR="00131E8E" w:rsidRPr="00345212" w:rsidRDefault="00131E8E" w:rsidP="00131E8E">
      <w:pPr>
        <w:tabs>
          <w:tab w:val="clear" w:pos="567"/>
          <w:tab w:val="clear" w:pos="1134"/>
          <w:tab w:val="clear" w:pos="1701"/>
          <w:tab w:val="clear" w:pos="2268"/>
          <w:tab w:val="clear" w:pos="6237"/>
        </w:tabs>
      </w:pPr>
    </w:p>
    <w:p w:rsidR="00131E8E" w:rsidRPr="00FD1ABB" w:rsidRDefault="00131E8E" w:rsidP="00131E8E">
      <w:pPr>
        <w:tabs>
          <w:tab w:val="clear" w:pos="567"/>
          <w:tab w:val="clear" w:pos="1134"/>
          <w:tab w:val="clear" w:pos="1701"/>
          <w:tab w:val="clear" w:pos="2268"/>
          <w:tab w:val="clear" w:pos="6237"/>
        </w:tabs>
        <w:rPr>
          <w:i/>
        </w:rPr>
      </w:pPr>
      <w:r w:rsidRPr="00FD1ABB">
        <w:rPr>
          <w:i/>
        </w:rPr>
        <w:t>Обеспечение готовности к стихийным бедствиям и смягчение последствий стихийных бедствий</w:t>
      </w:r>
    </w:p>
    <w:p w:rsidR="00131E8E" w:rsidRPr="00345212" w:rsidRDefault="00131E8E" w:rsidP="00131E8E">
      <w:pPr>
        <w:tabs>
          <w:tab w:val="clear" w:pos="567"/>
          <w:tab w:val="clear" w:pos="1134"/>
          <w:tab w:val="clear" w:pos="1701"/>
          <w:tab w:val="clear" w:pos="2268"/>
          <w:tab w:val="clear" w:pos="6237"/>
        </w:tabs>
        <w:rPr>
          <w:u w:val="single"/>
        </w:rPr>
      </w:pPr>
    </w:p>
    <w:p w:rsidR="00131E8E" w:rsidRPr="00345212" w:rsidRDefault="00131E8E" w:rsidP="00131E8E">
      <w:r w:rsidRPr="00345212">
        <w:t>1016.  Министерство предоставляет также услуги по предоставлению актуализированной информации, обеспечению мониторинга и прогнозированию погоды, наводнений, землетрясений и других стихийных бедствий.  Оно также будет проводить исследования по таким вопросам, как прогнозирование и выявление карты опасных явлений, а также оценка уязвимости и опасности потенциально активных вулканов, сдвигов горной породы и селевых потоков (лахаров).</w:t>
      </w:r>
    </w:p>
    <w:p w:rsidR="00131E8E" w:rsidRPr="00345212" w:rsidRDefault="00131E8E" w:rsidP="00131E8E"/>
    <w:p w:rsidR="00131E8E" w:rsidRDefault="00131E8E" w:rsidP="00131E8E">
      <w:r>
        <w:t>1017.</w:t>
      </w:r>
      <w:r>
        <w:tab/>
        <w:t xml:space="preserve"> В настоящее время МНТ оказывает содействие в реализации проекта использования спутниковых технологий для предсказания погоды.  Усилия направлены на точное отслеживание и предсказание места, эволюции и характеристик атмосферных явлений с целью своевременного оповещения населения и обеспечения общественной безопасности.  Целью этого проекта, осуществляемого Филиппинским управлением атмосферных, геофизических и астрономических услуг, является использование спутниковых данных для мониторинга, осуществляемого филиппинскими метеослужбами, и непрерывного наблюдения за состоянием погоды над обширными горными и морскими пространствами, а также другими отдаленными районами.  Одна из целей этого проекта состоит в использовании спутниковой технологии для предсказания интенсивности дождей и тропических бурь для раннего предупреждения внезапных наводнений, сильных ветров и цунами. </w:t>
      </w:r>
    </w:p>
    <w:p w:rsidR="00131E8E" w:rsidRDefault="00131E8E" w:rsidP="00131E8E"/>
    <w:p w:rsidR="00131E8E" w:rsidRPr="00FD1ABB" w:rsidRDefault="00131E8E" w:rsidP="00131E8E">
      <w:pPr>
        <w:rPr>
          <w:i/>
        </w:rPr>
      </w:pPr>
      <w:r w:rsidRPr="00FD1ABB">
        <w:rPr>
          <w:i/>
        </w:rPr>
        <w:t>Подготовка научно-технических кадров</w:t>
      </w:r>
    </w:p>
    <w:p w:rsidR="00131E8E" w:rsidRDefault="00131E8E" w:rsidP="00131E8E">
      <w:pPr>
        <w:rPr>
          <w:u w:val="single"/>
        </w:rPr>
      </w:pPr>
    </w:p>
    <w:p w:rsidR="00131E8E" w:rsidRDefault="00131E8E" w:rsidP="00131E8E">
      <w:r>
        <w:t>1018.</w:t>
      </w:r>
      <w:r>
        <w:tab/>
        <w:t xml:space="preserve"> В соответствии с РЗ 7687 МНТ обеспечивает возможности в сфере образования для одаренных молодых филиппинцев, особенно из недопредставленных районов.  Программа подготовки научно-технических кадров является ответом министерства на содержащийся в Среднесрочном плане развития Филиппин (СПРФ) призыв к правительству "дополнить конкурентную (и иную) политику программами, направленными на стимулирование капиталовложений в образование и развитие науки и техники, с целью повышения производительности труда на Филиппинах до уровня международных стандартов".  В рамках этой программы будет также готовиться большее количество преподавателей естественных наук и математики в соответствии с проектом СИПН ("Срочные инициативы по улучшению преподавания естественных наук).  </w:t>
      </w:r>
    </w:p>
    <w:p w:rsidR="00131E8E" w:rsidRDefault="00131E8E" w:rsidP="00131E8E"/>
    <w:p w:rsidR="00131E8E" w:rsidRDefault="00131E8E" w:rsidP="00131E8E">
      <w:r>
        <w:t>1019.</w:t>
      </w:r>
      <w:r>
        <w:tab/>
        <w:t xml:space="preserve"> В ведении МНТ также находится Филиппинская система высших научных школ (ФСВНШ), которые являются специализированными государственными средними школами.  В них обучаются филиппинские учащиеся, которые обладают исключительной одаренностью в области естественных наук и математики.  Цель таких школ заключается в том, чтобы "помочь стране создать критическую массу специалистов по наукам и технологиям".  Выпускники ФСВНШ обязаны по поступлении в колледж заниматься чистыми и прикладными науками, математикой или инженерными науками.  </w:t>
      </w:r>
    </w:p>
    <w:p w:rsidR="00131E8E" w:rsidRDefault="00131E8E" w:rsidP="00131E8E"/>
    <w:p w:rsidR="00131E8E" w:rsidRDefault="00131E8E" w:rsidP="00131E8E">
      <w:r>
        <w:t>1020.</w:t>
      </w:r>
      <w:r>
        <w:tab/>
        <w:t xml:space="preserve"> См. также пункты 148</w:t>
      </w:r>
      <w:r>
        <w:noBreakHyphen/>
        <w:t>156 о программах профессионально-технического образования и подготовки, предлагаемых УТОРН.</w:t>
      </w:r>
    </w:p>
    <w:p w:rsidR="00131E8E" w:rsidRDefault="00131E8E" w:rsidP="00131E8E"/>
    <w:p w:rsidR="00131E8E" w:rsidRDefault="00131E8E" w:rsidP="00131E8E">
      <w:pPr>
        <w:tabs>
          <w:tab w:val="clear" w:pos="1701"/>
          <w:tab w:val="left" w:pos="1496"/>
        </w:tabs>
        <w:ind w:left="1496" w:hanging="1496"/>
        <w:rPr>
          <w:b/>
        </w:rPr>
      </w:pPr>
      <w:r>
        <w:rPr>
          <w:b/>
        </w:rPr>
        <w:t>Вопрос № 3.</w:t>
      </w:r>
      <w:r>
        <w:rPr>
          <w:b/>
        </w:rPr>
        <w:tab/>
        <w:t>Трудности на пути осуществления права каждого на пользование результатами технического прогресса</w:t>
      </w:r>
    </w:p>
    <w:p w:rsidR="00131E8E" w:rsidRDefault="00131E8E" w:rsidP="00131E8E">
      <w:pPr>
        <w:rPr>
          <w:b/>
        </w:rPr>
      </w:pPr>
    </w:p>
    <w:p w:rsidR="00131E8E" w:rsidRDefault="00131E8E" w:rsidP="00131E8E">
      <w:r>
        <w:t>1021.</w:t>
      </w:r>
      <w:r>
        <w:tab/>
        <w:t xml:space="preserve"> Основные трудности в области науки и техники и мобилизации знаний для повышения производительности труда и экономического роста заключаются в следующем:  </w:t>
      </w:r>
    </w:p>
    <w:p w:rsidR="00131E8E" w:rsidRDefault="00131E8E" w:rsidP="00131E8E"/>
    <w:p w:rsidR="00131E8E" w:rsidRDefault="00131E8E" w:rsidP="00131E8E">
      <w:r>
        <w:t>1022.</w:t>
      </w:r>
      <w:r>
        <w:tab/>
        <w:t xml:space="preserve"> </w:t>
      </w:r>
      <w:r>
        <w:rPr>
          <w:b/>
          <w:i/>
        </w:rPr>
        <w:t xml:space="preserve">Необходимость приведения политики в области науки и техники в соответствие с целями национального развития.  </w:t>
      </w:r>
      <w:r>
        <w:t xml:space="preserve">Новые условия требуют разработки новой политики в области развития науки и техники.  Ключевой задачей этой политики является повышение производительности труда, обеспечение экономического роста и создание рабочих мест путем активизации экономической деятельности на основе использования достижений науки и при сохранении социального единства общества.  Разработка </w:t>
      </w:r>
      <w:r>
        <w:rPr>
          <w:i/>
        </w:rPr>
        <w:t>Филиппинской национальной инновационной системы</w:t>
      </w:r>
      <w:r>
        <w:t xml:space="preserve"> потребует проведения научно-технической политики, которая в большей степени ориентировалась и согласовывалась бы с другими социоэкономическими мерами.  Для достижения этой цели необходимо более четкое и ясное понимание тенденций распределения знаний и технологий между людьми, предприятиями и учреждениями.  Необходимо выявить все системные препятствия на пути к внедрению новшеств, которые существуют  между действиями отдельных учреждений и политикой правительства.</w:t>
      </w:r>
    </w:p>
    <w:p w:rsidR="00131E8E" w:rsidRDefault="00131E8E" w:rsidP="00131E8E"/>
    <w:p w:rsidR="00131E8E" w:rsidRDefault="00131E8E" w:rsidP="00131E8E">
      <w:r>
        <w:t>1023.</w:t>
      </w:r>
      <w:r>
        <w:tab/>
        <w:t xml:space="preserve"> </w:t>
      </w:r>
      <w:r>
        <w:rPr>
          <w:b/>
          <w:i/>
        </w:rPr>
        <w:t xml:space="preserve">Слабая база знаний.  </w:t>
      </w:r>
      <w:r>
        <w:t xml:space="preserve">Социально-культурные, политические и экономические условия создают возможность перехода к стадии разработки соответствующих политических мер в области экономики, образования, науки и технологии, труда, торговли и промышленности, которые в совокупности влияют на  темпы формирования национальной базы знаний.  Вместе с тем эти темпы обусловлены также уровнем взаимодействия и сотрудничества между научной и научно-технической сферами как производителями знаний и отраслями промышленности, так и их пользователями.  Результаты их взаимоотношений влияют на способность экономики производить товары и услуги с учетом меняющихся рыночных потребностей.  </w:t>
      </w:r>
    </w:p>
    <w:p w:rsidR="00131E8E" w:rsidRDefault="00131E8E" w:rsidP="00131E8E"/>
    <w:p w:rsidR="00131E8E" w:rsidRDefault="00131E8E" w:rsidP="00131E8E">
      <w:r>
        <w:t>1024.</w:t>
      </w:r>
      <w:r>
        <w:tab/>
        <w:t xml:space="preserve"> О слабости национальной базы знаний свидетельствуют следующие факторы:  </w:t>
      </w:r>
    </w:p>
    <w:p w:rsidR="00131E8E" w:rsidRDefault="00131E8E" w:rsidP="00131E8E"/>
    <w:p w:rsidR="007D18FA" w:rsidRPr="008A4294" w:rsidRDefault="00131E8E" w:rsidP="000E33F5">
      <w:pPr>
        <w:numPr>
          <w:ilvl w:val="0"/>
          <w:numId w:val="32"/>
        </w:numPr>
        <w:tabs>
          <w:tab w:val="clear" w:pos="1080"/>
        </w:tabs>
      </w:pPr>
      <w:r>
        <w:rPr>
          <w:u w:val="single"/>
        </w:rPr>
        <w:t>Отсутствие критической массы НИОКР</w:t>
      </w:r>
      <w:r>
        <w:t xml:space="preserve">.  В стране ощущается нехватка критической массы работников НИОКР;  так, в 2002 году в этой области было занято 6 803 научных работника и инженера, что значительно ниже (на 39,3%) </w:t>
      </w:r>
      <w:r w:rsidRPr="000E33F5">
        <w:rPr>
          <w:spacing w:val="-2"/>
        </w:rPr>
        <w:t xml:space="preserve">по сравнению с уровнем 1996 года.  </w:t>
      </w:r>
      <w:r w:rsidR="007D18FA" w:rsidRPr="000E33F5">
        <w:rPr>
          <w:spacing w:val="-2"/>
        </w:rPr>
        <w:t>Спад произошел в сфере правительственных</w:t>
      </w:r>
      <w:r w:rsidR="007D18FA" w:rsidRPr="008A4294">
        <w:t xml:space="preserve"> учреждений, государственных высших учебных заведений и частных некоммерческих учреждений.  Снижению числа лиц, работающих в сфере науки и техники, способствовала "утечка мозгов".  Поскольку носителями знаний и технологий являются главным образом людские ресурсы, существует насущная необходимость ускорить подготовку кадров для НИОКР.</w:t>
      </w:r>
    </w:p>
    <w:p w:rsidR="007D18FA" w:rsidRPr="008A4294" w:rsidRDefault="007D18FA" w:rsidP="007D18FA">
      <w:pPr>
        <w:ind w:left="1134" w:hanging="1134"/>
      </w:pPr>
    </w:p>
    <w:p w:rsidR="007D18FA" w:rsidRPr="008A4294" w:rsidRDefault="007D18FA" w:rsidP="007D18FA">
      <w:pPr>
        <w:ind w:left="1134" w:hanging="1134"/>
      </w:pPr>
      <w:r w:rsidRPr="008A4294">
        <w:tab/>
      </w:r>
      <w:r w:rsidRPr="008A4294">
        <w:sym w:font="Symbol" w:char="F0B7"/>
      </w:r>
      <w:r w:rsidRPr="008A4294">
        <w:tab/>
      </w:r>
      <w:r w:rsidRPr="008A4294">
        <w:rPr>
          <w:u w:val="single"/>
        </w:rPr>
        <w:t>Недостаточные капиталовложения в НИОКР</w:t>
      </w:r>
      <w:r w:rsidRPr="008A4294">
        <w:t xml:space="preserve">.  В 2002 году на НИОКР было выделено 4,5 млн. ФП, что составляет лишь 0,11% ВВП и намного меньше нормы в 1% ВВП, рекомендованной ЮНЕСКО для развивающихся стран.  Хотя частный сектор (частные предприятия, частные некоммерческие и высшие учебные заведения) уже обеспечивают наибольший процент вложений в НИОКР (64% из 4,5 ФП млрд. общих расходов на НИОКР в 2002 году), необходимо дальнейшее увеличение объема капиталовложений на цели НИОКР как со стороны государственного, так и частного сектора.  </w:t>
      </w:r>
    </w:p>
    <w:p w:rsidR="007D18FA" w:rsidRPr="008A4294" w:rsidRDefault="007D18FA" w:rsidP="007D18FA">
      <w:pPr>
        <w:ind w:left="1134" w:hanging="1134"/>
      </w:pPr>
    </w:p>
    <w:p w:rsidR="007D18FA" w:rsidRPr="008A4294" w:rsidRDefault="007D18FA" w:rsidP="007D18FA">
      <w:pPr>
        <w:ind w:left="1134" w:hanging="1134"/>
      </w:pPr>
      <w:r w:rsidRPr="008A4294">
        <w:tab/>
      </w:r>
      <w:r w:rsidRPr="008A4294">
        <w:sym w:font="Symbol" w:char="F0B7"/>
      </w:r>
      <w:r w:rsidRPr="008A4294">
        <w:tab/>
      </w:r>
      <w:r w:rsidRPr="008A4294">
        <w:rPr>
          <w:u w:val="single"/>
        </w:rPr>
        <w:t>Низкое число научных публикаций и патентов</w:t>
      </w:r>
      <w:r w:rsidRPr="008A4294">
        <w:t>.  Результатом низкого числа работников НИОКР в стране является и низкая отдача в научном плане.  Неудовлетворительное состояние науки и техники на Филиппинах по сравнению с другими странами можно проиллюстрировать тем фактом, что по числу научных статей, опубликованных авторами различных стран в 1999 году, Филиппины заняли лишь 29 место среди 30 стран, включенных в обследование, проводившееся Институтом по развитию менеджмента.  На Филиппинах было опубликовано всего 146 научных статей.</w:t>
      </w:r>
    </w:p>
    <w:p w:rsidR="007D18FA" w:rsidRPr="008A4294" w:rsidRDefault="007D18FA" w:rsidP="007D18FA">
      <w:pPr>
        <w:ind w:left="1134" w:hanging="1134"/>
      </w:pPr>
    </w:p>
    <w:p w:rsidR="007D18FA" w:rsidRPr="008A4294" w:rsidRDefault="007D18FA" w:rsidP="007D18FA">
      <w:r w:rsidRPr="008A4294">
        <w:t>1025.  В период с 1998 по 2000 год гражданам Филиппин было выдано лишь шесть патентов, вследствие чего Филиппины заняли 28 место среди 30 других стран.  Низкое число выданных патентов вызвано недостаточной финансовой поддержкой системы патентования со стороны правительства, а также отсутствием правительственной и государственной помощи для внедрения новшеств.</w:t>
      </w:r>
    </w:p>
    <w:p w:rsidR="007D18FA" w:rsidRPr="008A4294" w:rsidRDefault="007D18FA" w:rsidP="007D18FA"/>
    <w:p w:rsidR="007D18FA" w:rsidRPr="008A4294" w:rsidRDefault="00A11CB8" w:rsidP="007D18FA">
      <w:r>
        <w:br w:type="page"/>
      </w:r>
      <w:r w:rsidR="007D18FA" w:rsidRPr="008A4294">
        <w:t xml:space="preserve">1026.  </w:t>
      </w:r>
      <w:r w:rsidR="007D18FA" w:rsidRPr="008A4294">
        <w:rPr>
          <w:b/>
          <w:i/>
        </w:rPr>
        <w:t>Необходимость повышения конкурентоспособности научного потенциала страны и работников научно-технической сферы.</w:t>
      </w:r>
      <w:r w:rsidR="007D18FA" w:rsidRPr="008A4294">
        <w:t xml:space="preserve">  В соответствии с Глобальным технологическим индексом (ГТИ) Группы МЕТА Филиппины в 2001 году переместились на третью позицию с восьмого места в 2000 году среди 49 стран по созданию наукоемких рабочих мест.  ГТИ пришел на смену Глобального нового индекса Е-экономики, кибератласа, служившего важным инструментом измерения динамики и мощи экономики, а также технологических возможностей и потенциала каждой страны.  Вместе с тем Филиппины пока не достигли первого места, которое они занимали по числу создаваемых наукоемких рабочих мест в 1999 году и которое определялось критериями оценки действий высших эшелонов управления, наличием навыков в области информационных технологий и количеством квалифицированных инженеров.</w:t>
      </w:r>
    </w:p>
    <w:p w:rsidR="007D18FA" w:rsidRPr="008A4294" w:rsidRDefault="007D18FA" w:rsidP="007D18FA"/>
    <w:p w:rsidR="007D18FA" w:rsidRPr="008A4294" w:rsidRDefault="007D18FA" w:rsidP="007D18FA">
      <w:r w:rsidRPr="008A4294">
        <w:t>1027.  Переход Филиппин с 35 на 39-е место по показателям изменений, происходящих в дигитальной экономике страны в 2001 году, был связан главным образом с уменьшением числа компьютеров на душу населения, слабым развитием сотовой связи и низким количеством пользователей Интернета среди населения.  Между тем значительное понижение с 38 до 45-го места по показателям технологических нововведений было вызвано уменьшением числа выданных патентов.</w:t>
      </w:r>
    </w:p>
    <w:p w:rsidR="007D18FA" w:rsidRPr="008A4294" w:rsidRDefault="007D18FA" w:rsidP="007D18FA"/>
    <w:p w:rsidR="007D18FA" w:rsidRPr="008A4294" w:rsidRDefault="007D18FA" w:rsidP="007D18FA">
      <w:r w:rsidRPr="008A4294">
        <w:t xml:space="preserve">1028.  </w:t>
      </w:r>
      <w:r w:rsidRPr="008A4294">
        <w:rPr>
          <w:b/>
          <w:i/>
        </w:rPr>
        <w:t>Слабый механизм поиска/обмена/распространения знаний</w:t>
      </w:r>
      <w:r w:rsidRPr="008A4294">
        <w:rPr>
          <w:b/>
        </w:rPr>
        <w:t>.</w:t>
      </w:r>
      <w:r w:rsidRPr="008A4294">
        <w:t xml:space="preserve">  Доступ к знаниям и технологиям, имеющим принципиальное значение для развития сельских и отдаленных районов</w:t>
      </w:r>
      <w:r>
        <w:t>,</w:t>
      </w:r>
      <w:r w:rsidRPr="008A4294">
        <w:t xml:space="preserve"> все еще является неадекватным и во многих районах практически отсутствует.</w:t>
      </w:r>
    </w:p>
    <w:p w:rsidR="007D18FA" w:rsidRPr="008A4294" w:rsidRDefault="007D18FA" w:rsidP="007D18FA"/>
    <w:p w:rsidR="007D18FA" w:rsidRPr="008A4294" w:rsidRDefault="007D18FA" w:rsidP="007D18FA">
      <w:r w:rsidRPr="008A4294">
        <w:t>1</w:t>
      </w:r>
      <w:r>
        <w:t>0</w:t>
      </w:r>
      <w:r w:rsidRPr="008A4294">
        <w:t xml:space="preserve">29.  </w:t>
      </w:r>
      <w:r w:rsidRPr="008A4294">
        <w:rPr>
          <w:b/>
          <w:i/>
        </w:rPr>
        <w:t>Потребность в использовании знаний в целях повышения продуктивности и общей конкурентоспособности</w:t>
      </w:r>
      <w:r w:rsidRPr="008A4294">
        <w:rPr>
          <w:b/>
        </w:rPr>
        <w:t>.</w:t>
      </w:r>
      <w:r w:rsidRPr="008A4294">
        <w:t xml:space="preserve">  Знания должны определяться и оформляться в интересах тех, кто мог бы наиболее эффективно воспользоваться технологиями, способствующими повышению продуктивности.  Необходимо повышать содержательную емкость знаний и создавать новые знания путем организации системы распространения информации для документирования и обобщения передового опыта с помощью СМИ, деловых кругов, различных религиозных групп, научных и профессиональных организаций, ОМС и гражданского общества в интересах фермеров, рыбаков, рядовых сотрудников учреждений и работников заводов.</w:t>
      </w:r>
    </w:p>
    <w:p w:rsidR="007D18FA" w:rsidRPr="008A4294" w:rsidRDefault="007D18FA" w:rsidP="007D18FA"/>
    <w:p w:rsidR="007D18FA" w:rsidRPr="008A4294" w:rsidRDefault="007D18FA" w:rsidP="007D18FA">
      <w:r w:rsidRPr="008A4294">
        <w:t xml:space="preserve">1030.  </w:t>
      </w:r>
      <w:r w:rsidRPr="008A4294">
        <w:rPr>
          <w:b/>
          <w:i/>
        </w:rPr>
        <w:t>Отсутствие механизма/программ расширения и стимулирования предпринимательства</w:t>
      </w:r>
      <w:r w:rsidRPr="008A4294">
        <w:rPr>
          <w:b/>
        </w:rPr>
        <w:t>.</w:t>
      </w:r>
      <w:r w:rsidRPr="008A4294">
        <w:t xml:space="preserve">  Для того чтобы микропредприятия, </w:t>
      </w:r>
      <w:r>
        <w:t xml:space="preserve">а также </w:t>
      </w:r>
      <w:r w:rsidRPr="008A4294">
        <w:t xml:space="preserve">малые и средние предприятия могли </w:t>
      </w:r>
      <w:r>
        <w:t xml:space="preserve">официально </w:t>
      </w:r>
      <w:r w:rsidRPr="008A4294">
        <w:t>заниматься устойчивой и растущей деловой активностью</w:t>
      </w:r>
      <w:r>
        <w:t>,</w:t>
      </w:r>
      <w:r w:rsidRPr="008A4294">
        <w:t xml:space="preserve"> необходимы инкубационные центры по организации начала производства, которые могли бы обеспечивать пользователей технологией предоставлять внутренние кредиты, юридическую помощь и помощь в области маркетинга;  необходимо микрофинансирование предпринимателей и четко налаженные процедуры предоставления займов;  должен существовать единый орган комплексной маркетинговой поддержки;  и обеспечиваться профессиональная подготовка по развитию/расширению навыков предпринимательства.</w:t>
      </w:r>
    </w:p>
    <w:p w:rsidR="001242AE" w:rsidRDefault="001242AE" w:rsidP="001242AE"/>
    <w:p w:rsidR="001242AE" w:rsidRPr="00F1040A" w:rsidRDefault="001242AE" w:rsidP="001242AE">
      <w:pPr>
        <w:tabs>
          <w:tab w:val="clear" w:pos="1701"/>
          <w:tab w:val="left" w:pos="1496"/>
        </w:tabs>
        <w:ind w:left="1496" w:hanging="1496"/>
        <w:rPr>
          <w:b/>
        </w:rPr>
      </w:pPr>
      <w:r>
        <w:rPr>
          <w:b/>
        </w:rPr>
        <w:t>Вопрос №</w:t>
      </w:r>
      <w:r>
        <w:t> </w:t>
      </w:r>
      <w:r>
        <w:rPr>
          <w:b/>
        </w:rPr>
        <w:t>4</w:t>
      </w:r>
      <w:r>
        <w:t>.</w:t>
      </w:r>
      <w:r>
        <w:tab/>
      </w:r>
      <w:r w:rsidRPr="00F1040A">
        <w:rPr>
          <w:b/>
        </w:rPr>
        <w:t xml:space="preserve">Меры, принятые с целью осуществления права каждого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w:t>
      </w:r>
      <w:r>
        <w:rPr>
          <w:b/>
        </w:rPr>
        <w:t>является.</w:t>
      </w:r>
    </w:p>
    <w:p w:rsidR="001242AE" w:rsidRDefault="001242AE" w:rsidP="001242AE"/>
    <w:p w:rsidR="001242AE" w:rsidRDefault="001242AE" w:rsidP="001242AE">
      <w:r>
        <w:t xml:space="preserve">1031.   Республиканский закон № 8293, известный иначе как </w:t>
      </w:r>
      <w:r w:rsidRPr="00F1040A">
        <w:rPr>
          <w:i/>
        </w:rPr>
        <w:t>Кодекс интеллектуальной собственности Филиппин</w:t>
      </w:r>
      <w:r>
        <w:t>, защищает интеллектуальную собственность частных лиц.  В соответствии с этим законом к интеллектуальной собственности относится любой продукт человеческого разума или интеллекта.  Им может быть любое изобретение, оригинальный проект, практическое воплощение какой-либо идеи, знак, обозначающий право собственности, например торговая марка, литературное или художественное произведение.</w:t>
      </w:r>
    </w:p>
    <w:p w:rsidR="001242AE" w:rsidRDefault="001242AE" w:rsidP="001242AE"/>
    <w:p w:rsidR="001242AE" w:rsidRDefault="001242AE" w:rsidP="001242AE">
      <w:r>
        <w:t>1032.   Кодекс интеллектуальной собственности провозглашает в качестве политики содействие распространению знаний и информации с целью обеспечения дальнейшего развития и прогресса страны.  С этой целью государство намерено упорядочить административные процедуры регистрации патентов, торговых марок и авторских прав, либерализовать процедуру регистрации в сфере передачи технологии, а также обеспечить в полной мере соблюдение авторских прав на Филиппинах.</w:t>
      </w:r>
    </w:p>
    <w:p w:rsidR="001242AE" w:rsidRDefault="001242AE" w:rsidP="001242AE"/>
    <w:p w:rsidR="001242AE" w:rsidRDefault="001242AE" w:rsidP="001242AE">
      <w:r>
        <w:t>1033.   В соответствии с Кодексом права интеллектуальной собственности включают:</w:t>
      </w:r>
    </w:p>
    <w:p w:rsidR="001242AE" w:rsidRDefault="001242AE" w:rsidP="001242AE"/>
    <w:p w:rsidR="001242AE" w:rsidRDefault="001242AE" w:rsidP="001242AE">
      <w:pPr>
        <w:numPr>
          <w:ilvl w:val="0"/>
          <w:numId w:val="33"/>
        </w:numPr>
      </w:pPr>
      <w:r>
        <w:t>авторские и другие аналогичные права;</w:t>
      </w:r>
    </w:p>
    <w:p w:rsidR="001242AE" w:rsidRDefault="001242AE" w:rsidP="001242AE">
      <w:pPr>
        <w:numPr>
          <w:ilvl w:val="0"/>
          <w:numId w:val="33"/>
        </w:numPr>
      </w:pPr>
      <w:r>
        <w:t>права на торговую и сервисную марки;</w:t>
      </w:r>
    </w:p>
    <w:p w:rsidR="001242AE" w:rsidRDefault="001242AE" w:rsidP="001242AE">
      <w:pPr>
        <w:numPr>
          <w:ilvl w:val="0"/>
          <w:numId w:val="33"/>
        </w:numPr>
      </w:pPr>
      <w:r>
        <w:t>географические названия;</w:t>
      </w:r>
    </w:p>
    <w:p w:rsidR="001242AE" w:rsidRDefault="001242AE" w:rsidP="001242AE">
      <w:pPr>
        <w:numPr>
          <w:ilvl w:val="0"/>
          <w:numId w:val="33"/>
        </w:numPr>
      </w:pPr>
      <w:r>
        <w:t>промышленный дизайн;</w:t>
      </w:r>
    </w:p>
    <w:p w:rsidR="001242AE" w:rsidRDefault="001242AE" w:rsidP="001242AE">
      <w:pPr>
        <w:numPr>
          <w:ilvl w:val="0"/>
          <w:numId w:val="33"/>
        </w:numPr>
      </w:pPr>
      <w:r>
        <w:t>патенты;</w:t>
      </w:r>
    </w:p>
    <w:p w:rsidR="001242AE" w:rsidRDefault="001242AE" w:rsidP="001242AE">
      <w:pPr>
        <w:numPr>
          <w:ilvl w:val="0"/>
          <w:numId w:val="33"/>
        </w:numPr>
      </w:pPr>
      <w:r>
        <w:t>проектные чертежи (топографию) интегральных схем;  и</w:t>
      </w:r>
    </w:p>
    <w:p w:rsidR="001242AE" w:rsidRDefault="001242AE" w:rsidP="001242AE">
      <w:pPr>
        <w:numPr>
          <w:ilvl w:val="0"/>
          <w:numId w:val="33"/>
        </w:numPr>
      </w:pPr>
      <w:r>
        <w:t>защиту неразглашаемой информации.</w:t>
      </w:r>
    </w:p>
    <w:p w:rsidR="001242AE" w:rsidRDefault="001242AE" w:rsidP="001242AE"/>
    <w:p w:rsidR="001242AE" w:rsidRDefault="00A11CB8" w:rsidP="001242AE">
      <w:r>
        <w:br w:type="page"/>
      </w:r>
      <w:r w:rsidR="001242AE">
        <w:t>1034.   Государственным ведомством, отвечающим за осуществление Кодекса интеллектуальной собственности, является Бюро по вопросам интеллектуальной собственности, которое заменило существовавшие раньше органы, а именно:</w:t>
      </w:r>
    </w:p>
    <w:p w:rsidR="001242AE" w:rsidRDefault="001242AE" w:rsidP="001242AE">
      <w:pPr>
        <w:numPr>
          <w:ilvl w:val="0"/>
          <w:numId w:val="34"/>
        </w:numPr>
      </w:pPr>
      <w:r>
        <w:t>Патентное бюро;</w:t>
      </w:r>
    </w:p>
    <w:p w:rsidR="001242AE" w:rsidRDefault="001242AE" w:rsidP="001242AE"/>
    <w:p w:rsidR="001242AE" w:rsidRDefault="001242AE" w:rsidP="001242AE">
      <w:pPr>
        <w:numPr>
          <w:ilvl w:val="0"/>
          <w:numId w:val="34"/>
        </w:numPr>
      </w:pPr>
      <w:r>
        <w:t>Бюро торговых марок;</w:t>
      </w:r>
    </w:p>
    <w:p w:rsidR="001242AE" w:rsidRDefault="001242AE" w:rsidP="001242AE"/>
    <w:p w:rsidR="001242AE" w:rsidRDefault="001242AE" w:rsidP="001242AE">
      <w:pPr>
        <w:numPr>
          <w:ilvl w:val="0"/>
          <w:numId w:val="34"/>
        </w:numPr>
      </w:pPr>
      <w:r>
        <w:t>Бюро по правовым вопросам;</w:t>
      </w:r>
    </w:p>
    <w:p w:rsidR="001242AE" w:rsidRDefault="001242AE" w:rsidP="001242AE"/>
    <w:p w:rsidR="001242AE" w:rsidRDefault="001242AE" w:rsidP="001242AE">
      <w:pPr>
        <w:numPr>
          <w:ilvl w:val="0"/>
          <w:numId w:val="34"/>
        </w:numPr>
      </w:pPr>
      <w:r>
        <w:t>Бюро по вопросам документации, информации и передачи технологии;</w:t>
      </w:r>
    </w:p>
    <w:p w:rsidR="001242AE" w:rsidRDefault="001242AE" w:rsidP="001242AE"/>
    <w:p w:rsidR="001242AE" w:rsidRDefault="001242AE" w:rsidP="001242AE">
      <w:pPr>
        <w:numPr>
          <w:ilvl w:val="0"/>
          <w:numId w:val="34"/>
        </w:numPr>
      </w:pPr>
      <w:r>
        <w:t>Бюро по вопросам управления информационными системами и электронной обработки данных (ЭОД);  и</w:t>
      </w:r>
    </w:p>
    <w:p w:rsidR="001242AE" w:rsidRDefault="001242AE" w:rsidP="001242AE"/>
    <w:p w:rsidR="001242AE" w:rsidRDefault="001242AE" w:rsidP="001242AE">
      <w:pPr>
        <w:numPr>
          <w:ilvl w:val="0"/>
          <w:numId w:val="34"/>
        </w:numPr>
      </w:pPr>
      <w:r>
        <w:t>Бюро по административно-финансовым и кадровым вопросам.</w:t>
      </w:r>
    </w:p>
    <w:p w:rsidR="001242AE" w:rsidRDefault="001242AE" w:rsidP="001242AE"/>
    <w:p w:rsidR="001242AE" w:rsidRDefault="001242AE" w:rsidP="001242AE">
      <w:r>
        <w:t>1035.   Кодекс интеллектуальной собственности предусматривает:</w:t>
      </w:r>
    </w:p>
    <w:p w:rsidR="001242AE" w:rsidRDefault="001242AE" w:rsidP="001242AE"/>
    <w:p w:rsidR="001242AE" w:rsidRDefault="001242AE" w:rsidP="001242AE">
      <w:pPr>
        <w:numPr>
          <w:ilvl w:val="0"/>
          <w:numId w:val="35"/>
        </w:numPr>
      </w:pPr>
      <w:r>
        <w:t>изучение заявок на получение патентных грамот на изобретения и регистрацию универсальных моделей и образцов промышленного дизайна;</w:t>
      </w:r>
    </w:p>
    <w:p w:rsidR="001242AE" w:rsidRDefault="001242AE" w:rsidP="001242AE"/>
    <w:p w:rsidR="001242AE" w:rsidRDefault="001242AE" w:rsidP="001242AE">
      <w:pPr>
        <w:numPr>
          <w:ilvl w:val="0"/>
          <w:numId w:val="35"/>
        </w:numPr>
      </w:pPr>
      <w:r>
        <w:t>изучение заявок на регистрацию торговых марок, географических названий и интегральных схем;</w:t>
      </w:r>
    </w:p>
    <w:p w:rsidR="001242AE" w:rsidRDefault="001242AE" w:rsidP="001242AE"/>
    <w:p w:rsidR="001242AE" w:rsidRDefault="001242AE" w:rsidP="001242AE">
      <w:pPr>
        <w:numPr>
          <w:ilvl w:val="0"/>
          <w:numId w:val="35"/>
        </w:numPr>
      </w:pPr>
      <w:r>
        <w:t>регистрацию соглашений о передаче технологии и урегулирование споров, связанных с оплатой передачи технологии, а также разработку и осуществление стратегий по содействию передаче технологий;</w:t>
      </w:r>
    </w:p>
    <w:p w:rsidR="001242AE" w:rsidRDefault="001242AE" w:rsidP="001242AE"/>
    <w:p w:rsidR="001242AE" w:rsidRDefault="001242AE" w:rsidP="001242AE">
      <w:pPr>
        <w:numPr>
          <w:ilvl w:val="0"/>
          <w:numId w:val="35"/>
        </w:numPr>
      </w:pPr>
      <w:r>
        <w:t>содействие более широкому использованию патентной информации в качестве средства технологического развития;</w:t>
      </w:r>
    </w:p>
    <w:p w:rsidR="001242AE" w:rsidRDefault="001242AE" w:rsidP="001242AE"/>
    <w:p w:rsidR="001242AE" w:rsidRDefault="001242AE" w:rsidP="001242AE">
      <w:pPr>
        <w:numPr>
          <w:ilvl w:val="0"/>
          <w:numId w:val="35"/>
        </w:numPr>
      </w:pPr>
      <w:r>
        <w:t>регулярную публикацию в собственных изданиях выпущенных или утвержденных патентов на торговые марки, универсальные модели и образцы промышленного дизайна, а также публикацию зарегистрированных соглашений о передаче технологии;</w:t>
      </w:r>
    </w:p>
    <w:p w:rsidR="001242AE" w:rsidRDefault="001242AE" w:rsidP="001242AE"/>
    <w:p w:rsidR="001242AE" w:rsidRDefault="001242AE" w:rsidP="001242AE">
      <w:pPr>
        <w:numPr>
          <w:ilvl w:val="0"/>
          <w:numId w:val="35"/>
        </w:numPr>
      </w:pPr>
      <w:r>
        <w:t>урегулирование в административном порядке спорных процедур, связанных с правами на интеллектуальную собственность;  и</w:t>
      </w:r>
    </w:p>
    <w:p w:rsidR="001242AE" w:rsidRDefault="001242AE" w:rsidP="001242AE"/>
    <w:p w:rsidR="001242AE" w:rsidRDefault="001242AE" w:rsidP="001242AE">
      <w:pPr>
        <w:numPr>
          <w:ilvl w:val="0"/>
          <w:numId w:val="35"/>
        </w:numPr>
      </w:pPr>
      <w:r>
        <w:t>координацию с другими правительственными учреждениями и частным сектором действий по разработке и осуществлению политики, направленной на усиление защиты прав на интеллектуальную собственность в стране.</w:t>
      </w:r>
    </w:p>
    <w:p w:rsidR="001242AE" w:rsidRDefault="001242AE" w:rsidP="001242AE"/>
    <w:p w:rsidR="001242AE" w:rsidRDefault="001242AE" w:rsidP="001242AE">
      <w:r>
        <w:t>1036.   В связи со сроками действия авторских прав на различные произведения Кодекс интеллектуальной собственности устанавливает следующее:</w:t>
      </w:r>
    </w:p>
    <w:p w:rsidR="001242AE" w:rsidRDefault="001242AE" w:rsidP="001242AE">
      <w:pPr>
        <w:numPr>
          <w:ilvl w:val="0"/>
          <w:numId w:val="36"/>
        </w:numPr>
      </w:pPr>
      <w:r>
        <w:t>литературные произведения:  на весь срок жизни автора и в течение 50-ти лет после его/ее смерти;</w:t>
      </w:r>
    </w:p>
    <w:p w:rsidR="001242AE" w:rsidRDefault="001242AE" w:rsidP="001242AE"/>
    <w:p w:rsidR="001242AE" w:rsidRDefault="001242AE" w:rsidP="001242AE">
      <w:pPr>
        <w:numPr>
          <w:ilvl w:val="0"/>
          <w:numId w:val="36"/>
        </w:numPr>
      </w:pPr>
      <w:r>
        <w:t>прикладное искусство:  25 лет с момента создания;</w:t>
      </w:r>
    </w:p>
    <w:p w:rsidR="001242AE" w:rsidRDefault="001242AE" w:rsidP="001242AE"/>
    <w:p w:rsidR="001242AE" w:rsidRDefault="001242AE" w:rsidP="001242AE">
      <w:pPr>
        <w:numPr>
          <w:ilvl w:val="0"/>
          <w:numId w:val="36"/>
        </w:numPr>
      </w:pPr>
      <w:r>
        <w:t>фотографии:  50 лет с момента публикации (опубликованные) или с момента создания (неопубликованные);</w:t>
      </w:r>
    </w:p>
    <w:p w:rsidR="001242AE" w:rsidRDefault="001242AE" w:rsidP="001242AE"/>
    <w:p w:rsidR="001242AE" w:rsidRDefault="001242AE" w:rsidP="001242AE">
      <w:pPr>
        <w:numPr>
          <w:ilvl w:val="0"/>
          <w:numId w:val="36"/>
        </w:numPr>
      </w:pPr>
      <w:r>
        <w:t>аудио-визуальные произведения:  50 лет с момента публикации (опубликованные) или с момента создания (неопубликованные);</w:t>
      </w:r>
    </w:p>
    <w:p w:rsidR="001242AE" w:rsidRDefault="001242AE" w:rsidP="001242AE"/>
    <w:p w:rsidR="001242AE" w:rsidRDefault="001242AE" w:rsidP="001242AE">
      <w:pPr>
        <w:numPr>
          <w:ilvl w:val="0"/>
          <w:numId w:val="36"/>
        </w:numPr>
      </w:pPr>
      <w:r>
        <w:t>звукозапись:  50 лет начиная с 31 декабря года производства записи;</w:t>
      </w:r>
    </w:p>
    <w:p w:rsidR="001242AE" w:rsidRDefault="001242AE" w:rsidP="001242AE"/>
    <w:p w:rsidR="001242AE" w:rsidRDefault="001242AE" w:rsidP="001242AE">
      <w:pPr>
        <w:numPr>
          <w:ilvl w:val="0"/>
          <w:numId w:val="36"/>
        </w:numPr>
      </w:pPr>
      <w:r>
        <w:t>записи программ радио- и телевещания:  20 лет с момента передачи этих программ;</w:t>
      </w:r>
    </w:p>
    <w:p w:rsidR="001242AE" w:rsidRDefault="001242AE" w:rsidP="001242AE"/>
    <w:p w:rsidR="001242AE" w:rsidRDefault="001242AE" w:rsidP="001242AE">
      <w:pPr>
        <w:numPr>
          <w:ilvl w:val="0"/>
          <w:numId w:val="36"/>
        </w:numPr>
      </w:pPr>
      <w:r>
        <w:t>авторские права в целом действуют в течение 25 лет для корпоративных произведений, к которым относится дизайн товара и фирменный знак (логотип).</w:t>
      </w:r>
    </w:p>
    <w:p w:rsidR="001242AE" w:rsidRDefault="001242AE" w:rsidP="001242AE"/>
    <w:p w:rsidR="001242AE" w:rsidRDefault="001242AE" w:rsidP="001242AE">
      <w:r>
        <w:t>1037.   Кодекс интеллектуальной собственности также защищает незарегистрированные авторские права путем временного автоматического предоставления авторских прав.</w:t>
      </w:r>
    </w:p>
    <w:p w:rsidR="001242AE" w:rsidRDefault="001242AE" w:rsidP="001242AE"/>
    <w:p w:rsidR="001242AE" w:rsidRDefault="001242AE" w:rsidP="001242AE">
      <w:r>
        <w:t>1038.   Кроме того, Кодекс предусматривает "принцип первенства заявки", который означает, что, если два лица или несколько лиц сделали какое-либо изобретение отдельно и независимо друг от друга, право на патент должно принадлежать лицу, которое первым подало заявку на регистрацию такого изобретения;  в случае, если два или более заявителей подали заявку на одно и то же изобретение, право на патент принадлежит заявителю, который первым подал заявку или был раньше зарегистрирован в порядке очередности.</w:t>
      </w:r>
    </w:p>
    <w:p w:rsidR="001242AE" w:rsidRDefault="001242AE" w:rsidP="001242AE"/>
    <w:p w:rsidR="001242AE" w:rsidRDefault="001242AE" w:rsidP="001242AE">
      <w:r>
        <w:t>1039.   Статья 185 Кодекса предусматривает добросовестное использование копий для подготовки критических статей, представления комментариев, передачи новостей, проведения учебных мероприятий, в т.ч. изготовление многочисленных копий для использования в классе, в учебных, научно-исследовательских или аналогичных целях материалов, защищаемых авторским правом, при условии, что изготовление копий осуществляется с учетом:</w:t>
      </w:r>
    </w:p>
    <w:p w:rsidR="001242AE" w:rsidRDefault="001242AE" w:rsidP="001242AE"/>
    <w:p w:rsidR="001242AE" w:rsidRDefault="001242AE" w:rsidP="001242AE">
      <w:pPr>
        <w:numPr>
          <w:ilvl w:val="0"/>
          <w:numId w:val="37"/>
        </w:numPr>
      </w:pPr>
      <w:r>
        <w:t>цели изготовления копированных материалов, которая должна предполагать их добросовестное использование;</w:t>
      </w:r>
    </w:p>
    <w:p w:rsidR="001242AE" w:rsidRDefault="001242AE" w:rsidP="001242AE"/>
    <w:p w:rsidR="001242AE" w:rsidRDefault="001242AE" w:rsidP="001242AE">
      <w:pPr>
        <w:numPr>
          <w:ilvl w:val="0"/>
          <w:numId w:val="37"/>
        </w:numPr>
      </w:pPr>
      <w:r>
        <w:t>характера копируемых материалов;</w:t>
      </w:r>
    </w:p>
    <w:p w:rsidR="001242AE" w:rsidRDefault="001242AE" w:rsidP="001242AE"/>
    <w:p w:rsidR="001242AE" w:rsidRDefault="001242AE" w:rsidP="001242AE">
      <w:pPr>
        <w:numPr>
          <w:ilvl w:val="0"/>
          <w:numId w:val="37"/>
        </w:numPr>
      </w:pPr>
      <w:r>
        <w:t>количества материалов, копируемых с целью добросовестного использования;</w:t>
      </w:r>
    </w:p>
    <w:p w:rsidR="001242AE" w:rsidRDefault="001242AE" w:rsidP="001242AE"/>
    <w:p w:rsidR="001242AE" w:rsidRDefault="001242AE" w:rsidP="001242AE">
      <w:pPr>
        <w:numPr>
          <w:ilvl w:val="0"/>
          <w:numId w:val="37"/>
        </w:numPr>
      </w:pPr>
      <w:r>
        <w:t>последствий, которые эти копированные материалы могут иметь или имели для потенциального рынка или стоимости объекта с точки зрения содействия повышению стоимости объекта, материал о котором должен копироваться в целях добросовестного использования.</w:t>
      </w:r>
    </w:p>
    <w:p w:rsidR="001242AE" w:rsidRDefault="001242AE" w:rsidP="001242AE"/>
    <w:p w:rsidR="001242AE" w:rsidRDefault="001242AE" w:rsidP="001242AE">
      <w:r>
        <w:t>1040.   Ниже перечислены моральные права владельца авторских прав согласно Кодексу:</w:t>
      </w:r>
    </w:p>
    <w:p w:rsidR="001242AE" w:rsidRDefault="001242AE" w:rsidP="001242AE"/>
    <w:p w:rsidR="001242AE" w:rsidRDefault="001242AE" w:rsidP="001242AE">
      <w:pPr>
        <w:numPr>
          <w:ilvl w:val="0"/>
          <w:numId w:val="38"/>
        </w:numPr>
      </w:pPr>
      <w:r>
        <w:t>установление авторства произведения;</w:t>
      </w:r>
    </w:p>
    <w:p w:rsidR="001242AE" w:rsidRDefault="001242AE" w:rsidP="001242AE"/>
    <w:p w:rsidR="001242AE" w:rsidRDefault="001242AE" w:rsidP="001242AE">
      <w:pPr>
        <w:numPr>
          <w:ilvl w:val="0"/>
          <w:numId w:val="38"/>
        </w:numPr>
      </w:pPr>
      <w:r>
        <w:t>право на надлежащую представленность в качестве создателя копируемого материала в любой форме;</w:t>
      </w:r>
    </w:p>
    <w:p w:rsidR="001242AE" w:rsidRDefault="001242AE" w:rsidP="001242AE"/>
    <w:p w:rsidR="001242AE" w:rsidRDefault="001242AE" w:rsidP="001242AE">
      <w:pPr>
        <w:numPr>
          <w:ilvl w:val="0"/>
          <w:numId w:val="38"/>
        </w:numPr>
      </w:pPr>
      <w:r>
        <w:t>право на внесение изменений в данное произведение или даже его изъятие из обращения;</w:t>
      </w:r>
    </w:p>
    <w:p w:rsidR="001242AE" w:rsidRDefault="001242AE" w:rsidP="001242AE"/>
    <w:p w:rsidR="001242AE" w:rsidRDefault="001242AE" w:rsidP="001242AE">
      <w:pPr>
        <w:numPr>
          <w:ilvl w:val="0"/>
          <w:numId w:val="38"/>
        </w:numPr>
      </w:pPr>
      <w:r>
        <w:t>полное владение произведением;</w:t>
      </w:r>
    </w:p>
    <w:p w:rsidR="001242AE" w:rsidRDefault="001242AE" w:rsidP="001242AE"/>
    <w:p w:rsidR="001242AE" w:rsidRDefault="001242AE" w:rsidP="001242AE">
      <w:pPr>
        <w:numPr>
          <w:ilvl w:val="0"/>
          <w:numId w:val="38"/>
        </w:numPr>
      </w:pPr>
      <w:r>
        <w:t>право возражать против любого искажения произведения, наносящего ущерб имени его автора;</w:t>
      </w:r>
    </w:p>
    <w:p w:rsidR="001242AE" w:rsidRDefault="001242AE" w:rsidP="001242AE"/>
    <w:p w:rsidR="001242AE" w:rsidRPr="00BB7036" w:rsidRDefault="001242AE" w:rsidP="001242AE">
      <w:pPr>
        <w:numPr>
          <w:ilvl w:val="0"/>
          <w:numId w:val="38"/>
        </w:numPr>
      </w:pPr>
      <w:r>
        <w:t>право ограничивать использование имени автора в отношении какого-либо произведения, создателем которого он не является.</w:t>
      </w:r>
    </w:p>
    <w:p w:rsidR="001242AE" w:rsidRDefault="001242AE" w:rsidP="001242AE"/>
    <w:p w:rsidR="00FD1ABB" w:rsidRPr="00FD1ABB" w:rsidRDefault="000E33F5" w:rsidP="000E33F5">
      <w:pPr>
        <w:jc w:val="center"/>
        <w:rPr>
          <w:b/>
        </w:rPr>
      </w:pPr>
      <w:r>
        <w:br w:type="page"/>
      </w:r>
      <w:r w:rsidR="00FD1ABB" w:rsidRPr="00FD1ABB">
        <w:rPr>
          <w:b/>
        </w:rPr>
        <w:t>Приложение</w:t>
      </w:r>
    </w:p>
    <w:p w:rsidR="00FD1ABB" w:rsidRPr="00FD1ABB" w:rsidRDefault="00FD1ABB" w:rsidP="000E33F5">
      <w:pPr>
        <w:jc w:val="center"/>
        <w:rPr>
          <w:b/>
        </w:rPr>
      </w:pPr>
    </w:p>
    <w:p w:rsidR="000E33F5" w:rsidRPr="00FD1ABB" w:rsidRDefault="000E33F5" w:rsidP="000E33F5">
      <w:pPr>
        <w:jc w:val="center"/>
        <w:rPr>
          <w:b/>
          <w:sz w:val="22"/>
          <w:szCs w:val="22"/>
        </w:rPr>
      </w:pPr>
      <w:r w:rsidRPr="00FD1ABB">
        <w:rPr>
          <w:b/>
          <w:sz w:val="22"/>
          <w:szCs w:val="22"/>
        </w:rPr>
        <w:t>СПИСОК СОКРАЩЕНИЙ</w:t>
      </w:r>
    </w:p>
    <w:p w:rsidR="000E33F5" w:rsidRDefault="000E33F5" w:rsidP="000E33F5">
      <w:pPr>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708"/>
        <w:gridCol w:w="7703"/>
      </w:tblGrid>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АП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Административное постановление</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АРК</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Административный район Кордильеры</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АРММ</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Автономный район мусульманского Минданао</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БСАО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Бюро по вопросам альтернативного обучения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ВВП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Валовой внутренний продукт</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ВИЧ/СПИД</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Вирус иммунодефицита человека/синдром приобретенного иммунодефицита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ВНП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Валовой национальный продукт</w:t>
            </w:r>
          </w:p>
        </w:tc>
      </w:tr>
      <w:tr w:rsidR="000E33F5" w:rsidRPr="00843856" w:rsidTr="001C6E87">
        <w:tc>
          <w:tcPr>
            <w:tcW w:w="1708" w:type="dxa"/>
          </w:tcPr>
          <w:p w:rsidR="000E33F5" w:rsidRPr="00843856" w:rsidRDefault="000E33F5" w:rsidP="001C6E87">
            <w:pPr>
              <w:spacing w:line="240" w:lineRule="auto"/>
              <w:rPr>
                <w:snapToGrid w:val="0"/>
                <w:color w:val="000000"/>
                <w:sz w:val="22"/>
                <w:szCs w:val="22"/>
              </w:rPr>
            </w:pPr>
            <w:r w:rsidRPr="00843856">
              <w:rPr>
                <w:snapToGrid w:val="0"/>
                <w:color w:val="000000"/>
                <w:sz w:val="22"/>
                <w:szCs w:val="22"/>
              </w:rPr>
              <w:t>ВПУТ</w:t>
            </w:r>
          </w:p>
        </w:tc>
        <w:tc>
          <w:tcPr>
            <w:tcW w:w="7703" w:type="dxa"/>
          </w:tcPr>
          <w:p w:rsidR="000E33F5" w:rsidRPr="00843856" w:rsidRDefault="000E33F5" w:rsidP="001C6E87">
            <w:pPr>
              <w:pStyle w:val="Heading3"/>
              <w:outlineLvl w:val="2"/>
              <w:rPr>
                <w:i w:val="0"/>
                <w:sz w:val="22"/>
                <w:szCs w:val="22"/>
              </w:rPr>
            </w:pPr>
            <w:r w:rsidRPr="00843856">
              <w:rPr>
                <w:i w:val="0"/>
                <w:sz w:val="22"/>
                <w:szCs w:val="22"/>
              </w:rPr>
              <w:t>Временная полная утрата трудоспособности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ВСФ</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Вооруженные силы Филиппин</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ВУЗ-КВО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Высшие учебные заведения, курируемые КВО</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ГБТ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Государственное бюро трудоустройства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ГВУ</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Города с высокой степенью урбанизации</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ГИТ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 xml:space="preserve">Глобальный технологический индекс группы МЕТА </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ГУК</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Государственные университеты и колледжи</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ДПРВО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Долгосрочный план развития высшего образования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ЕМД</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Ежегодный медицинский доклад</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ЕОПН</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Ежегодный обзор показателей нищеты</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ЖЦУ</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Женский центр УТОРН</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ЗГРЖ</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Закон о городском развитии и жилищном строительстве</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ЗКАР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Закон о комплексной аграрной реформе</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ЗМСРХ</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Закон о модернизации сельского хозяйства и рыболовства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ИНИ</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Институт национальной истории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ИПЦ</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Индекс потребительских цен</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ИРП/ЗПП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Инфекция репродуктивных путей/Заболевания, передаваемые половым путем</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ИРЧП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Индекс развития человеческого потенциала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ИУКИ</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Институт по вопросам управления культурой и искусством</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КВО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Комиссия по делам высшего образования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КГС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Комиссия по вопросам гражданской службы</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ККПЧ</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Координационный комитет по правам человека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КЛДЖ</w:t>
            </w:r>
          </w:p>
        </w:tc>
        <w:tc>
          <w:tcPr>
            <w:tcW w:w="7703" w:type="dxa"/>
          </w:tcPr>
          <w:p w:rsidR="000E33F5" w:rsidRPr="008B086F" w:rsidRDefault="000E33F5" w:rsidP="001C6E87">
            <w:pPr>
              <w:spacing w:line="240" w:lineRule="auto"/>
              <w:rPr>
                <w:snapToGrid w:val="0"/>
                <w:color w:val="000000"/>
                <w:sz w:val="22"/>
                <w:szCs w:val="22"/>
              </w:rPr>
            </w:pPr>
            <w:r w:rsidRPr="008B086F">
              <w:rPr>
                <w:sz w:val="22"/>
                <w:szCs w:val="22"/>
              </w:rPr>
              <w:t>Конвенция о ликвидации всех форм дискриминации в отношении женщин</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КМОТ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Конвенция Международной организации труда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КПАР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Комплексная программа аграрной реформы</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КППСХ</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Консультативная служба по вопросам повышения продуктивности сельского хозяйства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КПР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Конвенция о правах ребенка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КСЖГС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 xml:space="preserve">Координационный совет по развитию жилищного и городского строительства </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КСКН</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Культурные сообщества коренных народов</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КТС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Коллективное трудовое соглашение</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КФСЖ</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Корпорация по финансированию социального жилья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ЛФН</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Лица с физическими недостатками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МАР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Министерство аграрной реформы</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МБУ</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Министерство бюджета и управления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МВДМС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Министерство внутренних дел и местного самоуправления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Министерство здравоохранения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МИД</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Министерство иностранных дел</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МКПНТ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Муниципальная консультативная программа по вопросам науки и техники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МНО</w:t>
            </w:r>
          </w:p>
        </w:tc>
        <w:tc>
          <w:tcPr>
            <w:tcW w:w="7703" w:type="dxa"/>
          </w:tcPr>
          <w:p w:rsidR="000E33F5" w:rsidRPr="008B086F" w:rsidRDefault="000E33F5" w:rsidP="001C6E87">
            <w:pPr>
              <w:spacing w:line="240" w:lineRule="auto"/>
              <w:rPr>
                <w:snapToGrid w:val="0"/>
                <w:sz w:val="22"/>
                <w:szCs w:val="22"/>
              </w:rPr>
            </w:pPr>
            <w:r w:rsidRPr="008B086F">
              <w:rPr>
                <w:snapToGrid w:val="0"/>
                <w:sz w:val="22"/>
                <w:szCs w:val="22"/>
              </w:rPr>
              <w:t>Министерство национальной обороны</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МНТ</w:t>
            </w:r>
          </w:p>
        </w:tc>
        <w:tc>
          <w:tcPr>
            <w:tcW w:w="7703" w:type="dxa"/>
          </w:tcPr>
          <w:p w:rsidR="000E33F5" w:rsidRPr="008B086F" w:rsidRDefault="000E33F5" w:rsidP="001C6E87">
            <w:pPr>
              <w:spacing w:line="240" w:lineRule="auto"/>
              <w:rPr>
                <w:snapToGrid w:val="0"/>
                <w:sz w:val="22"/>
                <w:szCs w:val="22"/>
              </w:rPr>
            </w:pPr>
            <w:r w:rsidRPr="008B086F">
              <w:rPr>
                <w:snapToGrid w:val="0"/>
                <w:sz w:val="22"/>
                <w:szCs w:val="22"/>
              </w:rPr>
              <w:t>Министерство науки и технологии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Министерство образования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МОП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Подход с учетом минимальных основных потребностей</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МОРДС</w:t>
            </w:r>
          </w:p>
        </w:tc>
        <w:tc>
          <w:tcPr>
            <w:tcW w:w="7703" w:type="dxa"/>
          </w:tcPr>
          <w:p w:rsidR="000E33F5" w:rsidRPr="008B086F" w:rsidRDefault="000E33F5" w:rsidP="001C6E87">
            <w:pPr>
              <w:spacing w:line="240" w:lineRule="auto"/>
              <w:rPr>
                <w:snapToGrid w:val="0"/>
                <w:sz w:val="22"/>
                <w:szCs w:val="22"/>
              </w:rPr>
            </w:pPr>
            <w:r w:rsidRPr="008B086F">
              <w:rPr>
                <w:snapToGrid w:val="0"/>
                <w:sz w:val="22"/>
                <w:szCs w:val="22"/>
              </w:rPr>
              <w:t>Министерство общественных работ и дорожного строительства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МОСПР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Министерство окружающей среды и природных ресурсов</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МПБ</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Медпункты в барангаях</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МПГПП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Международный пакт о гражданских и политических правах</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МПОФ</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Многоступенчатая программа образования на Филиппинах</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МПЭКС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Программа увеличения объема производства в целях расширения экспорта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МПЭСКП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Международный пакт об экономических, социальных и культурных правах</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МСЗ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Мировой суд по земельным вопросам</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МСЗ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Местные советы по вопросам здравоохранения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МСОР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Министерство социального обеспечения и развития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МСП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Малые и средние предприятия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МСХ</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Министерство сельского хозяйства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МТ</w:t>
            </w:r>
          </w:p>
        </w:tc>
        <w:tc>
          <w:tcPr>
            <w:tcW w:w="7703" w:type="dxa"/>
          </w:tcPr>
          <w:p w:rsidR="000E33F5" w:rsidRPr="008B086F" w:rsidRDefault="000E33F5" w:rsidP="001C6E87">
            <w:pPr>
              <w:spacing w:line="240" w:lineRule="auto"/>
              <w:rPr>
                <w:snapToGrid w:val="0"/>
                <w:sz w:val="22"/>
                <w:szCs w:val="22"/>
              </w:rPr>
            </w:pPr>
            <w:r w:rsidRPr="008B086F">
              <w:rPr>
                <w:snapToGrid w:val="0"/>
                <w:sz w:val="22"/>
                <w:szCs w:val="22"/>
              </w:rPr>
              <w:t>Министерство туризма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МТЗ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Министерство труда и занятости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МТП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Министерство торговли и промышленности</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МТСК</w:t>
            </w:r>
          </w:p>
        </w:tc>
        <w:tc>
          <w:tcPr>
            <w:tcW w:w="7703" w:type="dxa"/>
          </w:tcPr>
          <w:p w:rsidR="000E33F5" w:rsidRPr="008B086F" w:rsidRDefault="000E33F5" w:rsidP="001C6E87">
            <w:pPr>
              <w:spacing w:line="240" w:lineRule="auto"/>
              <w:rPr>
                <w:snapToGrid w:val="0"/>
                <w:sz w:val="22"/>
                <w:szCs w:val="22"/>
              </w:rPr>
            </w:pPr>
            <w:r w:rsidRPr="008B086F">
              <w:rPr>
                <w:snapToGrid w:val="0"/>
                <w:sz w:val="22"/>
                <w:szCs w:val="22"/>
              </w:rPr>
              <w:t>Министерство транспорта и средств коммуникации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МУК</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Местные университеты и колледжи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МФ</w:t>
            </w:r>
          </w:p>
        </w:tc>
        <w:tc>
          <w:tcPr>
            <w:tcW w:w="7703" w:type="dxa"/>
          </w:tcPr>
          <w:p w:rsidR="000E33F5" w:rsidRPr="008B086F" w:rsidRDefault="000E33F5" w:rsidP="001C6E87">
            <w:pPr>
              <w:spacing w:line="240" w:lineRule="auto"/>
              <w:rPr>
                <w:snapToGrid w:val="0"/>
                <w:sz w:val="22"/>
                <w:szCs w:val="22"/>
              </w:rPr>
            </w:pPr>
            <w:r w:rsidRPr="008B086F">
              <w:rPr>
                <w:snapToGrid w:val="0"/>
                <w:sz w:val="22"/>
                <w:szCs w:val="22"/>
              </w:rPr>
              <w:t>Министерство финансов</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МЭ</w:t>
            </w:r>
          </w:p>
        </w:tc>
        <w:tc>
          <w:tcPr>
            <w:tcW w:w="7703" w:type="dxa"/>
          </w:tcPr>
          <w:p w:rsidR="000E33F5" w:rsidRPr="008B086F" w:rsidRDefault="000E33F5" w:rsidP="001C6E87">
            <w:pPr>
              <w:spacing w:line="240" w:lineRule="auto"/>
              <w:rPr>
                <w:snapToGrid w:val="0"/>
                <w:sz w:val="22"/>
                <w:szCs w:val="22"/>
              </w:rPr>
            </w:pPr>
            <w:r w:rsidRPr="008B086F">
              <w:rPr>
                <w:snapToGrid w:val="0"/>
                <w:sz w:val="22"/>
                <w:szCs w:val="22"/>
              </w:rPr>
              <w:t>Министерство энергетики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МЮ</w:t>
            </w:r>
          </w:p>
        </w:tc>
        <w:tc>
          <w:tcPr>
            <w:tcW w:w="7703" w:type="dxa"/>
          </w:tcPr>
          <w:p w:rsidR="000E33F5" w:rsidRPr="008B086F" w:rsidRDefault="000E33F5" w:rsidP="001C6E87">
            <w:pPr>
              <w:spacing w:line="240" w:lineRule="auto"/>
              <w:rPr>
                <w:snapToGrid w:val="0"/>
                <w:sz w:val="22"/>
                <w:szCs w:val="22"/>
              </w:rPr>
            </w:pPr>
            <w:r w:rsidRPr="008B086F">
              <w:rPr>
                <w:snapToGrid w:val="0"/>
                <w:sz w:val="22"/>
                <w:szCs w:val="22"/>
              </w:rPr>
              <w:t>Министерство юстиции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НДШ</w:t>
            </w:r>
          </w:p>
        </w:tc>
        <w:tc>
          <w:tcPr>
            <w:tcW w:w="7703" w:type="dxa"/>
          </w:tcPr>
          <w:p w:rsidR="000E33F5" w:rsidRPr="008B086F" w:rsidRDefault="000E33F5" w:rsidP="001C6E87">
            <w:pPr>
              <w:spacing w:line="240" w:lineRule="auto"/>
              <w:rPr>
                <w:snapToGrid w:val="0"/>
                <w:sz w:val="22"/>
                <w:szCs w:val="22"/>
              </w:rPr>
            </w:pPr>
            <w:r>
              <w:rPr>
                <w:snapToGrid w:val="0"/>
                <w:sz w:val="22"/>
                <w:szCs w:val="22"/>
              </w:rPr>
              <w:t>Н</w:t>
            </w:r>
            <w:r w:rsidRPr="008B086F">
              <w:rPr>
                <w:snapToGrid w:val="0"/>
                <w:sz w:val="22"/>
                <w:szCs w:val="22"/>
              </w:rPr>
              <w:t>ациональный день школьника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w:t>
            </w:r>
            <w:r>
              <w:rPr>
                <w:snapToGrid w:val="0"/>
                <w:color w:val="000000"/>
                <w:sz w:val="22"/>
                <w:szCs w:val="22"/>
              </w:rPr>
              <w:t>Ж</w:t>
            </w:r>
            <w:r w:rsidRPr="008B086F">
              <w:rPr>
                <w:snapToGrid w:val="0"/>
                <w:color w:val="000000"/>
                <w:sz w:val="22"/>
                <w:szCs w:val="22"/>
              </w:rPr>
              <w:t>У</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Национальное жилищное управление</w:t>
            </w:r>
          </w:p>
        </w:tc>
      </w:tr>
      <w:tr w:rsidR="000E33F5" w:rsidRPr="00E416E7" w:rsidTr="001C6E87">
        <w:tc>
          <w:tcPr>
            <w:tcW w:w="1708" w:type="dxa"/>
          </w:tcPr>
          <w:p w:rsidR="000E33F5" w:rsidRPr="008B086F" w:rsidRDefault="000E33F5" w:rsidP="001C6E87">
            <w:pPr>
              <w:pStyle w:val="Heading3"/>
              <w:outlineLvl w:val="2"/>
              <w:rPr>
                <w:i w:val="0"/>
                <w:sz w:val="22"/>
                <w:szCs w:val="22"/>
              </w:rPr>
            </w:pPr>
            <w:r w:rsidRPr="008B086F">
              <w:rPr>
                <w:i w:val="0"/>
                <w:sz w:val="22"/>
                <w:szCs w:val="22"/>
              </w:rPr>
              <w:t>НИИПД-МНТ</w:t>
            </w:r>
          </w:p>
        </w:tc>
        <w:tc>
          <w:tcPr>
            <w:tcW w:w="7703" w:type="dxa"/>
          </w:tcPr>
          <w:p w:rsidR="000E33F5" w:rsidRPr="00E416E7" w:rsidRDefault="000E33F5" w:rsidP="001C6E87">
            <w:pPr>
              <w:pStyle w:val="Heading3"/>
              <w:outlineLvl w:val="2"/>
              <w:rPr>
                <w:i w:val="0"/>
                <w:sz w:val="22"/>
                <w:szCs w:val="22"/>
              </w:rPr>
            </w:pPr>
            <w:r w:rsidRPr="00E416E7">
              <w:rPr>
                <w:i w:val="0"/>
                <w:sz w:val="22"/>
                <w:szCs w:val="22"/>
              </w:rPr>
              <w:t xml:space="preserve">Научно-исследовательский институт продуктов питания и диетологии министерства науки и технологии </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НИИТМ</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Научно-исследовательский институт тропической медицины</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НИУ</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Национальное ирригационное управление</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НИФК</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 xml:space="preserve">Национальная ипотечно-финансовая корпорация </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НКЗПТ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Национальная комиссия по вопросам заработной платы и производительности труда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НКК</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Национальная кредитная комиссия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НККИ</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Национальная комиссия по культуре и искусству</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НКС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Национальная корпорация по страхованию финансовых обязательств</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НКТО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Национальная комиссия по  трудовым отношениям</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НКФК</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Народная кредитно-финансовая корпорация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НЛИТ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Национальная научная лаборатория по изучению туберкулеза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НОДЗ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Национальное обследование по вопросам демографии и здоровья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НОП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Национальное обследование по вопросам питания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НПАФ</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 xml:space="preserve">Национальная педагогическая академия </w:t>
            </w:r>
            <w:r w:rsidR="000B71E2" w:rsidRPr="008B086F">
              <w:rPr>
                <w:snapToGrid w:val="0"/>
                <w:color w:val="000000"/>
                <w:sz w:val="22"/>
                <w:szCs w:val="22"/>
              </w:rPr>
              <w:t>Фили</w:t>
            </w:r>
            <w:r w:rsidR="000B71E2">
              <w:rPr>
                <w:snapToGrid w:val="0"/>
                <w:color w:val="000000"/>
                <w:sz w:val="22"/>
                <w:szCs w:val="22"/>
              </w:rPr>
              <w:t>п</w:t>
            </w:r>
            <w:r w:rsidR="000B71E2" w:rsidRPr="008B086F">
              <w:rPr>
                <w:snapToGrid w:val="0"/>
                <w:color w:val="000000"/>
                <w:sz w:val="22"/>
                <w:szCs w:val="22"/>
              </w:rPr>
              <w:t>пин</w:t>
            </w:r>
            <w:r w:rsidRPr="008B086F">
              <w:rPr>
                <w:snapToGrid w:val="0"/>
                <w:color w:val="000000"/>
                <w:sz w:val="22"/>
                <w:szCs w:val="22"/>
              </w:rPr>
              <w:t xml:space="preserve"> </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НПМС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Национальная программа медицинского страхования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НПОО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Неправительственные и общественные организации</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НППС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Недвижимая и прочая приобретенная собственность</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НПУ</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Национальное продовольственное управление</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НСБС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Национальный совет по борьбе со СПИДом</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НСКС-ПБС</w:t>
            </w:r>
          </w:p>
        </w:tc>
        <w:tc>
          <w:tcPr>
            <w:tcW w:w="7703" w:type="dxa"/>
          </w:tcPr>
          <w:p w:rsidR="000E33F5" w:rsidRPr="008B086F" w:rsidRDefault="000B71E2" w:rsidP="001C6E87">
            <w:pPr>
              <w:rPr>
                <w:snapToGrid w:val="0"/>
                <w:color w:val="000000"/>
                <w:sz w:val="22"/>
                <w:szCs w:val="22"/>
              </w:rPr>
            </w:pPr>
            <w:r w:rsidRPr="008B086F">
              <w:rPr>
                <w:snapToGrid w:val="0"/>
                <w:sz w:val="22"/>
                <w:szCs w:val="22"/>
              </w:rPr>
              <w:t>Национальный статистический координационный совет -</w:t>
            </w:r>
            <w:r>
              <w:rPr>
                <w:snapToGrid w:val="0"/>
                <w:sz w:val="22"/>
                <w:szCs w:val="22"/>
              </w:rPr>
              <w:t xml:space="preserve"> </w:t>
            </w:r>
            <w:r w:rsidRPr="008B086F">
              <w:rPr>
                <w:snapToGrid w:val="0"/>
                <w:sz w:val="22"/>
                <w:szCs w:val="22"/>
              </w:rPr>
              <w:t>Продовольственный баланс страны</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НСПП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Национальный совет по примирению и посредничеству</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НСЭН</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Национальная система эпидемиологического надзора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НТУЗ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Национальный тест проверки уровня знаний учащихся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НУЭР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Национальное управление по вопросам экономики и развития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НЦПЗ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Национальный центр по предупреждению заболеваний и борьбе с ними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ОАР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Общины аграрной реформы</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ОИП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Общинная ипотечная программа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ОКР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Общий коэффициент рождаемости</w:t>
            </w:r>
          </w:p>
        </w:tc>
      </w:tr>
      <w:tr w:rsidR="000E33F5" w:rsidTr="001C6E87">
        <w:tc>
          <w:tcPr>
            <w:tcW w:w="1708" w:type="dxa"/>
            <w:vAlign w:val="center"/>
          </w:tcPr>
          <w:p w:rsidR="000E33F5" w:rsidRPr="008B086F" w:rsidRDefault="000E33F5" w:rsidP="001C6E87">
            <w:pPr>
              <w:pStyle w:val="Heading3"/>
              <w:outlineLvl w:val="2"/>
              <w:rPr>
                <w:i w:val="0"/>
                <w:sz w:val="22"/>
                <w:szCs w:val="22"/>
              </w:rPr>
            </w:pPr>
            <w:r w:rsidRPr="008B086F">
              <w:rPr>
                <w:i w:val="0"/>
                <w:sz w:val="22"/>
                <w:szCs w:val="22"/>
              </w:rPr>
              <w:t>ОКФ</w:t>
            </w:r>
          </w:p>
        </w:tc>
        <w:tc>
          <w:tcPr>
            <w:tcW w:w="7703" w:type="dxa"/>
            <w:vAlign w:val="center"/>
          </w:tcPr>
          <w:p w:rsidR="000E33F5" w:rsidRPr="008B086F" w:rsidRDefault="000E33F5" w:rsidP="001C6E87">
            <w:pPr>
              <w:pStyle w:val="Heading3"/>
              <w:outlineLvl w:val="2"/>
              <w:rPr>
                <w:i w:val="0"/>
                <w:sz w:val="22"/>
                <w:szCs w:val="22"/>
              </w:rPr>
            </w:pPr>
            <w:r w:rsidRPr="008B086F">
              <w:rPr>
                <w:i w:val="0"/>
                <w:sz w:val="22"/>
                <w:szCs w:val="22"/>
              </w:rPr>
              <w:t>Общий коэффициент фертильности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ОМС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Органы местного самоуправления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ОМС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Общественная метеорологическая станция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ОПС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Общий показатель смертности</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ОСВП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Общественный совет по вопросам правоприменения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ОСУК</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Отдел социальных услуг и консультирования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ПБО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Помощь в области базового образования в Минданао</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ПБО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Программа базового образования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ПВР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Программа "Врач в каждом районе"</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ПДОЭНТ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Программа добровольного объединения экспертов по вопросам науки и техники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Памятная записка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ПЗЗММ</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Проект защиты здоровья матери и безопасного материнства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ПЗПШ</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Программа укрепления здоровья и усиления питания в школах</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ПИР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Ребенок, прошедший полный курс прививок</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ПКГБ</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Президентская комиссия по вопросам городской бедноты</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ПМП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Первичная медицинская помощь</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ПМС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Показатель младенческой смертности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ПМС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Показатель материнской смертности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ППСГ</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Программа производственной специализации городов</w:t>
            </w:r>
          </w:p>
        </w:tc>
      </w:tr>
      <w:tr w:rsidR="000E33F5" w:rsidTr="001C6E87">
        <w:tc>
          <w:tcPr>
            <w:tcW w:w="1708" w:type="dxa"/>
          </w:tcPr>
          <w:p w:rsidR="000E33F5" w:rsidRPr="008B086F" w:rsidRDefault="000E33F5" w:rsidP="001C6E87">
            <w:pPr>
              <w:pStyle w:val="Heading2"/>
              <w:outlineLvl w:val="1"/>
              <w:rPr>
                <w:sz w:val="22"/>
                <w:szCs w:val="22"/>
                <w:u w:val="none"/>
              </w:rPr>
            </w:pPr>
            <w:r w:rsidRPr="008B086F">
              <w:rPr>
                <w:sz w:val="22"/>
                <w:szCs w:val="22"/>
                <w:u w:val="none"/>
              </w:rPr>
              <w:t>ПР</w:t>
            </w:r>
          </w:p>
        </w:tc>
        <w:tc>
          <w:tcPr>
            <w:tcW w:w="7703" w:type="dxa"/>
          </w:tcPr>
          <w:p w:rsidR="000E33F5" w:rsidRPr="008B086F" w:rsidRDefault="000E33F5" w:rsidP="001C6E87">
            <w:pPr>
              <w:pStyle w:val="Heading2"/>
              <w:outlineLvl w:val="1"/>
              <w:rPr>
                <w:sz w:val="22"/>
                <w:szCs w:val="22"/>
                <w:u w:val="none"/>
              </w:rPr>
            </w:pPr>
            <w:r w:rsidRPr="008B086F">
              <w:rPr>
                <w:sz w:val="22"/>
                <w:szCs w:val="22"/>
                <w:u w:val="none"/>
              </w:rPr>
              <w:t>Правительственное распоряжение</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ПРД</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Пособия на рекомендуемую диету</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ПРМПС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Программа развития микропредприятий в сельской местности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ПРСЗ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 xml:space="preserve">Программа реформы сектора здравоохранения </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ПРУ</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Программа ранней уборки урожая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ПСАР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Президентский совет по вопросам аграрной реформы</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ПСФ</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Программа социальной реформы</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ПТОП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Профессионально-техническое образование и подготовка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ПЧУТ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Постоянная частичная утрата трудоспособности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Республиканский закон</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РНС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Район национальной столицы</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РПБ</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Развитие программы бенефициаров</w:t>
            </w:r>
          </w:p>
        </w:tc>
      </w:tr>
      <w:tr w:rsidR="000E33F5" w:rsidRPr="00E416E7" w:rsidTr="001C6E87">
        <w:tc>
          <w:tcPr>
            <w:tcW w:w="1708" w:type="dxa"/>
          </w:tcPr>
          <w:p w:rsidR="000E33F5" w:rsidRPr="008B086F" w:rsidRDefault="000E33F5" w:rsidP="001C6E87">
            <w:pPr>
              <w:pStyle w:val="Heading2"/>
              <w:outlineLvl w:val="1"/>
              <w:rPr>
                <w:sz w:val="22"/>
                <w:szCs w:val="22"/>
                <w:u w:val="none"/>
              </w:rPr>
            </w:pPr>
            <w:r w:rsidRPr="008B086F">
              <w:rPr>
                <w:sz w:val="22"/>
                <w:szCs w:val="22"/>
                <w:u w:val="none"/>
              </w:rPr>
              <w:t>РПСДВО</w:t>
            </w:r>
          </w:p>
        </w:tc>
        <w:tc>
          <w:tcPr>
            <w:tcW w:w="7703" w:type="dxa"/>
          </w:tcPr>
          <w:p w:rsidR="000E33F5" w:rsidRPr="00E416E7" w:rsidRDefault="000E33F5" w:rsidP="001C6E87">
            <w:pPr>
              <w:pStyle w:val="Heading2"/>
              <w:outlineLvl w:val="1"/>
              <w:rPr>
                <w:sz w:val="22"/>
                <w:szCs w:val="22"/>
                <w:u w:val="none"/>
              </w:rPr>
            </w:pPr>
            <w:r w:rsidRPr="00E416E7">
              <w:rPr>
                <w:sz w:val="22"/>
                <w:szCs w:val="22"/>
                <w:u w:val="none"/>
              </w:rPr>
              <w:t>Расширенная программа проверки соответствия и признания дипломов о высшем образовании</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РТСЗПТ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Региональные трехсторонние советы по вопросам заработной платы и производительности труда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РЭПУ</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Рекомендуемый энергетический и питательный уровень</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САБ</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Сельская аптека в барангае</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СВУЗ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Специальные высшие учебные заведения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СМП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Сельские медицинские пункты</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СОД</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 xml:space="preserve">Совет по вопросам социального обеспечения детей </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СОТГС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Совет по вопросам организации труда в государственном секторе</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СПВЗ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Сертификат о праве владения землей</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СПВСМ</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Столичная программа улучшения состояния воздушной среды в Метро-Манил</w:t>
            </w:r>
            <w:r>
              <w:rPr>
                <w:snapToGrid w:val="0"/>
                <w:color w:val="000000"/>
                <w:sz w:val="22"/>
                <w:szCs w:val="22"/>
              </w:rPr>
              <w:t>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СПРФ</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Среднесрочный план развития Филиппин</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СПС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Специальная программа для студентов</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СРЖСЗ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Совет по вопросам регулирования жилищного строительства и землепользования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СРММ</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Служба развития Метро-Манил</w:t>
            </w:r>
            <w:r>
              <w:rPr>
                <w:snapToGrid w:val="0"/>
                <w:color w:val="000000"/>
                <w:sz w:val="22"/>
                <w:szCs w:val="22"/>
              </w:rPr>
              <w:t>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ССГС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Система страхования государственных служащих</w:t>
            </w:r>
          </w:p>
        </w:tc>
      </w:tr>
      <w:tr w:rsidR="000E33F5" w:rsidRPr="00E416E7" w:rsidTr="001C6E87">
        <w:tc>
          <w:tcPr>
            <w:tcW w:w="1708" w:type="dxa"/>
          </w:tcPr>
          <w:p w:rsidR="000E33F5" w:rsidRPr="008B086F" w:rsidRDefault="000E33F5" w:rsidP="001C6E87">
            <w:pPr>
              <w:pStyle w:val="Heading2"/>
              <w:outlineLvl w:val="1"/>
              <w:rPr>
                <w:sz w:val="22"/>
                <w:szCs w:val="22"/>
                <w:u w:val="none"/>
              </w:rPr>
            </w:pPr>
            <w:r w:rsidRPr="008B086F">
              <w:rPr>
                <w:sz w:val="22"/>
                <w:szCs w:val="22"/>
                <w:u w:val="none"/>
              </w:rPr>
              <w:t>ССИП</w:t>
            </w:r>
          </w:p>
        </w:tc>
        <w:tc>
          <w:tcPr>
            <w:tcW w:w="7703" w:type="dxa"/>
          </w:tcPr>
          <w:p w:rsidR="000E33F5" w:rsidRPr="00E416E7" w:rsidRDefault="000E33F5" w:rsidP="001C6E87">
            <w:pPr>
              <w:pStyle w:val="Heading2"/>
              <w:outlineLvl w:val="1"/>
              <w:rPr>
                <w:sz w:val="22"/>
                <w:szCs w:val="22"/>
                <w:u w:val="none"/>
              </w:rPr>
            </w:pPr>
            <w:r w:rsidRPr="00E416E7">
              <w:rPr>
                <w:sz w:val="22"/>
                <w:szCs w:val="22"/>
                <w:u w:val="none"/>
              </w:rPr>
              <w:t>Создание социальной инфраструктуры и потенциала</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ССО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Система социального обеспечения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СФО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Специальный фонд образования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ТА</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Традиционные акушерки</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ТАВАГ</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Проект "Тулой арал валанг сагабал"</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ТПНО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Третий проект начального образования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ТУЛАЙ</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Туло</w:t>
            </w:r>
            <w:r>
              <w:rPr>
                <w:snapToGrid w:val="0"/>
                <w:color w:val="000000"/>
                <w:sz w:val="22"/>
                <w:szCs w:val="22"/>
              </w:rPr>
              <w:t>нг</w:t>
            </w:r>
            <w:r w:rsidRPr="008B086F">
              <w:rPr>
                <w:snapToGrid w:val="0"/>
                <w:color w:val="000000"/>
                <w:sz w:val="22"/>
                <w:szCs w:val="22"/>
              </w:rPr>
              <w:t xml:space="preserve"> алалай са таонг май капансанан</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УДРРВ</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Уход за детьми и их развитие в раннем возрасте</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УОД</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Уровень отчисления доходов</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УПП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Управленческий персонал администрации президента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УРАСП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Устойчивое развитие агробизнеса и сельских предприятий</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УРО</w:t>
            </w:r>
            <w:r>
              <w:rPr>
                <w:snapToGrid w:val="0"/>
                <w:color w:val="000000"/>
                <w:sz w:val="22"/>
                <w:szCs w:val="22"/>
                <w:lang w:val="en-US"/>
              </w:rPr>
              <w:t>-</w:t>
            </w:r>
            <w:r w:rsidRPr="008B086F">
              <w:rPr>
                <w:snapToGrid w:val="0"/>
                <w:color w:val="000000"/>
                <w:sz w:val="22"/>
                <w:szCs w:val="22"/>
              </w:rPr>
              <w:t>АИО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Уровень развития по оценке Американского исследовательского общества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УРОЛ</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Управление по развитию озера Лагуна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УТОРН</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Управление по техническому образованию и развитию навыков</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УФЗ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Программа усовершенствования форм землевладения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ФВВР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Фонд взаимопомощи в целях внутреннего развития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ФВШИ</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Филиппинская высшая школа искусств</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ФЗБ</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Филиппинский земельный банк</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ФКМС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Филиппинская корпорация медицинского страхования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ФКПЧ</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Филиппинская комиссия по правам человека</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ФЛЕММС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Обследование в области функциональной грамотности, образования и СМИ</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ФНП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Филиппинская национальная полиция</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ФПГР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Филиппинский план гендерного развития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ФПДП</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Филиппинский план действий по вопросам питания</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ФППК</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Филиппинский план просвещения в области культуры</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ФПРЖ</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Филиппинский план развития в интересах женщин</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ФРЗ</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Филиппинец, работающий за рубежом</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ФРС</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Фонд развития страны</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ФСВШ</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Филиппинская система высших научных школ</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ФУТР</w:t>
            </w:r>
          </w:p>
        </w:tc>
        <w:tc>
          <w:tcPr>
            <w:tcW w:w="7703" w:type="dxa"/>
          </w:tcPr>
          <w:p w:rsidR="000E33F5" w:rsidRPr="008B086F" w:rsidRDefault="000E33F5" w:rsidP="001C6E87">
            <w:pPr>
              <w:spacing w:line="240" w:lineRule="auto"/>
              <w:rPr>
                <w:snapToGrid w:val="0"/>
                <w:color w:val="000000"/>
                <w:sz w:val="22"/>
                <w:szCs w:val="22"/>
              </w:rPr>
            </w:pPr>
            <w:r w:rsidRPr="008B086F">
              <w:rPr>
                <w:snapToGrid w:val="0"/>
                <w:sz w:val="22"/>
                <w:szCs w:val="22"/>
              </w:rPr>
              <w:t>Филиппинское управление по трудоустройству за рубежом</w:t>
            </w:r>
          </w:p>
        </w:tc>
      </w:tr>
      <w:tr w:rsidR="000E33F5" w:rsidRPr="00E416E7"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ЦПГУО</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Целевая президентская группа по вопросам удаления отходов</w:t>
            </w:r>
          </w:p>
        </w:tc>
      </w:tr>
      <w:tr w:rsidR="000E33F5" w:rsidTr="001C6E87">
        <w:tc>
          <w:tcPr>
            <w:tcW w:w="1708"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ЧТ</w:t>
            </w:r>
          </w:p>
        </w:tc>
        <w:tc>
          <w:tcPr>
            <w:tcW w:w="7703" w:type="dxa"/>
          </w:tcPr>
          <w:p w:rsidR="000E33F5" w:rsidRPr="008B086F" w:rsidRDefault="000E33F5" w:rsidP="001C6E87">
            <w:pPr>
              <w:spacing w:line="240" w:lineRule="auto"/>
              <w:rPr>
                <w:snapToGrid w:val="0"/>
                <w:color w:val="000000"/>
                <w:sz w:val="22"/>
                <w:szCs w:val="22"/>
              </w:rPr>
            </w:pPr>
            <w:r w:rsidRPr="008B086F">
              <w:rPr>
                <w:snapToGrid w:val="0"/>
                <w:color w:val="000000"/>
                <w:sz w:val="22"/>
                <w:szCs w:val="22"/>
              </w:rPr>
              <w:t>Чистые технологии</w:t>
            </w:r>
          </w:p>
        </w:tc>
      </w:tr>
    </w:tbl>
    <w:p w:rsidR="000E33F5" w:rsidRDefault="000E33F5" w:rsidP="000E33F5"/>
    <w:p w:rsidR="000E33F5" w:rsidRPr="008B086F" w:rsidRDefault="000E33F5" w:rsidP="000E33F5"/>
    <w:p w:rsidR="001242AE" w:rsidRDefault="001242AE" w:rsidP="001242AE">
      <w:pPr>
        <w:jc w:val="center"/>
        <w:rPr>
          <w:lang w:val="en-US"/>
        </w:rPr>
      </w:pPr>
      <w:r>
        <w:rPr>
          <w:lang w:val="en-US"/>
        </w:rPr>
        <w:t>--</w:t>
      </w:r>
      <w:r>
        <w:t>--</w:t>
      </w:r>
      <w:r>
        <w:rPr>
          <w:lang w:val="en-US"/>
        </w:rPr>
        <w:t>---</w:t>
      </w:r>
    </w:p>
    <w:sectPr w:rsidR="001242AE">
      <w:headerReference w:type="even" r:id="rId9"/>
      <w:headerReference w:type="default" r:id="rId10"/>
      <w:footerReference w:type="first" r:id="rId11"/>
      <w:type w:val="continuous"/>
      <w:pgSz w:w="11906" w:h="16838" w:code="9"/>
      <w:pgMar w:top="1134" w:right="851" w:bottom="1985" w:left="1701" w:header="851" w:footer="170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E9" w:rsidRDefault="008216E9">
      <w:r>
        <w:separator/>
      </w:r>
    </w:p>
  </w:endnote>
  <w:endnote w:type="continuationSeparator" w:id="0">
    <w:p w:rsidR="008216E9" w:rsidRDefault="0082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7C" w:rsidRDefault="00E9217C">
    <w:pPr>
      <w:pStyle w:val="Footer"/>
      <w:rPr>
        <w:lang w:val="en-US"/>
      </w:rPr>
    </w:pPr>
    <w:r>
      <w:rPr>
        <w:lang w:val="en-US"/>
      </w:rPr>
      <w:t>GE.07-</w:t>
    </w:r>
    <w:r>
      <w:t>43950</w:t>
    </w:r>
    <w:r>
      <w:rPr>
        <w:lang w:val="en-US"/>
      </w:rPr>
      <w:t xml:space="preserve">    (R)   290108   080208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E9" w:rsidRDefault="008216E9">
      <w:r>
        <w:separator/>
      </w:r>
    </w:p>
  </w:footnote>
  <w:footnote w:type="continuationSeparator" w:id="0">
    <w:p w:rsidR="008216E9" w:rsidRDefault="008216E9">
      <w:r>
        <w:continuationSeparator/>
      </w:r>
    </w:p>
  </w:footnote>
  <w:footnote w:id="1">
    <w:p w:rsidR="00E9217C" w:rsidRPr="00DF2919" w:rsidRDefault="00E9217C" w:rsidP="00B41A6D">
      <w:pPr>
        <w:pStyle w:val="FootnoteText"/>
        <w:rPr>
          <w:i/>
          <w:iCs/>
          <w:sz w:val="22"/>
          <w:szCs w:val="22"/>
        </w:rPr>
      </w:pPr>
      <w:r>
        <w:rPr>
          <w:rStyle w:val="FootnoteReference"/>
        </w:rPr>
        <w:footnoteRef/>
      </w:r>
      <w:r>
        <w:t xml:space="preserve"> </w:t>
      </w:r>
      <w:r>
        <w:tab/>
      </w:r>
      <w:r w:rsidRPr="00DF2919">
        <w:rPr>
          <w:sz w:val="22"/>
          <w:szCs w:val="22"/>
        </w:rPr>
        <w:t xml:space="preserve">Пункт 9 статьи </w:t>
      </w:r>
      <w:r w:rsidRPr="00DF2919">
        <w:rPr>
          <w:sz w:val="22"/>
          <w:szCs w:val="22"/>
          <w:lang w:val="en-US"/>
        </w:rPr>
        <w:t>II</w:t>
      </w:r>
      <w:r w:rsidRPr="00DF2919">
        <w:rPr>
          <w:sz w:val="22"/>
          <w:szCs w:val="22"/>
        </w:rPr>
        <w:t xml:space="preserve"> предусматривает, что государство "</w:t>
      </w:r>
      <w:r w:rsidRPr="00DF2919">
        <w:rPr>
          <w:i/>
          <w:iCs/>
          <w:sz w:val="22"/>
          <w:szCs w:val="22"/>
        </w:rPr>
        <w:t>поощряет установление справедливого и динамичного социального порядка, благодаря  которому будет обеспечено  процветание и независимость нации и который избавит людей от нищеты посредством реализации стратегий, направленных на  создание надлежащей системы социального обеспечения, содействия обеспечению полной занятости, повышения уровня и качества жизни всех граждан".</w:t>
      </w:r>
    </w:p>
    <w:p w:rsidR="00E9217C" w:rsidRPr="00F71A04" w:rsidRDefault="00E9217C" w:rsidP="00B41A6D">
      <w:pPr>
        <w:pStyle w:val="FootnoteText"/>
        <w:rPr>
          <w:sz w:val="16"/>
          <w:szCs w:val="16"/>
        </w:rPr>
      </w:pPr>
    </w:p>
    <w:p w:rsidR="00E9217C" w:rsidRPr="00DF2919" w:rsidRDefault="00E9217C" w:rsidP="00734B05">
      <w:pPr>
        <w:pStyle w:val="FootnoteText"/>
        <w:spacing w:line="235" w:lineRule="auto"/>
        <w:rPr>
          <w:i/>
          <w:iCs/>
          <w:sz w:val="22"/>
          <w:szCs w:val="22"/>
        </w:rPr>
      </w:pPr>
      <w:r w:rsidRPr="00DF2919">
        <w:rPr>
          <w:sz w:val="22"/>
          <w:szCs w:val="22"/>
        </w:rPr>
        <w:tab/>
        <w:t xml:space="preserve">В пункте 18 статьи </w:t>
      </w:r>
      <w:r w:rsidRPr="00DF2919">
        <w:rPr>
          <w:sz w:val="22"/>
          <w:szCs w:val="22"/>
          <w:lang w:val="en-US"/>
        </w:rPr>
        <w:t>II</w:t>
      </w:r>
      <w:r w:rsidRPr="00DF2919">
        <w:rPr>
          <w:sz w:val="22"/>
          <w:szCs w:val="22"/>
        </w:rPr>
        <w:t xml:space="preserve"> государство </w:t>
      </w:r>
      <w:r w:rsidRPr="00DF2919">
        <w:rPr>
          <w:i/>
          <w:iCs/>
          <w:sz w:val="22"/>
          <w:szCs w:val="22"/>
        </w:rPr>
        <w:t xml:space="preserve">"провозглашает  рабочий класс  основной социально-экономической силой" и берет на </w:t>
      </w:r>
      <w:r w:rsidRPr="00734B05">
        <w:rPr>
          <w:sz w:val="22"/>
          <w:szCs w:val="22"/>
        </w:rPr>
        <w:t>себя</w:t>
      </w:r>
      <w:r w:rsidRPr="00DF2919">
        <w:rPr>
          <w:i/>
          <w:iCs/>
          <w:sz w:val="22"/>
          <w:szCs w:val="22"/>
        </w:rPr>
        <w:t xml:space="preserve"> обязательство "защищать права трудящихся и содействовать улучшению их благосостояния".</w:t>
      </w:r>
    </w:p>
    <w:p w:rsidR="00E9217C" w:rsidRPr="00F71A04" w:rsidRDefault="00E9217C" w:rsidP="00B41A6D">
      <w:pPr>
        <w:pStyle w:val="FootnoteText"/>
        <w:rPr>
          <w:sz w:val="16"/>
          <w:szCs w:val="16"/>
        </w:rPr>
      </w:pPr>
    </w:p>
    <w:p w:rsidR="00E9217C" w:rsidRPr="00DF2919" w:rsidRDefault="00E9217C" w:rsidP="00B41A6D">
      <w:pPr>
        <w:pStyle w:val="FootnoteText"/>
        <w:rPr>
          <w:i/>
          <w:iCs/>
          <w:sz w:val="22"/>
          <w:szCs w:val="22"/>
        </w:rPr>
      </w:pPr>
      <w:r w:rsidRPr="00DF2919">
        <w:rPr>
          <w:sz w:val="22"/>
          <w:szCs w:val="22"/>
        </w:rPr>
        <w:tab/>
        <w:t xml:space="preserve">Пункт 12 статьи </w:t>
      </w:r>
      <w:r w:rsidRPr="00DF2919">
        <w:rPr>
          <w:sz w:val="22"/>
          <w:szCs w:val="22"/>
          <w:lang w:val="en-US"/>
        </w:rPr>
        <w:t>XII</w:t>
      </w:r>
      <w:r w:rsidRPr="00DF2919">
        <w:rPr>
          <w:sz w:val="22"/>
          <w:szCs w:val="22"/>
        </w:rPr>
        <w:t xml:space="preserve"> уполномочивает государство "</w:t>
      </w:r>
      <w:r w:rsidRPr="00DF2919">
        <w:rPr>
          <w:i/>
          <w:iCs/>
          <w:sz w:val="22"/>
          <w:szCs w:val="22"/>
        </w:rPr>
        <w:t xml:space="preserve">поощрять преимущественное использование труда филиппинских рабочих, местных материалов и товаров и принимать меры, способствующие тому, чтобы сделать их конкурентоспособными". </w:t>
      </w:r>
    </w:p>
    <w:p w:rsidR="00E9217C" w:rsidRPr="00F71A04" w:rsidRDefault="00E9217C" w:rsidP="00B41A6D">
      <w:pPr>
        <w:pStyle w:val="FootnoteText"/>
        <w:rPr>
          <w:sz w:val="16"/>
          <w:szCs w:val="16"/>
        </w:rPr>
      </w:pPr>
    </w:p>
    <w:p w:rsidR="00E9217C" w:rsidRPr="00DF2919" w:rsidRDefault="00E9217C" w:rsidP="00734B05">
      <w:pPr>
        <w:pStyle w:val="FootnoteText"/>
        <w:spacing w:line="235" w:lineRule="auto"/>
        <w:rPr>
          <w:sz w:val="22"/>
          <w:szCs w:val="22"/>
        </w:rPr>
      </w:pPr>
      <w:r w:rsidRPr="00DF2919">
        <w:rPr>
          <w:sz w:val="22"/>
          <w:szCs w:val="22"/>
        </w:rPr>
        <w:tab/>
        <w:t xml:space="preserve">Пункт 3 статьи </w:t>
      </w:r>
      <w:r w:rsidRPr="00DF2919">
        <w:rPr>
          <w:sz w:val="22"/>
          <w:szCs w:val="22"/>
          <w:lang w:val="en-US"/>
        </w:rPr>
        <w:t>XIII</w:t>
      </w:r>
      <w:r w:rsidRPr="00DF2919">
        <w:rPr>
          <w:sz w:val="22"/>
          <w:szCs w:val="22"/>
        </w:rPr>
        <w:t xml:space="preserve"> уполномочивает государство  </w:t>
      </w:r>
      <w:r w:rsidRPr="00DF2919">
        <w:rPr>
          <w:sz w:val="22"/>
          <w:szCs w:val="22"/>
          <w:lang w:val="en-US"/>
        </w:rPr>
        <w:t>a</w:t>
      </w:r>
      <w:r w:rsidRPr="00DF2919">
        <w:rPr>
          <w:sz w:val="22"/>
          <w:szCs w:val="22"/>
        </w:rPr>
        <w:t xml:space="preserve">)  обеспечивать полную защиту трудящихся, местных и иностранных, как членов, так и нечленов профсоюзов и содействовать обеспечению полной занятости и равных возможностей трудоустройства для всех;  </w:t>
      </w:r>
      <w:r w:rsidRPr="00DF2919">
        <w:rPr>
          <w:sz w:val="22"/>
          <w:szCs w:val="22"/>
          <w:lang w:val="en-US"/>
        </w:rPr>
        <w:t>b</w:t>
      </w:r>
      <w:r w:rsidRPr="00DF2919">
        <w:rPr>
          <w:sz w:val="22"/>
          <w:szCs w:val="22"/>
        </w:rPr>
        <w:t>)</w:t>
      </w:r>
      <w:r>
        <w:rPr>
          <w:sz w:val="22"/>
          <w:szCs w:val="22"/>
        </w:rPr>
        <w:t>  </w:t>
      </w:r>
      <w:r w:rsidRPr="00DF2919">
        <w:rPr>
          <w:sz w:val="22"/>
          <w:szCs w:val="22"/>
        </w:rPr>
        <w:t xml:space="preserve">гарантировать всем трудящимся право на создание профсоюзов, ведение переговоров о заключении коллективных трудовых договоров, а также проведение мирных групповых акций, включая право на забастовку в соответствии с законом;  </w:t>
      </w:r>
      <w:r w:rsidRPr="00DF2919">
        <w:rPr>
          <w:sz w:val="22"/>
          <w:szCs w:val="22"/>
          <w:lang w:val="en-US"/>
        </w:rPr>
        <w:t>c</w:t>
      </w:r>
      <w:r w:rsidRPr="00DF2919">
        <w:rPr>
          <w:sz w:val="22"/>
          <w:szCs w:val="22"/>
        </w:rPr>
        <w:t xml:space="preserve">)  гарантировать защиту от необоснованного увольнения, достойные условия труда и заработную плату в размере прожиточного минимума;  </w:t>
      </w:r>
      <w:r w:rsidRPr="00DF2919">
        <w:rPr>
          <w:sz w:val="22"/>
          <w:szCs w:val="22"/>
          <w:lang w:val="en-US"/>
        </w:rPr>
        <w:t>d</w:t>
      </w:r>
      <w:r w:rsidRPr="00DF2919">
        <w:rPr>
          <w:sz w:val="22"/>
          <w:szCs w:val="22"/>
        </w:rPr>
        <w:t>)  обеспечивать участие трудящихся в процессе разработки политики и</w:t>
      </w:r>
      <w:r>
        <w:rPr>
          <w:sz w:val="22"/>
          <w:szCs w:val="22"/>
        </w:rPr>
        <w:t> </w:t>
      </w:r>
      <w:r w:rsidRPr="00DF2919">
        <w:rPr>
          <w:sz w:val="22"/>
          <w:szCs w:val="22"/>
        </w:rPr>
        <w:t xml:space="preserve">принятия решений, затрагивающих их права и льготы;  </w:t>
      </w:r>
      <w:r w:rsidRPr="00DF2919">
        <w:rPr>
          <w:sz w:val="22"/>
          <w:szCs w:val="22"/>
          <w:lang w:val="en-US"/>
        </w:rPr>
        <w:t>e</w:t>
      </w:r>
      <w:r w:rsidRPr="00DF2919">
        <w:rPr>
          <w:sz w:val="22"/>
          <w:szCs w:val="22"/>
        </w:rPr>
        <w:t xml:space="preserve">)  поощрять принцип разделенной ответственности между трудящимися и работодателями и преимущественное использование добровольных способов урегулирования споров;  </w:t>
      </w:r>
      <w:r w:rsidRPr="00DF2919">
        <w:rPr>
          <w:sz w:val="22"/>
          <w:szCs w:val="22"/>
          <w:lang w:val="en-US"/>
        </w:rPr>
        <w:t>f</w:t>
      </w:r>
      <w:r w:rsidRPr="00DF2919">
        <w:rPr>
          <w:sz w:val="22"/>
          <w:szCs w:val="22"/>
        </w:rPr>
        <w:t>)  признать право трудящихся на их справедливую долю в производимом продукте и право предприятий на получение разумной прибыли от инвестиций, расширение и рост.</w:t>
      </w:r>
    </w:p>
    <w:p w:rsidR="00E9217C" w:rsidRPr="00F71A04" w:rsidRDefault="00E9217C" w:rsidP="00B41A6D">
      <w:pPr>
        <w:pStyle w:val="FootnoteText"/>
        <w:rPr>
          <w:sz w:val="16"/>
          <w:szCs w:val="16"/>
        </w:rPr>
      </w:pPr>
    </w:p>
    <w:p w:rsidR="00E9217C" w:rsidRPr="00DF2919" w:rsidRDefault="00E9217C" w:rsidP="00734B05">
      <w:pPr>
        <w:pStyle w:val="FootnoteText"/>
        <w:spacing w:line="235" w:lineRule="auto"/>
        <w:rPr>
          <w:sz w:val="22"/>
          <w:szCs w:val="22"/>
        </w:rPr>
      </w:pPr>
      <w:r w:rsidRPr="00DF2919">
        <w:rPr>
          <w:sz w:val="22"/>
          <w:szCs w:val="22"/>
        </w:rPr>
        <w:tab/>
        <w:t xml:space="preserve">Пункт 2 (2) статьи </w:t>
      </w:r>
      <w:r w:rsidRPr="00DF2919">
        <w:rPr>
          <w:sz w:val="22"/>
          <w:szCs w:val="22"/>
          <w:lang w:val="en-US"/>
        </w:rPr>
        <w:t>IX</w:t>
      </w:r>
      <w:r w:rsidRPr="00DF2919">
        <w:rPr>
          <w:sz w:val="22"/>
          <w:szCs w:val="22"/>
        </w:rPr>
        <w:t xml:space="preserve"> - </w:t>
      </w:r>
      <w:r w:rsidRPr="00DF2919">
        <w:rPr>
          <w:sz w:val="22"/>
          <w:szCs w:val="22"/>
          <w:lang w:val="en-US"/>
        </w:rPr>
        <w:t>B</w:t>
      </w:r>
      <w:r w:rsidRPr="00DF2919">
        <w:rPr>
          <w:sz w:val="22"/>
          <w:szCs w:val="22"/>
        </w:rPr>
        <w:t xml:space="preserve">  предписывает (Комиссии по гражданской службе) производить назначения на государственную службу только на основании личных качеств и пригодности, которые, насколько это возможно, определяются на основе конкурсных экзаменов, за исключением должностей, связанных с разработкой политики, имеющих в основном конфиденциальный характер или требующих высокого уровня технической подготовки. </w:t>
      </w:r>
    </w:p>
    <w:p w:rsidR="00E9217C" w:rsidRPr="00DF2919" w:rsidRDefault="00E9217C" w:rsidP="00B41A6D">
      <w:pPr>
        <w:pStyle w:val="FootnoteText"/>
        <w:rPr>
          <w:sz w:val="22"/>
          <w:szCs w:val="22"/>
        </w:rPr>
      </w:pPr>
    </w:p>
  </w:footnote>
  <w:footnote w:id="2">
    <w:p w:rsidR="00E9217C" w:rsidRPr="00DF2919" w:rsidRDefault="00E9217C" w:rsidP="00734B05">
      <w:pPr>
        <w:pStyle w:val="FootnoteText"/>
        <w:spacing w:line="235" w:lineRule="auto"/>
        <w:rPr>
          <w:sz w:val="22"/>
          <w:szCs w:val="22"/>
        </w:rPr>
      </w:pPr>
      <w:r w:rsidRPr="00DF2919">
        <w:rPr>
          <w:rStyle w:val="FootnoteReference"/>
          <w:sz w:val="22"/>
          <w:szCs w:val="22"/>
        </w:rPr>
        <w:footnoteRef/>
      </w:r>
      <w:r w:rsidRPr="00DF2919">
        <w:rPr>
          <w:sz w:val="22"/>
          <w:szCs w:val="22"/>
        </w:rPr>
        <w:tab/>
        <w:t xml:space="preserve">В статье 12 Кодекса провозглашается, что государство проводит политику, обеспечивающую:  а)  защиту и поддержание полной занятости посредством более эффективной подготовки, распределения и использования рабочей силы;  </w:t>
      </w:r>
      <w:r w:rsidRPr="00DF2919">
        <w:rPr>
          <w:sz w:val="22"/>
          <w:szCs w:val="22"/>
          <w:lang w:val="en-US"/>
        </w:rPr>
        <w:t>b</w:t>
      </w:r>
      <w:r w:rsidRPr="00DF2919">
        <w:rPr>
          <w:sz w:val="22"/>
          <w:szCs w:val="22"/>
        </w:rPr>
        <w:t xml:space="preserve">)  защиту каждого гражданина, желающего работать в стране или за рубежом, посредством предоставления ему наилучших возможных условий в области занятости;  с)  содействие ищущим работу лицам в свободном выборе имеющихся видов работы в соответствии с национальными интересами;  </w:t>
      </w:r>
      <w:r w:rsidRPr="00DF2919">
        <w:rPr>
          <w:sz w:val="22"/>
          <w:szCs w:val="22"/>
          <w:lang w:val="en-US"/>
        </w:rPr>
        <w:t>d</w:t>
      </w:r>
      <w:r w:rsidRPr="00DF2919">
        <w:rPr>
          <w:sz w:val="22"/>
          <w:szCs w:val="22"/>
        </w:rPr>
        <w:t>)  облегчение и</w:t>
      </w:r>
      <w:r>
        <w:rPr>
          <w:sz w:val="22"/>
          <w:szCs w:val="22"/>
        </w:rPr>
        <w:t> </w:t>
      </w:r>
      <w:r w:rsidRPr="00DF2919">
        <w:rPr>
          <w:sz w:val="22"/>
          <w:szCs w:val="22"/>
        </w:rPr>
        <w:t xml:space="preserve">регулирование передвижения трудящихся;  </w:t>
      </w:r>
      <w:r w:rsidRPr="00DF2919">
        <w:rPr>
          <w:sz w:val="22"/>
          <w:szCs w:val="22"/>
          <w:lang w:val="en-US"/>
        </w:rPr>
        <w:t>e</w:t>
      </w:r>
      <w:r w:rsidRPr="00DF2919">
        <w:rPr>
          <w:sz w:val="22"/>
          <w:szCs w:val="22"/>
        </w:rPr>
        <w:t xml:space="preserve">)  регулирование приема на работу иностранцев, включая создание системы регистрации или выдачи разрешений на работу;  </w:t>
      </w:r>
      <w:r w:rsidRPr="00DF2919">
        <w:rPr>
          <w:sz w:val="22"/>
          <w:szCs w:val="22"/>
          <w:lang w:val="en-US"/>
        </w:rPr>
        <w:t>f</w:t>
      </w:r>
      <w:r w:rsidRPr="00DF2919">
        <w:rPr>
          <w:sz w:val="22"/>
          <w:szCs w:val="22"/>
        </w:rPr>
        <w:t xml:space="preserve">)  укрепление сети государственных бюро по трудоустройству и государственный контроль над участием частного сектора в процессе приема и определения на работу трудящихся как внутри страны, так и лиц, выезжающих за границу;  </w:t>
      </w:r>
      <w:r w:rsidRPr="00DF2919">
        <w:rPr>
          <w:sz w:val="22"/>
          <w:szCs w:val="22"/>
          <w:lang w:val="en-US"/>
        </w:rPr>
        <w:t>g</w:t>
      </w:r>
      <w:r w:rsidRPr="00DF2919">
        <w:rPr>
          <w:sz w:val="22"/>
          <w:szCs w:val="22"/>
        </w:rPr>
        <w:t xml:space="preserve">)  служение национальным целям развития;  и  </w:t>
      </w:r>
      <w:r w:rsidRPr="00DF2919">
        <w:rPr>
          <w:sz w:val="22"/>
          <w:szCs w:val="22"/>
          <w:lang w:val="en-US"/>
        </w:rPr>
        <w:t>h</w:t>
      </w:r>
      <w:r w:rsidRPr="00DF2919">
        <w:rPr>
          <w:sz w:val="22"/>
          <w:szCs w:val="22"/>
        </w:rPr>
        <w:t xml:space="preserve">)  проведение тщательного отбора филиппинских трудящихся, выезжающих работать за рубеж, в целях поддержания высокой репутации Филиппин. </w:t>
      </w:r>
    </w:p>
    <w:p w:rsidR="00E9217C" w:rsidRPr="00F71A04" w:rsidRDefault="00E9217C" w:rsidP="00B41A6D">
      <w:pPr>
        <w:pStyle w:val="FootnoteText"/>
        <w:rPr>
          <w:sz w:val="16"/>
          <w:szCs w:val="16"/>
        </w:rPr>
      </w:pPr>
    </w:p>
    <w:p w:rsidR="00E9217C" w:rsidRPr="00DF2919" w:rsidRDefault="00E9217C" w:rsidP="00734B05">
      <w:pPr>
        <w:pStyle w:val="FootnoteText"/>
        <w:spacing w:line="235" w:lineRule="auto"/>
        <w:rPr>
          <w:sz w:val="22"/>
          <w:szCs w:val="22"/>
        </w:rPr>
      </w:pPr>
      <w:r w:rsidRPr="00DF2919">
        <w:rPr>
          <w:sz w:val="22"/>
          <w:szCs w:val="22"/>
        </w:rPr>
        <w:tab/>
        <w:t>Статья 14 Кодекса ставит перед министром труда и занятости задачу организовывать и создавать бюро по трудоустройству, общенациональную систему выдачи разрешений на работу и информирования в целях предоставления зарегистрированным в бюро по трудоустройству лицам информации о вакансиях в других частях страны и за рубежом.  Министру также надлежит  разработать и организовать осуществление программы, направленной на содействие повышению профессиональной, отраслевой и географической мобильности рабочей силы, и оказывать помощь в перемещении трудящихся из одного района в другой.</w:t>
      </w:r>
    </w:p>
    <w:p w:rsidR="00E9217C" w:rsidRPr="00DF2919" w:rsidRDefault="00E9217C" w:rsidP="00B41A6D">
      <w:pPr>
        <w:pStyle w:val="FootnoteText"/>
        <w:keepNext/>
        <w:rPr>
          <w:sz w:val="22"/>
          <w:szCs w:val="22"/>
        </w:rPr>
      </w:pPr>
      <w:r w:rsidRPr="00DF2919">
        <w:rPr>
          <w:sz w:val="22"/>
          <w:szCs w:val="22"/>
        </w:rPr>
        <w:tab/>
        <w:t>Соответствующие положения административного кодекса 1987 года</w:t>
      </w:r>
      <w:r>
        <w:rPr>
          <w:sz w:val="22"/>
          <w:szCs w:val="22"/>
        </w:rPr>
        <w:t>:</w:t>
      </w:r>
    </w:p>
    <w:p w:rsidR="00E9217C" w:rsidRPr="00734B05" w:rsidRDefault="00E9217C" w:rsidP="00B41A6D">
      <w:pPr>
        <w:pStyle w:val="FootnoteText"/>
        <w:keepNext/>
        <w:rPr>
          <w:sz w:val="16"/>
          <w:szCs w:val="16"/>
        </w:rPr>
      </w:pPr>
    </w:p>
    <w:p w:rsidR="00E9217C" w:rsidRPr="00DF2919" w:rsidRDefault="00E9217C" w:rsidP="00B41A6D">
      <w:pPr>
        <w:pStyle w:val="FootnoteText"/>
        <w:keepNext/>
        <w:rPr>
          <w:sz w:val="22"/>
          <w:szCs w:val="22"/>
        </w:rPr>
      </w:pPr>
      <w:r w:rsidRPr="00DF2919">
        <w:rPr>
          <w:sz w:val="22"/>
          <w:szCs w:val="22"/>
        </w:rPr>
        <w:tab/>
        <w:t xml:space="preserve">В статье 17 раздела </w:t>
      </w:r>
      <w:r w:rsidRPr="00DF2919">
        <w:rPr>
          <w:sz w:val="22"/>
          <w:szCs w:val="22"/>
          <w:lang w:val="en-US"/>
        </w:rPr>
        <w:t>VII</w:t>
      </w:r>
      <w:r w:rsidRPr="00DF2919">
        <w:rPr>
          <w:sz w:val="22"/>
          <w:szCs w:val="22"/>
        </w:rPr>
        <w:t xml:space="preserve"> книги </w:t>
      </w:r>
      <w:r w:rsidRPr="00DF2919">
        <w:rPr>
          <w:sz w:val="22"/>
          <w:szCs w:val="22"/>
          <w:lang w:val="en-US"/>
        </w:rPr>
        <w:t>V</w:t>
      </w:r>
      <w:r w:rsidRPr="00DF2919">
        <w:rPr>
          <w:sz w:val="22"/>
          <w:szCs w:val="22"/>
        </w:rPr>
        <w:t xml:space="preserve"> указанного Кодекса от местных бюро по трудоустройству министерства труда и занятости конкретно требуется, среди прочего, разрабатывать стратегии, нормы и процедуры развития, использования и распределения производственных людских ресурсов, а также обеспечить создание и администрирование механизма эффективного распределения людских ресурсов в целях достижения максимально возможного уровня их занятости и определения на работу.  Кроме того, этим бюро поручается разработать и поддерживать действенную систему профессиональной ориентации и тестирования, а также разработать и поддерживать систему информирования о рынке труда в целях оказания содействия надлежащему распределению людских ресурсов.  Им также поручено разрабатывать программы обеспечения занятости в интересах находящихся в неблагоприятном положении групп и общин.</w:t>
      </w:r>
    </w:p>
    <w:p w:rsidR="00E9217C" w:rsidRPr="00734B05" w:rsidRDefault="00E9217C" w:rsidP="00B41A6D">
      <w:pPr>
        <w:pStyle w:val="FootnoteText"/>
        <w:rPr>
          <w:sz w:val="16"/>
          <w:szCs w:val="16"/>
        </w:rPr>
      </w:pPr>
    </w:p>
    <w:p w:rsidR="00E9217C" w:rsidRPr="00DF2919" w:rsidRDefault="00E9217C" w:rsidP="00B41A6D">
      <w:pPr>
        <w:pStyle w:val="FootnoteText"/>
        <w:rPr>
          <w:sz w:val="22"/>
          <w:szCs w:val="22"/>
        </w:rPr>
      </w:pPr>
      <w:r w:rsidRPr="00DF2919">
        <w:rPr>
          <w:sz w:val="22"/>
          <w:szCs w:val="22"/>
        </w:rPr>
        <w:tab/>
        <w:t xml:space="preserve">В статье 1 главы </w:t>
      </w:r>
      <w:r w:rsidRPr="00DF2919">
        <w:rPr>
          <w:sz w:val="22"/>
          <w:szCs w:val="22"/>
          <w:lang w:val="en-US"/>
        </w:rPr>
        <w:t>I</w:t>
      </w:r>
      <w:r w:rsidRPr="00DF2919">
        <w:rPr>
          <w:sz w:val="22"/>
          <w:szCs w:val="22"/>
        </w:rPr>
        <w:t xml:space="preserve"> части </w:t>
      </w:r>
      <w:r w:rsidRPr="00DF2919">
        <w:rPr>
          <w:sz w:val="22"/>
          <w:szCs w:val="22"/>
          <w:lang w:val="en-US"/>
        </w:rPr>
        <w:t>I</w:t>
      </w:r>
      <w:r w:rsidRPr="00DF2919">
        <w:rPr>
          <w:sz w:val="22"/>
          <w:szCs w:val="22"/>
        </w:rPr>
        <w:t xml:space="preserve"> А тома </w:t>
      </w:r>
      <w:r w:rsidRPr="00DF2919">
        <w:rPr>
          <w:sz w:val="22"/>
          <w:szCs w:val="22"/>
          <w:lang w:val="en-US"/>
        </w:rPr>
        <w:t>V</w:t>
      </w:r>
      <w:r w:rsidRPr="00DF2919">
        <w:rPr>
          <w:sz w:val="22"/>
          <w:szCs w:val="22"/>
        </w:rPr>
        <w:t xml:space="preserve"> Административного кодекса 1987 года провозглашается, что государство обеспечивает и поощряет соблюдение предусмотренного в Конституции требования о том, что назначения на государственную службу производятся только на основании личных качеств и пригодности;  что Комиссия по государственной службе, выполняющая функции центрального кадрового аппарата правительства, создает профессиональную службу, принимает меры в целях улучшения морального состояния, повышения эффективности, добросовестности, отзывчивости и вежливости государственных служащих, укрепляет систему учета заслуг и премирования, объединяет все программы развития людских ресурсов для всех уровней и рангов и создает такую атмосферу в области управления, которая обеспечивает подотчетность государства;  что лица, работающие на государственной службе, должны пользоваться доверием общества и что государственные должностные лица и служащие в любое время должны быть подотчетными народу;  и что функции персонала должны быть децентрализованы путем передачи соответствующих полномочий министерствам, учреждениям и ведомствам, где такие функции будут эффективно выполняться. </w:t>
      </w:r>
    </w:p>
    <w:p w:rsidR="00E9217C" w:rsidRPr="00DF2919" w:rsidRDefault="00E9217C" w:rsidP="00B41A6D">
      <w:pPr>
        <w:pStyle w:val="FootnoteText"/>
        <w:rPr>
          <w:sz w:val="22"/>
          <w:szCs w:val="22"/>
        </w:rPr>
      </w:pPr>
    </w:p>
  </w:footnote>
  <w:footnote w:id="3">
    <w:p w:rsidR="00E9217C" w:rsidRPr="00DF2919" w:rsidRDefault="00E9217C" w:rsidP="00E157A0">
      <w:pPr>
        <w:pStyle w:val="FootnoteText"/>
        <w:rPr>
          <w:sz w:val="22"/>
          <w:szCs w:val="22"/>
        </w:rPr>
      </w:pPr>
      <w:r w:rsidRPr="00DF2919">
        <w:rPr>
          <w:rStyle w:val="FootnoteReference"/>
          <w:sz w:val="22"/>
          <w:szCs w:val="22"/>
        </w:rPr>
        <w:footnoteRef/>
      </w:r>
      <w:r w:rsidRPr="00DF2919">
        <w:rPr>
          <w:sz w:val="22"/>
          <w:szCs w:val="22"/>
        </w:rPr>
        <w:tab/>
        <w:t>КГС отдала распоряжение о проведении реформ в целях изменения этического поведения государственных служащих.  Наиболее известной среди реформ [содержащихся в пересмотренном Кодексе гражданской службы] является реформа, связанная с осуществлением Закона от 1996 года о предоставлении отпуска отцу</w:t>
      </w:r>
      <w:r>
        <w:rPr>
          <w:sz w:val="22"/>
          <w:szCs w:val="22"/>
        </w:rPr>
        <w:t xml:space="preserve"> </w:t>
      </w:r>
      <w:r w:rsidRPr="00DF2919">
        <w:rPr>
          <w:sz w:val="22"/>
          <w:szCs w:val="22"/>
        </w:rPr>
        <w:t>(РЗ № 8187).  Между тем усовершенствованная программа министерства социального обеспечения и развития, касающаяся предоставления льгот, позволяет отцам повысить чувство собственного достоинства и расширить свои возможности по выполнению роли, обязанностей и функций родителей.  Другие государственные учреждения также выполнили РЗ № 8187 и другие меморандумы-циркуляры в отношении гибкого графика работы, предоставления льгот и специального отпуска матерям по беременности и родам и отцам в связи с уходом за ребенком.  Для обеспечения того, чтобы трудящиеся матери, находясь на работе, не беспокоились о своих детях, государственные органы издали соответствующие административные распоряжения о создании служб поддержки, детских учреждений и садов для детей дошкольного возраста.  Измененные графики работы были введены не только в интересах женщин, с тем чтобы они могли регулировать и равномерно распределять нагрузку на работе и в семье, но и мужчин, чтобы они могли совместно с женами выполнять свои родительские обязанности.</w:t>
      </w:r>
    </w:p>
  </w:footnote>
  <w:footnote w:id="4">
    <w:p w:rsidR="00E9217C" w:rsidRPr="00DF2919" w:rsidRDefault="00E9217C" w:rsidP="00E157A0">
      <w:pPr>
        <w:pStyle w:val="FootnoteText"/>
        <w:rPr>
          <w:sz w:val="22"/>
          <w:szCs w:val="22"/>
        </w:rPr>
      </w:pPr>
      <w:r w:rsidRPr="00DF2919">
        <w:rPr>
          <w:rStyle w:val="FootnoteReference"/>
          <w:sz w:val="22"/>
          <w:szCs w:val="22"/>
        </w:rPr>
        <w:footnoteRef/>
      </w:r>
      <w:r w:rsidRPr="00DF2919">
        <w:rPr>
          <w:sz w:val="22"/>
          <w:szCs w:val="22"/>
        </w:rPr>
        <w:tab/>
        <w:t xml:space="preserve">Статья 4.  </w:t>
      </w:r>
      <w:r w:rsidRPr="00DF2919">
        <w:rPr>
          <w:i/>
          <w:sz w:val="22"/>
          <w:szCs w:val="22"/>
        </w:rPr>
        <w:t>Использование трудящихся-мигрантов</w:t>
      </w:r>
      <w:r w:rsidRPr="00DF2919">
        <w:rPr>
          <w:sz w:val="22"/>
          <w:szCs w:val="22"/>
        </w:rPr>
        <w:t xml:space="preserve">.  Государство направляет за границу филиппинских трудящихся только в те страны, где защищаются права филиппинских трудящихся-мигрантов.  Правительство признает следующие гарантии защиты принимающей страной прав работающих за границей филиппинских трудящихся:  </w:t>
      </w:r>
      <w:r w:rsidRPr="00DF2919">
        <w:rPr>
          <w:sz w:val="22"/>
          <w:szCs w:val="22"/>
          <w:lang w:val="en-US"/>
        </w:rPr>
        <w:t>a</w:t>
      </w:r>
      <w:r w:rsidRPr="00DF2919">
        <w:rPr>
          <w:sz w:val="22"/>
          <w:szCs w:val="22"/>
        </w:rPr>
        <w:t xml:space="preserve">)  в стране должны существовать трудовые и социальные законы, защищающие права трудящихся-мигрантов;  </w:t>
      </w:r>
      <w:r w:rsidRPr="00DF2919">
        <w:rPr>
          <w:sz w:val="22"/>
          <w:szCs w:val="22"/>
          <w:lang w:val="en-US"/>
        </w:rPr>
        <w:t>b</w:t>
      </w:r>
      <w:r w:rsidRPr="00DF2919">
        <w:rPr>
          <w:sz w:val="22"/>
          <w:szCs w:val="22"/>
        </w:rPr>
        <w:t xml:space="preserve">)  она должна являться участником многосторонних конвенций, деклараций или постановлений, касающихся защиты трудящихся-мигрантов;  </w:t>
      </w:r>
      <w:r w:rsidRPr="00DF2919">
        <w:rPr>
          <w:sz w:val="22"/>
          <w:szCs w:val="22"/>
          <w:lang w:val="en-US"/>
        </w:rPr>
        <w:t>c</w:t>
      </w:r>
      <w:r w:rsidRPr="00DF2919">
        <w:rPr>
          <w:sz w:val="22"/>
          <w:szCs w:val="22"/>
        </w:rPr>
        <w:t>)  она должна заключить двустороннее соглашение или достичь договоренности с правительством Филиппин о защите прав работающих за границей филиппинских рабочих;  и  d)  она принимает позитивные конкретные меры по защите прав рабочих-мигрантов.</w:t>
      </w:r>
    </w:p>
  </w:footnote>
  <w:footnote w:id="5">
    <w:p w:rsidR="00E9217C" w:rsidRDefault="00E9217C" w:rsidP="008D61A5">
      <w:pPr>
        <w:pStyle w:val="FootnoteText"/>
        <w:spacing w:line="235" w:lineRule="auto"/>
        <w:rPr>
          <w:sz w:val="22"/>
          <w:szCs w:val="22"/>
        </w:rPr>
      </w:pPr>
      <w:r w:rsidRPr="00DF2919">
        <w:rPr>
          <w:rStyle w:val="FootnoteReference"/>
          <w:sz w:val="22"/>
          <w:szCs w:val="22"/>
        </w:rPr>
        <w:footnoteRef/>
      </w:r>
      <w:r w:rsidRPr="00DF2919">
        <w:rPr>
          <w:sz w:val="22"/>
          <w:szCs w:val="22"/>
        </w:rPr>
        <w:tab/>
        <w:t>В 1995-1999 годах по всей стране прошла обучение 164 821 находящаяся в неблагоприятном положении женщина.  Из них 115 374 женщины пополнили ряды рабочей силы, начав работать самостоятельно, по найму, в мастерских с гарантированным сбытом продукции, участвуя в производственной деятельности общин или выполняя работы по субподряду.</w:t>
      </w:r>
    </w:p>
    <w:p w:rsidR="00E9217C" w:rsidRPr="00DF7221" w:rsidRDefault="00E9217C" w:rsidP="002833C3">
      <w:pPr>
        <w:pStyle w:val="FootnoteText"/>
        <w:rPr>
          <w:sz w:val="16"/>
          <w:szCs w:val="16"/>
        </w:rPr>
      </w:pPr>
    </w:p>
  </w:footnote>
  <w:footnote w:id="6">
    <w:p w:rsidR="00E9217C" w:rsidRPr="00DF2919" w:rsidRDefault="00E9217C" w:rsidP="008D61A5">
      <w:pPr>
        <w:pStyle w:val="FootnoteText"/>
        <w:spacing w:line="235" w:lineRule="auto"/>
        <w:rPr>
          <w:sz w:val="22"/>
          <w:szCs w:val="22"/>
        </w:rPr>
      </w:pPr>
      <w:r w:rsidRPr="00DF2919">
        <w:rPr>
          <w:rStyle w:val="FootnoteReference"/>
          <w:sz w:val="22"/>
          <w:szCs w:val="22"/>
        </w:rPr>
        <w:footnoteRef/>
      </w:r>
      <w:r w:rsidRPr="00DF2919">
        <w:rPr>
          <w:sz w:val="22"/>
          <w:szCs w:val="22"/>
        </w:rPr>
        <w:tab/>
        <w:t>В программах подготовки, основанных на использовании новых технологий, существуют следующие три уровня:  профессиональная подготовка до поступления на работу (4-6 месяцев);  повышение квалификации (1-2 месяца);  комплексная подготовка инструкторов (18 месяцев);  и обучение методологии (80 часов).  Эта программа профессиональной подготовки охватывает как традиционные (переработка продуктов питания, кустарное изготовление сувениров, домашней утвари, одежды, подготовка административного персонала гостиниц и ресторанов), так и нетрадиционные виды деятельности (автомеханика, керамика, электроника, изготовление ювелирных изделий, изделий из металла/сварочные работы).  Со времени своего создания в Женском центре УТОРН профессиональное обучение до поступления на работу прошли 1 569 женщин.  Обучение в целях расширения экономических прав и возможностей/развития социальных навыков женщин включает в себя развитие навыков предпринимательской деятельности, обучение с особым упором на гендерные аспекты, развитие качеств лидера, разработку норм трудовой этики и системы ценностей, развитие сотрудничества, проведение мероприятий по организации деятельности общины, ведение пропагандисткой деятельности и социальный маркетинг.</w:t>
      </w:r>
    </w:p>
  </w:footnote>
  <w:footnote w:id="7">
    <w:p w:rsidR="00E9217C" w:rsidRPr="00DF2919" w:rsidRDefault="00E9217C" w:rsidP="00C74EAA">
      <w:pPr>
        <w:pStyle w:val="FootnoteText"/>
        <w:rPr>
          <w:sz w:val="22"/>
          <w:szCs w:val="22"/>
        </w:rPr>
      </w:pPr>
      <w:r w:rsidRPr="00DF2919">
        <w:rPr>
          <w:rStyle w:val="FootnoteReference"/>
          <w:sz w:val="22"/>
          <w:szCs w:val="22"/>
        </w:rPr>
        <w:footnoteRef/>
      </w:r>
      <w:r w:rsidRPr="00DF2919">
        <w:rPr>
          <w:sz w:val="22"/>
          <w:szCs w:val="22"/>
        </w:rPr>
        <w:tab/>
        <w:t>Например, принимаются конструктивные меры в интересах женщин, с тем чтобы с учетом гендерного фактора обеспечить их защиту.  Статья 132 Кодекса вводит ограничения на использование женского труда в определенных видах работ в ночное время.  Статья 138 предусматривает, что для гарантирования безопасности и охраны здоровья трудящихся-женщин они должны обеспечиваться надлежащими средствами и для них должны быть разработаны соответствующие нормы.  Статья 139 предусматривает, что женщина, работающая в ночном клубе, коктейльном зале, массажной клинике, баре или аналогичном заведении, должна считаться работником такого заведения для целей трудового и социального законодательства.</w:t>
      </w:r>
    </w:p>
    <w:p w:rsidR="00E9217C" w:rsidRPr="00D904FF" w:rsidRDefault="00E9217C" w:rsidP="00C74EAA">
      <w:pPr>
        <w:pStyle w:val="FootnoteText"/>
        <w:rPr>
          <w:sz w:val="16"/>
          <w:szCs w:val="16"/>
        </w:rPr>
      </w:pPr>
    </w:p>
    <w:p w:rsidR="00E9217C" w:rsidRPr="00DF2919" w:rsidRDefault="00E9217C" w:rsidP="00C74EAA">
      <w:pPr>
        <w:pStyle w:val="FootnoteText"/>
        <w:rPr>
          <w:sz w:val="22"/>
          <w:szCs w:val="22"/>
        </w:rPr>
      </w:pPr>
      <w:r w:rsidRPr="00DF2919">
        <w:rPr>
          <w:sz w:val="22"/>
          <w:szCs w:val="22"/>
        </w:rPr>
        <w:tab/>
        <w:t>В целях охраны здоровья статья 139 устанавливает минимальный возраст приема на работу молодых работников в 15 лет и вводит ограничения по количеству рабочих часов и периодам дня, когда им разрешается работать.  Этот закон также четко указывает, что молодых трудящихся в возрасте до 18 лет нельзя использовать на опасных или вредных работах.</w:t>
      </w:r>
    </w:p>
    <w:p w:rsidR="00E9217C" w:rsidRPr="00D904FF" w:rsidRDefault="00E9217C" w:rsidP="00C74EAA">
      <w:pPr>
        <w:pStyle w:val="FootnoteText"/>
        <w:rPr>
          <w:sz w:val="16"/>
          <w:szCs w:val="16"/>
        </w:rPr>
      </w:pPr>
    </w:p>
    <w:p w:rsidR="00E9217C" w:rsidRPr="00DF2919" w:rsidRDefault="00E9217C" w:rsidP="00C74EAA">
      <w:pPr>
        <w:pStyle w:val="FootnoteText"/>
        <w:rPr>
          <w:sz w:val="22"/>
          <w:szCs w:val="22"/>
        </w:rPr>
      </w:pPr>
      <w:r w:rsidRPr="00DF2919">
        <w:rPr>
          <w:sz w:val="22"/>
          <w:szCs w:val="22"/>
        </w:rPr>
        <w:tab/>
        <w:t xml:space="preserve">Учитывая место работы трудящихся-надомников, выполняющих заказы для предприятий, статья 135 предусматривает защиту их прав особенно в том, что касается норм, установленных министром труда для обеспечения их общего благосостояния и защиты. </w:t>
      </w:r>
    </w:p>
  </w:footnote>
  <w:footnote w:id="8">
    <w:p w:rsidR="00E9217C" w:rsidRPr="00DF2919" w:rsidRDefault="00E9217C" w:rsidP="00AA711F">
      <w:pPr>
        <w:pStyle w:val="FootnoteText"/>
        <w:rPr>
          <w:sz w:val="22"/>
          <w:szCs w:val="22"/>
        </w:rPr>
      </w:pPr>
      <w:r w:rsidRPr="00DF2919">
        <w:rPr>
          <w:rStyle w:val="FootnoteReference"/>
          <w:sz w:val="22"/>
          <w:szCs w:val="22"/>
        </w:rPr>
        <w:footnoteRef/>
      </w:r>
      <w:r w:rsidRPr="00DF2919">
        <w:rPr>
          <w:sz w:val="22"/>
          <w:szCs w:val="22"/>
        </w:rPr>
        <w:tab/>
        <w:t>Обучение на базе общин в целях развития предприятий предлагается в качестве одной из методологий подготовки и развития главной программы правительства по преодолению нищеты, в</w:t>
      </w:r>
      <w:r>
        <w:rPr>
          <w:sz w:val="22"/>
          <w:szCs w:val="22"/>
        </w:rPr>
        <w:t> </w:t>
      </w:r>
      <w:r w:rsidRPr="00DF2919">
        <w:rPr>
          <w:sz w:val="22"/>
          <w:szCs w:val="22"/>
        </w:rPr>
        <w:t>связи с чем оно разработано таким образом, чтобы его можно было проводить в определенных и</w:t>
      </w:r>
      <w:r>
        <w:rPr>
          <w:sz w:val="22"/>
          <w:szCs w:val="22"/>
        </w:rPr>
        <w:t> </w:t>
      </w:r>
      <w:r w:rsidRPr="00DF2919">
        <w:rPr>
          <w:sz w:val="22"/>
          <w:szCs w:val="22"/>
        </w:rPr>
        <w:t>четко установленных границах "поля деятельности".  Цель этого обучения заключается в сдерживании оттока рабочей силы из сельскохозяйственного сектора, предоставлении экономических возможностей безработным и повышении производительности и рентабельности операторов и работников неформального сектора.</w:t>
      </w:r>
    </w:p>
    <w:p w:rsidR="00E9217C" w:rsidRPr="006B1321" w:rsidRDefault="00E9217C" w:rsidP="00AA711F">
      <w:pPr>
        <w:pStyle w:val="FootnoteText"/>
        <w:rPr>
          <w:sz w:val="16"/>
          <w:szCs w:val="16"/>
        </w:rPr>
      </w:pPr>
    </w:p>
    <w:p w:rsidR="00E9217C" w:rsidRPr="00DF2919" w:rsidRDefault="00E9217C" w:rsidP="00AA711F">
      <w:pPr>
        <w:pStyle w:val="FootnoteText"/>
        <w:rPr>
          <w:sz w:val="22"/>
          <w:szCs w:val="22"/>
        </w:rPr>
      </w:pPr>
      <w:r w:rsidRPr="00DF2919">
        <w:rPr>
          <w:sz w:val="22"/>
          <w:szCs w:val="22"/>
        </w:rPr>
        <w:tab/>
        <w:t>Координаторы по вопросам обучения на базе общин и обеспечения занятости (КООЗ) выступают в качестве посредников УТОРН в осуществлении программ обучения на базе общин на местном уровне.  КООЗ, являющиеся штатными работниками органов местного самоуправления, играют важную и определяющую роль в развитии общины.</w:t>
      </w:r>
    </w:p>
    <w:p w:rsidR="00E9217C" w:rsidRPr="006B1321" w:rsidRDefault="00E9217C" w:rsidP="00AA711F">
      <w:pPr>
        <w:pStyle w:val="FootnoteText"/>
        <w:rPr>
          <w:sz w:val="16"/>
          <w:szCs w:val="16"/>
        </w:rPr>
      </w:pPr>
    </w:p>
    <w:p w:rsidR="00E9217C" w:rsidRDefault="00E9217C" w:rsidP="00AA711F">
      <w:pPr>
        <w:pStyle w:val="FootnoteText"/>
        <w:rPr>
          <w:sz w:val="22"/>
          <w:szCs w:val="22"/>
        </w:rPr>
      </w:pPr>
      <w:r w:rsidRPr="00DF2919">
        <w:rPr>
          <w:sz w:val="22"/>
          <w:szCs w:val="22"/>
        </w:rPr>
        <w:tab/>
        <w:t>Их миссия заключается в проведении оценки, исследовании и планировании программ обучения, направленных на содействие развитию и расширению экономической базы общины.  Их</w:t>
      </w:r>
      <w:r>
        <w:rPr>
          <w:sz w:val="22"/>
          <w:szCs w:val="22"/>
        </w:rPr>
        <w:t> </w:t>
      </w:r>
      <w:r w:rsidRPr="00DF2919">
        <w:rPr>
          <w:sz w:val="22"/>
          <w:szCs w:val="22"/>
        </w:rPr>
        <w:t>работа заключается в инициировании проведения обучения другими исполнителями.  По состоянию на 2004 год по всей стране насчитывалось примерно 1 124 КООЗ.</w:t>
      </w:r>
    </w:p>
    <w:p w:rsidR="00E9217C" w:rsidRPr="00DF2919" w:rsidRDefault="00E9217C" w:rsidP="00AA711F">
      <w:pPr>
        <w:pStyle w:val="FootnoteText"/>
        <w:rPr>
          <w:sz w:val="22"/>
          <w:szCs w:val="22"/>
        </w:rPr>
      </w:pPr>
    </w:p>
  </w:footnote>
  <w:footnote w:id="9">
    <w:p w:rsidR="00E9217C" w:rsidRPr="00DF2919" w:rsidRDefault="00E9217C" w:rsidP="00AA711F">
      <w:pPr>
        <w:pStyle w:val="FootnoteText"/>
        <w:rPr>
          <w:sz w:val="22"/>
          <w:szCs w:val="22"/>
        </w:rPr>
      </w:pPr>
      <w:r w:rsidRPr="00DF2919">
        <w:rPr>
          <w:rStyle w:val="FootnoteReference"/>
          <w:sz w:val="22"/>
          <w:szCs w:val="22"/>
        </w:rPr>
        <w:footnoteRef/>
      </w:r>
      <w:r w:rsidRPr="00DF2919">
        <w:rPr>
          <w:sz w:val="22"/>
          <w:szCs w:val="22"/>
        </w:rPr>
        <w:tab/>
        <w:t>Программа профессиональной ориентации состоит из 12 основных компонентов, разделенных на следующие этапы:  а)  подготовительный этап, который состоит из проводимого медиками, социальными посредниками и коллегами тренинга, набора кандидатов, мотивации и информирования о перспективах продвижения по службе представителей широких слоев населения;  b)  этап, предшествующий профессиональной подготовке, который состоит из рассмотрения заявлений, оценки самого заявителя, направления уведомления о приеме и проведения предварительного ознакомления;  с)  этап обучения, который состоит из консультирования, самой подготовки и выпускных экзаменов;  d)  постподготовительный этап, который включает в себя оказание помощи в трудоустройстве и организации самостоятельной работы, осуществление связанных с этим последующих мер и содействие в переквалификации или повышении квалификации.</w:t>
      </w:r>
    </w:p>
    <w:p w:rsidR="00E9217C" w:rsidRPr="00DF2919" w:rsidRDefault="00E9217C" w:rsidP="00AA711F">
      <w:pPr>
        <w:pStyle w:val="FootnoteText"/>
        <w:rPr>
          <w:sz w:val="22"/>
          <w:szCs w:val="22"/>
        </w:rPr>
      </w:pPr>
    </w:p>
  </w:footnote>
  <w:footnote w:id="10">
    <w:p w:rsidR="00E9217C" w:rsidRPr="00DF2919" w:rsidRDefault="00E9217C" w:rsidP="00AA711F">
      <w:pPr>
        <w:pStyle w:val="FootnoteText"/>
        <w:rPr>
          <w:sz w:val="22"/>
          <w:szCs w:val="22"/>
        </w:rPr>
      </w:pPr>
      <w:r w:rsidRPr="00DF2919">
        <w:rPr>
          <w:rStyle w:val="FootnoteReference"/>
          <w:sz w:val="22"/>
          <w:szCs w:val="22"/>
        </w:rPr>
        <w:footnoteRef/>
      </w:r>
      <w:r w:rsidRPr="00DF2919">
        <w:rPr>
          <w:sz w:val="22"/>
          <w:szCs w:val="22"/>
        </w:rPr>
        <w:tab/>
        <w:t>Система двойного обучения является весьма многообещающей, несмотря на отсутствие гарантий ее повсеместного распространения.  Институты двойного обучения составляют новую специализированную группу заведений, имеющих более диверсифицированный ассортимент продуктов, лучшее оснащение и более скоординированные взаимоотношения между предприятием и институтом, позволяющие заниматься главным образом наукоемкими профессиями.</w:t>
      </w:r>
    </w:p>
    <w:p w:rsidR="00E9217C" w:rsidRPr="006B1321" w:rsidRDefault="00E9217C" w:rsidP="00AA711F">
      <w:pPr>
        <w:pStyle w:val="FootnoteText"/>
        <w:rPr>
          <w:sz w:val="16"/>
          <w:szCs w:val="16"/>
        </w:rPr>
      </w:pPr>
    </w:p>
    <w:p w:rsidR="00E9217C" w:rsidRPr="00DF2919" w:rsidRDefault="00E9217C" w:rsidP="00AA711F">
      <w:pPr>
        <w:pStyle w:val="FootnoteText"/>
        <w:rPr>
          <w:sz w:val="22"/>
          <w:szCs w:val="22"/>
        </w:rPr>
      </w:pPr>
      <w:r w:rsidRPr="00DF2919">
        <w:rPr>
          <w:sz w:val="22"/>
          <w:szCs w:val="22"/>
        </w:rPr>
        <w:tab/>
        <w:t>Система ученичества функционирует скорее как "работа по найму", чем обучение, и является менее эффективной с точки зрения установленных законодательством сроков обучения и профессий.  Законодательство, касающееся ученичества, требует кардинальных изменений, хотя эта система по</w:t>
      </w:r>
      <w:r w:rsidRPr="00DF2919">
        <w:rPr>
          <w:sz w:val="22"/>
          <w:szCs w:val="22"/>
        </w:rPr>
        <w:noBreakHyphen/>
        <w:t>прежнему актуальна, особенно в плане подготовки ремесленников.</w:t>
      </w:r>
    </w:p>
  </w:footnote>
  <w:footnote w:id="11">
    <w:p w:rsidR="00E9217C" w:rsidRPr="00DF2919" w:rsidRDefault="00E9217C" w:rsidP="006B1321">
      <w:pPr>
        <w:pStyle w:val="FootnoteText"/>
        <w:spacing w:line="228" w:lineRule="auto"/>
        <w:rPr>
          <w:sz w:val="22"/>
          <w:szCs w:val="22"/>
        </w:rPr>
      </w:pPr>
      <w:r w:rsidRPr="00DF2919">
        <w:rPr>
          <w:rStyle w:val="FootnoteReference"/>
          <w:sz w:val="22"/>
          <w:szCs w:val="22"/>
        </w:rPr>
        <w:footnoteRef/>
      </w:r>
      <w:r w:rsidRPr="00DF2919">
        <w:rPr>
          <w:sz w:val="22"/>
          <w:szCs w:val="22"/>
        </w:rPr>
        <w:tab/>
        <w:t>Конкурсы профессионального мастерства используются для того, чтобы отметить высокий профессиональный уровень квалифицированных молодых работников предприятий и выпускников институтов системы ПТОП.  Конкурсы профессионального мастерства состоят из серии проводимых на местном, провинциальном, отраслевом и региональном уровнях смотров, таких, как Конкурс профессионального мастерства представителей стран АСЕАН (КПМПСА) и Всемирный конкурс профессионального мастерства (ВКПМ), проводимые под эгидой Международной профессионально-технической организации (МПТО).</w:t>
      </w:r>
    </w:p>
    <w:p w:rsidR="00E9217C" w:rsidRPr="006B1321" w:rsidRDefault="00E9217C" w:rsidP="00AA711F">
      <w:pPr>
        <w:pStyle w:val="FootnoteText"/>
        <w:rPr>
          <w:sz w:val="16"/>
          <w:szCs w:val="16"/>
        </w:rPr>
      </w:pPr>
    </w:p>
  </w:footnote>
  <w:footnote w:id="12">
    <w:p w:rsidR="00E9217C" w:rsidRPr="00DF2919" w:rsidRDefault="00E9217C" w:rsidP="006B1321">
      <w:pPr>
        <w:pStyle w:val="FootnoteText"/>
        <w:spacing w:line="228" w:lineRule="auto"/>
        <w:rPr>
          <w:sz w:val="22"/>
          <w:szCs w:val="22"/>
        </w:rPr>
      </w:pPr>
      <w:r w:rsidRPr="00DF2919">
        <w:rPr>
          <w:rStyle w:val="FootnoteReference"/>
          <w:sz w:val="22"/>
          <w:szCs w:val="22"/>
        </w:rPr>
        <w:footnoteRef/>
      </w:r>
      <w:r w:rsidRPr="00DF2919">
        <w:rPr>
          <w:sz w:val="22"/>
          <w:szCs w:val="22"/>
        </w:rPr>
        <w:tab/>
        <w:t>Женский центр УТОРН поддерживает тесные партнерские связи с частными компаниями, неправительственными организациями, а также подразделениями органов местного самоуправления в целях организации производственной практики, трудоустройства выпускников и выделения учебных стипендий.  Что касается развития навыков предпринимательской деятельности, то Женский центр УТОРН обеспечивает предоставление информации о рынке труда своим клиентам через поддерживаемую им Касанаянско-Кабугайскую службу по принципу одного окна (ККСОО).  В частности, Центр организовал бесплатное обучение женщин-предпринимателей с тем, чтобы они могли заниматься торговлей через сеть Интернет.  ККСОО была еще больше усилена в рамках проекта УТОРН-ПРООН.  К реализации производимой женщинами продукции была подключена Филиппинская маркетинговая корпорация, и в настоящее время в торговых центрах "Метро Манила" продается 42 вида такой продукции, и еще четыре вида будут экспортироваться в Соединенные Штаты.  В рамках проекта УТОРН-ПРООН была также поддержана активизация ПИР в системе ПТОП в виде обучения 51 руководителя среднего звена и 13 директоров на уровне провинций, направленного на увеличение количества руководителей, занимающихся осуществлением ПИР в самом управлении, а также в секторе ПТОП.</w:t>
      </w:r>
    </w:p>
  </w:footnote>
  <w:footnote w:id="13">
    <w:p w:rsidR="00E9217C" w:rsidRPr="00DF2919" w:rsidRDefault="00E9217C" w:rsidP="009745E9">
      <w:pPr>
        <w:pStyle w:val="FootnoteText"/>
        <w:rPr>
          <w:sz w:val="22"/>
          <w:szCs w:val="22"/>
        </w:rPr>
      </w:pPr>
      <w:r w:rsidRPr="00DF2919">
        <w:rPr>
          <w:rStyle w:val="FootnoteReference"/>
          <w:sz w:val="22"/>
          <w:szCs w:val="22"/>
        </w:rPr>
        <w:footnoteRef/>
      </w:r>
      <w:r w:rsidRPr="00DF2919">
        <w:rPr>
          <w:sz w:val="22"/>
          <w:szCs w:val="22"/>
        </w:rPr>
        <w:tab/>
        <w:t>В пункте 14 статьи </w:t>
      </w:r>
      <w:r w:rsidRPr="00DF2919">
        <w:rPr>
          <w:sz w:val="22"/>
          <w:szCs w:val="22"/>
          <w:lang w:val="en-US"/>
        </w:rPr>
        <w:t>II</w:t>
      </w:r>
      <w:r w:rsidRPr="00DF2919">
        <w:rPr>
          <w:sz w:val="22"/>
          <w:szCs w:val="22"/>
        </w:rPr>
        <w:t xml:space="preserve"> Конституции предусматривается, что государство признает роль женщин в формировании нации и обеспечивает основополагающее равенство мужчин и женщин перед законом.  В пункте </w:t>
      </w:r>
      <w:r w:rsidRPr="00DF2919">
        <w:rPr>
          <w:sz w:val="22"/>
          <w:szCs w:val="22"/>
          <w:lang w:val="en-US"/>
        </w:rPr>
        <w:t>I</w:t>
      </w:r>
      <w:r w:rsidRPr="00DF2919">
        <w:rPr>
          <w:sz w:val="22"/>
          <w:szCs w:val="22"/>
        </w:rPr>
        <w:t xml:space="preserve"> статьи </w:t>
      </w:r>
      <w:r w:rsidRPr="00DF2919">
        <w:rPr>
          <w:sz w:val="22"/>
          <w:szCs w:val="22"/>
          <w:lang w:val="en-US"/>
        </w:rPr>
        <w:t>III</w:t>
      </w:r>
      <w:r w:rsidRPr="00DF2919">
        <w:rPr>
          <w:sz w:val="22"/>
          <w:szCs w:val="22"/>
        </w:rPr>
        <w:t xml:space="preserve"> Конституции также гарантируется право каждого человека на равную защиту закона.  В пункте 3 статьи </w:t>
      </w:r>
      <w:r w:rsidRPr="00DF2919">
        <w:rPr>
          <w:sz w:val="22"/>
          <w:szCs w:val="22"/>
          <w:lang w:val="en-US"/>
        </w:rPr>
        <w:t>XIII</w:t>
      </w:r>
      <w:r w:rsidRPr="00DF2919">
        <w:rPr>
          <w:sz w:val="22"/>
          <w:szCs w:val="22"/>
        </w:rPr>
        <w:t xml:space="preserve"> далее гарантируется защита права на труд независимо от пола.</w:t>
      </w:r>
    </w:p>
    <w:p w:rsidR="00E9217C" w:rsidRPr="00DF2919" w:rsidRDefault="00E9217C" w:rsidP="009745E9">
      <w:pPr>
        <w:pStyle w:val="FootnoteText"/>
        <w:rPr>
          <w:sz w:val="22"/>
          <w:szCs w:val="22"/>
        </w:rPr>
      </w:pPr>
    </w:p>
  </w:footnote>
  <w:footnote w:id="14">
    <w:p w:rsidR="00E9217C" w:rsidRPr="00075110" w:rsidRDefault="00E9217C" w:rsidP="00221285">
      <w:pPr>
        <w:pStyle w:val="FootnoteText"/>
        <w:rPr>
          <w:sz w:val="22"/>
          <w:szCs w:val="22"/>
        </w:rPr>
      </w:pPr>
      <w:r w:rsidRPr="00075110">
        <w:rPr>
          <w:rStyle w:val="FootnoteReference"/>
          <w:sz w:val="22"/>
          <w:szCs w:val="22"/>
        </w:rPr>
        <w:footnoteRef/>
      </w:r>
      <w:r w:rsidRPr="00075110">
        <w:rPr>
          <w:sz w:val="22"/>
          <w:szCs w:val="22"/>
        </w:rPr>
        <w:t xml:space="preserve"> </w:t>
      </w:r>
      <w:r w:rsidRPr="00075110">
        <w:rPr>
          <w:sz w:val="22"/>
          <w:szCs w:val="22"/>
        </w:rPr>
        <w:tab/>
        <w:t>Раздел 8 Билля о правах Филиппин гарантирует, что "право людей, включая тех, кто работает в государственном и частном секторах, создавать профсоюзы, ассоциации или общества для целей, не противоречащих закону, не ограничивается".  Наряду с давно существующей защитой права на свободу ассоциации составители Конституции 1987 года сочли необходимым признать профсоюзные организации частного и государственного секторов в качестве важных примеров свободных и демократических организаций.  В этом важном пункте Билля о правах сразу признаются содержащиеся в подготовительных</w:t>
      </w:r>
      <w:r w:rsidRPr="00075110">
        <w:rPr>
          <w:i/>
          <w:sz w:val="22"/>
          <w:szCs w:val="22"/>
        </w:rPr>
        <w:t xml:space="preserve"> </w:t>
      </w:r>
      <w:r w:rsidRPr="00075110">
        <w:rPr>
          <w:sz w:val="22"/>
          <w:szCs w:val="22"/>
        </w:rPr>
        <w:t>материалах заявления о включении конкретной статьи о правах профсоюзов в Пакт, несмотря на содержащуюся во Всеобщей декларации прав человека оговорку.  Фактически, так называемая "Поправка Лерума" к оговорке о</w:t>
      </w:r>
      <w:r>
        <w:rPr>
          <w:sz w:val="22"/>
          <w:szCs w:val="22"/>
        </w:rPr>
        <w:t> </w:t>
      </w:r>
      <w:r w:rsidRPr="00075110">
        <w:rPr>
          <w:sz w:val="22"/>
          <w:szCs w:val="22"/>
        </w:rPr>
        <w:t>праве на свободу ассоциаций в филиппинской Конституции указывает на несоответствие общей оговорки о праве на свободу ассоциации и подтверждает, что защита прав профсоюзов является "важным условием гарантирования экономических прав в целом и права на удовлетворительные условия труда, в частности.  Кроме того, пункт 3 статьи ХIII (социальная справедливость и права человека) Конституции 1987 года требует от государства "гарантировать всем трудящимся право на создание профсоюзной организации".  Логическим обоснованием статьи XIII является осознание того факта, что социальная справедливость обеспечивает материальную и социальную инфраструктуру для осуществления основных прав человека, повышения чувства человеческого достоинства и эффективного участия в демократических процессах.</w:t>
      </w:r>
    </w:p>
    <w:p w:rsidR="00E9217C" w:rsidRPr="00075110" w:rsidRDefault="00E9217C" w:rsidP="00221285">
      <w:pPr>
        <w:pStyle w:val="FootnoteText"/>
        <w:rPr>
          <w:sz w:val="22"/>
          <w:szCs w:val="22"/>
        </w:rPr>
      </w:pPr>
    </w:p>
    <w:p w:rsidR="00E9217C" w:rsidRPr="00D86B80" w:rsidRDefault="00E9217C" w:rsidP="00221285">
      <w:pPr>
        <w:pStyle w:val="FootnoteText"/>
        <w:rPr>
          <w:spacing w:val="-2"/>
          <w:sz w:val="22"/>
          <w:szCs w:val="22"/>
        </w:rPr>
      </w:pPr>
      <w:r w:rsidRPr="00075110">
        <w:rPr>
          <w:sz w:val="22"/>
          <w:szCs w:val="22"/>
        </w:rPr>
        <w:tab/>
      </w:r>
      <w:r w:rsidRPr="00D86B80">
        <w:rPr>
          <w:spacing w:val="-2"/>
          <w:sz w:val="22"/>
          <w:szCs w:val="22"/>
        </w:rPr>
        <w:t xml:space="preserve">Во исполнение этих содержащихся в Конституции предписаний было принято два нормативных документа, которые регулируют осуществление права трудящихся на создание профсоюзной организации.  В частном секторе таким нормативным документом является Трудовой кодекс Филиппин;  в государственном секторе - Правительственное распоряжение № 180 серии 1987 года. </w:t>
      </w:r>
    </w:p>
  </w:footnote>
  <w:footnote w:id="15">
    <w:p w:rsidR="00E9217C" w:rsidRDefault="00E9217C" w:rsidP="006B3217">
      <w:pPr>
        <w:pStyle w:val="FootnoteText"/>
        <w:rPr>
          <w:sz w:val="22"/>
          <w:szCs w:val="22"/>
        </w:rPr>
      </w:pPr>
      <w:r w:rsidRPr="008F7B2D">
        <w:rPr>
          <w:rStyle w:val="FootnoteReference"/>
          <w:sz w:val="22"/>
          <w:szCs w:val="22"/>
        </w:rPr>
        <w:footnoteRef/>
      </w:r>
      <w:r w:rsidRPr="008F7B2D">
        <w:rPr>
          <w:sz w:val="22"/>
          <w:szCs w:val="22"/>
        </w:rPr>
        <w:tab/>
        <w:t xml:space="preserve">Финансовые или фидуциарные права члена профсоюза включают:  </w:t>
      </w:r>
      <w:r w:rsidRPr="008F7B2D">
        <w:rPr>
          <w:sz w:val="22"/>
          <w:szCs w:val="22"/>
          <w:lang w:val="en-US"/>
        </w:rPr>
        <w:t>a</w:t>
      </w:r>
      <w:r w:rsidRPr="008F7B2D">
        <w:rPr>
          <w:sz w:val="22"/>
          <w:szCs w:val="22"/>
        </w:rPr>
        <w:t xml:space="preserve">)  право не подвергаться произвольным, репрессивным или чрезмерным взносам, штрафам и взысканиям;  </w:t>
      </w:r>
      <w:r w:rsidRPr="008F7B2D">
        <w:rPr>
          <w:sz w:val="22"/>
          <w:szCs w:val="22"/>
          <w:lang w:val="en-US"/>
        </w:rPr>
        <w:t>b</w:t>
      </w:r>
      <w:r w:rsidRPr="008F7B2D">
        <w:rPr>
          <w:sz w:val="22"/>
          <w:szCs w:val="22"/>
        </w:rPr>
        <w:t xml:space="preserve">)  право на получение полных и детальных отчетов обо всех финансовых операциях, производимых в соответствии с уставом и внутренними правилами профсоюза;  </w:t>
      </w:r>
      <w:r w:rsidRPr="008F7B2D">
        <w:rPr>
          <w:sz w:val="22"/>
          <w:szCs w:val="22"/>
          <w:lang w:val="en-US"/>
        </w:rPr>
        <w:t>c</w:t>
      </w:r>
      <w:r w:rsidRPr="008F7B2D">
        <w:rPr>
          <w:sz w:val="22"/>
          <w:szCs w:val="22"/>
        </w:rPr>
        <w:t xml:space="preserve">)  право не подвергаться несанкционированному взиманию каких-либо взносов, сборов или других средств;  </w:t>
      </w:r>
      <w:r w:rsidRPr="008F7B2D">
        <w:rPr>
          <w:sz w:val="22"/>
          <w:szCs w:val="22"/>
          <w:lang w:val="en-US"/>
        </w:rPr>
        <w:t>d</w:t>
      </w:r>
      <w:r w:rsidRPr="008F7B2D">
        <w:rPr>
          <w:sz w:val="22"/>
          <w:szCs w:val="22"/>
        </w:rPr>
        <w:t xml:space="preserve">)  право требовать предъявления квитанции за получение каждого взноса, сбора или других средств;  </w:t>
      </w:r>
      <w:r w:rsidRPr="008F7B2D">
        <w:rPr>
          <w:sz w:val="22"/>
          <w:szCs w:val="22"/>
          <w:lang w:val="en-US"/>
        </w:rPr>
        <w:t>e</w:t>
      </w:r>
      <w:r w:rsidRPr="008F7B2D">
        <w:rPr>
          <w:sz w:val="22"/>
          <w:szCs w:val="22"/>
        </w:rPr>
        <w:t>)</w:t>
      </w:r>
      <w:r>
        <w:rPr>
          <w:sz w:val="22"/>
          <w:szCs w:val="22"/>
        </w:rPr>
        <w:t>  </w:t>
      </w:r>
      <w:r w:rsidRPr="008F7B2D">
        <w:rPr>
          <w:sz w:val="22"/>
          <w:szCs w:val="22"/>
        </w:rPr>
        <w:t xml:space="preserve">право предотвращать расходование фондов организации на какие-либо иные цели или предметы, кроме тех, которые конкретно предусмотрены в уставе и внутренних правилах организации либо которые конкретно разрешены письменным решением, принятым большинством членов на общем собрании, созванном для этой цели;  </w:t>
      </w:r>
      <w:r w:rsidRPr="008F7B2D">
        <w:rPr>
          <w:sz w:val="22"/>
          <w:szCs w:val="22"/>
          <w:lang w:val="en-US"/>
        </w:rPr>
        <w:t>f</w:t>
      </w:r>
      <w:r w:rsidRPr="008F7B2D">
        <w:rPr>
          <w:sz w:val="22"/>
          <w:szCs w:val="22"/>
        </w:rPr>
        <w:t xml:space="preserve">)  право требовать или просить ведения учета каждого поступления средств, а также каждого случая расходования средств организацией;  такой учет составляет часть финансовой документации организации;  </w:t>
      </w:r>
      <w:r w:rsidRPr="008F7B2D">
        <w:rPr>
          <w:sz w:val="22"/>
          <w:szCs w:val="22"/>
          <w:lang w:val="en-US"/>
        </w:rPr>
        <w:t>g</w:t>
      </w:r>
      <w:r w:rsidRPr="008F7B2D">
        <w:rPr>
          <w:sz w:val="22"/>
          <w:szCs w:val="22"/>
        </w:rPr>
        <w:t>)</w:t>
      </w:r>
      <w:r>
        <w:rPr>
          <w:sz w:val="22"/>
          <w:szCs w:val="22"/>
        </w:rPr>
        <w:t>  </w:t>
      </w:r>
      <w:r w:rsidRPr="008F7B2D">
        <w:rPr>
          <w:sz w:val="22"/>
          <w:szCs w:val="22"/>
        </w:rPr>
        <w:t xml:space="preserve">право не подвергаться несанкционированному специальному налогообложению или другим особым выплатам;  </w:t>
      </w:r>
      <w:r w:rsidRPr="008F7B2D">
        <w:rPr>
          <w:sz w:val="22"/>
          <w:szCs w:val="22"/>
          <w:lang w:val="en-US"/>
        </w:rPr>
        <w:t>h</w:t>
      </w:r>
      <w:r w:rsidRPr="008F7B2D">
        <w:rPr>
          <w:sz w:val="22"/>
          <w:szCs w:val="22"/>
        </w:rPr>
        <w:t xml:space="preserve">)  право не подвергаться несанкционированным удержаниям из зарплаты вследствие специального налогообложения оплаты услуг адвоката, оплаты затрат, связанных с ведением переговоров, или любым другим особым выплатам без надлежащим образом подписанного письменного разрешения самого работника;  </w:t>
      </w:r>
      <w:r w:rsidRPr="008F7B2D">
        <w:rPr>
          <w:sz w:val="22"/>
          <w:szCs w:val="22"/>
          <w:lang w:val="en-US"/>
        </w:rPr>
        <w:t>i</w:t>
      </w:r>
      <w:r w:rsidRPr="008F7B2D">
        <w:rPr>
          <w:sz w:val="22"/>
          <w:szCs w:val="22"/>
        </w:rPr>
        <w:t xml:space="preserve">)  право участвовать в голосовании по вопросу о выплате компенсации за услуги должностных лиц организации;  </w:t>
      </w:r>
      <w:r w:rsidRPr="008F7B2D">
        <w:rPr>
          <w:sz w:val="22"/>
          <w:szCs w:val="22"/>
          <w:lang w:val="en-US"/>
        </w:rPr>
        <w:t>j</w:t>
      </w:r>
      <w:r w:rsidRPr="008F7B2D">
        <w:rPr>
          <w:sz w:val="22"/>
          <w:szCs w:val="22"/>
        </w:rPr>
        <w:t xml:space="preserve">)  право не подвергаться необоснованным выплатам в целях финансирования семинаров по трудовым отношениям и других связанных с трудовыми отношениями мероприятий;  </w:t>
      </w:r>
      <w:r w:rsidRPr="008F7B2D">
        <w:rPr>
          <w:sz w:val="22"/>
          <w:szCs w:val="22"/>
          <w:lang w:val="en-US"/>
        </w:rPr>
        <w:t>k</w:t>
      </w:r>
      <w:r w:rsidRPr="008F7B2D">
        <w:rPr>
          <w:sz w:val="22"/>
          <w:szCs w:val="22"/>
        </w:rPr>
        <w:t xml:space="preserve">)  право требовать от казначея и других должностных лиц организации представления достоверных и точных отчетов о фондах и собственности организации;  </w:t>
      </w:r>
      <w:r w:rsidRPr="008F7B2D">
        <w:rPr>
          <w:sz w:val="22"/>
          <w:szCs w:val="22"/>
          <w:lang w:val="en-US"/>
        </w:rPr>
        <w:t>l</w:t>
      </w:r>
      <w:r w:rsidRPr="008F7B2D">
        <w:rPr>
          <w:sz w:val="22"/>
          <w:szCs w:val="22"/>
        </w:rPr>
        <w:t xml:space="preserve">)  право просить проведения по такому отчету надлежащей аудиторской проверки и представления заверенного протокола такой проверки, а также направления его копии министру труда и занятости;  и </w:t>
      </w:r>
      <w:r w:rsidRPr="008F7B2D">
        <w:rPr>
          <w:sz w:val="22"/>
          <w:szCs w:val="22"/>
          <w:lang w:val="en-US"/>
        </w:rPr>
        <w:t>m</w:t>
      </w:r>
      <w:r w:rsidRPr="008F7B2D">
        <w:rPr>
          <w:sz w:val="22"/>
          <w:szCs w:val="22"/>
        </w:rPr>
        <w:t>)  право проверять бухгалтерские отчеты и другую финансовую документацию организации, а также полные и подробные отчеты ее должностных лиц и материалы по всем финансовым операциям, как это предусмотрено в уставе и внутренних правилах.</w:t>
      </w:r>
    </w:p>
    <w:p w:rsidR="00E9217C" w:rsidRPr="008F7B2D" w:rsidRDefault="00E9217C" w:rsidP="006B3217">
      <w:pPr>
        <w:pStyle w:val="FootnoteText"/>
        <w:rPr>
          <w:sz w:val="16"/>
          <w:szCs w:val="16"/>
        </w:rPr>
      </w:pPr>
    </w:p>
    <w:p w:rsidR="00E9217C" w:rsidRPr="008F7B2D" w:rsidRDefault="00E9217C" w:rsidP="006B3217">
      <w:pPr>
        <w:pStyle w:val="FootnoteText"/>
        <w:rPr>
          <w:sz w:val="22"/>
          <w:szCs w:val="22"/>
        </w:rPr>
      </w:pPr>
      <w:r>
        <w:rPr>
          <w:sz w:val="22"/>
          <w:szCs w:val="22"/>
        </w:rPr>
        <w:tab/>
      </w:r>
      <w:r w:rsidRPr="008F7B2D">
        <w:rPr>
          <w:sz w:val="22"/>
          <w:szCs w:val="22"/>
        </w:rPr>
        <w:t xml:space="preserve">Политические права членов профсоюза включают:  </w:t>
      </w:r>
      <w:r w:rsidRPr="008F7B2D">
        <w:rPr>
          <w:sz w:val="22"/>
          <w:szCs w:val="22"/>
          <w:lang w:val="en-US"/>
        </w:rPr>
        <w:t>a</w:t>
      </w:r>
      <w:r w:rsidRPr="008F7B2D">
        <w:rPr>
          <w:sz w:val="22"/>
          <w:szCs w:val="22"/>
        </w:rPr>
        <w:t xml:space="preserve">)  право быть информированным о положениях устава и внутренних правил, коллективном договоре, существующей системе трудовых отношений и обо всех их правах и обязанностях, предусмотренных в действующем трудовом законодательстве, с помощью семинаров по трудовым отношениям и других учебных мероприятий по этим вопросам;  при условии соблюдения определенных норм поведения (например, недопустимость членства в подрывной организации);  </w:t>
      </w:r>
      <w:r w:rsidRPr="008F7B2D">
        <w:rPr>
          <w:sz w:val="22"/>
          <w:szCs w:val="22"/>
          <w:lang w:val="en-US"/>
        </w:rPr>
        <w:t>d</w:t>
      </w:r>
      <w:r w:rsidRPr="008F7B2D">
        <w:rPr>
          <w:sz w:val="22"/>
          <w:szCs w:val="22"/>
        </w:rPr>
        <w:t xml:space="preserve">)  право быть назначенным на должности в организации при условии соблюдения определенных норм поведения;  </w:t>
      </w:r>
      <w:r w:rsidRPr="008F7B2D">
        <w:rPr>
          <w:sz w:val="22"/>
          <w:szCs w:val="22"/>
          <w:lang w:val="en-US"/>
        </w:rPr>
        <w:t>e</w:t>
      </w:r>
      <w:r w:rsidRPr="008F7B2D">
        <w:rPr>
          <w:sz w:val="22"/>
          <w:szCs w:val="22"/>
        </w:rPr>
        <w:t xml:space="preserve">)  право участвовать в тайном голосовании по любому вопросу, касающемуся основного направления политики, затрагивающей интересы всех членов организации;  и </w:t>
      </w:r>
      <w:r w:rsidRPr="008F7B2D">
        <w:rPr>
          <w:sz w:val="22"/>
          <w:szCs w:val="22"/>
          <w:lang w:val="en-US"/>
        </w:rPr>
        <w:t>f</w:t>
      </w:r>
      <w:r w:rsidRPr="008F7B2D">
        <w:rPr>
          <w:sz w:val="22"/>
          <w:szCs w:val="22"/>
        </w:rPr>
        <w:t xml:space="preserve">)  право выступать с инициативой </w:t>
      </w:r>
      <w:r>
        <w:rPr>
          <w:sz w:val="22"/>
          <w:szCs w:val="22"/>
        </w:rPr>
        <w:t xml:space="preserve">и </w:t>
      </w:r>
      <w:r w:rsidRPr="008F7B2D">
        <w:rPr>
          <w:sz w:val="22"/>
          <w:szCs w:val="22"/>
        </w:rPr>
        <w:t>принимать участие в проведении процедуры импичмента или исключения из состава организации должностного лица или члена организации, виновного в неправомерном поведении.</w:t>
      </w:r>
    </w:p>
    <w:p w:rsidR="00E9217C" w:rsidRPr="008F7B2D" w:rsidRDefault="00E9217C" w:rsidP="006B3217">
      <w:pPr>
        <w:pStyle w:val="FootnoteText"/>
        <w:rPr>
          <w:sz w:val="22"/>
          <w:szCs w:val="22"/>
        </w:rPr>
      </w:pPr>
    </w:p>
  </w:footnote>
  <w:footnote w:id="16">
    <w:p w:rsidR="00E9217C" w:rsidRPr="008F7B2D" w:rsidRDefault="00E9217C" w:rsidP="006B3217">
      <w:pPr>
        <w:pStyle w:val="FootnoteText"/>
        <w:rPr>
          <w:sz w:val="22"/>
          <w:szCs w:val="22"/>
        </w:rPr>
      </w:pPr>
      <w:r w:rsidRPr="008F7B2D">
        <w:rPr>
          <w:rStyle w:val="FootnoteReference"/>
          <w:sz w:val="22"/>
          <w:szCs w:val="22"/>
        </w:rPr>
        <w:footnoteRef/>
      </w:r>
      <w:r w:rsidRPr="008F7B2D">
        <w:rPr>
          <w:sz w:val="22"/>
          <w:szCs w:val="22"/>
        </w:rPr>
        <w:tab/>
        <w:t xml:space="preserve">Разделы 5-7 Правила </w:t>
      </w:r>
      <w:r w:rsidRPr="008F7B2D">
        <w:rPr>
          <w:sz w:val="22"/>
          <w:szCs w:val="22"/>
          <w:lang w:val="en-US"/>
        </w:rPr>
        <w:t>XVI</w:t>
      </w:r>
      <w:r w:rsidRPr="008F7B2D">
        <w:rPr>
          <w:sz w:val="22"/>
          <w:szCs w:val="22"/>
        </w:rPr>
        <w:t xml:space="preserve"> министерского распоряжения № 40-03. </w:t>
      </w:r>
      <w:r>
        <w:rPr>
          <w:sz w:val="22"/>
          <w:szCs w:val="22"/>
        </w:rPr>
        <w:t xml:space="preserve"> </w:t>
      </w:r>
      <w:r w:rsidRPr="008F7B2D">
        <w:rPr>
          <w:sz w:val="22"/>
          <w:szCs w:val="22"/>
        </w:rPr>
        <w:t xml:space="preserve">Легитимная профсоюзная организация и работодатели могут в письменном виде составить соглашение о проведении встречи для цели ведения коллективных переговоров при соблюдении следующих условий:  </w:t>
      </w:r>
      <w:r w:rsidRPr="008F7B2D">
        <w:rPr>
          <w:sz w:val="22"/>
          <w:szCs w:val="22"/>
          <w:lang w:val="en-US"/>
        </w:rPr>
        <w:t>a</w:t>
      </w:r>
      <w:r w:rsidRPr="008F7B2D">
        <w:rPr>
          <w:sz w:val="22"/>
          <w:szCs w:val="22"/>
        </w:rPr>
        <w:t>)</w:t>
      </w:r>
      <w:r>
        <w:rPr>
          <w:sz w:val="22"/>
          <w:szCs w:val="22"/>
        </w:rPr>
        <w:t>  </w:t>
      </w:r>
      <w:r w:rsidRPr="008F7B2D">
        <w:rPr>
          <w:sz w:val="22"/>
          <w:szCs w:val="22"/>
        </w:rPr>
        <w:t xml:space="preserve">только легитимные профсоюзные организации, которые на данный момент являются эксклюзивными органами по ведению коллективных переговоров, могут принимать участие в коллективных переговорах с несколькими работодателями;  </w:t>
      </w:r>
      <w:r w:rsidRPr="008F7B2D">
        <w:rPr>
          <w:sz w:val="22"/>
          <w:szCs w:val="22"/>
          <w:lang w:val="en-US"/>
        </w:rPr>
        <w:t>b</w:t>
      </w:r>
      <w:r w:rsidRPr="008F7B2D">
        <w:rPr>
          <w:sz w:val="22"/>
          <w:szCs w:val="22"/>
        </w:rPr>
        <w:t>)  только работодатели, на предприятиях которых созданы легитимные профсоюзные организации, которые на данный момент являются эксклюзивными органами по ведению коллективных переговоров, могут принимать участие в подобных коллективных переговорах;  и с)  в них могут участвовать только те легитимные профсоюзные организации, которые принадлежат к подразделениям работодателя, согласившимся на коллективные переговоры с несколькими работодателями.</w:t>
      </w:r>
    </w:p>
  </w:footnote>
  <w:footnote w:id="17">
    <w:p w:rsidR="00E9217C" w:rsidRPr="00DA0B2E" w:rsidRDefault="00E9217C" w:rsidP="00A25C5B">
      <w:pPr>
        <w:pStyle w:val="FootnoteText"/>
        <w:rPr>
          <w:sz w:val="22"/>
          <w:szCs w:val="22"/>
        </w:rPr>
      </w:pPr>
      <w:r w:rsidRPr="00DA0B2E">
        <w:rPr>
          <w:rStyle w:val="FootnoteReference"/>
          <w:sz w:val="22"/>
          <w:szCs w:val="22"/>
        </w:rPr>
        <w:footnoteRef/>
      </w:r>
      <w:r w:rsidRPr="00DA0B2E">
        <w:rPr>
          <w:sz w:val="22"/>
          <w:szCs w:val="22"/>
        </w:rPr>
        <w:tab/>
        <w:t xml:space="preserve">Пункт 3 статьи </w:t>
      </w:r>
      <w:r w:rsidRPr="00DA0B2E">
        <w:rPr>
          <w:sz w:val="22"/>
          <w:szCs w:val="22"/>
          <w:lang w:val="en-US"/>
        </w:rPr>
        <w:t>XIII</w:t>
      </w:r>
      <w:r w:rsidRPr="00DA0B2E">
        <w:rPr>
          <w:sz w:val="22"/>
          <w:szCs w:val="22"/>
        </w:rPr>
        <w:t xml:space="preserve"> Конституции гарантирует право всех трудящихся на создание организации, ведение коллективных переговоров и мирные согласованные действия, включая право на забастовку в рамках закона.  Таким образом, хотя общего запрета на проведение забастовок не существует, законодательные органы ввели правовые ограничения на осуществление этого права. </w:t>
      </w:r>
    </w:p>
  </w:footnote>
  <w:footnote w:id="18">
    <w:p w:rsidR="00E9217C" w:rsidRPr="009734F5" w:rsidRDefault="00E9217C" w:rsidP="009870AE">
      <w:pPr>
        <w:pStyle w:val="FootnoteText"/>
        <w:rPr>
          <w:sz w:val="22"/>
          <w:szCs w:val="22"/>
        </w:rPr>
      </w:pPr>
      <w:r w:rsidRPr="009734F5">
        <w:rPr>
          <w:rStyle w:val="FootnoteReference"/>
          <w:sz w:val="22"/>
          <w:szCs w:val="22"/>
        </w:rPr>
        <w:footnoteRef/>
      </w:r>
      <w:r w:rsidRPr="009734F5">
        <w:rPr>
          <w:sz w:val="22"/>
          <w:szCs w:val="22"/>
        </w:rPr>
        <w:tab/>
        <w:t>По состоянию на конец 2005 года было зарегистрировано около 600</w:t>
      </w:r>
      <w:r>
        <w:rPr>
          <w:sz w:val="22"/>
          <w:szCs w:val="22"/>
        </w:rPr>
        <w:t> </w:t>
      </w:r>
      <w:r w:rsidRPr="009734F5">
        <w:rPr>
          <w:sz w:val="22"/>
          <w:szCs w:val="22"/>
        </w:rPr>
        <w:t>000 РЗРФ, составляющих 25% от общего числа лиц, работающих в  странах, в которых ССО создала свои отделения.  ССО распространила информацию о создании отделения в Центре по предоставлению услуг по принципу "одного окна" Филиппинского управления по трудоустройству за рубежом в целях удовлетворения потребностей РЗРФ до их выезда за рубеж.  ССО также создала отделения в 15</w:t>
      </w:r>
      <w:r>
        <w:rPr>
          <w:sz w:val="22"/>
          <w:szCs w:val="22"/>
        </w:rPr>
        <w:t> </w:t>
      </w:r>
      <w:r w:rsidRPr="009734F5">
        <w:rPr>
          <w:sz w:val="22"/>
          <w:szCs w:val="22"/>
        </w:rPr>
        <w:t>странах по всему миру, расположенные в основном в зданиях посольств и консульств Филиппин.  Получаемый РЗРФ доход также существенно возрос с 95</w:t>
      </w:r>
      <w:r>
        <w:rPr>
          <w:sz w:val="22"/>
          <w:szCs w:val="22"/>
        </w:rPr>
        <w:t> </w:t>
      </w:r>
      <w:r w:rsidRPr="009734F5">
        <w:rPr>
          <w:sz w:val="22"/>
          <w:szCs w:val="22"/>
        </w:rPr>
        <w:t>млн. филиппинских песо в 1999</w:t>
      </w:r>
      <w:r>
        <w:rPr>
          <w:sz w:val="22"/>
          <w:szCs w:val="22"/>
        </w:rPr>
        <w:t> </w:t>
      </w:r>
      <w:r w:rsidRPr="009734F5">
        <w:rPr>
          <w:sz w:val="22"/>
          <w:szCs w:val="22"/>
        </w:rPr>
        <w:t>году до 893</w:t>
      </w:r>
      <w:r>
        <w:rPr>
          <w:sz w:val="22"/>
          <w:szCs w:val="22"/>
        </w:rPr>
        <w:t> </w:t>
      </w:r>
      <w:r w:rsidRPr="009734F5">
        <w:rPr>
          <w:sz w:val="22"/>
          <w:szCs w:val="22"/>
        </w:rPr>
        <w:t>млн. филиппинских песо в 2005 году.  Чистый капитал членов "Флекси-Фанд" составляет 80 млн. филиппинских песо.</w:t>
      </w:r>
    </w:p>
  </w:footnote>
  <w:footnote w:id="19">
    <w:p w:rsidR="00E9217C" w:rsidRPr="009734F5" w:rsidRDefault="00E9217C" w:rsidP="009870AE">
      <w:pPr>
        <w:pStyle w:val="FootnoteText"/>
        <w:rPr>
          <w:sz w:val="22"/>
          <w:szCs w:val="22"/>
        </w:rPr>
      </w:pPr>
      <w:r w:rsidRPr="009734F5">
        <w:rPr>
          <w:rStyle w:val="FootnoteReference"/>
          <w:sz w:val="22"/>
          <w:szCs w:val="22"/>
        </w:rPr>
        <w:footnoteRef/>
      </w:r>
      <w:r w:rsidRPr="009734F5">
        <w:rPr>
          <w:sz w:val="22"/>
          <w:szCs w:val="22"/>
        </w:rPr>
        <w:tab/>
        <w:t>а)  </w:t>
      </w:r>
      <w:r w:rsidRPr="009734F5">
        <w:rPr>
          <w:b/>
          <w:i/>
          <w:sz w:val="22"/>
          <w:szCs w:val="22"/>
        </w:rPr>
        <w:t xml:space="preserve">Равенство в обращении </w:t>
      </w:r>
      <w:r w:rsidRPr="009734F5">
        <w:rPr>
          <w:b/>
          <w:sz w:val="22"/>
          <w:szCs w:val="22"/>
        </w:rPr>
        <w:t xml:space="preserve">- </w:t>
      </w:r>
      <w:r w:rsidRPr="009734F5">
        <w:rPr>
          <w:sz w:val="22"/>
          <w:szCs w:val="22"/>
        </w:rPr>
        <w:t xml:space="preserve">застрахованный филиппинец, включая его иждивенцев и лиц, которые могут остаться без кормильца после его смерти, имеют право на получение пособий по социальному обеспечению на тех же условиях, что и граждане страны, с которыми Республика Филиппины  заключила соглашение;  </w:t>
      </w:r>
      <w:r w:rsidRPr="009734F5">
        <w:rPr>
          <w:sz w:val="22"/>
          <w:szCs w:val="22"/>
          <w:lang w:val="en-US"/>
        </w:rPr>
        <w:t>b</w:t>
      </w:r>
      <w:r w:rsidRPr="009734F5">
        <w:rPr>
          <w:sz w:val="22"/>
          <w:szCs w:val="22"/>
        </w:rPr>
        <w:t>)  </w:t>
      </w:r>
      <w:r w:rsidRPr="009734F5">
        <w:rPr>
          <w:b/>
          <w:i/>
          <w:sz w:val="22"/>
          <w:szCs w:val="22"/>
        </w:rPr>
        <w:t xml:space="preserve">Экспорт пособий </w:t>
      </w:r>
      <w:r w:rsidRPr="009734F5">
        <w:rPr>
          <w:i/>
          <w:sz w:val="22"/>
          <w:szCs w:val="22"/>
        </w:rPr>
        <w:t xml:space="preserve">- </w:t>
      </w:r>
      <w:r w:rsidRPr="009734F5">
        <w:rPr>
          <w:sz w:val="22"/>
          <w:szCs w:val="22"/>
        </w:rPr>
        <w:t>застрахованное лицо продолжает получать свои пособия независимо от того,  где он  решает жить;  с)  </w:t>
      </w:r>
      <w:r w:rsidRPr="009734F5">
        <w:rPr>
          <w:b/>
          <w:i/>
          <w:sz w:val="22"/>
          <w:szCs w:val="22"/>
        </w:rPr>
        <w:t>Суммирование</w:t>
      </w:r>
      <w:r w:rsidRPr="009734F5">
        <w:rPr>
          <w:sz w:val="22"/>
          <w:szCs w:val="22"/>
        </w:rPr>
        <w:t xml:space="preserve"> - взносы/зачитываемые для пенсии периоды службы в обеих странах суммируются в целях определения степени выполнения условий для получения пособий;  </w:t>
      </w:r>
      <w:r w:rsidRPr="009734F5">
        <w:rPr>
          <w:sz w:val="22"/>
          <w:szCs w:val="22"/>
          <w:lang w:val="en-US"/>
        </w:rPr>
        <w:t>d</w:t>
      </w:r>
      <w:r w:rsidRPr="009734F5">
        <w:rPr>
          <w:sz w:val="22"/>
          <w:szCs w:val="22"/>
        </w:rPr>
        <w:t>)  </w:t>
      </w:r>
      <w:r w:rsidRPr="009734F5">
        <w:rPr>
          <w:b/>
          <w:i/>
          <w:sz w:val="22"/>
          <w:szCs w:val="22"/>
        </w:rPr>
        <w:t xml:space="preserve">Выплата пособий </w:t>
      </w:r>
      <w:r w:rsidRPr="009734F5">
        <w:rPr>
          <w:sz w:val="22"/>
          <w:szCs w:val="22"/>
        </w:rPr>
        <w:t>- каждая страна выплачивает часть пособия, причитающегося к выплате из их соответствующих систем;  и е)  </w:t>
      </w:r>
      <w:r w:rsidRPr="009734F5">
        <w:rPr>
          <w:b/>
          <w:i/>
          <w:sz w:val="22"/>
          <w:szCs w:val="22"/>
        </w:rPr>
        <w:t xml:space="preserve">Взаимная административная помощь </w:t>
      </w:r>
      <w:r w:rsidRPr="009734F5">
        <w:rPr>
          <w:sz w:val="22"/>
          <w:szCs w:val="22"/>
        </w:rPr>
        <w:t>- застрахованные лица или бенефициары могут подавать свои заявления в назначенные учреждения по связи Республики Филиппины или страны, с которой Республика Филиппины имеет соответствующее соглашение, для оказания необходимой помощи в деле обработки заявлений.</w:t>
      </w:r>
    </w:p>
  </w:footnote>
  <w:footnote w:id="20">
    <w:p w:rsidR="00E9217C" w:rsidRDefault="00E9217C" w:rsidP="009870AE">
      <w:pPr>
        <w:pStyle w:val="FootnoteText"/>
        <w:rPr>
          <w:sz w:val="22"/>
          <w:szCs w:val="22"/>
        </w:rPr>
      </w:pPr>
      <w:r w:rsidRPr="004D0CED">
        <w:rPr>
          <w:rStyle w:val="FootnoteReference"/>
          <w:sz w:val="22"/>
          <w:szCs w:val="22"/>
        </w:rPr>
        <w:footnoteRef/>
      </w:r>
      <w:r w:rsidRPr="004D0CED">
        <w:rPr>
          <w:sz w:val="22"/>
          <w:szCs w:val="22"/>
        </w:rPr>
        <w:t xml:space="preserve"> </w:t>
      </w:r>
      <w:r w:rsidRPr="004D0CED">
        <w:rPr>
          <w:sz w:val="22"/>
          <w:szCs w:val="22"/>
        </w:rPr>
        <w:tab/>
        <w:t xml:space="preserve">К таким программам относятся:  </w:t>
      </w:r>
      <w:r w:rsidRPr="004D0CED">
        <w:rPr>
          <w:i/>
          <w:sz w:val="22"/>
          <w:szCs w:val="22"/>
        </w:rPr>
        <w:t>Система взаимопомощи (СВП) -</w:t>
      </w:r>
      <w:r w:rsidRPr="004D0CED">
        <w:rPr>
          <w:sz w:val="22"/>
          <w:szCs w:val="22"/>
        </w:rPr>
        <w:t xml:space="preserve"> в целях получения единого пособия в размере 5 000 филиппинских песо каждый член этой программы вносит страховую премию в размере 48 филиппинских песо и еще 48 филиппинских песо в виде ежегодного долевого взноса, выплачиваемого на протяжении всего времени членства в системе.  Лица, достигшие 60-летнего возраста выходят из системы и имеют право на получение всех накопленных долевых взносов со своих доходов;  </w:t>
      </w:r>
      <w:r w:rsidRPr="004D0CED">
        <w:rPr>
          <w:i/>
          <w:sz w:val="22"/>
          <w:szCs w:val="22"/>
        </w:rPr>
        <w:t xml:space="preserve">Программа защиты займов (ПЗЗ) </w:t>
      </w:r>
      <w:r w:rsidRPr="004D0CED">
        <w:rPr>
          <w:sz w:val="22"/>
          <w:szCs w:val="22"/>
        </w:rPr>
        <w:t xml:space="preserve">- платежи в погашение полученных членами  кооператива займов страхуются таким образом, что в случае смерти члена программы кооператив выплачивает непогашенный остаток займа;  </w:t>
      </w:r>
      <w:r w:rsidRPr="004D0CED">
        <w:rPr>
          <w:i/>
          <w:sz w:val="22"/>
          <w:szCs w:val="22"/>
        </w:rPr>
        <w:t>Программа защиты членов (ПЗЧ) -</w:t>
      </w:r>
      <w:r w:rsidRPr="004D0CED">
        <w:rPr>
          <w:sz w:val="22"/>
          <w:szCs w:val="22"/>
        </w:rPr>
        <w:t xml:space="preserve"> факультативная программа страхования членов с помощью страховой премии в зависимости от возраста и суммы страхового полиса.  В случае наступления смерти бенефициары получают сумму покрытия страхового полиса;  </w:t>
      </w:r>
      <w:r w:rsidRPr="004D0CED">
        <w:rPr>
          <w:i/>
          <w:sz w:val="22"/>
          <w:szCs w:val="22"/>
        </w:rPr>
        <w:t>Программа выхода на пенсию служащих кооператива (ПВПСК)</w:t>
      </w:r>
      <w:r w:rsidRPr="004D0CED">
        <w:rPr>
          <w:sz w:val="22"/>
          <w:szCs w:val="22"/>
        </w:rPr>
        <w:t xml:space="preserve"> - ориентирована на штатных работников или служащих кооперативов или организаций самопомощи, где размер пособий зависит от страховых премий, выплачиваемых по определенной процентной ставке работодателями/кооперативом и служащим.</w:t>
      </w:r>
    </w:p>
    <w:p w:rsidR="00E9217C" w:rsidRPr="004D0CED" w:rsidRDefault="00E9217C" w:rsidP="009870AE">
      <w:pPr>
        <w:pStyle w:val="FootnoteText"/>
        <w:rPr>
          <w:sz w:val="22"/>
          <w:szCs w:val="22"/>
        </w:rPr>
      </w:pPr>
    </w:p>
  </w:footnote>
  <w:footnote w:id="21">
    <w:p w:rsidR="00E9217C" w:rsidRPr="006A6027" w:rsidRDefault="00E9217C" w:rsidP="00C30763">
      <w:pPr>
        <w:pStyle w:val="FootnoteText"/>
        <w:rPr>
          <w:sz w:val="22"/>
          <w:szCs w:val="22"/>
        </w:rPr>
      </w:pPr>
      <w:r w:rsidRPr="006A6027">
        <w:rPr>
          <w:rStyle w:val="FootnoteReference"/>
          <w:sz w:val="22"/>
          <w:szCs w:val="22"/>
        </w:rPr>
        <w:footnoteRef/>
      </w:r>
      <w:r w:rsidRPr="006A6027">
        <w:rPr>
          <w:sz w:val="22"/>
          <w:szCs w:val="22"/>
        </w:rPr>
        <w:t xml:space="preserve"> </w:t>
      </w:r>
      <w:r w:rsidRPr="006A6027">
        <w:rPr>
          <w:sz w:val="22"/>
          <w:szCs w:val="22"/>
        </w:rPr>
        <w:tab/>
        <w:t>В январе 2003 года президент Глория Макапагал-Арройо утвердила увеличение на один процентный пункт ставки взноса в ССО, достигшей 9,4% (существовавшая ранее ставка составляла 8,4%).  Данное решение вступило в силу в марте 2003 года.  Начиная с 2002 года размер максимального месячного страхового взноса заработной платы в программу социального страхования ССО был увеличен с 12 000 песо до 15 000 песо. Это увеличение обеспечит постепенный рост размеров пособий членам ССО и повышение ликвидности вследствие увеличения суммы сборов ССО.  Также начиная с января 2002 года ССО ввела в действие новое определение понятия засчитываемого года выслуги (ЗГВ), эквивалентного сумме выплаченных за 12</w:t>
      </w:r>
      <w:r>
        <w:rPr>
          <w:sz w:val="22"/>
          <w:szCs w:val="22"/>
        </w:rPr>
        <w:t> </w:t>
      </w:r>
      <w:r w:rsidRPr="006A6027">
        <w:rPr>
          <w:sz w:val="22"/>
          <w:szCs w:val="22"/>
        </w:rPr>
        <w:t>месяцев взносов, которое отличается от предусмотренной в предыдущем определении шестимесячной суммы взносов.  Были внесены изменения и в стратегии, касающиеся выплаты взносов.  10</w:t>
      </w:r>
      <w:r>
        <w:rPr>
          <w:sz w:val="22"/>
          <w:szCs w:val="22"/>
        </w:rPr>
        <w:t> </w:t>
      </w:r>
      <w:r w:rsidRPr="006A6027">
        <w:rPr>
          <w:sz w:val="22"/>
          <w:szCs w:val="22"/>
        </w:rPr>
        <w:t>декабря 2003 года ССО утвердила дополнительные изменения, подлежащие осуществлению в 2004 году и направленные на повышение эффективности фонда ССО, упрощение процедуры выплаты страховых взносов в ССО и процедуры управления взносами, вносимыми самозанятыми лицами (СЗЛ) и добровольными членами (ДЧ).  В июне 2001 года ССО в дополнение к своей программе установленных пособий ввела программу установленных взносов, получившую название "Флекси-фанд" ССО для работающих за рубежом филиппинцев (РЗРФ).  Программа "Флекси-фанд" оказывает помощь своим членам в накоплении добровольных сбережений для получения дополнительных средств по выходу на пенсию, в случае смерти, наступления инвалидности и прекращения действия контракта о работе по найму за границей или для удовлетворения других потребностей РЗРФ.</w:t>
      </w:r>
    </w:p>
    <w:p w:rsidR="00E9217C" w:rsidRPr="006A6027" w:rsidRDefault="00E9217C" w:rsidP="00C30763">
      <w:pPr>
        <w:pStyle w:val="FootnoteText"/>
        <w:rPr>
          <w:sz w:val="22"/>
          <w:szCs w:val="22"/>
        </w:rPr>
      </w:pPr>
    </w:p>
  </w:footnote>
  <w:footnote w:id="22">
    <w:p w:rsidR="00E9217C" w:rsidRPr="006A6027" w:rsidRDefault="00E9217C" w:rsidP="00C30763">
      <w:pPr>
        <w:pStyle w:val="FootnoteText"/>
        <w:rPr>
          <w:sz w:val="22"/>
          <w:szCs w:val="22"/>
        </w:rPr>
      </w:pPr>
      <w:r w:rsidRPr="006A6027">
        <w:rPr>
          <w:rStyle w:val="FootnoteReference"/>
          <w:sz w:val="22"/>
          <w:szCs w:val="22"/>
        </w:rPr>
        <w:footnoteRef/>
      </w:r>
      <w:r w:rsidRPr="006A6027">
        <w:rPr>
          <w:sz w:val="22"/>
          <w:szCs w:val="22"/>
        </w:rPr>
        <w:t xml:space="preserve"> </w:t>
      </w:r>
      <w:r w:rsidRPr="006A6027">
        <w:rPr>
          <w:sz w:val="22"/>
          <w:szCs w:val="22"/>
        </w:rPr>
        <w:tab/>
        <w:t>При этом также целесообразно рассмотреть рекомендации, представленные в проведенном ПРООН и МОТ исследовании  (Социальное обеспечение на Филиппинах:  альтернативные варианты и рекомендации по реформе и развитию [1996]), в частности касающиеся следующих вопросов:  пересмотр законодательства и процедур в области трудовых отношений и социального обеспечения в плане их применимости и эффективности для удовлетворения потребностей и учета обстоятельств трудящихся неформального сектора (включая лиц, работающих на дому);  идентификация и анализ систем социального обеспечения "Метро-Манила" в целях определения основы для разработки пакетов пособий, учитывающих потребности и потенциал системы самофинансирования;  проведение обзора предприятий неформального сектора и сельскохозяйственных кооперативов за пределами "Метро-Манила", которые зарегистрированы в Управлении по вопросам развития кооперативов, в целях определения и классификации тех из них, где существуют системы накопления базовых сбережений или социального обеспечения;  проведение исследования относительно целесообразности внедрения системы прямой поддержки уязвимого малоимущего населения;  определение стоимости пакетов медицинских услуг, включая первичную амбулаторную помощь, предоставляемых бенефициарам Национальной системы медицинского страхования.  В этом исследовании будет рассмотрена потенциальная возможность сокращения количества пациентов в больницах в случае обеспечения их более эффективного лечения в общинах.  В исследование также должна быть включена оценка воздействия на покупательную способность органов местного самоуправления в том случае, если выделенные на оказание первичной медицинской помощи средства будут перенаправлены в фонды медицинского страхования, что влечет за собой более высокую степень риска;  и исследование возможности финансирования системы социальной защиты трудящихся неформального и сельскохозяйственного секторов путем введения налогов на продукты и сырьевые материалы или введения специального налога.</w:t>
      </w:r>
    </w:p>
  </w:footnote>
  <w:footnote w:id="23">
    <w:p w:rsidR="00E9217C" w:rsidRPr="004D4812" w:rsidRDefault="00E9217C" w:rsidP="00F40477">
      <w:pPr>
        <w:pStyle w:val="FootnoteText"/>
        <w:rPr>
          <w:sz w:val="22"/>
          <w:szCs w:val="22"/>
        </w:rPr>
      </w:pPr>
      <w:r w:rsidRPr="004D4812">
        <w:rPr>
          <w:rStyle w:val="FootnoteReference"/>
          <w:sz w:val="22"/>
          <w:szCs w:val="22"/>
        </w:rPr>
        <w:footnoteRef/>
      </w:r>
      <w:r w:rsidRPr="004D4812">
        <w:rPr>
          <w:sz w:val="22"/>
          <w:szCs w:val="22"/>
        </w:rPr>
        <w:tab/>
        <w:t xml:space="preserve">Суды по семейным делам, создание которых планируется в каждой провинции и городе, обладают юрисдикцией по рассмотрению и вынесению решений в отношении следующих дел:  уголовных дел, в которых на момент совершения преступления один или более обвиняемых были младше 18, но не младше девяти лет или в которых одна или более жертв являлись несовершеннолетними.  Если виновным признается несовершеннолетнее лицо, суд выносит приговор и устанавливает степень ответственности обвиняемого.  Однако вынесенный приговор имеет отсрочку исполнения, как это предусмотрено в УП 603 (Кодекс законов об охране детей и молодежи);  ходатайств об опекунстве, попечении о детях, </w:t>
      </w:r>
      <w:r w:rsidRPr="004D4812">
        <w:rPr>
          <w:sz w:val="22"/>
          <w:szCs w:val="22"/>
          <w:lang w:val="en-US"/>
        </w:rPr>
        <w:t>habeas</w:t>
      </w:r>
      <w:r w:rsidRPr="004D4812">
        <w:rPr>
          <w:sz w:val="22"/>
          <w:szCs w:val="22"/>
        </w:rPr>
        <w:t xml:space="preserve"> </w:t>
      </w:r>
      <w:r w:rsidRPr="004D4812">
        <w:rPr>
          <w:sz w:val="22"/>
          <w:szCs w:val="22"/>
          <w:lang w:val="en-US"/>
        </w:rPr>
        <w:t>corpus</w:t>
      </w:r>
      <w:r w:rsidRPr="004D4812">
        <w:rPr>
          <w:i/>
          <w:sz w:val="22"/>
          <w:szCs w:val="22"/>
        </w:rPr>
        <w:t xml:space="preserve"> </w:t>
      </w:r>
      <w:r w:rsidRPr="004D4812">
        <w:rPr>
          <w:sz w:val="22"/>
          <w:szCs w:val="22"/>
        </w:rPr>
        <w:t>в связи с делом об опекунстве;  ходатайств об усыновлении/удочерении детей или его отмене;  исков о расторжении брака, объявлении недействительными брака и связанных с супружеским статусом и собственностью отношений между мужем и женой или лицами, проживающими вместе в ином статусе и по иному соглашению, а также ходатайств об аннулировании доходного партнерства супругов;  ходатайств об оказании поддержки и/или признании отцовства;  упрощенного производства по делам, возбужденным в соответствии с положениями ПР № 209 (Кодекс законов о семье Филиппин);  ходатайств об объявлении статуса детей в качестве оставленных родителями, зависимых или беспризорных;  ходатайств о добровольном или недобровольном направлении детей в специализированные учреждения;  дел о приостановлении, аннулировании или восстановлении родительских прав и других дел, подпадающих под действие УП 603, ПР № 56 серии 1986 года и других соответствующих законов;  ходатайств о создании семейного жилища;  дел, возбужденных против несовершеннолетних лиц, подпадающих под действие РЗ № 6425 (</w:t>
      </w:r>
      <w:r w:rsidRPr="004D4812">
        <w:rPr>
          <w:i/>
          <w:sz w:val="22"/>
          <w:szCs w:val="22"/>
        </w:rPr>
        <w:t>Закона о борьбе с опасными наркотическими веществами</w:t>
      </w:r>
      <w:r w:rsidRPr="004D4812">
        <w:rPr>
          <w:sz w:val="22"/>
          <w:szCs w:val="22"/>
        </w:rPr>
        <w:t>), с внесенными в него поправками;  нарушений, предусмотренных в РЗ № 7610, или Специальном законе о защите детей от насилия, эксплуатации и дискриминации с внесенными в него РЗ № 7658 поправками.</w:t>
      </w:r>
    </w:p>
  </w:footnote>
  <w:footnote w:id="24">
    <w:p w:rsidR="00E9217C" w:rsidRPr="0041263E" w:rsidRDefault="00E9217C" w:rsidP="007E2A1F">
      <w:pPr>
        <w:pStyle w:val="FootnoteText"/>
        <w:rPr>
          <w:sz w:val="22"/>
          <w:szCs w:val="22"/>
        </w:rPr>
      </w:pPr>
      <w:r w:rsidRPr="0041263E">
        <w:rPr>
          <w:rStyle w:val="FootnoteReference"/>
          <w:sz w:val="22"/>
          <w:szCs w:val="22"/>
        </w:rPr>
        <w:footnoteRef/>
      </w:r>
      <w:r w:rsidRPr="0041263E">
        <w:rPr>
          <w:sz w:val="22"/>
          <w:szCs w:val="22"/>
        </w:rPr>
        <w:t xml:space="preserve"> </w:t>
      </w:r>
      <w:r w:rsidRPr="0041263E">
        <w:rPr>
          <w:sz w:val="22"/>
          <w:szCs w:val="22"/>
        </w:rPr>
        <w:tab/>
        <w:t>Вместе с тем МСОР сохранила за своим Бюро по вопросам семейного и общинного благосостояния и развития следующие функции:  разработку программ, политики, правил, норм и стандартов, связанных с предоставлением услуг в области семейного и общинного благосостояния и развития;  разработку и управление опытными или специальными проектами для демонстрации соответствующей политики, программ, услуг, стратегий, методов, процедур и руководящих принципов до их осуществления в общенациональном масштабе;  и оценку и предоставление технической помощи и консультационных услуг в области осуществления программ в интересах оперативных подразделений и ведомств местных органов самоуправления, занимающихся вопросами социального обеспечения.</w:t>
      </w:r>
    </w:p>
    <w:p w:rsidR="00E9217C" w:rsidRPr="0041263E" w:rsidRDefault="00E9217C" w:rsidP="007E2A1F">
      <w:pPr>
        <w:pStyle w:val="FootnoteText"/>
        <w:rPr>
          <w:sz w:val="22"/>
          <w:szCs w:val="22"/>
        </w:rPr>
      </w:pPr>
    </w:p>
  </w:footnote>
  <w:footnote w:id="25">
    <w:p w:rsidR="00E9217C" w:rsidRPr="0041263E" w:rsidRDefault="00E9217C" w:rsidP="007E2A1F">
      <w:pPr>
        <w:pStyle w:val="FootnoteText"/>
        <w:rPr>
          <w:sz w:val="22"/>
          <w:szCs w:val="22"/>
        </w:rPr>
      </w:pPr>
      <w:r w:rsidRPr="0041263E">
        <w:rPr>
          <w:rStyle w:val="FootnoteReference"/>
          <w:sz w:val="22"/>
          <w:szCs w:val="22"/>
        </w:rPr>
        <w:footnoteRef/>
      </w:r>
      <w:r w:rsidRPr="0041263E">
        <w:rPr>
          <w:sz w:val="22"/>
          <w:szCs w:val="22"/>
        </w:rPr>
        <w:t xml:space="preserve"> </w:t>
      </w:r>
      <w:r w:rsidRPr="0041263E">
        <w:rPr>
          <w:sz w:val="22"/>
          <w:szCs w:val="22"/>
        </w:rPr>
        <w:tab/>
        <w:t xml:space="preserve">Эти службы включают в себя:  </w:t>
      </w:r>
      <w:r w:rsidRPr="0041263E">
        <w:rPr>
          <w:b/>
          <w:i/>
          <w:sz w:val="22"/>
          <w:szCs w:val="22"/>
        </w:rPr>
        <w:t>Службу просвещения родителей,</w:t>
      </w:r>
      <w:r w:rsidRPr="0041263E">
        <w:rPr>
          <w:sz w:val="22"/>
          <w:szCs w:val="22"/>
        </w:rPr>
        <w:t xml:space="preserve"> которая занимается организацией учебных занятий для родителей по вопросам ухода за детьми в младенческом возрасте и их воспитания, законодательства, касающегося родительских обязанностей, улучшения супружеских взаимоотношений, охраны здоровья;  </w:t>
      </w:r>
      <w:r w:rsidRPr="0041263E">
        <w:rPr>
          <w:b/>
          <w:i/>
          <w:sz w:val="22"/>
          <w:szCs w:val="22"/>
        </w:rPr>
        <w:t>Службу ответственного отношения</w:t>
      </w:r>
      <w:r w:rsidRPr="0041263E">
        <w:rPr>
          <w:sz w:val="22"/>
          <w:szCs w:val="22"/>
        </w:rPr>
        <w:t xml:space="preserve"> </w:t>
      </w:r>
      <w:r w:rsidRPr="0041263E">
        <w:rPr>
          <w:b/>
          <w:i/>
          <w:sz w:val="22"/>
          <w:szCs w:val="22"/>
        </w:rPr>
        <w:t>к выполнению родительских обязанностей</w:t>
      </w:r>
      <w:r w:rsidRPr="0041263E">
        <w:rPr>
          <w:sz w:val="22"/>
          <w:szCs w:val="22"/>
        </w:rPr>
        <w:t xml:space="preserve">, которая занимается предоставлением информации и рекомендаций отдельным лицам и парам репродуктивного возраста в отношении принятия решений и соответствующих действий по планированию семьи и интервалам между рождением детей;  </w:t>
      </w:r>
      <w:r w:rsidRPr="0041263E">
        <w:rPr>
          <w:b/>
          <w:i/>
          <w:sz w:val="22"/>
          <w:szCs w:val="22"/>
        </w:rPr>
        <w:t>Службу брачного консультирования</w:t>
      </w:r>
      <w:r w:rsidRPr="0041263E">
        <w:rPr>
          <w:sz w:val="22"/>
          <w:szCs w:val="22"/>
        </w:rPr>
        <w:t xml:space="preserve">, в круг обязанностей которой входит предоставление рекомендаций и разъяснение будущим супругам объективных реалий и обязанностей супружеской жизни, для принятия ими осмысленного решения о заключении брака.  Эта служба также занимается исследованием информации и изучением альтернатив с участием супружеских пар и принятием решений в деле урегулирования супружеских противоречий или улучшения супружеских взаимоотношений;  </w:t>
      </w:r>
      <w:r w:rsidRPr="0041263E">
        <w:rPr>
          <w:b/>
          <w:i/>
          <w:sz w:val="22"/>
          <w:szCs w:val="22"/>
        </w:rPr>
        <w:t>Службу помощи конкретным семьям</w:t>
      </w:r>
      <w:r w:rsidRPr="0041263E">
        <w:rPr>
          <w:sz w:val="22"/>
          <w:szCs w:val="22"/>
        </w:rPr>
        <w:t xml:space="preserve">, которая помогает членам семей, не имеющим возможности справится с изменением их роли в семье вследствие кризисных ситуаций, приобрести необходимые для решения проблем знания и навыки;  </w:t>
      </w:r>
      <w:r w:rsidRPr="0041263E">
        <w:rPr>
          <w:b/>
          <w:i/>
          <w:sz w:val="22"/>
          <w:szCs w:val="22"/>
        </w:rPr>
        <w:t>Специальную социальную службу для родителей-одиночек</w:t>
      </w:r>
      <w:r w:rsidRPr="0041263E">
        <w:rPr>
          <w:sz w:val="22"/>
          <w:szCs w:val="22"/>
        </w:rPr>
        <w:t>, которая занимается предоставлением рекомендаций по устранению отрицательных эмоций и чувства беспокойства, вызванных потерей или отсутствием супруга;  и</w:t>
      </w:r>
      <w:r w:rsidRPr="0041263E">
        <w:rPr>
          <w:b/>
          <w:i/>
          <w:sz w:val="22"/>
          <w:szCs w:val="22"/>
        </w:rPr>
        <w:t xml:space="preserve"> Службу содействия самостоятельной занятости</w:t>
      </w:r>
      <w:r w:rsidRPr="0041263E">
        <w:rPr>
          <w:sz w:val="22"/>
          <w:szCs w:val="22"/>
        </w:rPr>
        <w:t>, которая занимается предоставлением финансовой помощи наименее благополучным семьям, членам семей или группам для осуществления приносящих доход проектов.</w:t>
      </w:r>
    </w:p>
    <w:p w:rsidR="00E9217C" w:rsidRPr="0041263E" w:rsidRDefault="00E9217C" w:rsidP="007E2A1F">
      <w:pPr>
        <w:pStyle w:val="FootnoteText"/>
        <w:rPr>
          <w:sz w:val="22"/>
          <w:szCs w:val="22"/>
        </w:rPr>
      </w:pPr>
    </w:p>
  </w:footnote>
  <w:footnote w:id="26">
    <w:p w:rsidR="00E9217C" w:rsidRPr="0041263E" w:rsidRDefault="00E9217C" w:rsidP="007E2A1F">
      <w:pPr>
        <w:pStyle w:val="FootnoteText"/>
        <w:rPr>
          <w:sz w:val="22"/>
          <w:szCs w:val="22"/>
        </w:rPr>
      </w:pPr>
      <w:r w:rsidRPr="0041263E">
        <w:rPr>
          <w:rStyle w:val="FootnoteReference"/>
          <w:sz w:val="22"/>
          <w:szCs w:val="22"/>
        </w:rPr>
        <w:footnoteRef/>
      </w:r>
      <w:r w:rsidRPr="0041263E">
        <w:rPr>
          <w:sz w:val="22"/>
          <w:szCs w:val="22"/>
        </w:rPr>
        <w:t xml:space="preserve"> </w:t>
      </w:r>
      <w:r w:rsidRPr="0041263E">
        <w:rPr>
          <w:sz w:val="22"/>
          <w:szCs w:val="22"/>
        </w:rPr>
        <w:tab/>
        <w:t>Этим Комитетом руководит министр по социальным делам и развитию, а в его состав входят представители государственных учреждений, неправительственных организаций, гражданских и религиозных организаций, организаций, занимающихся вопросами брака и семьи, учебных заведений и групп средств массовой информации.</w:t>
      </w:r>
    </w:p>
    <w:p w:rsidR="00E9217C" w:rsidRPr="003A1ADC" w:rsidRDefault="00E9217C" w:rsidP="007E2A1F">
      <w:pPr>
        <w:pStyle w:val="FootnoteText"/>
        <w:rPr>
          <w:sz w:val="16"/>
          <w:szCs w:val="16"/>
        </w:rPr>
      </w:pPr>
    </w:p>
  </w:footnote>
  <w:footnote w:id="27">
    <w:p w:rsidR="00E9217C" w:rsidRPr="0041263E" w:rsidRDefault="00E9217C" w:rsidP="007E2A1F">
      <w:pPr>
        <w:pStyle w:val="FootnoteText"/>
        <w:rPr>
          <w:sz w:val="22"/>
          <w:szCs w:val="22"/>
        </w:rPr>
      </w:pPr>
      <w:r w:rsidRPr="0041263E">
        <w:rPr>
          <w:rStyle w:val="FootnoteReference"/>
          <w:sz w:val="22"/>
          <w:szCs w:val="22"/>
        </w:rPr>
        <w:footnoteRef/>
      </w:r>
      <w:r w:rsidRPr="0041263E">
        <w:rPr>
          <w:sz w:val="22"/>
          <w:szCs w:val="22"/>
        </w:rPr>
        <w:t xml:space="preserve"> </w:t>
      </w:r>
      <w:r w:rsidRPr="0041263E">
        <w:rPr>
          <w:sz w:val="22"/>
          <w:szCs w:val="22"/>
        </w:rPr>
        <w:tab/>
        <w:t>К числу этих программ относятся:</w:t>
      </w:r>
    </w:p>
    <w:p w:rsidR="00E9217C" w:rsidRPr="007E2A1F" w:rsidRDefault="00E9217C" w:rsidP="007E2A1F">
      <w:pPr>
        <w:pStyle w:val="FootnoteText"/>
        <w:rPr>
          <w:sz w:val="16"/>
          <w:szCs w:val="16"/>
        </w:rPr>
      </w:pPr>
    </w:p>
    <w:p w:rsidR="00E9217C" w:rsidRPr="0041263E" w:rsidRDefault="00E9217C" w:rsidP="00D12461">
      <w:pPr>
        <w:pStyle w:val="FootnoteText"/>
        <w:spacing w:line="228" w:lineRule="auto"/>
        <w:ind w:left="567"/>
        <w:rPr>
          <w:sz w:val="22"/>
          <w:szCs w:val="22"/>
        </w:rPr>
      </w:pPr>
      <w:r w:rsidRPr="0041263E">
        <w:rPr>
          <w:i/>
          <w:sz w:val="22"/>
          <w:szCs w:val="22"/>
        </w:rPr>
        <w:t xml:space="preserve">Служба по обеспечению ухода за детьми и передаче детей на воспитание </w:t>
      </w:r>
      <w:r w:rsidRPr="0041263E">
        <w:rPr>
          <w:sz w:val="22"/>
          <w:szCs w:val="22"/>
        </w:rPr>
        <w:t>- предоставляет родительскую опеку на временной или постоянной основе брошенным детям, детям, подвергающимся насилию, сиротам или детям с особыми потребностями.</w:t>
      </w:r>
    </w:p>
    <w:p w:rsidR="00E9217C" w:rsidRPr="007E2A1F" w:rsidRDefault="00E9217C" w:rsidP="007E2A1F">
      <w:pPr>
        <w:pStyle w:val="FootnoteText"/>
        <w:rPr>
          <w:sz w:val="16"/>
          <w:szCs w:val="16"/>
        </w:rPr>
      </w:pPr>
    </w:p>
    <w:p w:rsidR="00E9217C" w:rsidRPr="0041263E" w:rsidRDefault="00E9217C" w:rsidP="00D12461">
      <w:pPr>
        <w:pStyle w:val="FootnoteText"/>
        <w:spacing w:line="228" w:lineRule="auto"/>
        <w:ind w:left="567"/>
        <w:rPr>
          <w:sz w:val="22"/>
          <w:szCs w:val="22"/>
        </w:rPr>
      </w:pPr>
      <w:r w:rsidRPr="0041263E">
        <w:rPr>
          <w:i/>
          <w:sz w:val="22"/>
          <w:szCs w:val="22"/>
        </w:rPr>
        <w:t>Дневные центры по уходу за детьми -</w:t>
      </w:r>
      <w:r w:rsidRPr="0041263E">
        <w:rPr>
          <w:sz w:val="22"/>
          <w:szCs w:val="22"/>
        </w:rPr>
        <w:t xml:space="preserve"> в ведении МСОР находятся детские центры по всей стране, которые посещают почти 2 млн. дошкольников, что позволяет их матерям иметь постоянную работу.</w:t>
      </w:r>
    </w:p>
    <w:p w:rsidR="00E9217C" w:rsidRPr="007E2A1F" w:rsidRDefault="00E9217C" w:rsidP="006F0BCF">
      <w:pPr>
        <w:pStyle w:val="FootnoteText"/>
        <w:ind w:left="567"/>
        <w:rPr>
          <w:sz w:val="16"/>
          <w:szCs w:val="16"/>
        </w:rPr>
      </w:pPr>
    </w:p>
    <w:p w:rsidR="00E9217C" w:rsidRPr="0041263E" w:rsidRDefault="00E9217C" w:rsidP="00D12461">
      <w:pPr>
        <w:pStyle w:val="FootnoteText"/>
        <w:spacing w:line="228" w:lineRule="auto"/>
        <w:ind w:left="567"/>
        <w:rPr>
          <w:sz w:val="22"/>
          <w:szCs w:val="22"/>
        </w:rPr>
      </w:pPr>
      <w:r w:rsidRPr="0041263E">
        <w:rPr>
          <w:i/>
          <w:sz w:val="22"/>
          <w:szCs w:val="22"/>
        </w:rPr>
        <w:t>Служба защиты детей -</w:t>
      </w:r>
      <w:r w:rsidRPr="0041263E">
        <w:rPr>
          <w:sz w:val="22"/>
          <w:szCs w:val="22"/>
        </w:rPr>
        <w:t xml:space="preserve"> оказывает безотлагательную помощь брошенным, безнадзорным, подвергающимся насилию или эксплуатируемым детям для предотвращения дальнейшего насилия или эксплуатации и оказания помощи детям и их семьям в преодолении последствий пережитого.  </w:t>
      </w:r>
    </w:p>
    <w:p w:rsidR="00E9217C" w:rsidRPr="007E2A1F" w:rsidRDefault="00E9217C" w:rsidP="006F0BCF">
      <w:pPr>
        <w:pStyle w:val="FootnoteText"/>
        <w:ind w:left="567"/>
        <w:rPr>
          <w:sz w:val="16"/>
          <w:szCs w:val="16"/>
        </w:rPr>
      </w:pPr>
    </w:p>
    <w:p w:rsidR="00E9217C" w:rsidRDefault="00E9217C" w:rsidP="00D12461">
      <w:pPr>
        <w:pStyle w:val="FootnoteText"/>
        <w:spacing w:line="228" w:lineRule="auto"/>
        <w:ind w:left="567"/>
        <w:rPr>
          <w:sz w:val="22"/>
          <w:szCs w:val="22"/>
        </w:rPr>
      </w:pPr>
      <w:r w:rsidRPr="0041263E">
        <w:rPr>
          <w:i/>
          <w:sz w:val="22"/>
          <w:szCs w:val="22"/>
        </w:rPr>
        <w:t xml:space="preserve">Проект по привитию навыков здорового образа жизни с детских лет - </w:t>
      </w:r>
      <w:r w:rsidRPr="0041263E">
        <w:rPr>
          <w:sz w:val="22"/>
          <w:szCs w:val="22"/>
        </w:rPr>
        <w:t>осуществляемая на уровне общин превентивная стратегия, направленная на расширение навыков семьи в преодолении трудностей, поощрение позитивных родительских навыков и развитие позитивных взаимоотношений между родителями и детьми, а также обеспечение оптимального развития ребенка.</w:t>
      </w:r>
    </w:p>
    <w:p w:rsidR="00E9217C" w:rsidRPr="006F0BCF" w:rsidRDefault="00E9217C" w:rsidP="006F0BCF">
      <w:pPr>
        <w:pStyle w:val="FootnoteText"/>
        <w:ind w:left="567"/>
        <w:rPr>
          <w:sz w:val="16"/>
          <w:szCs w:val="16"/>
        </w:rPr>
      </w:pPr>
    </w:p>
    <w:p w:rsidR="00E9217C" w:rsidRDefault="00E9217C" w:rsidP="00D12461">
      <w:pPr>
        <w:pStyle w:val="FootnoteText"/>
        <w:spacing w:line="228" w:lineRule="auto"/>
        <w:ind w:left="567"/>
        <w:rPr>
          <w:sz w:val="22"/>
          <w:szCs w:val="22"/>
        </w:rPr>
      </w:pPr>
      <w:r w:rsidRPr="0041263E">
        <w:rPr>
          <w:i/>
          <w:sz w:val="22"/>
          <w:szCs w:val="22"/>
        </w:rPr>
        <w:t>Специальные социальные службы для несовершеннолетних правонарушителей -</w:t>
      </w:r>
      <w:r w:rsidRPr="0041263E">
        <w:rPr>
          <w:sz w:val="22"/>
          <w:szCs w:val="22"/>
        </w:rPr>
        <w:t xml:space="preserve"> программа, ориентированная на несовершеннолетних правонарушителей, получивших условные сроки наказания, и имеющая целью оказание им и их семьям помощи в реабилитации и реинтеграции несовершеннолетних правонарушителей в общество.</w:t>
      </w:r>
    </w:p>
    <w:p w:rsidR="00E9217C" w:rsidRPr="007E2A1F" w:rsidRDefault="00E9217C" w:rsidP="006F0BCF">
      <w:pPr>
        <w:pStyle w:val="FootnoteText"/>
        <w:ind w:left="567"/>
        <w:rPr>
          <w:sz w:val="16"/>
          <w:szCs w:val="16"/>
        </w:rPr>
      </w:pPr>
    </w:p>
    <w:p w:rsidR="00E9217C" w:rsidRPr="0041263E" w:rsidRDefault="00E9217C" w:rsidP="00D12461">
      <w:pPr>
        <w:pStyle w:val="FootnoteText"/>
        <w:spacing w:line="228" w:lineRule="auto"/>
        <w:ind w:left="567"/>
        <w:rPr>
          <w:sz w:val="22"/>
          <w:szCs w:val="22"/>
        </w:rPr>
      </w:pPr>
      <w:r w:rsidRPr="0041263E">
        <w:rPr>
          <w:i/>
          <w:sz w:val="22"/>
          <w:szCs w:val="22"/>
        </w:rPr>
        <w:t xml:space="preserve">Раннее обнаружение инвалидности у детей и принятие соответствующих мер - </w:t>
      </w:r>
      <w:r w:rsidRPr="0041263E">
        <w:rPr>
          <w:sz w:val="22"/>
          <w:szCs w:val="22"/>
        </w:rPr>
        <w:t>программа оказания помощи родителям в выявлении инвалидности у детей на ранних стадиях и принятие мер в целях сокращения риска возникновения вторичных проблем.</w:t>
      </w:r>
    </w:p>
    <w:p w:rsidR="00E9217C" w:rsidRPr="00043368" w:rsidRDefault="00E9217C" w:rsidP="006F0BCF">
      <w:pPr>
        <w:pStyle w:val="FootnoteText"/>
        <w:ind w:left="567"/>
        <w:rPr>
          <w:sz w:val="16"/>
          <w:szCs w:val="16"/>
        </w:rPr>
      </w:pPr>
    </w:p>
    <w:p w:rsidR="00E9217C" w:rsidRPr="0041263E" w:rsidRDefault="00E9217C" w:rsidP="00D12461">
      <w:pPr>
        <w:pStyle w:val="FootnoteText"/>
        <w:spacing w:line="228" w:lineRule="auto"/>
        <w:ind w:left="567"/>
        <w:rPr>
          <w:sz w:val="22"/>
          <w:szCs w:val="22"/>
        </w:rPr>
      </w:pPr>
      <w:r w:rsidRPr="0041263E">
        <w:rPr>
          <w:i/>
          <w:sz w:val="22"/>
          <w:szCs w:val="22"/>
        </w:rPr>
        <w:t>Программа по предотвращению наркомании в семье -</w:t>
      </w:r>
      <w:r w:rsidRPr="0041263E">
        <w:rPr>
          <w:sz w:val="22"/>
          <w:szCs w:val="22"/>
        </w:rPr>
        <w:t xml:space="preserve"> проводимая на базе общин профилактическая программа, направленная на просвещение семей и их членов в вопросах, касающихся опасности употребления наркотиков.  Она включает проведение мероприятий по улучшению качества семейной жизни для сплочения, укрепления и развития гармоничных отношений между членами семьи.  Она также направлена на развитие жизненных навыков и навыков воспитания детей для предотвращения наркомании в семье.</w:t>
      </w:r>
    </w:p>
    <w:p w:rsidR="00E9217C" w:rsidRPr="00043368" w:rsidRDefault="00E9217C" w:rsidP="006F0BCF">
      <w:pPr>
        <w:pStyle w:val="FootnoteText"/>
        <w:ind w:left="567"/>
        <w:rPr>
          <w:sz w:val="16"/>
          <w:szCs w:val="16"/>
        </w:rPr>
      </w:pPr>
    </w:p>
    <w:p w:rsidR="00E9217C" w:rsidRPr="0041263E" w:rsidRDefault="00E9217C" w:rsidP="00D12461">
      <w:pPr>
        <w:pStyle w:val="FootnoteText"/>
        <w:spacing w:line="228" w:lineRule="auto"/>
        <w:ind w:left="567"/>
        <w:rPr>
          <w:sz w:val="22"/>
          <w:szCs w:val="22"/>
        </w:rPr>
      </w:pPr>
      <w:r w:rsidRPr="0041263E">
        <w:rPr>
          <w:i/>
          <w:sz w:val="22"/>
          <w:szCs w:val="22"/>
        </w:rPr>
        <w:t xml:space="preserve">Уход в суррогатных семьях - </w:t>
      </w:r>
      <w:r w:rsidRPr="0041263E">
        <w:rPr>
          <w:sz w:val="22"/>
          <w:szCs w:val="22"/>
        </w:rPr>
        <w:t>служба по удовлетворению потребностей инвалидов, включая детей и пожилых лиц, в опекунском уходе и реабилитации с помощью предоставления услуг по месту жительства и в рамках специализированных центров по уходу.</w:t>
      </w:r>
    </w:p>
    <w:p w:rsidR="00E9217C" w:rsidRPr="0041263E" w:rsidRDefault="00E9217C" w:rsidP="007E2A1F">
      <w:pPr>
        <w:pStyle w:val="FootnoteText"/>
        <w:rPr>
          <w:sz w:val="22"/>
          <w:szCs w:val="22"/>
        </w:rPr>
      </w:pPr>
    </w:p>
  </w:footnote>
  <w:footnote w:id="28">
    <w:p w:rsidR="00E9217C" w:rsidRPr="00F4101B" w:rsidRDefault="00E9217C" w:rsidP="003C04F3">
      <w:pPr>
        <w:pStyle w:val="FootnoteText"/>
        <w:rPr>
          <w:sz w:val="22"/>
          <w:szCs w:val="22"/>
        </w:rPr>
      </w:pPr>
      <w:r w:rsidRPr="00F4101B">
        <w:rPr>
          <w:rStyle w:val="FootnoteReference"/>
          <w:sz w:val="22"/>
          <w:szCs w:val="22"/>
        </w:rPr>
        <w:footnoteRef/>
      </w:r>
      <w:r w:rsidRPr="00F4101B">
        <w:rPr>
          <w:sz w:val="22"/>
          <w:szCs w:val="22"/>
        </w:rPr>
        <w:t xml:space="preserve"> </w:t>
      </w:r>
      <w:r w:rsidRPr="00F4101B">
        <w:rPr>
          <w:sz w:val="22"/>
          <w:szCs w:val="22"/>
        </w:rPr>
        <w:tab/>
        <w:t>Недавно МСОР представила следующие программы:</w:t>
      </w:r>
    </w:p>
    <w:p w:rsidR="00E9217C" w:rsidRPr="00043368" w:rsidRDefault="00E9217C" w:rsidP="003C04F3">
      <w:pPr>
        <w:pStyle w:val="FootnoteText"/>
        <w:rPr>
          <w:sz w:val="16"/>
          <w:szCs w:val="16"/>
        </w:rPr>
      </w:pPr>
    </w:p>
    <w:p w:rsidR="00E9217C" w:rsidRPr="00F4101B" w:rsidRDefault="00E9217C" w:rsidP="003C04F3">
      <w:pPr>
        <w:pStyle w:val="FootnoteText"/>
        <w:rPr>
          <w:sz w:val="22"/>
          <w:szCs w:val="22"/>
        </w:rPr>
      </w:pPr>
      <w:r w:rsidRPr="00F4101B">
        <w:rPr>
          <w:b/>
          <w:i/>
          <w:sz w:val="22"/>
          <w:szCs w:val="22"/>
        </w:rPr>
        <w:t xml:space="preserve">Обеспечение ухода за детьми работающих матерей в ночное время </w:t>
      </w:r>
      <w:r w:rsidRPr="00F4101B">
        <w:rPr>
          <w:sz w:val="22"/>
          <w:szCs w:val="22"/>
        </w:rPr>
        <w:t>- предоставление родительского ухода за маленькими детьми (от трех месяцев до шести лет) на то время, когда их матери/родители работают в ночное время и не имеют возможности заботиться о своих детях.  Эта программа является профилактической мерой по ликвидации насилия в отношении малолетних детей и их безнадзорности.  Она также позволяет матерям соглашаться на работу в ночную смену без ущерба для выполнения своих материнских обязанностей и, таким образом, дает им возможность продуктивно трудиться.  Этот проект был вначале апробирован в Тэйтэй, Резаль, в рамках которого такое обслуживание предоставлялось 25 детям 18 матерей, работавших на фабриках в 1999 году.  Этот проект позднее был принят в Бинангонане и городах Санта-Ризале и Танауан, Батангас.</w:t>
      </w:r>
    </w:p>
    <w:p w:rsidR="00E9217C" w:rsidRPr="00043368" w:rsidRDefault="00E9217C" w:rsidP="003C04F3">
      <w:pPr>
        <w:pStyle w:val="FootnoteText"/>
        <w:rPr>
          <w:sz w:val="16"/>
          <w:szCs w:val="16"/>
        </w:rPr>
      </w:pPr>
    </w:p>
    <w:p w:rsidR="00E9217C" w:rsidRPr="00F4101B" w:rsidRDefault="00E9217C" w:rsidP="003C04F3">
      <w:pPr>
        <w:pStyle w:val="FootnoteText"/>
        <w:rPr>
          <w:b/>
          <w:i/>
          <w:sz w:val="22"/>
          <w:szCs w:val="22"/>
        </w:rPr>
      </w:pPr>
      <w:r w:rsidRPr="00F4101B">
        <w:rPr>
          <w:b/>
          <w:i/>
          <w:sz w:val="22"/>
          <w:szCs w:val="22"/>
        </w:rPr>
        <w:t xml:space="preserve">Комплексные центры дневного обслуживания для граждан пожилого возраста и детей </w:t>
      </w:r>
      <w:r w:rsidRPr="00F4101B">
        <w:rPr>
          <w:sz w:val="22"/>
          <w:szCs w:val="22"/>
        </w:rPr>
        <w:t xml:space="preserve">- эта программа предоставляет комплексные социальные услуги лицам пожилого возраста, дошкольникам, подросткам и их родителям путем использования подходов, ориентированных на установление отношений между людьми различных поколений, и стратегий, уменьшающих разрыв между поколениями.  Апробирование этого проекта проходило в </w:t>
      </w:r>
      <w:r w:rsidRPr="00F4101B">
        <w:rPr>
          <w:b/>
          <w:i/>
          <w:sz w:val="22"/>
          <w:szCs w:val="22"/>
        </w:rPr>
        <w:t>Комплексном дневном центре для граждан старшего возраста и их детей им. Нептали Гонзалеса в городе Мандалуйонг.</w:t>
      </w:r>
    </w:p>
    <w:p w:rsidR="00E9217C" w:rsidRPr="00043368" w:rsidRDefault="00E9217C" w:rsidP="003C04F3">
      <w:pPr>
        <w:pStyle w:val="FootnoteText"/>
        <w:rPr>
          <w:sz w:val="16"/>
          <w:szCs w:val="16"/>
        </w:rPr>
      </w:pPr>
    </w:p>
    <w:p w:rsidR="00E9217C" w:rsidRPr="00F4101B" w:rsidRDefault="00E9217C" w:rsidP="003C04F3">
      <w:pPr>
        <w:pStyle w:val="FootnoteText"/>
        <w:rPr>
          <w:sz w:val="22"/>
          <w:szCs w:val="22"/>
        </w:rPr>
      </w:pPr>
      <w:r w:rsidRPr="00F4101B">
        <w:rPr>
          <w:i/>
          <w:sz w:val="22"/>
          <w:szCs w:val="22"/>
        </w:rPr>
        <w:t xml:space="preserve">Программа защитного поведения </w:t>
      </w:r>
      <w:r w:rsidRPr="00F4101B">
        <w:rPr>
          <w:sz w:val="22"/>
          <w:szCs w:val="22"/>
        </w:rPr>
        <w:t>- образовательная программа, в рамках которой проводится обучение/расширяются возможности и потенциал детей и взрослых по принятию мер безопасности в связи с сексуальными надругательствами.</w:t>
      </w:r>
    </w:p>
    <w:p w:rsidR="00E9217C" w:rsidRPr="00043368" w:rsidRDefault="00E9217C" w:rsidP="003C04F3">
      <w:pPr>
        <w:pStyle w:val="FootnoteText"/>
        <w:rPr>
          <w:sz w:val="16"/>
          <w:szCs w:val="16"/>
        </w:rPr>
      </w:pPr>
    </w:p>
    <w:p w:rsidR="00E9217C" w:rsidRPr="00F4101B" w:rsidRDefault="00E9217C" w:rsidP="003C04F3">
      <w:pPr>
        <w:spacing w:line="240" w:lineRule="auto"/>
        <w:rPr>
          <w:sz w:val="22"/>
          <w:szCs w:val="22"/>
        </w:rPr>
      </w:pPr>
      <w:r w:rsidRPr="00F4101B">
        <w:rPr>
          <w:b/>
          <w:i/>
          <w:sz w:val="22"/>
          <w:szCs w:val="22"/>
        </w:rPr>
        <w:t xml:space="preserve">Тулонг Арал Валанг Сагабал - </w:t>
      </w:r>
      <w:r w:rsidRPr="00F4101B">
        <w:rPr>
          <w:sz w:val="22"/>
          <w:szCs w:val="22"/>
        </w:rPr>
        <w:t>программа предоставления дневного ухода детям-инвалидам в возрасте от 3 до 6 лет.  С 2002 года этот проект осуществляется в 21 провинции, 19 городах и 851 </w:t>
      </w:r>
      <w:r w:rsidRPr="00F4101B">
        <w:rPr>
          <w:i/>
          <w:sz w:val="22"/>
          <w:szCs w:val="22"/>
        </w:rPr>
        <w:t>барангае</w:t>
      </w:r>
      <w:r w:rsidRPr="00F4101B">
        <w:rPr>
          <w:sz w:val="22"/>
          <w:szCs w:val="22"/>
        </w:rPr>
        <w:t xml:space="preserve"> по всей стране.</w:t>
      </w:r>
    </w:p>
    <w:p w:rsidR="00E9217C" w:rsidRPr="00043368" w:rsidRDefault="00E9217C" w:rsidP="003C04F3">
      <w:pPr>
        <w:spacing w:line="240" w:lineRule="auto"/>
        <w:rPr>
          <w:sz w:val="16"/>
          <w:szCs w:val="16"/>
        </w:rPr>
      </w:pPr>
    </w:p>
    <w:p w:rsidR="00E9217C" w:rsidRPr="00F4101B" w:rsidRDefault="00E9217C" w:rsidP="003C04F3">
      <w:pPr>
        <w:spacing w:line="240" w:lineRule="auto"/>
        <w:rPr>
          <w:sz w:val="22"/>
          <w:szCs w:val="22"/>
        </w:rPr>
      </w:pPr>
      <w:r w:rsidRPr="00F4101B">
        <w:rPr>
          <w:i/>
          <w:sz w:val="22"/>
          <w:szCs w:val="22"/>
        </w:rPr>
        <w:t>Воспитание</w:t>
      </w:r>
      <w:r w:rsidRPr="00F4101B">
        <w:rPr>
          <w:sz w:val="22"/>
          <w:szCs w:val="22"/>
        </w:rPr>
        <w:t xml:space="preserve"> </w:t>
      </w:r>
      <w:r w:rsidRPr="00F4101B">
        <w:rPr>
          <w:i/>
          <w:sz w:val="22"/>
          <w:szCs w:val="22"/>
        </w:rPr>
        <w:t xml:space="preserve">здоровых детей - </w:t>
      </w:r>
      <w:r w:rsidRPr="00F4101B">
        <w:rPr>
          <w:sz w:val="22"/>
          <w:szCs w:val="22"/>
        </w:rPr>
        <w:t>в рамках этой программы осуществляется учебный курс для лиц, ухаживающих за детьми с момента рождения до трех лет.</w:t>
      </w:r>
    </w:p>
    <w:p w:rsidR="00E9217C" w:rsidRPr="00043368" w:rsidRDefault="00E9217C" w:rsidP="003C04F3">
      <w:pPr>
        <w:spacing w:line="240" w:lineRule="auto"/>
        <w:rPr>
          <w:sz w:val="16"/>
          <w:szCs w:val="16"/>
        </w:rPr>
      </w:pPr>
    </w:p>
    <w:p w:rsidR="00E9217C" w:rsidRPr="00F4101B" w:rsidRDefault="00E9217C" w:rsidP="003A1ADC">
      <w:pPr>
        <w:spacing w:line="235" w:lineRule="auto"/>
        <w:rPr>
          <w:sz w:val="22"/>
          <w:szCs w:val="22"/>
        </w:rPr>
      </w:pPr>
      <w:r w:rsidRPr="00F4101B">
        <w:rPr>
          <w:b/>
          <w:i/>
          <w:sz w:val="22"/>
          <w:szCs w:val="22"/>
        </w:rPr>
        <w:t>Национальная программа предупреждения насилия в семье -</w:t>
      </w:r>
      <w:r w:rsidRPr="00F4101B">
        <w:rPr>
          <w:sz w:val="22"/>
          <w:szCs w:val="22"/>
        </w:rPr>
        <w:t xml:space="preserve"> стратегия на базе общин по обучению членов семьи способам защиты от насилия в контексте семейных отношений.  Она мобилизует общины и межучрежденческие структуры на объединение усилий по поддержке семей, подвергающихся риску насилия в семье, путем организации и укрепления </w:t>
      </w:r>
      <w:r w:rsidRPr="00F4101B">
        <w:rPr>
          <w:i/>
          <w:sz w:val="22"/>
          <w:szCs w:val="22"/>
        </w:rPr>
        <w:t>Советов по защите детей и Советов по делам семей в барангаях</w:t>
      </w:r>
      <w:r w:rsidRPr="00F4101B">
        <w:rPr>
          <w:sz w:val="22"/>
          <w:szCs w:val="22"/>
        </w:rPr>
        <w:t xml:space="preserve">, подготовки семейных адвокатов/специалистов по наблюдению за положением в семьях, оказание поддержки жертвам насилия со стороны других семей, а также подготовки членов </w:t>
      </w:r>
      <w:r w:rsidRPr="00F4101B">
        <w:rPr>
          <w:i/>
          <w:sz w:val="22"/>
          <w:szCs w:val="22"/>
        </w:rPr>
        <w:t xml:space="preserve">Katarungang Pambarangay </w:t>
      </w:r>
      <w:r w:rsidRPr="00F4101B">
        <w:rPr>
          <w:sz w:val="22"/>
          <w:szCs w:val="22"/>
        </w:rPr>
        <w:t>к выполнению посреднических функций по примирению в случаях насилия в семье посредством проведения общих конференций по вопросам семьи.</w:t>
      </w:r>
    </w:p>
    <w:p w:rsidR="00E9217C" w:rsidRPr="00043368" w:rsidRDefault="00E9217C" w:rsidP="003C04F3">
      <w:pPr>
        <w:spacing w:line="240" w:lineRule="auto"/>
        <w:rPr>
          <w:sz w:val="16"/>
          <w:szCs w:val="16"/>
        </w:rPr>
      </w:pPr>
    </w:p>
    <w:p w:rsidR="00E9217C" w:rsidRPr="00F4101B" w:rsidRDefault="00E9217C" w:rsidP="003A1ADC">
      <w:pPr>
        <w:spacing w:line="235" w:lineRule="auto"/>
        <w:rPr>
          <w:sz w:val="22"/>
          <w:szCs w:val="22"/>
        </w:rPr>
      </w:pPr>
      <w:r w:rsidRPr="00F4101B">
        <w:rPr>
          <w:b/>
          <w:i/>
          <w:sz w:val="22"/>
          <w:szCs w:val="22"/>
        </w:rPr>
        <w:t xml:space="preserve">Службы оказания помощи пожилым людям со стороны соседей - </w:t>
      </w:r>
      <w:r w:rsidRPr="00F4101B">
        <w:rPr>
          <w:sz w:val="22"/>
          <w:szCs w:val="22"/>
        </w:rPr>
        <w:t>осуществляемый на базе общины проект по предоставлению необходимых услуг пожилым лицам на дому, независимо от их состояния и условий жизни.  Этот проект был апробирован в районах VI, XI и АРК.</w:t>
      </w:r>
    </w:p>
    <w:p w:rsidR="00E9217C" w:rsidRPr="00043368" w:rsidRDefault="00E9217C" w:rsidP="003C04F3">
      <w:pPr>
        <w:spacing w:line="240" w:lineRule="auto"/>
        <w:rPr>
          <w:sz w:val="16"/>
          <w:szCs w:val="16"/>
        </w:rPr>
      </w:pPr>
    </w:p>
    <w:p w:rsidR="00E9217C" w:rsidRPr="00F4101B" w:rsidRDefault="00E9217C" w:rsidP="003A1ADC">
      <w:pPr>
        <w:spacing w:line="235" w:lineRule="auto"/>
        <w:rPr>
          <w:sz w:val="22"/>
          <w:szCs w:val="22"/>
        </w:rPr>
      </w:pPr>
      <w:r w:rsidRPr="00F4101B">
        <w:rPr>
          <w:b/>
          <w:i/>
          <w:sz w:val="22"/>
          <w:szCs w:val="22"/>
        </w:rPr>
        <w:t xml:space="preserve">Недопущение унижающего достоинство обращения в отношении коренных народов - </w:t>
      </w:r>
      <w:r w:rsidRPr="00F4101B">
        <w:rPr>
          <w:sz w:val="22"/>
          <w:szCs w:val="22"/>
        </w:rPr>
        <w:t>программа наращивания потенциала, направленная на повышение чувства самоуважения коренных народов, привлечение внимания к необходимости сохранения их культуры и укрепления системы жизненных ценностей.  Этот проект в настоящее время осуществляется на экспериментальной основе в Ламитане, Басилане и городе Замбоанга.</w:t>
      </w:r>
    </w:p>
    <w:p w:rsidR="00E9217C" w:rsidRPr="00043368" w:rsidRDefault="00E9217C" w:rsidP="003C04F3">
      <w:pPr>
        <w:spacing w:line="240" w:lineRule="auto"/>
        <w:rPr>
          <w:sz w:val="16"/>
          <w:szCs w:val="16"/>
        </w:rPr>
      </w:pPr>
    </w:p>
    <w:p w:rsidR="00E9217C" w:rsidRPr="00F4101B" w:rsidRDefault="00E9217C" w:rsidP="003A1ADC">
      <w:pPr>
        <w:spacing w:line="235" w:lineRule="auto"/>
        <w:rPr>
          <w:sz w:val="22"/>
          <w:szCs w:val="22"/>
        </w:rPr>
      </w:pPr>
      <w:r w:rsidRPr="00F4101B">
        <w:rPr>
          <w:b/>
          <w:i/>
          <w:sz w:val="22"/>
          <w:szCs w:val="22"/>
        </w:rPr>
        <w:t xml:space="preserve">Специальные мастерские/рабочие центры для лиц с умственными недостатками - </w:t>
      </w:r>
      <w:r w:rsidRPr="00F4101B">
        <w:rPr>
          <w:sz w:val="22"/>
          <w:szCs w:val="22"/>
        </w:rPr>
        <w:t>предприятия, позволяющие реализовать надежды инвалидов на экономическую самообеспеченность.  Этот проект был апробирован в городе Давао, район VIII (Таклобан) и АРК (Багуйо).  В 2001 году в рамках этого проекта были оказаны услуги 60 психически неполноценным лицам.</w:t>
      </w:r>
    </w:p>
    <w:p w:rsidR="00E9217C" w:rsidRPr="00043368" w:rsidRDefault="00E9217C" w:rsidP="003C04F3">
      <w:pPr>
        <w:spacing w:line="240" w:lineRule="auto"/>
        <w:rPr>
          <w:sz w:val="16"/>
          <w:szCs w:val="16"/>
        </w:rPr>
      </w:pPr>
    </w:p>
    <w:p w:rsidR="00E9217C" w:rsidRPr="00F4101B" w:rsidRDefault="00E9217C" w:rsidP="003A1ADC">
      <w:pPr>
        <w:spacing w:line="235" w:lineRule="auto"/>
        <w:rPr>
          <w:sz w:val="22"/>
          <w:szCs w:val="22"/>
        </w:rPr>
      </w:pPr>
      <w:r w:rsidRPr="00F4101B">
        <w:rPr>
          <w:b/>
          <w:i/>
          <w:sz w:val="22"/>
          <w:szCs w:val="22"/>
        </w:rPr>
        <w:t xml:space="preserve">Радиопередача "Школа по УДРРВ" - </w:t>
      </w:r>
      <w:r w:rsidRPr="00F4101B">
        <w:rPr>
          <w:sz w:val="22"/>
          <w:szCs w:val="22"/>
        </w:rPr>
        <w:t>предоставляет важную и полезную информацию родителям, имеющим маленьких детей (от 0 до шести лет), об особенностях их развития в раннем возрасте.</w:t>
      </w:r>
    </w:p>
    <w:p w:rsidR="00E9217C" w:rsidRPr="00043368" w:rsidRDefault="00E9217C" w:rsidP="003C04F3">
      <w:pPr>
        <w:spacing w:line="240" w:lineRule="auto"/>
        <w:rPr>
          <w:sz w:val="16"/>
          <w:szCs w:val="16"/>
        </w:rPr>
      </w:pPr>
    </w:p>
    <w:p w:rsidR="00E9217C" w:rsidRPr="00F4101B" w:rsidRDefault="00E9217C" w:rsidP="003A1ADC">
      <w:pPr>
        <w:spacing w:line="235" w:lineRule="auto"/>
        <w:rPr>
          <w:sz w:val="22"/>
          <w:szCs w:val="22"/>
        </w:rPr>
      </w:pPr>
      <w:r w:rsidRPr="00F4101B">
        <w:rPr>
          <w:b/>
          <w:i/>
          <w:sz w:val="22"/>
          <w:szCs w:val="22"/>
        </w:rPr>
        <w:t xml:space="preserve">Ориентированная на детей студия по проведению расследований - </w:t>
      </w:r>
      <w:r w:rsidRPr="00F4101B">
        <w:rPr>
          <w:sz w:val="22"/>
          <w:szCs w:val="22"/>
        </w:rPr>
        <w:t>общинная структура, оказывающая помощь детям, ставшим жертвами насилия, в раскрытии фактов правонарушения при проведении предварительного или уголовного расследования и/или судебных слушаний.  Эффективность этой структуры была апробирована МСОР-РНС.</w:t>
      </w:r>
    </w:p>
    <w:p w:rsidR="00E9217C" w:rsidRPr="00043368" w:rsidRDefault="00E9217C" w:rsidP="003C04F3">
      <w:pPr>
        <w:spacing w:line="240" w:lineRule="auto"/>
        <w:rPr>
          <w:sz w:val="16"/>
          <w:szCs w:val="16"/>
        </w:rPr>
      </w:pPr>
    </w:p>
    <w:p w:rsidR="00E9217C" w:rsidRPr="00F4101B" w:rsidRDefault="00E9217C" w:rsidP="003A1ADC">
      <w:pPr>
        <w:spacing w:line="235" w:lineRule="auto"/>
        <w:rPr>
          <w:sz w:val="22"/>
          <w:szCs w:val="22"/>
        </w:rPr>
      </w:pPr>
      <w:r w:rsidRPr="00F4101B">
        <w:rPr>
          <w:b/>
          <w:i/>
          <w:sz w:val="22"/>
          <w:szCs w:val="22"/>
        </w:rPr>
        <w:t xml:space="preserve">Реабилитационная программа для беспризорных детей, злоупотребляющих наркотическими или психотропными веществами - </w:t>
      </w:r>
      <w:r w:rsidRPr="00F4101B">
        <w:rPr>
          <w:sz w:val="22"/>
          <w:szCs w:val="22"/>
        </w:rPr>
        <w:t>осуществляемая на базе приютов программа, использующая Модифицированную модель социального стресса в качестве основы для оказания помощи беспризорным детям, злоупотребляющим наркотическими или психотропными веществами, в возвращении к здоровому образу жизни и предотвращении наркомании.  Этот проект проходит апробирование в руководимом МСОР-РМС детском приюте в</w:t>
      </w:r>
      <w:r>
        <w:rPr>
          <w:sz w:val="22"/>
          <w:szCs w:val="22"/>
        </w:rPr>
        <w:t> </w:t>
      </w:r>
      <w:r w:rsidRPr="00F4101B">
        <w:rPr>
          <w:sz w:val="22"/>
          <w:szCs w:val="22"/>
        </w:rPr>
        <w:t>Алабанге, город Мантинлупа.</w:t>
      </w:r>
    </w:p>
    <w:p w:rsidR="00E9217C" w:rsidRPr="00043368" w:rsidRDefault="00E9217C" w:rsidP="003C04F3">
      <w:pPr>
        <w:spacing w:line="240" w:lineRule="auto"/>
        <w:rPr>
          <w:sz w:val="16"/>
          <w:szCs w:val="16"/>
        </w:rPr>
      </w:pPr>
    </w:p>
    <w:p w:rsidR="00E9217C" w:rsidRPr="00F4101B" w:rsidRDefault="00E9217C" w:rsidP="003A1ADC">
      <w:pPr>
        <w:spacing w:line="235" w:lineRule="auto"/>
        <w:rPr>
          <w:sz w:val="22"/>
          <w:szCs w:val="22"/>
        </w:rPr>
      </w:pPr>
      <w:r w:rsidRPr="00F4101B">
        <w:rPr>
          <w:b/>
          <w:i/>
          <w:sz w:val="22"/>
          <w:szCs w:val="22"/>
        </w:rPr>
        <w:t>Дом семейного типа для детей, находящихся в конфликте с законом, -</w:t>
      </w:r>
      <w:r w:rsidRPr="00F4101B">
        <w:rPr>
          <w:sz w:val="22"/>
          <w:szCs w:val="22"/>
        </w:rPr>
        <w:t xml:space="preserve"> оказывает поддержку детям, прошедшим программу реабилитации и по решению суда направленным либо в</w:t>
      </w:r>
      <w:r>
        <w:rPr>
          <w:sz w:val="22"/>
          <w:szCs w:val="22"/>
        </w:rPr>
        <w:t> </w:t>
      </w:r>
      <w:r w:rsidRPr="00F4101B">
        <w:rPr>
          <w:sz w:val="22"/>
          <w:szCs w:val="22"/>
        </w:rPr>
        <w:t xml:space="preserve">свои семьи, либо для ведения самостоятельной жизни, в их эмоциональной, социальной и экономической подготовке к возможной реинтеграции в общество.  Этот проект проходит апробирование в районе XI (город Давао) в партнерстве с неправительственной организацией </w:t>
      </w:r>
      <w:r w:rsidRPr="00F4101B">
        <w:rPr>
          <w:i/>
          <w:sz w:val="22"/>
          <w:szCs w:val="22"/>
        </w:rPr>
        <w:t xml:space="preserve">Бахай Калабоан, </w:t>
      </w:r>
      <w:r w:rsidRPr="00F4101B">
        <w:rPr>
          <w:sz w:val="22"/>
          <w:szCs w:val="22"/>
        </w:rPr>
        <w:t>занимающейся беспризорными детьми.</w:t>
      </w:r>
    </w:p>
    <w:p w:rsidR="00E9217C" w:rsidRPr="00043368" w:rsidRDefault="00E9217C" w:rsidP="003C04F3">
      <w:pPr>
        <w:spacing w:line="240" w:lineRule="auto"/>
        <w:rPr>
          <w:sz w:val="16"/>
          <w:szCs w:val="16"/>
        </w:rPr>
      </w:pPr>
    </w:p>
    <w:p w:rsidR="00E9217C" w:rsidRPr="00F4101B" w:rsidRDefault="00E9217C" w:rsidP="003C04F3">
      <w:pPr>
        <w:spacing w:line="240" w:lineRule="auto"/>
        <w:rPr>
          <w:sz w:val="22"/>
          <w:szCs w:val="22"/>
        </w:rPr>
      </w:pPr>
      <w:r w:rsidRPr="00F4101B">
        <w:rPr>
          <w:b/>
          <w:i/>
          <w:sz w:val="22"/>
          <w:szCs w:val="22"/>
        </w:rPr>
        <w:t xml:space="preserve">Обучение информационным технологиям детей-инвалидов, не посещающих школы </w:t>
      </w:r>
      <w:r w:rsidRPr="00F4101B">
        <w:rPr>
          <w:sz w:val="22"/>
          <w:szCs w:val="22"/>
        </w:rPr>
        <w:t>(Программа доступа к компьютеру в стране и за рубежом), - осуществляемая на уровне общины программа обучения основам компьютерной грамотности детей-инвалидов и детей, не посещающих школу, в целях расширения их возможностей в области трудоустройства.  В</w:t>
      </w:r>
      <w:r>
        <w:rPr>
          <w:sz w:val="22"/>
          <w:szCs w:val="22"/>
        </w:rPr>
        <w:t> </w:t>
      </w:r>
      <w:r w:rsidRPr="00F4101B">
        <w:rPr>
          <w:sz w:val="22"/>
          <w:szCs w:val="22"/>
        </w:rPr>
        <w:t>настоящее время действует 15 центров по информационным технологиям, организованных органами местного самоуправления.  Этот проект проходит апробирование в районах I, II, III, IV, VI, VII и АРК.</w:t>
      </w:r>
    </w:p>
    <w:p w:rsidR="00E9217C" w:rsidRPr="00043368" w:rsidRDefault="00E9217C" w:rsidP="003C04F3">
      <w:pPr>
        <w:spacing w:line="240" w:lineRule="auto"/>
        <w:rPr>
          <w:sz w:val="16"/>
          <w:szCs w:val="16"/>
        </w:rPr>
      </w:pPr>
    </w:p>
    <w:p w:rsidR="00E9217C" w:rsidRPr="00F4101B" w:rsidRDefault="00E9217C" w:rsidP="003C04F3">
      <w:pPr>
        <w:spacing w:line="240" w:lineRule="auto"/>
        <w:rPr>
          <w:sz w:val="22"/>
          <w:szCs w:val="22"/>
        </w:rPr>
      </w:pPr>
      <w:r w:rsidRPr="00F4101B">
        <w:rPr>
          <w:b/>
          <w:i/>
          <w:sz w:val="22"/>
          <w:szCs w:val="22"/>
        </w:rPr>
        <w:t>Специальный антинаркотический образовательный центр (САОЦ)</w:t>
      </w:r>
      <w:r w:rsidRPr="00F4101B">
        <w:rPr>
          <w:sz w:val="22"/>
          <w:szCs w:val="22"/>
        </w:rPr>
        <w:t xml:space="preserve"> - общинная структура, которая помогает не посещающим школу и беспризорным детям справиться с проблемами подросткового возраста, особенно с учетом их уязвимости в плане употребления наркотических и психотропных веществ.  Этот проект апробируется в двух центрах, находящихся в ведении органов местного самоуправления, в частности РНС, в городах Пасей и Легаспи.</w:t>
      </w:r>
    </w:p>
    <w:p w:rsidR="00E9217C" w:rsidRPr="00043368" w:rsidRDefault="00E9217C" w:rsidP="003C04F3">
      <w:pPr>
        <w:spacing w:line="240" w:lineRule="auto"/>
        <w:rPr>
          <w:sz w:val="16"/>
          <w:szCs w:val="16"/>
        </w:rPr>
      </w:pPr>
    </w:p>
    <w:p w:rsidR="00E9217C" w:rsidRPr="00F4101B" w:rsidRDefault="00E9217C" w:rsidP="003C04F3">
      <w:pPr>
        <w:spacing w:line="240" w:lineRule="auto"/>
        <w:rPr>
          <w:sz w:val="22"/>
          <w:szCs w:val="22"/>
        </w:rPr>
      </w:pPr>
      <w:r w:rsidRPr="00F4101B">
        <w:rPr>
          <w:b/>
          <w:i/>
          <w:sz w:val="22"/>
          <w:szCs w:val="22"/>
        </w:rPr>
        <w:t xml:space="preserve">Общинная программа реабилитации лиц, совершивших насилие в семье - </w:t>
      </w:r>
      <w:r w:rsidRPr="00F4101B">
        <w:rPr>
          <w:sz w:val="22"/>
          <w:szCs w:val="22"/>
        </w:rPr>
        <w:t>предусматривает использование различных подходов в целях восстановления социальных функций таких правонарушителей и прерывания цикла насилия в семье.  Эта программа осуществляется в соответствии с Республиканским законом № 9262 (</w:t>
      </w:r>
      <w:r w:rsidRPr="00F4101B">
        <w:rPr>
          <w:i/>
          <w:sz w:val="22"/>
          <w:szCs w:val="22"/>
        </w:rPr>
        <w:t xml:space="preserve">Закон о борьбе с насилием в отношении женщин и детей).  </w:t>
      </w:r>
      <w:r w:rsidRPr="00F4101B">
        <w:rPr>
          <w:sz w:val="22"/>
          <w:szCs w:val="22"/>
        </w:rPr>
        <w:t>Этот проект в настоящее время апробируется в районах III, IV, V и</w:t>
      </w:r>
      <w:r>
        <w:rPr>
          <w:sz w:val="22"/>
          <w:szCs w:val="22"/>
        </w:rPr>
        <w:t> </w:t>
      </w:r>
      <w:r w:rsidRPr="00F4101B">
        <w:rPr>
          <w:sz w:val="22"/>
          <w:szCs w:val="22"/>
        </w:rPr>
        <w:t>VIII, X, XI, РНС и АРК.</w:t>
      </w:r>
    </w:p>
    <w:p w:rsidR="00E9217C" w:rsidRPr="00043368" w:rsidRDefault="00E9217C" w:rsidP="003C04F3">
      <w:pPr>
        <w:spacing w:line="240" w:lineRule="auto"/>
        <w:rPr>
          <w:sz w:val="16"/>
          <w:szCs w:val="16"/>
        </w:rPr>
      </w:pPr>
    </w:p>
    <w:p w:rsidR="00E9217C" w:rsidRPr="00F4101B" w:rsidRDefault="00E9217C" w:rsidP="003C04F3">
      <w:pPr>
        <w:spacing w:line="240" w:lineRule="auto"/>
        <w:rPr>
          <w:sz w:val="22"/>
          <w:szCs w:val="22"/>
        </w:rPr>
      </w:pPr>
      <w:r w:rsidRPr="00F4101B">
        <w:rPr>
          <w:b/>
          <w:i/>
          <w:sz w:val="22"/>
          <w:szCs w:val="22"/>
        </w:rPr>
        <w:t>Специальные социальные услуги для лиц, оказавшихся в бедственном положении, </w:t>
      </w:r>
      <w:r w:rsidRPr="00F4101B">
        <w:rPr>
          <w:b/>
          <w:i/>
          <w:sz w:val="22"/>
          <w:szCs w:val="22"/>
        </w:rPr>
        <w:noBreakHyphen/>
        <w:t xml:space="preserve"> </w:t>
      </w:r>
      <w:r w:rsidRPr="00F4101B">
        <w:rPr>
          <w:sz w:val="22"/>
          <w:szCs w:val="22"/>
        </w:rPr>
        <w:t>механизм, институционализирующий скоординированные усилия по эффективному решению проблем лиц, оказавшихся в бедственном положении во время стихийных бедствий.  Эта программа осуществляется с помощью Муниципального совета по координированию действий во время стихийных бедствий - межучрежденческой муниципальной структуры.</w:t>
      </w:r>
    </w:p>
    <w:p w:rsidR="00E9217C" w:rsidRPr="00043368" w:rsidRDefault="00E9217C" w:rsidP="003C04F3">
      <w:pPr>
        <w:spacing w:line="240" w:lineRule="auto"/>
        <w:rPr>
          <w:sz w:val="16"/>
          <w:szCs w:val="16"/>
        </w:rPr>
      </w:pPr>
    </w:p>
    <w:p w:rsidR="00E9217C" w:rsidRPr="00F4101B" w:rsidRDefault="00E9217C" w:rsidP="003C04F3">
      <w:pPr>
        <w:pStyle w:val="FootnoteText"/>
        <w:rPr>
          <w:sz w:val="22"/>
          <w:szCs w:val="22"/>
        </w:rPr>
      </w:pPr>
      <w:r w:rsidRPr="00F4101B">
        <w:rPr>
          <w:b/>
          <w:i/>
          <w:sz w:val="22"/>
          <w:szCs w:val="22"/>
        </w:rPr>
        <w:t xml:space="preserve">Альянс сетей по оказанию помощи лицам, оказавшимся в бедственном положении, - </w:t>
      </w:r>
      <w:r w:rsidRPr="00F4101B">
        <w:rPr>
          <w:sz w:val="22"/>
          <w:szCs w:val="22"/>
        </w:rPr>
        <w:t>структура, занимающаяся оказанием безотлагательной помощи, включая доставку</w:t>
      </w:r>
    </w:p>
  </w:footnote>
  <w:footnote w:id="29">
    <w:p w:rsidR="00E9217C" w:rsidRPr="0076796A" w:rsidRDefault="00E9217C" w:rsidP="00043368">
      <w:pPr>
        <w:spacing w:line="240" w:lineRule="auto"/>
        <w:rPr>
          <w:sz w:val="22"/>
          <w:szCs w:val="22"/>
        </w:rPr>
      </w:pPr>
      <w:r w:rsidRPr="0076796A">
        <w:rPr>
          <w:sz w:val="22"/>
          <w:szCs w:val="22"/>
        </w:rPr>
        <w:t>продуктов питания и питьевой воды, предоставление приюта и лекарственных препаратов лицам, оказавшимся в бедственном положении в различных портах страны.</w:t>
      </w:r>
    </w:p>
    <w:p w:rsidR="00E9217C" w:rsidRPr="00043368" w:rsidRDefault="00E9217C" w:rsidP="003C04F3">
      <w:pPr>
        <w:pStyle w:val="FootnoteText"/>
        <w:spacing w:line="288" w:lineRule="auto"/>
        <w:rPr>
          <w:sz w:val="16"/>
          <w:szCs w:val="16"/>
        </w:rPr>
      </w:pPr>
    </w:p>
    <w:p w:rsidR="00E9217C" w:rsidRPr="0076796A" w:rsidRDefault="00E9217C" w:rsidP="00043368">
      <w:pPr>
        <w:spacing w:line="240" w:lineRule="auto"/>
        <w:rPr>
          <w:sz w:val="22"/>
          <w:szCs w:val="22"/>
        </w:rPr>
      </w:pPr>
      <w:r w:rsidRPr="0076796A">
        <w:rPr>
          <w:rStyle w:val="FootnoteReference"/>
          <w:sz w:val="22"/>
          <w:szCs w:val="22"/>
        </w:rPr>
        <w:footnoteRef/>
      </w:r>
      <w:r w:rsidRPr="0076796A">
        <w:rPr>
          <w:sz w:val="22"/>
          <w:szCs w:val="22"/>
        </w:rPr>
        <w:t xml:space="preserve"> </w:t>
      </w:r>
      <w:r w:rsidRPr="0076796A">
        <w:rPr>
          <w:sz w:val="22"/>
          <w:szCs w:val="22"/>
        </w:rPr>
        <w:tab/>
        <w:t>Существует три схемы их создания - в Малайзию был назначен атташе по вопросам социального обеспечения для оказания помощи в решении проблем РЗРФ, точнее - проблем депортированных лиц.  В 2004 году этот атташе оказал помощь 7 368 депортированным лицам и жертвам торговли людьми путем предоставления временного приюта, консультаций, проведения бесед в целях смягчения последствий стресса и обеспечения репатриации;  семь работников системы социального обеспечения были назначены административно-техническими помощниками атташе по трудовым вопросам в Гонконге, Сингапуре, Тайване, Дубае, Абу-Даби в ОАЭ, Джидде и Кувейте.  Эти работники смогли оказать содействие 6 256 работающим за рубежом филиппинцам, в основном домашней прислуге, ставших жертвами физического насилия и сексуальных надругательств.  РЗРФ было оказано содействие путем предоставления временного приюта, консультирования, проведения бесед в целях смягчения последствий стресса, предоставления медицинской и финансовой помощи и рекомендаций для получения помощи из других источников;  и четыре работника системы социального обеспечения были также прикомандированы к международным службам социального обеспечения в Гонконге и Японии в 2004 году.  Они оказывали услуги в области международного усыновления/удочерения, репатриации детей филиппинцев, не имеющих документов, и предоставления консультаций по межрасовым бракам.</w:t>
      </w:r>
    </w:p>
  </w:footnote>
  <w:footnote w:id="30">
    <w:p w:rsidR="00E9217C" w:rsidRPr="00C41E64" w:rsidRDefault="00E9217C" w:rsidP="00B95465">
      <w:pPr>
        <w:pStyle w:val="FootnoteText"/>
        <w:rPr>
          <w:sz w:val="22"/>
          <w:szCs w:val="22"/>
        </w:rPr>
      </w:pPr>
      <w:r w:rsidRPr="00C41E64">
        <w:rPr>
          <w:rStyle w:val="FootnoteReference"/>
          <w:sz w:val="22"/>
          <w:szCs w:val="22"/>
        </w:rPr>
        <w:footnoteRef/>
      </w:r>
      <w:r w:rsidRPr="00C41E64">
        <w:rPr>
          <w:sz w:val="22"/>
          <w:szCs w:val="22"/>
        </w:rPr>
        <w:t xml:space="preserve"> </w:t>
      </w:r>
      <w:r w:rsidRPr="00C41E64">
        <w:rPr>
          <w:sz w:val="22"/>
          <w:szCs w:val="22"/>
        </w:rPr>
        <w:tab/>
        <w:t>Этот закон строго запрещает брать на работу детей в возрасте до 15 лет, за исключением случаев, когда это делается под наблюдением родителей и когда это не отражается на их школьном образовании.  Дети, работающие в индустрии развлечений, также не подпадают под действие этого закона, если их родители получили официальное разрешение в министерстве труда, если работодатели могут обеспечить надлежащие условия для их труда и если это не отражается на их школьном образовании.  В этом законе по-новому установлены приемлемые часы работы для всех работающих детей в целях обеспечения их доступа к бесплатному и обязательному образованию, предоставляемому в государственных школах.  Согласно этому закону дети, не достигшие 15 лет и работающие в неопасных для здоровья условиях, могут трудиться не более 20 часов в неделю, или не более 4 часов в день.  Закон также ограничивает допустимое время работы детей в возрасте от 15 до 17 лет 8 часами в день, или 40 часами в неделю.  Работа детей в ночное время  – с 20.00 до 6.00 – запрещается.  Проведенное МОТ исследование показывает, что работа детей сверх этих установленных временны</w:t>
      </w:r>
      <w:r w:rsidRPr="00C41E64">
        <w:rPr>
          <w:rFonts w:ascii="Tahoma" w:hAnsi="Tahoma"/>
          <w:sz w:val="22"/>
          <w:szCs w:val="22"/>
        </w:rPr>
        <w:t></w:t>
      </w:r>
      <w:r w:rsidRPr="00C41E64">
        <w:rPr>
          <w:sz w:val="22"/>
          <w:szCs w:val="22"/>
        </w:rPr>
        <w:t>х пределов наносит ущерб общему развитию ребенка.</w:t>
      </w:r>
    </w:p>
  </w:footnote>
  <w:footnote w:id="31">
    <w:p w:rsidR="00E9217C" w:rsidRPr="00C41E64" w:rsidRDefault="00E9217C" w:rsidP="00B95465">
      <w:pPr>
        <w:pStyle w:val="FootnoteText"/>
        <w:rPr>
          <w:sz w:val="22"/>
          <w:szCs w:val="22"/>
        </w:rPr>
      </w:pPr>
      <w:r w:rsidRPr="00C41E64">
        <w:rPr>
          <w:rStyle w:val="FootnoteReference"/>
          <w:sz w:val="22"/>
          <w:szCs w:val="22"/>
        </w:rPr>
        <w:footnoteRef/>
      </w:r>
      <w:r w:rsidRPr="00C41E64">
        <w:rPr>
          <w:sz w:val="22"/>
          <w:szCs w:val="22"/>
        </w:rPr>
        <w:t xml:space="preserve"> </w:t>
      </w:r>
      <w:r w:rsidRPr="00C41E64">
        <w:rPr>
          <w:sz w:val="22"/>
          <w:szCs w:val="22"/>
        </w:rPr>
        <w:tab/>
        <w:t>Председателем и сопредседателем Комитета являются соответственно министр юстиции и министр социального обеспечения и развития, в его состав входят Председатель КПЧ, Управляющий Иммиграционного бюро, соответствующие заместители министров МТЗ, министерства по туризму, министерства внутренних дел и местного самоуправления, МИД, а также три представителя частных организаций, которые выдвигаются указанными группами и назначаются президентом.  Совет по вопросам благосостояния детей действует в качестве секретариата Комитета.</w:t>
      </w:r>
    </w:p>
  </w:footnote>
  <w:footnote w:id="32">
    <w:p w:rsidR="00E9217C" w:rsidRPr="00C41E64" w:rsidRDefault="00E9217C" w:rsidP="00B95465">
      <w:pPr>
        <w:pStyle w:val="FootnoteText"/>
        <w:rPr>
          <w:sz w:val="22"/>
          <w:szCs w:val="22"/>
        </w:rPr>
      </w:pPr>
      <w:r w:rsidRPr="00C41E64">
        <w:rPr>
          <w:rStyle w:val="FootnoteReference"/>
          <w:sz w:val="22"/>
          <w:szCs w:val="22"/>
        </w:rPr>
        <w:footnoteRef/>
      </w:r>
      <w:r w:rsidRPr="00C41E64">
        <w:rPr>
          <w:sz w:val="22"/>
          <w:szCs w:val="22"/>
        </w:rPr>
        <w:t xml:space="preserve"> </w:t>
      </w:r>
      <w:r w:rsidRPr="00C41E64">
        <w:rPr>
          <w:sz w:val="22"/>
          <w:szCs w:val="22"/>
        </w:rPr>
        <w:tab/>
        <w:t xml:space="preserve">После принятия в 2003 году Закона о борьбе с торговлей людьми был создан </w:t>
      </w:r>
      <w:r w:rsidRPr="00C41E64">
        <w:rPr>
          <w:snapToGrid w:val="0"/>
          <w:sz w:val="22"/>
          <w:szCs w:val="22"/>
        </w:rPr>
        <w:t>Межучрежденческий комитет по борьбе с торговлей людьми (МКБТЛ), в состав которого вошли восемь государственных учреждений.  МКБТЛ разработал Национальный стратегический план действий по борьбе с торговлей людьми, который служит ориентиром для принятия всеобъемлющих мер по борьбе с торговлей людьми и для защиты подвергшихся такой торговле людей.  Этот стратегический план содержит три основных компонента, а именно:  предотвращение;  защита, правоприменение и судебное преследование;  и восстановление и реинтеграция, а также предусматривает определенные стратегии.</w:t>
      </w:r>
    </w:p>
  </w:footnote>
  <w:footnote w:id="33">
    <w:p w:rsidR="00E9217C" w:rsidRPr="00AD729C" w:rsidRDefault="00E9217C" w:rsidP="002400FD">
      <w:pPr>
        <w:pStyle w:val="FootnoteText"/>
        <w:rPr>
          <w:sz w:val="22"/>
          <w:szCs w:val="22"/>
        </w:rPr>
      </w:pPr>
      <w:r w:rsidRPr="00AD729C">
        <w:rPr>
          <w:rStyle w:val="FootnoteReference"/>
          <w:sz w:val="22"/>
          <w:szCs w:val="22"/>
        </w:rPr>
        <w:footnoteRef/>
      </w:r>
      <w:r w:rsidRPr="00AD729C">
        <w:rPr>
          <w:sz w:val="22"/>
          <w:szCs w:val="22"/>
        </w:rPr>
        <w:t xml:space="preserve"> </w:t>
      </w:r>
      <w:r w:rsidRPr="00AD729C">
        <w:rPr>
          <w:sz w:val="22"/>
          <w:szCs w:val="22"/>
        </w:rPr>
        <w:tab/>
      </w:r>
      <w:r w:rsidRPr="00AD729C">
        <w:rPr>
          <w:spacing w:val="-2"/>
          <w:sz w:val="22"/>
          <w:szCs w:val="22"/>
        </w:rPr>
        <w:t xml:space="preserve">А.  </w:t>
      </w:r>
      <w:r w:rsidRPr="00AD729C">
        <w:rPr>
          <w:b/>
          <w:i/>
          <w:spacing w:val="-2"/>
          <w:sz w:val="22"/>
          <w:szCs w:val="22"/>
        </w:rPr>
        <w:t xml:space="preserve">На уровне деревенского старосты </w:t>
      </w:r>
      <w:r w:rsidRPr="00AD729C">
        <w:rPr>
          <w:spacing w:val="-2"/>
          <w:sz w:val="22"/>
          <w:szCs w:val="22"/>
        </w:rPr>
        <w:t>- 1)  возвращение собственности;  2)  выплата компенсации за причиненный ущерб;  3)  возмещение косвенных убытков;  4)  извинение в письменном или устном виде;  5)  распоряжение о предоставлении ухода, наставничестве</w:t>
      </w:r>
      <w:r w:rsidRPr="00AD729C">
        <w:rPr>
          <w:sz w:val="22"/>
          <w:szCs w:val="22"/>
        </w:rPr>
        <w:t xml:space="preserve"> и надзоре;  6)  предоставление консультаций ребенку и его семье;  7)  посещение учебных занятий, семинаров </w:t>
      </w:r>
      <w:r w:rsidRPr="00343F64">
        <w:rPr>
          <w:spacing w:val="-2"/>
          <w:sz w:val="22"/>
          <w:szCs w:val="22"/>
        </w:rPr>
        <w:t xml:space="preserve">и лекций;  8)  участие в имеющихся общинных программах, включая общественную работу на благо общины.  В.  </w:t>
      </w:r>
      <w:r w:rsidRPr="00343F64">
        <w:rPr>
          <w:b/>
          <w:i/>
          <w:spacing w:val="-2"/>
          <w:sz w:val="22"/>
          <w:szCs w:val="22"/>
        </w:rPr>
        <w:t>На уровне</w:t>
      </w:r>
      <w:r w:rsidRPr="00343F64">
        <w:rPr>
          <w:spacing w:val="-2"/>
          <w:sz w:val="22"/>
          <w:szCs w:val="22"/>
        </w:rPr>
        <w:t xml:space="preserve"> </w:t>
      </w:r>
      <w:r w:rsidRPr="00343F64">
        <w:rPr>
          <w:b/>
          <w:i/>
          <w:spacing w:val="-2"/>
          <w:sz w:val="22"/>
          <w:szCs w:val="22"/>
        </w:rPr>
        <w:t>сотрудника правоохранительного органа и прокурора</w:t>
      </w:r>
      <w:r w:rsidRPr="00343F64">
        <w:rPr>
          <w:spacing w:val="-2"/>
          <w:sz w:val="22"/>
          <w:szCs w:val="22"/>
        </w:rPr>
        <w:t xml:space="preserve"> - 1)  указанные </w:t>
      </w:r>
      <w:r w:rsidRPr="00AD729C">
        <w:rPr>
          <w:sz w:val="22"/>
          <w:szCs w:val="22"/>
        </w:rPr>
        <w:t xml:space="preserve">выше программы дивергенции;  2)  конфискация и изъятие преступно нажитого имущества и орудий преступления.  С.  </w:t>
      </w:r>
      <w:r w:rsidRPr="00AD729C">
        <w:rPr>
          <w:b/>
          <w:i/>
          <w:sz w:val="22"/>
          <w:szCs w:val="22"/>
        </w:rPr>
        <w:t>На уровне соответствующего суда</w:t>
      </w:r>
      <w:r w:rsidRPr="00AD729C">
        <w:rPr>
          <w:sz w:val="22"/>
          <w:szCs w:val="22"/>
        </w:rPr>
        <w:t xml:space="preserve"> - 1)  указанные выше программы дивергенции;  2)  письменное или устное порицание или предупреждение;  3)  штраф;  4)  оплата судебных издержек;  или </w:t>
      </w:r>
      <w:r>
        <w:rPr>
          <w:sz w:val="22"/>
          <w:szCs w:val="22"/>
        </w:rPr>
        <w:t xml:space="preserve"> </w:t>
      </w:r>
      <w:r w:rsidRPr="00AD729C">
        <w:rPr>
          <w:sz w:val="22"/>
          <w:szCs w:val="22"/>
        </w:rPr>
        <w:t>5)  попечение в условиях специализированного учреждения и содержание под стражей.</w:t>
      </w:r>
    </w:p>
  </w:footnote>
  <w:footnote w:id="34">
    <w:p w:rsidR="00E9217C" w:rsidRPr="00C812BF" w:rsidRDefault="00E9217C" w:rsidP="004878C5">
      <w:pPr>
        <w:pStyle w:val="FootnoteText"/>
        <w:rPr>
          <w:sz w:val="22"/>
          <w:szCs w:val="22"/>
        </w:rPr>
      </w:pPr>
      <w:r w:rsidRPr="00C812BF">
        <w:rPr>
          <w:rStyle w:val="FootnoteReference"/>
          <w:sz w:val="22"/>
          <w:szCs w:val="22"/>
        </w:rPr>
        <w:footnoteRef/>
      </w:r>
      <w:r w:rsidRPr="00C812BF">
        <w:rPr>
          <w:sz w:val="22"/>
          <w:szCs w:val="22"/>
        </w:rPr>
        <w:t xml:space="preserve"> </w:t>
      </w:r>
      <w:r w:rsidRPr="00C812BF">
        <w:rPr>
          <w:sz w:val="22"/>
          <w:szCs w:val="22"/>
        </w:rPr>
        <w:tab/>
        <w:t xml:space="preserve">Под показателями нищеты в настоящем разделе понимается </w:t>
      </w:r>
      <w:r w:rsidRPr="00C812BF">
        <w:rPr>
          <w:i/>
          <w:sz w:val="22"/>
          <w:szCs w:val="22"/>
        </w:rPr>
        <w:t>процентная доля семей</w:t>
      </w:r>
      <w:r w:rsidRPr="00C812BF">
        <w:rPr>
          <w:sz w:val="22"/>
          <w:szCs w:val="22"/>
        </w:rPr>
        <w:t xml:space="preserve"> с доходом ниже уровня бедности;  все показатели в настоящем документе касаются семей.</w:t>
      </w:r>
    </w:p>
    <w:p w:rsidR="00E9217C" w:rsidRPr="00C812BF" w:rsidRDefault="00E9217C" w:rsidP="004878C5">
      <w:pPr>
        <w:pStyle w:val="FootnoteText"/>
        <w:rPr>
          <w:sz w:val="22"/>
          <w:szCs w:val="22"/>
        </w:rPr>
      </w:pPr>
    </w:p>
  </w:footnote>
  <w:footnote w:id="35">
    <w:p w:rsidR="00E9217C" w:rsidRPr="00C812BF" w:rsidRDefault="00E9217C" w:rsidP="004878C5">
      <w:pPr>
        <w:pStyle w:val="FootnoteText"/>
        <w:rPr>
          <w:sz w:val="22"/>
          <w:szCs w:val="22"/>
        </w:rPr>
      </w:pPr>
      <w:r w:rsidRPr="00C812BF">
        <w:rPr>
          <w:rStyle w:val="FootnoteReference"/>
          <w:sz w:val="22"/>
          <w:szCs w:val="22"/>
        </w:rPr>
        <w:footnoteRef/>
      </w:r>
      <w:r w:rsidRPr="00C812BF">
        <w:rPr>
          <w:sz w:val="22"/>
          <w:szCs w:val="22"/>
        </w:rPr>
        <w:t xml:space="preserve"> </w:t>
      </w:r>
      <w:r w:rsidRPr="00C812BF">
        <w:rPr>
          <w:sz w:val="22"/>
          <w:szCs w:val="22"/>
        </w:rPr>
        <w:tab/>
        <w:t>Показатели нищеты официально оцениваются каждые три года, поскольку они зависят от результатов обследования в области доходов и расходов семей, которое проводится раз в три года.</w:t>
      </w:r>
    </w:p>
  </w:footnote>
  <w:footnote w:id="36">
    <w:p w:rsidR="00E9217C" w:rsidRPr="007F7433" w:rsidRDefault="00E9217C" w:rsidP="003E5D1F">
      <w:pPr>
        <w:pStyle w:val="FootnoteText"/>
        <w:rPr>
          <w:sz w:val="22"/>
          <w:szCs w:val="22"/>
        </w:rPr>
      </w:pPr>
      <w:r w:rsidRPr="007F7433">
        <w:rPr>
          <w:rStyle w:val="FootnoteReference"/>
          <w:sz w:val="22"/>
          <w:szCs w:val="22"/>
        </w:rPr>
        <w:footnoteRef/>
      </w:r>
      <w:r w:rsidRPr="007F7433">
        <w:rPr>
          <w:sz w:val="22"/>
          <w:szCs w:val="22"/>
        </w:rPr>
        <w:t xml:space="preserve"> </w:t>
      </w:r>
      <w:r w:rsidRPr="007F7433">
        <w:rPr>
          <w:sz w:val="22"/>
          <w:szCs w:val="22"/>
        </w:rPr>
        <w:tab/>
        <w:t>С другой стороны, Столичный район по-прежнему значительно опережает другие провинции по уровню развития, так, в 1994 году его ИРЛР составлял 0,873, а в 1997 году уже 0,885.  Большинство провинций (63 провинции, или 81,8 % от общего числа) в 1997 году подпадали под средний показатель.  В данном случае можно говорить о некотором улучшении по сравнению с 1994 годом, когда только 56 провинций, или 73,7 %, достигали среднего уровня.  Четырнадцать провинций (18,2 % от общего числа) демонстрировали низкие показатели ИРЛР.</w:t>
      </w:r>
    </w:p>
  </w:footnote>
  <w:footnote w:id="37">
    <w:p w:rsidR="00E9217C" w:rsidRPr="00410393" w:rsidRDefault="00E9217C" w:rsidP="004C7748">
      <w:pPr>
        <w:pStyle w:val="FootnoteText"/>
        <w:rPr>
          <w:sz w:val="22"/>
          <w:szCs w:val="22"/>
        </w:rPr>
      </w:pPr>
      <w:r w:rsidRPr="00410393">
        <w:rPr>
          <w:rStyle w:val="FootnoteReference"/>
          <w:sz w:val="22"/>
          <w:szCs w:val="22"/>
        </w:rPr>
        <w:footnoteRef/>
      </w:r>
      <w:r w:rsidRPr="00410393">
        <w:rPr>
          <w:sz w:val="22"/>
          <w:szCs w:val="22"/>
        </w:rPr>
        <w:t xml:space="preserve"> </w:t>
      </w:r>
      <w:r w:rsidRPr="00410393">
        <w:rPr>
          <w:sz w:val="22"/>
          <w:szCs w:val="22"/>
        </w:rPr>
        <w:tab/>
        <w:t xml:space="preserve">Основная задача данной программы заключается в предоставлении прямых инвестиций на следующие цели:  а) защита и развитие водоразделов;  </w:t>
      </w:r>
      <w:r w:rsidRPr="00410393">
        <w:rPr>
          <w:sz w:val="22"/>
          <w:szCs w:val="22"/>
          <w:lang w:val="en-US"/>
        </w:rPr>
        <w:t>b</w:t>
      </w:r>
      <w:r w:rsidRPr="00410393">
        <w:rPr>
          <w:sz w:val="22"/>
          <w:szCs w:val="22"/>
        </w:rPr>
        <w:t xml:space="preserve">) надлежащее пользование сельскохозяйственной землей и водными ресурсами;  с) создание и восстановление ирригационных систем;  </w:t>
      </w:r>
      <w:r w:rsidRPr="00410393">
        <w:rPr>
          <w:sz w:val="22"/>
          <w:szCs w:val="22"/>
          <w:lang w:val="en-US"/>
        </w:rPr>
        <w:t>d</w:t>
      </w:r>
      <w:r w:rsidRPr="00410393">
        <w:rPr>
          <w:sz w:val="22"/>
          <w:szCs w:val="22"/>
        </w:rPr>
        <w:t xml:space="preserve">) предоставление маргинальным группам приоритетного доступа к производственным активам;  и </w:t>
      </w:r>
      <w:r>
        <w:rPr>
          <w:sz w:val="22"/>
          <w:szCs w:val="22"/>
        </w:rPr>
        <w:t xml:space="preserve"> </w:t>
      </w:r>
      <w:r w:rsidRPr="00410393">
        <w:rPr>
          <w:sz w:val="22"/>
          <w:szCs w:val="22"/>
        </w:rPr>
        <w:t>е) принятие других функциональных и вспомогательных мер.</w:t>
      </w:r>
    </w:p>
    <w:p w:rsidR="00E9217C" w:rsidRPr="00586F50" w:rsidRDefault="00E9217C" w:rsidP="004C7748">
      <w:pPr>
        <w:pStyle w:val="FootnoteText"/>
        <w:rPr>
          <w:sz w:val="16"/>
          <w:szCs w:val="16"/>
        </w:rPr>
      </w:pPr>
    </w:p>
    <w:p w:rsidR="00E9217C" w:rsidRPr="00410393" w:rsidRDefault="00E9217C" w:rsidP="004C7748">
      <w:pPr>
        <w:pStyle w:val="FootnoteText"/>
        <w:rPr>
          <w:sz w:val="22"/>
          <w:szCs w:val="22"/>
        </w:rPr>
      </w:pPr>
      <w:r w:rsidRPr="00410393">
        <w:rPr>
          <w:sz w:val="22"/>
          <w:szCs w:val="22"/>
        </w:rPr>
        <w:tab/>
        <w:t xml:space="preserve">В рамках этой программы используются следующие стратегии:  </w:t>
      </w:r>
      <w:r w:rsidRPr="00410393">
        <w:rPr>
          <w:b/>
          <w:sz w:val="22"/>
          <w:szCs w:val="22"/>
        </w:rPr>
        <w:t>Подход на основе общего участия</w:t>
      </w:r>
      <w:r w:rsidRPr="00410393">
        <w:rPr>
          <w:sz w:val="22"/>
          <w:szCs w:val="22"/>
        </w:rPr>
        <w:t xml:space="preserve">.  Планирование на основе общего участия, реализация, мониторинг и оценка программ осуществляются с участием всех заинтересованных сторон;  </w:t>
      </w:r>
      <w:r w:rsidRPr="00410393">
        <w:rPr>
          <w:b/>
          <w:sz w:val="22"/>
          <w:szCs w:val="22"/>
        </w:rPr>
        <w:t>Реализация программы местными органами власти</w:t>
      </w:r>
      <w:r w:rsidRPr="00410393">
        <w:rPr>
          <w:sz w:val="22"/>
          <w:szCs w:val="22"/>
        </w:rPr>
        <w:t>.  Местные власти являются основными участниками реализации программы ГМА.</w:t>
      </w:r>
      <w:r w:rsidRPr="00410393">
        <w:rPr>
          <w:i/>
          <w:iCs/>
          <w:sz w:val="22"/>
          <w:szCs w:val="22"/>
        </w:rPr>
        <w:t xml:space="preserve">  </w:t>
      </w:r>
      <w:r w:rsidRPr="00410393">
        <w:rPr>
          <w:iCs/>
          <w:sz w:val="22"/>
          <w:szCs w:val="22"/>
        </w:rPr>
        <w:t xml:space="preserve">МСХ и МВДМС, наряду с другими заинтересованными учреждениями, оказывают необходимую техническую и финансовую поддержку;  </w:t>
      </w:r>
      <w:r w:rsidRPr="00410393">
        <w:rPr>
          <w:b/>
          <w:iCs/>
          <w:sz w:val="22"/>
          <w:szCs w:val="22"/>
        </w:rPr>
        <w:t>Подход</w:t>
      </w:r>
      <w:r w:rsidRPr="00410393">
        <w:rPr>
          <w:iCs/>
          <w:sz w:val="22"/>
          <w:szCs w:val="22"/>
        </w:rPr>
        <w:t xml:space="preserve">.  </w:t>
      </w:r>
      <w:r w:rsidRPr="00410393">
        <w:rPr>
          <w:sz w:val="22"/>
          <w:szCs w:val="22"/>
        </w:rPr>
        <w:t>Программа ГМА</w:t>
      </w:r>
      <w:r w:rsidRPr="00410393">
        <w:rPr>
          <w:i/>
          <w:iCs/>
          <w:sz w:val="22"/>
          <w:szCs w:val="22"/>
        </w:rPr>
        <w:t xml:space="preserve"> </w:t>
      </w:r>
      <w:r w:rsidRPr="00410393">
        <w:rPr>
          <w:iCs/>
          <w:sz w:val="22"/>
          <w:szCs w:val="22"/>
        </w:rPr>
        <w:t xml:space="preserve">предполагает принятие конкретных мер с учетом региональных особенностей программы.  В рамках этой программы вначале будет проведен анализ общей ситуации с уделением основного внимания особенностям воды, почвы, климата, производства, людских ресурсов, финансирования производства и маркетинговых мероприятий.  Сравнительное преимущество или конкурентоспособность, а также экономия за счет роста масштаба производства в регионе впоследствии будут использованы в качестве основных критериев при выборе областей реализации программы/необходимых мер;  </w:t>
      </w:r>
      <w:r w:rsidRPr="00410393">
        <w:rPr>
          <w:b/>
          <w:iCs/>
          <w:sz w:val="22"/>
          <w:szCs w:val="22"/>
        </w:rPr>
        <w:t>Укрепление потенциала</w:t>
      </w:r>
      <w:r w:rsidRPr="00410393">
        <w:rPr>
          <w:iCs/>
          <w:sz w:val="22"/>
          <w:szCs w:val="22"/>
        </w:rPr>
        <w:t xml:space="preserve">.  Программа стимулирует укрепление потенциала на местах, в том числе в областях планирования на основе общего участия, осуществления, мониторинга, оценки, исследования и внедрения, производства, маркетинга и предпринимательства;  </w:t>
      </w:r>
      <w:r w:rsidRPr="00410393">
        <w:rPr>
          <w:b/>
          <w:iCs/>
          <w:sz w:val="22"/>
          <w:szCs w:val="22"/>
        </w:rPr>
        <w:t>Целевая направленность</w:t>
      </w:r>
      <w:r w:rsidRPr="00410393">
        <w:rPr>
          <w:iCs/>
          <w:sz w:val="22"/>
          <w:szCs w:val="22"/>
        </w:rPr>
        <w:t xml:space="preserve">.  Проекты разрабатываются в зависимости от положения людей.  Будут приняты программы в интересах малоимущих групп, а также крупных фермеров.  Программы будут рассчитаны на специально определенные или целевые районы, а также на маргинальные районы;  </w:t>
      </w:r>
      <w:r w:rsidRPr="00410393">
        <w:rPr>
          <w:b/>
          <w:iCs/>
          <w:sz w:val="22"/>
          <w:szCs w:val="22"/>
        </w:rPr>
        <w:t>Повышение продуктивности</w:t>
      </w:r>
      <w:r w:rsidRPr="00410393">
        <w:rPr>
          <w:iCs/>
          <w:sz w:val="22"/>
          <w:szCs w:val="22"/>
        </w:rPr>
        <w:t xml:space="preserve">.  </w:t>
      </w:r>
      <w:r w:rsidRPr="00410393">
        <w:rPr>
          <w:sz w:val="22"/>
          <w:szCs w:val="22"/>
        </w:rPr>
        <w:t xml:space="preserve">Программа ГМА стимулирует </w:t>
      </w:r>
      <w:r w:rsidRPr="00410393">
        <w:rPr>
          <w:iCs/>
          <w:sz w:val="22"/>
          <w:szCs w:val="22"/>
        </w:rPr>
        <w:t xml:space="preserve">устойчивое развитие не только в рамках экологически безопасных мер, но и в плане осуществимости проекта.  Будущие меры должны быть стабильными, т.е. иметь постоянную эффективность с точки зрения выгоды, управления и ресурсов;  </w:t>
      </w:r>
      <w:r w:rsidRPr="00410393">
        <w:rPr>
          <w:b/>
          <w:iCs/>
          <w:sz w:val="22"/>
          <w:szCs w:val="22"/>
        </w:rPr>
        <w:t>Параллельные схемы</w:t>
      </w:r>
      <w:r w:rsidRPr="00410393">
        <w:rPr>
          <w:iCs/>
          <w:sz w:val="22"/>
          <w:szCs w:val="22"/>
        </w:rPr>
        <w:t>.  МСХ, МВДМС, другие заинтересованные учреждения и ОМС участвуют в решении финансовых вопросов, связанных с реализацией программы, что предполагает четкое закрепление в меморандуме или соглашении о параллельном финансировании, осуществляемом каждым участником.  Размер такого финансирования, в свою очередь, основывается на возможностях каждого участника.  Учитывая также вклад в реализацию программы в натуре, т.е. в форме персонала, помещений и услуг.</w:t>
      </w:r>
    </w:p>
  </w:footnote>
  <w:footnote w:id="38">
    <w:p w:rsidR="00E9217C" w:rsidRPr="00457EA5" w:rsidRDefault="00E9217C" w:rsidP="004C7748">
      <w:pPr>
        <w:pStyle w:val="FootnoteText"/>
        <w:rPr>
          <w:sz w:val="22"/>
          <w:szCs w:val="22"/>
        </w:rPr>
      </w:pPr>
      <w:r w:rsidRPr="00457EA5">
        <w:rPr>
          <w:rStyle w:val="FootnoteReference"/>
          <w:sz w:val="22"/>
          <w:szCs w:val="22"/>
        </w:rPr>
        <w:footnoteRef/>
      </w:r>
      <w:r w:rsidRPr="00457EA5">
        <w:rPr>
          <w:sz w:val="22"/>
          <w:szCs w:val="22"/>
        </w:rPr>
        <w:tab/>
        <w:t>Эти простые рекомендации включают следующее:  ежедневное питание должно быть разнообразным;  продукты следует готовить с использованием пищевого/кулинарного масла;  новорожденных можно кормить только грудным молоком до 4-6 месяцев, затем их следует обеспечивать надлежащим питанием, продолжая при этом грудное вскармливание;  необходимо ежедневно употреблять в пищу молоко, молочные продукты или другие продукты питания, богатые кальцием, такие, как небольшая рыба и зеленые листовые овощи;  следует обеспечивать нормальное развитие ребенка за счет полноценного питания и регулярно наблюдать за его ростом;  употребляемая в пищу соль должна быть йодированной, при этом следует избегать избыточного употребления соли;  нужно есть рыбу, постное мясо, мясо птицы или сушеные бобы;  продукты питания должны быть чистыми и безопасными;  необходимо употреблять в пищу больше овощей, фруктов и корнеплодов;  здоровые образ жизни и питание предполагают регулярные занятия спортом, отказ от курения и алкоголя.</w:t>
      </w:r>
    </w:p>
  </w:footnote>
  <w:footnote w:id="39">
    <w:p w:rsidR="00E9217C" w:rsidRPr="006027B4" w:rsidRDefault="00E9217C" w:rsidP="00486C10">
      <w:pPr>
        <w:pStyle w:val="FootnoteText"/>
        <w:rPr>
          <w:sz w:val="22"/>
          <w:szCs w:val="22"/>
        </w:rPr>
      </w:pPr>
      <w:r w:rsidRPr="006027B4">
        <w:rPr>
          <w:rStyle w:val="FootnoteReference"/>
          <w:sz w:val="22"/>
          <w:szCs w:val="22"/>
        </w:rPr>
        <w:footnoteRef/>
      </w:r>
      <w:r w:rsidRPr="006027B4">
        <w:rPr>
          <w:sz w:val="22"/>
          <w:szCs w:val="22"/>
        </w:rPr>
        <w:tab/>
        <w:t xml:space="preserve">Пятница 13 октября оказалась удачным днем для рыбацкого поселка в Наике, Кавите.  Проживающие вдоль берегов реки в районе Наик, Кавите, в течение 20 лет рыбаки, входящие в Ассоциацию домовладельцев "Сеньор Санто Ниньо Барангай Мунтин Пино", наконец смогли реализовать свою мечту об участке земли.  Ассоциация, возглавляемая председателем Брендой </w:t>
      </w:r>
      <w:r w:rsidRPr="006027B4">
        <w:rPr>
          <w:spacing w:val="-4"/>
          <w:sz w:val="22"/>
          <w:szCs w:val="22"/>
        </w:rPr>
        <w:t>Д. Ипил, получила от вице-президента Ноли де Кастро сертификаты о предоставлении ее членам земельных наделов.  Вице-президент де Кастро также выписал чек на сумму в 3,3 млн. филиппинских</w:t>
      </w:r>
      <w:r w:rsidRPr="006027B4">
        <w:rPr>
          <w:sz w:val="22"/>
          <w:szCs w:val="22"/>
        </w:rPr>
        <w:t xml:space="preserve"> песо в качестве досрочного погашения 50% кредита, выданного ассоциации ПОИК для приобретения земельного участка.  Бенефициарами этого проекта стали семьи рыбаков, прибывшие из удаленных районов Лейте, Самар, Сикийор и Бохол и поселившиеся на побережье Наика.  Бенефициары были переселены 13 октября 2006 года из опасных зон, расположенных в устье реки и на побережье, в места, признанные местными властями Наика в качестве пригодных для расселения.  Данная территория, площадью около 1,6 га, расположена на расстоянии одного километра на северо-восток от здания местной администрации.  Соседние районы также являются жилыми.  Расстояние до школ, банков, а также частных и государственных учреждений составляет примерно один километр.  Хотя ранее эта земля относилась к категории неосвоенных, кредит был предоставлен на максимальную сумму, составляющую 100% от оценочной стоимости земли, при этом от заемщиков не требовался какой-либо залог.  В среднем сумма кредита, предоставленного каждому бенефициару, составила 30 194 филиппинских песо, а ежемесячные выплаты </w:t>
      </w:r>
      <w:r>
        <w:rPr>
          <w:sz w:val="22"/>
          <w:szCs w:val="22"/>
        </w:rPr>
        <w:t>–</w:t>
      </w:r>
      <w:r w:rsidRPr="006027B4">
        <w:rPr>
          <w:sz w:val="22"/>
          <w:szCs w:val="22"/>
        </w:rPr>
        <w:t xml:space="preserve"> 208</w:t>
      </w:r>
      <w:r>
        <w:rPr>
          <w:sz w:val="22"/>
          <w:szCs w:val="22"/>
        </w:rPr>
        <w:t> </w:t>
      </w:r>
      <w:r w:rsidRPr="006027B4">
        <w:rPr>
          <w:sz w:val="22"/>
          <w:szCs w:val="22"/>
        </w:rPr>
        <w:t>филиппинских песо.</w:t>
      </w:r>
    </w:p>
  </w:footnote>
  <w:footnote w:id="40">
    <w:p w:rsidR="00E9217C" w:rsidRPr="00AA5182" w:rsidRDefault="00E9217C" w:rsidP="00486C10">
      <w:pPr>
        <w:pStyle w:val="FootnoteText"/>
        <w:spacing w:line="216" w:lineRule="auto"/>
        <w:rPr>
          <w:color w:val="000000"/>
          <w:sz w:val="22"/>
          <w:szCs w:val="22"/>
        </w:rPr>
      </w:pPr>
      <w:r w:rsidRPr="00AA5182">
        <w:rPr>
          <w:rStyle w:val="FootnoteReference"/>
          <w:sz w:val="22"/>
          <w:szCs w:val="22"/>
        </w:rPr>
        <w:footnoteRef/>
      </w:r>
      <w:r w:rsidRPr="00AA5182">
        <w:rPr>
          <w:sz w:val="22"/>
          <w:szCs w:val="22"/>
        </w:rPr>
        <w:t xml:space="preserve"> </w:t>
      </w:r>
      <w:r>
        <w:rPr>
          <w:sz w:val="22"/>
          <w:szCs w:val="22"/>
        </w:rPr>
        <w:tab/>
      </w:r>
      <w:r w:rsidRPr="00AA5182">
        <w:rPr>
          <w:sz w:val="22"/>
          <w:szCs w:val="22"/>
        </w:rPr>
        <w:t>Г-н Дантон Кантуба и его растущая семья поселились в д</w:t>
      </w:r>
      <w:r>
        <w:rPr>
          <w:sz w:val="22"/>
          <w:szCs w:val="22"/>
        </w:rPr>
        <w:t>оме</w:t>
      </w:r>
      <w:r w:rsidRPr="00AA5182">
        <w:rPr>
          <w:sz w:val="22"/>
          <w:szCs w:val="22"/>
        </w:rPr>
        <w:t xml:space="preserve"> № 087 Ситио де Асис, Сан Мартин Поррес, Паранке, Метро Манила в начале 1960-х годов.  Он был владельцем небольшой автомастерской и, как и его соседи, незаконно занимал помещение, принадлежащее Филиппинским национальным железным дорогам (ФНЖД).  В 1976 году жители района образовали Объединение жителей района заброшенных линий Балабага (УРОБАЛ) и обратились к</w:t>
      </w:r>
      <w:r>
        <w:rPr>
          <w:sz w:val="22"/>
          <w:szCs w:val="22"/>
        </w:rPr>
        <w:t> </w:t>
      </w:r>
      <w:r w:rsidRPr="00AA5182">
        <w:rPr>
          <w:sz w:val="22"/>
          <w:szCs w:val="22"/>
        </w:rPr>
        <w:t>ФНЖД с просьбой продать им занимаемые ими земельные участки, поскольку они не использовались и не планировались к использованию ФНЖД в каких-либо программах/проектах.  Их усилия были вознаграждены 26 февраля 2001 года, когда президент Арройо издала Указ № 48 об объявлении не</w:t>
      </w:r>
      <w:r>
        <w:rPr>
          <w:sz w:val="22"/>
          <w:szCs w:val="22"/>
        </w:rPr>
        <w:t xml:space="preserve"> </w:t>
      </w:r>
      <w:r w:rsidRPr="00AA5182">
        <w:rPr>
          <w:sz w:val="22"/>
          <w:szCs w:val="22"/>
        </w:rPr>
        <w:t>используемых ФНЖД участков земли районами социальной жилищной застройки и об отчуждении этих участков в пользу их фактических пользователей.  Исполнительный указ № 48 позволил осуществить мечту этих жителей о владении участком земли.  Каждому бенефициару был предоставлен шанс/право приобрести в собственность/</w:t>
      </w:r>
      <w:r>
        <w:rPr>
          <w:sz w:val="22"/>
          <w:szCs w:val="22"/>
        </w:rPr>
        <w:t xml:space="preserve"> </w:t>
      </w:r>
      <w:r w:rsidRPr="00AA5182">
        <w:rPr>
          <w:sz w:val="22"/>
          <w:szCs w:val="22"/>
        </w:rPr>
        <w:t>выкупить занимаемый им земельный участок, средней площадью в 70 м</w:t>
      </w:r>
      <w:r w:rsidRPr="00AA5182">
        <w:rPr>
          <w:sz w:val="22"/>
          <w:szCs w:val="22"/>
          <w:vertAlign w:val="superscript"/>
        </w:rPr>
        <w:t>2</w:t>
      </w:r>
      <w:r w:rsidRPr="00AA5182">
        <w:rPr>
          <w:sz w:val="22"/>
          <w:szCs w:val="22"/>
        </w:rPr>
        <w:t xml:space="preserve"> по цене 1</w:t>
      </w:r>
      <w:r>
        <w:rPr>
          <w:sz w:val="22"/>
          <w:szCs w:val="22"/>
        </w:rPr>
        <w:t> </w:t>
      </w:r>
      <w:r w:rsidRPr="00AA5182">
        <w:rPr>
          <w:sz w:val="22"/>
          <w:szCs w:val="22"/>
        </w:rPr>
        <w:t>100 песо за</w:t>
      </w:r>
      <w:r>
        <w:rPr>
          <w:sz w:val="22"/>
          <w:szCs w:val="22"/>
        </w:rPr>
        <w:t> </w:t>
      </w:r>
      <w:r w:rsidRPr="00AA5182">
        <w:rPr>
          <w:sz w:val="22"/>
          <w:szCs w:val="22"/>
        </w:rPr>
        <w:t>квадратный метр.  7 декабря 2005 года титул собственности на эти участки был выдан 410</w:t>
      </w:r>
      <w:r>
        <w:rPr>
          <w:sz w:val="22"/>
          <w:szCs w:val="22"/>
        </w:rPr>
        <w:t> </w:t>
      </w:r>
      <w:r w:rsidRPr="00AA5182">
        <w:rPr>
          <w:sz w:val="22"/>
          <w:szCs w:val="22"/>
        </w:rPr>
        <w:t xml:space="preserve">бенефициарам лично вице-президентом и председателем </w:t>
      </w:r>
      <w:r w:rsidRPr="00AA5182">
        <w:rPr>
          <w:color w:val="000000"/>
          <w:sz w:val="22"/>
          <w:szCs w:val="22"/>
        </w:rPr>
        <w:t xml:space="preserve">КСЖГС Ноли </w:t>
      </w:r>
      <w:r>
        <w:rPr>
          <w:color w:val="000000"/>
          <w:sz w:val="22"/>
          <w:szCs w:val="22"/>
        </w:rPr>
        <w:t>д</w:t>
      </w:r>
      <w:r w:rsidRPr="00AA5182">
        <w:rPr>
          <w:color w:val="000000"/>
          <w:sz w:val="22"/>
          <w:szCs w:val="22"/>
        </w:rPr>
        <w:t xml:space="preserve">е Кастро.  Жители/община УРОБАЛ (как теперь именуется этот район) выразили свою признательность правительству, удвоив усилия по сбору средств и пообещав вовремя выполнить свои финансовые обязательства перед ФНЖД. </w:t>
      </w:r>
    </w:p>
    <w:p w:rsidR="00E9217C" w:rsidRPr="00AA5182" w:rsidRDefault="00E9217C" w:rsidP="00486C10">
      <w:pPr>
        <w:pStyle w:val="FootnoteText"/>
        <w:tabs>
          <w:tab w:val="left" w:pos="2805"/>
        </w:tabs>
        <w:spacing w:line="216" w:lineRule="auto"/>
        <w:ind w:left="567"/>
        <w:rPr>
          <w:color w:val="000000"/>
          <w:sz w:val="22"/>
          <w:szCs w:val="22"/>
        </w:rPr>
      </w:pPr>
      <w:r w:rsidRPr="00AA5182">
        <w:rPr>
          <w:color w:val="000000"/>
          <w:sz w:val="22"/>
          <w:szCs w:val="22"/>
        </w:rPr>
        <w:t xml:space="preserve">Общая площадь:  </w:t>
      </w:r>
      <w:r>
        <w:rPr>
          <w:color w:val="000000"/>
          <w:sz w:val="22"/>
          <w:szCs w:val="22"/>
        </w:rPr>
        <w:tab/>
      </w:r>
      <w:r>
        <w:rPr>
          <w:color w:val="000000"/>
          <w:sz w:val="22"/>
          <w:szCs w:val="22"/>
        </w:rPr>
        <w:tab/>
      </w:r>
      <w:r w:rsidRPr="00AA5182">
        <w:rPr>
          <w:color w:val="000000"/>
          <w:sz w:val="22"/>
          <w:szCs w:val="22"/>
        </w:rPr>
        <w:t>39 214 м</w:t>
      </w:r>
      <w:r w:rsidRPr="00AA5182">
        <w:rPr>
          <w:color w:val="000000"/>
          <w:sz w:val="22"/>
          <w:szCs w:val="22"/>
          <w:vertAlign w:val="superscript"/>
        </w:rPr>
        <w:t>2</w:t>
      </w:r>
    </w:p>
    <w:p w:rsidR="00E9217C" w:rsidRPr="00AA5182" w:rsidRDefault="00E9217C" w:rsidP="00486C10">
      <w:pPr>
        <w:pStyle w:val="FootnoteText"/>
        <w:tabs>
          <w:tab w:val="left" w:pos="2805"/>
        </w:tabs>
        <w:spacing w:line="216" w:lineRule="auto"/>
        <w:ind w:left="567"/>
        <w:rPr>
          <w:color w:val="000000"/>
          <w:sz w:val="22"/>
          <w:szCs w:val="22"/>
        </w:rPr>
      </w:pPr>
      <w:r w:rsidRPr="00AA5182">
        <w:rPr>
          <w:color w:val="000000"/>
          <w:sz w:val="22"/>
          <w:szCs w:val="22"/>
        </w:rPr>
        <w:t xml:space="preserve">Общая стоимость:  </w:t>
      </w:r>
      <w:r>
        <w:rPr>
          <w:color w:val="000000"/>
          <w:sz w:val="22"/>
          <w:szCs w:val="22"/>
        </w:rPr>
        <w:tab/>
      </w:r>
      <w:r w:rsidRPr="00AA5182">
        <w:rPr>
          <w:color w:val="000000"/>
          <w:sz w:val="22"/>
          <w:szCs w:val="22"/>
        </w:rPr>
        <w:t>32 147 500 филиппинских песо</w:t>
      </w:r>
    </w:p>
    <w:p w:rsidR="00E9217C" w:rsidRPr="00AA5182" w:rsidRDefault="00E9217C" w:rsidP="00486C10">
      <w:pPr>
        <w:pStyle w:val="FootnoteText"/>
        <w:tabs>
          <w:tab w:val="left" w:pos="2805"/>
        </w:tabs>
        <w:spacing w:line="216" w:lineRule="auto"/>
        <w:ind w:left="567"/>
        <w:rPr>
          <w:color w:val="000000"/>
          <w:sz w:val="22"/>
          <w:szCs w:val="22"/>
        </w:rPr>
      </w:pPr>
      <w:r w:rsidRPr="00AA5182">
        <w:rPr>
          <w:color w:val="000000"/>
          <w:sz w:val="22"/>
          <w:szCs w:val="22"/>
        </w:rPr>
        <w:t xml:space="preserve">Общая сумма выплат: </w:t>
      </w:r>
      <w:r>
        <w:rPr>
          <w:color w:val="000000"/>
          <w:sz w:val="22"/>
          <w:szCs w:val="22"/>
        </w:rPr>
        <w:tab/>
      </w:r>
      <w:r w:rsidRPr="00AA5182">
        <w:rPr>
          <w:color w:val="000000"/>
          <w:sz w:val="22"/>
          <w:szCs w:val="22"/>
        </w:rPr>
        <w:t>6 500 000 филиппинских песо</w:t>
      </w:r>
    </w:p>
    <w:p w:rsidR="00E9217C" w:rsidRPr="00AA5182" w:rsidRDefault="00E9217C" w:rsidP="00486C10">
      <w:pPr>
        <w:pStyle w:val="FootnoteText"/>
        <w:tabs>
          <w:tab w:val="left" w:pos="2805"/>
        </w:tabs>
        <w:spacing w:line="216" w:lineRule="auto"/>
        <w:ind w:left="567"/>
        <w:rPr>
          <w:sz w:val="22"/>
          <w:szCs w:val="22"/>
        </w:rPr>
      </w:pPr>
      <w:r w:rsidRPr="00AA5182">
        <w:rPr>
          <w:color w:val="000000"/>
          <w:sz w:val="22"/>
          <w:szCs w:val="22"/>
        </w:rPr>
        <w:t xml:space="preserve">Общий баланс: </w:t>
      </w:r>
      <w:r>
        <w:rPr>
          <w:color w:val="000000"/>
          <w:sz w:val="22"/>
          <w:szCs w:val="22"/>
        </w:rPr>
        <w:tab/>
      </w:r>
      <w:r>
        <w:rPr>
          <w:color w:val="000000"/>
          <w:sz w:val="22"/>
          <w:szCs w:val="22"/>
        </w:rPr>
        <w:tab/>
      </w:r>
      <w:r w:rsidRPr="00AA5182">
        <w:rPr>
          <w:color w:val="000000"/>
          <w:sz w:val="22"/>
          <w:szCs w:val="22"/>
        </w:rPr>
        <w:t>25 647 000 филиппинских песо (подлежит выплате в течение 10 лет).</w:t>
      </w:r>
    </w:p>
  </w:footnote>
  <w:footnote w:id="41">
    <w:p w:rsidR="00E9217C" w:rsidRPr="0013582E" w:rsidRDefault="00E9217C" w:rsidP="00027273">
      <w:pPr>
        <w:pStyle w:val="FootnoteText"/>
        <w:rPr>
          <w:sz w:val="22"/>
          <w:szCs w:val="22"/>
        </w:rPr>
      </w:pPr>
      <w:r w:rsidRPr="0013582E">
        <w:rPr>
          <w:rStyle w:val="FootnoteReference"/>
          <w:sz w:val="22"/>
          <w:szCs w:val="22"/>
        </w:rPr>
        <w:footnoteRef/>
      </w:r>
      <w:r w:rsidRPr="0013582E">
        <w:rPr>
          <w:sz w:val="22"/>
          <w:szCs w:val="22"/>
        </w:rPr>
        <w:tab/>
        <w:t xml:space="preserve">Томас Чавес, 40 лет, и его 10 детей были переселены из района, находящегося вблизи железной дороги в Метро Манила, в жилой комплекс Саутвилль в Кабуайо, Лагуна.  Чавес планирует обустроить дом, предоставленный ему правительством, и надеется обеспечить своим детям достойное будущее.  Шестнадцатилетняя Ма. Кристина Парис и ее родители рады переселению в Саутвилль </w:t>
      </w:r>
      <w:r w:rsidRPr="0013582E">
        <w:rPr>
          <w:sz w:val="22"/>
          <w:szCs w:val="22"/>
          <w:lang w:val="en-US"/>
        </w:rPr>
        <w:t>I</w:t>
      </w:r>
      <w:r w:rsidRPr="0013582E">
        <w:rPr>
          <w:sz w:val="22"/>
          <w:szCs w:val="22"/>
        </w:rPr>
        <w:t xml:space="preserve"> в Каламбе, Лагуна, и говорят, что, несмотря на отсутствие финансовой стабильности, они благодарны за возможность обрести счастье в своем новом доме.  Владелец шашлычной Ронни Кониконд и его жена Дима были одной из семей, переселенных в рамках проекта Саутвилль </w:t>
      </w:r>
      <w:r w:rsidRPr="0013582E">
        <w:rPr>
          <w:sz w:val="22"/>
          <w:szCs w:val="22"/>
          <w:lang w:val="en-US"/>
        </w:rPr>
        <w:t>I</w:t>
      </w:r>
      <w:r w:rsidRPr="0013582E">
        <w:rPr>
          <w:sz w:val="22"/>
          <w:szCs w:val="22"/>
        </w:rPr>
        <w:t xml:space="preserve">.  Имея крепкую деловую хватку, Ронни быстро выплатил жилищный кредит и доволен тем, что его семью переселили из небезопасного района вблизи железной дороги в Макати.  </w:t>
      </w:r>
      <w:r w:rsidRPr="0013582E">
        <w:rPr>
          <w:i/>
          <w:sz w:val="22"/>
          <w:szCs w:val="22"/>
        </w:rPr>
        <w:t>"Нагпапасаламат ако ат пинагкативалаан ако нг НЖУ кахит хинди ако тапос нг паг-аарал"</w:t>
      </w:r>
      <w:r w:rsidRPr="0013582E">
        <w:rPr>
          <w:sz w:val="22"/>
          <w:szCs w:val="22"/>
        </w:rPr>
        <w:t xml:space="preserve"> было предметом гордости г-на Генри Трипулка, ранее проживавшего в Сан Антонио, Макати.  Он и его семья были переселены в Саутвилль </w:t>
      </w:r>
      <w:r w:rsidRPr="0013582E">
        <w:rPr>
          <w:sz w:val="22"/>
          <w:szCs w:val="22"/>
          <w:lang w:val="en-US"/>
        </w:rPr>
        <w:t>I</w:t>
      </w:r>
      <w:r w:rsidRPr="0013582E">
        <w:rPr>
          <w:sz w:val="22"/>
          <w:szCs w:val="22"/>
        </w:rPr>
        <w:t xml:space="preserve"> и рады обрести собственное жилье.  </w:t>
      </w:r>
    </w:p>
  </w:footnote>
  <w:footnote w:id="42">
    <w:p w:rsidR="00E9217C" w:rsidRPr="00ED7231" w:rsidRDefault="00E9217C" w:rsidP="00CD51FC">
      <w:pPr>
        <w:pStyle w:val="FootnoteText"/>
        <w:rPr>
          <w:sz w:val="22"/>
          <w:szCs w:val="22"/>
        </w:rPr>
      </w:pPr>
      <w:r w:rsidRPr="00ED7231">
        <w:rPr>
          <w:rStyle w:val="FootnoteReference"/>
          <w:sz w:val="22"/>
          <w:szCs w:val="22"/>
        </w:rPr>
        <w:footnoteRef/>
      </w:r>
      <w:r w:rsidRPr="00ED7231">
        <w:rPr>
          <w:sz w:val="22"/>
          <w:szCs w:val="22"/>
        </w:rPr>
        <w:t xml:space="preserve"> </w:t>
      </w:r>
      <w:r w:rsidRPr="00ED7231">
        <w:rPr>
          <w:sz w:val="22"/>
          <w:szCs w:val="22"/>
        </w:rPr>
        <w:tab/>
        <w:t xml:space="preserve">Советы будут наделены следующими полномочиями:  а)  разрабатывать местные планы обеспечения жильем;  </w:t>
      </w:r>
      <w:r w:rsidRPr="00ED7231">
        <w:rPr>
          <w:sz w:val="22"/>
          <w:szCs w:val="22"/>
          <w:lang w:val="en-US"/>
        </w:rPr>
        <w:t>b</w:t>
      </w:r>
      <w:r w:rsidRPr="00ED7231">
        <w:rPr>
          <w:sz w:val="22"/>
          <w:szCs w:val="22"/>
        </w:rPr>
        <w:t>)  помогать в подготовке Комплексных планов землепользования;  с)</w:t>
      </w:r>
      <w:r>
        <w:rPr>
          <w:sz w:val="22"/>
          <w:szCs w:val="22"/>
        </w:rPr>
        <w:t>  </w:t>
      </w:r>
      <w:r w:rsidRPr="00ED7231">
        <w:rPr>
          <w:sz w:val="22"/>
          <w:szCs w:val="22"/>
        </w:rPr>
        <w:t xml:space="preserve">утверждать предварительные и окончательные проекты планов межевания и застройки земли;  </w:t>
      </w:r>
      <w:r w:rsidRPr="00ED7231">
        <w:rPr>
          <w:sz w:val="22"/>
          <w:szCs w:val="22"/>
          <w:lang w:val="en-US"/>
        </w:rPr>
        <w:t>d</w:t>
      </w:r>
      <w:r w:rsidRPr="00ED7231">
        <w:rPr>
          <w:sz w:val="22"/>
          <w:szCs w:val="22"/>
        </w:rPr>
        <w:t>)  анализировать и разрешать спорные вопросы при выдаче разрешений на застройку;  е)</w:t>
      </w:r>
      <w:r>
        <w:rPr>
          <w:sz w:val="22"/>
          <w:szCs w:val="22"/>
        </w:rPr>
        <w:t>  </w:t>
      </w:r>
      <w:r w:rsidRPr="00ED7231">
        <w:rPr>
          <w:sz w:val="22"/>
          <w:szCs w:val="22"/>
        </w:rPr>
        <w:t>обеспечивать выполнение требования о 20</w:t>
      </w:r>
      <w:r w:rsidRPr="00ED7231">
        <w:rPr>
          <w:sz w:val="22"/>
          <w:szCs w:val="22"/>
        </w:rPr>
        <w:noBreakHyphen/>
        <w:t xml:space="preserve">процентной квоте на социальное жилье, предусмотренное Законом о городском и жилищном строительстве (согласно которому в каждом жилищном проекте, как минимум 20% единиц жилья или его стоимости должны быть отведены под социальное жилье);  и </w:t>
      </w:r>
      <w:r w:rsidRPr="00ED7231">
        <w:rPr>
          <w:sz w:val="22"/>
          <w:szCs w:val="22"/>
          <w:lang w:val="en-US"/>
        </w:rPr>
        <w:t>f</w:t>
      </w:r>
      <w:r w:rsidRPr="00ED7231">
        <w:rPr>
          <w:sz w:val="22"/>
          <w:szCs w:val="22"/>
        </w:rPr>
        <w:t>)  выявлять земли для социальной застройки.</w:t>
      </w:r>
    </w:p>
  </w:footnote>
  <w:footnote w:id="43">
    <w:p w:rsidR="00E9217C" w:rsidRDefault="00E9217C">
      <w:pPr>
        <w:pStyle w:val="FootnoteText"/>
        <w:rPr>
          <w:sz w:val="22"/>
          <w:szCs w:val="22"/>
        </w:rPr>
      </w:pPr>
      <w:r>
        <w:rPr>
          <w:rStyle w:val="FootnoteReference"/>
        </w:rPr>
        <w:footnoteRef/>
      </w:r>
      <w:r>
        <w:t xml:space="preserve"> </w:t>
      </w:r>
      <w:r>
        <w:tab/>
      </w:r>
      <w:r w:rsidRPr="00ED7231">
        <w:rPr>
          <w:sz w:val="22"/>
          <w:szCs w:val="22"/>
        </w:rPr>
        <w:t xml:space="preserve">Эти функции включают:  разработку и осуществление местных постановлений, касающихся здравоохранения, питания, вопросов санитарии и гигиены и других связанных со здоровьем проблем;  реализацию программ здравоохранения в соответствии с национальной политикой, нормами и стандартами;   предоставление профилактических, лечебных и реабилитационных медицинских услуг и осуществление программ пропаганды здорового образа жизни;  обеспечение функционирования и обслуживание местных лечебных учреждений (например, районных и провинциальных больниц под управлением администрации провинции;  сельских медицинских учреждений, медицинских центров и медицинских пунктов </w:t>
      </w:r>
      <w:r w:rsidRPr="00ED7231">
        <w:rPr>
          <w:sz w:val="22"/>
          <w:szCs w:val="22"/>
          <w:lang w:val="en-US"/>
        </w:rPr>
        <w:t>barangay</w:t>
      </w:r>
      <w:r w:rsidRPr="00ED7231">
        <w:rPr>
          <w:sz w:val="22"/>
          <w:szCs w:val="22"/>
        </w:rPr>
        <w:t xml:space="preserve"> под управлением муниципалитета или городских властей);  укрепление потенциала медицинских кадров;   создание местной информационной медицинской  системы;   мониторинг и оценка предоставления различных медицинских услуг;  создание партнерств со всеми секторами, включая сотрудничество местных органов в деле поощрения здорового образа жизни;  финансирование здравоохранения на местном уровне.</w:t>
      </w:r>
    </w:p>
    <w:p w:rsidR="00E9217C" w:rsidRPr="005A18D3" w:rsidRDefault="00E9217C">
      <w:pPr>
        <w:pStyle w:val="FootnoteText"/>
        <w:rPr>
          <w:sz w:val="16"/>
          <w:szCs w:val="16"/>
        </w:rPr>
      </w:pPr>
    </w:p>
  </w:footnote>
  <w:footnote w:id="44">
    <w:p w:rsidR="00E9217C" w:rsidRDefault="00E9217C">
      <w:pPr>
        <w:pStyle w:val="FootnoteText"/>
      </w:pPr>
      <w:r>
        <w:rPr>
          <w:rStyle w:val="FootnoteReference"/>
        </w:rPr>
        <w:footnoteRef/>
      </w:r>
      <w:r>
        <w:t xml:space="preserve"> </w:t>
      </w:r>
      <w:r>
        <w:tab/>
      </w:r>
      <w:r w:rsidRPr="00ED7231">
        <w:rPr>
          <w:sz w:val="22"/>
          <w:szCs w:val="22"/>
        </w:rPr>
        <w:t xml:space="preserve">К основным пяти направлениям деятельности ПРСЗ относятся:  </w:t>
      </w:r>
      <w:r w:rsidRPr="00ED7231">
        <w:rPr>
          <w:sz w:val="22"/>
          <w:szCs w:val="22"/>
          <w:lang w:val="fr-CH"/>
        </w:rPr>
        <w:t>i</w:t>
      </w:r>
      <w:r w:rsidRPr="00ED7231">
        <w:rPr>
          <w:sz w:val="22"/>
          <w:szCs w:val="22"/>
        </w:rPr>
        <w:t xml:space="preserve">)  предоставление финансовой автономии государственным больницам.  Этим больницам должна быть предоставлена возможность взимать плату за свои услуги, с тем чтобы они могли снизить свою зависимость от прямых бюджетных субсидий.  Для эффективного осуществления такой автономии необходимо провести модернизацию основного оборудования, включая диагностическую аппаратуру, лабораторное оборудование, а также повысить квалификацию медицинского персонала.  Такие инвестиции должны осуществляться с учетом дополнительных выгод из частных и государственных источников.  Кроме того, это позволит государственным больницам оказывать помощь в осуществлении первоочередных программ в области государственного здравоохранения.  Необходимо создать соответствующий институциональный механизм, предусматривающий их автономию и позволяющий преобразовать их в государственные корпорации без ущерба для их социальной ответственности.  Вследствие этого государственные клиники должны стать более конкурентоспособными и оперативней реагировать на потребности здравоохранения;  </w:t>
      </w:r>
      <w:r w:rsidRPr="00ED7231">
        <w:rPr>
          <w:sz w:val="22"/>
          <w:szCs w:val="22"/>
          <w:lang w:val="en-US"/>
        </w:rPr>
        <w:t>ii</w:t>
      </w:r>
      <w:r w:rsidRPr="00ED7231">
        <w:rPr>
          <w:sz w:val="22"/>
          <w:szCs w:val="22"/>
        </w:rPr>
        <w:t>)  мобилизация финансовых средств на осуществление первоочередных программ в области государственного здравоохранения.  Необходимо выделить средства на несколько лет вперед для ликвидации или существенного уменьшения уровня инфекционных заболеваний как проблемы общественного здоровья.  Необходимо осуществить инвестиции для эффективной борьбы с новыми проблемами здравоохранения и реализации программ поощрения здорового образа жизни и профилактики.  Для эффективного освоения таких инвестиций необходимо повысить уровень управления и улучшить инфраструктуру программ государственного здравоохранения.  Эти программы также нуждаются в укреплении потенциала в</w:t>
      </w:r>
      <w:r>
        <w:rPr>
          <w:sz w:val="22"/>
          <w:szCs w:val="22"/>
        </w:rPr>
        <w:t> </w:t>
      </w:r>
      <w:r w:rsidRPr="00ED7231">
        <w:rPr>
          <w:sz w:val="22"/>
          <w:szCs w:val="22"/>
        </w:rPr>
        <w:t xml:space="preserve">целях технического оснащения местных медицинских учреждений;  </w:t>
      </w:r>
      <w:r w:rsidRPr="00ED7231">
        <w:rPr>
          <w:sz w:val="22"/>
          <w:szCs w:val="22"/>
          <w:lang w:val="en-US"/>
        </w:rPr>
        <w:t>iii</w:t>
      </w:r>
      <w:r w:rsidRPr="00ED7231">
        <w:rPr>
          <w:sz w:val="22"/>
          <w:szCs w:val="22"/>
        </w:rPr>
        <w:t xml:space="preserve">)  содействие развитию местных медицинских учреждений и обеспечение их эффективной деятельности.  Органы местного самоуправления должны создавать механизмы сотрудничества и совместного покрытия расходов в целях улучшения предоставления услуг здравоохранения на местах.  Для развития местных медицинских учреждений необходимы средства для их содействия модернизации и повышения квалификации местных медицинских работников.  Для повышения эффективности необходимо задействовать частный сектор и группы добровольцев.  Должны быть разработаны и институционализированы соответствующие механизмы для обеспечения устойчивого и непрерывного предоставления качественных услуг;  </w:t>
      </w:r>
      <w:r w:rsidRPr="00ED7231">
        <w:rPr>
          <w:sz w:val="22"/>
          <w:szCs w:val="22"/>
          <w:lang w:val="en-US"/>
        </w:rPr>
        <w:t>iv</w:t>
      </w:r>
      <w:r w:rsidRPr="00ED7231">
        <w:rPr>
          <w:sz w:val="22"/>
          <w:szCs w:val="22"/>
        </w:rPr>
        <w:t xml:space="preserve">)  укрепление потенциала учреждений по регулированию вопросов здравоохранения.  Для обеспечения безопасных, качественных и доступных в ценовом и территориальном отношении услуг и объектов здравоохранения необходимо укреплять регулирующие структуры.  Следует эффективно устранять недостатки регулирующих норм и механизмов применения.  Для ликвидации нормативных пробелов необходимо принять соответствующие законодательные акты.  Необходимо осуществлять государственные инвестиции в целях модернизации оборудования и укрепления кадрового потенциала в области разработки стандартов, оценки технологии и контроля за исполнением;  и </w:t>
      </w:r>
      <w:r w:rsidRPr="00ED7231">
        <w:rPr>
          <w:sz w:val="22"/>
          <w:szCs w:val="22"/>
          <w:lang w:val="en-US"/>
        </w:rPr>
        <w:t>v</w:t>
      </w:r>
      <w:r w:rsidRPr="00ED7231">
        <w:rPr>
          <w:sz w:val="22"/>
          <w:szCs w:val="22"/>
        </w:rPr>
        <w:t>)</w:t>
      </w:r>
      <w:r>
        <w:rPr>
          <w:sz w:val="22"/>
          <w:szCs w:val="22"/>
        </w:rPr>
        <w:t>  </w:t>
      </w:r>
      <w:r w:rsidRPr="00ED7231">
        <w:rPr>
          <w:sz w:val="22"/>
          <w:szCs w:val="22"/>
        </w:rPr>
        <w:t>расширение сферы охвата ПГМС.  Система медицинского страхования должна быть расширена в целях обеспечения защиты более широких слоев населения, в частности малоимущих групп.  Для повышения привлекательности этой программы следует расширить льготы по медицинскому страхованию.  Расширение спектра льгот и услуг позволит активно привлекать новых членов.  Необходимо обеспечить достаточное финансирование для субсидирования страховых взносов, необходимого для вовлечения в эту программу коренного населения.  Следует разработать эффективные механизмы обслуживания клиентов, которые сами оплачивают медицинские услуги.  С расширением числа членов и повышением затрат необходимо разработать и внедрить соответствующие механизмы предоставления качественных и экономически эффективных услуг.  Нужно создать новые административные структуры и возможности, позволяющие Филиппинской корпорации медицинского страхования эффективно обслуживать большее количество клиентов и справляться с возросшими расходами на страховые выплаты.</w:t>
      </w:r>
    </w:p>
  </w:footnote>
  <w:footnote w:id="45">
    <w:p w:rsidR="00E9217C" w:rsidRDefault="00E9217C" w:rsidP="00AC573E">
      <w:pPr>
        <w:pStyle w:val="FootnoteText"/>
        <w:rPr>
          <w:sz w:val="22"/>
          <w:szCs w:val="22"/>
        </w:rPr>
      </w:pPr>
      <w:r w:rsidRPr="0081105E">
        <w:rPr>
          <w:rStyle w:val="FootnoteReference"/>
          <w:sz w:val="22"/>
          <w:szCs w:val="22"/>
        </w:rPr>
        <w:footnoteRef/>
      </w:r>
      <w:r w:rsidRPr="0081105E">
        <w:rPr>
          <w:b/>
          <w:sz w:val="22"/>
          <w:szCs w:val="22"/>
        </w:rPr>
        <w:tab/>
        <w:t>Комитет по рассмотрению дел о загрязнении окружающей среды против Апелляционного суда</w:t>
      </w:r>
      <w:r w:rsidRPr="0081105E">
        <w:rPr>
          <w:sz w:val="22"/>
          <w:szCs w:val="22"/>
        </w:rPr>
        <w:t xml:space="preserve">.  Обстоятельства дела: </w:t>
      </w:r>
      <w:r>
        <w:rPr>
          <w:sz w:val="22"/>
          <w:szCs w:val="22"/>
        </w:rPr>
        <w:t xml:space="preserve"> </w:t>
      </w:r>
      <w:r w:rsidRPr="0081105E">
        <w:rPr>
          <w:sz w:val="22"/>
          <w:szCs w:val="22"/>
        </w:rPr>
        <w:t xml:space="preserve">спор возник на основании принятия Комитетом по рассмотрению дел о загрязнении окружающей среды решения о запрещении дальнейшей эксплуатации текстильного предприятия </w:t>
      </w:r>
      <w:r>
        <w:rPr>
          <w:sz w:val="22"/>
          <w:szCs w:val="22"/>
        </w:rPr>
        <w:t>"</w:t>
      </w:r>
      <w:r w:rsidRPr="0081105E">
        <w:rPr>
          <w:sz w:val="22"/>
          <w:szCs w:val="22"/>
        </w:rPr>
        <w:t>Солар текстиль корп.</w:t>
      </w:r>
      <w:r>
        <w:rPr>
          <w:sz w:val="22"/>
          <w:szCs w:val="22"/>
        </w:rPr>
        <w:t>"</w:t>
      </w:r>
      <w:r w:rsidRPr="0081105E">
        <w:rPr>
          <w:sz w:val="22"/>
          <w:szCs w:val="22"/>
        </w:rPr>
        <w:t xml:space="preserve"> в Малабоне без уведомления ответчика.  Солар оспорило данное решение на том основании, что его принятие Комитетом без уведомления и участия другой стороны является нарушением конституционного права на надлежащее судебное разбирательство.  Постановление: </w:t>
      </w:r>
      <w:r>
        <w:rPr>
          <w:sz w:val="22"/>
          <w:szCs w:val="22"/>
        </w:rPr>
        <w:t xml:space="preserve"> </w:t>
      </w:r>
      <w:r w:rsidRPr="0081105E">
        <w:rPr>
          <w:sz w:val="22"/>
          <w:szCs w:val="22"/>
        </w:rPr>
        <w:t>Комитет в соответствии с разделом 7 ПУ вправе принимать решение о прекращении деятельности предприятия, если будет установлено, что его выбросы превышают допустимые нормы.</w:t>
      </w:r>
    </w:p>
    <w:p w:rsidR="00E9217C" w:rsidRPr="0081105E" w:rsidRDefault="00E9217C" w:rsidP="00AC573E">
      <w:pPr>
        <w:pStyle w:val="FootnoteText"/>
        <w:rPr>
          <w:sz w:val="16"/>
          <w:szCs w:val="16"/>
        </w:rPr>
      </w:pPr>
    </w:p>
    <w:p w:rsidR="00E9217C" w:rsidRPr="0081105E" w:rsidRDefault="00E9217C" w:rsidP="00AC573E">
      <w:pPr>
        <w:pStyle w:val="FootnoteText"/>
        <w:rPr>
          <w:sz w:val="22"/>
          <w:szCs w:val="22"/>
        </w:rPr>
      </w:pPr>
      <w:r w:rsidRPr="0081105E">
        <w:rPr>
          <w:b/>
          <w:sz w:val="22"/>
          <w:szCs w:val="22"/>
        </w:rPr>
        <w:t>Родригес</w:t>
      </w:r>
      <w:r>
        <w:rPr>
          <w:b/>
          <w:sz w:val="22"/>
          <w:szCs w:val="22"/>
        </w:rPr>
        <w:t>-дж.</w:t>
      </w:r>
      <w:r w:rsidRPr="0081105E">
        <w:rPr>
          <w:b/>
          <w:sz w:val="22"/>
          <w:szCs w:val="22"/>
        </w:rPr>
        <w:t xml:space="preserve"> против Промежуточного апелляционного суда</w:t>
      </w:r>
      <w:r w:rsidRPr="0081105E">
        <w:rPr>
          <w:sz w:val="22"/>
          <w:szCs w:val="22"/>
        </w:rPr>
        <w:t xml:space="preserve">.  Обстоятельства дела: </w:t>
      </w:r>
      <w:r>
        <w:rPr>
          <w:sz w:val="22"/>
          <w:szCs w:val="22"/>
        </w:rPr>
        <w:t xml:space="preserve"> </w:t>
      </w:r>
      <w:r w:rsidRPr="0081105E">
        <w:rPr>
          <w:sz w:val="22"/>
          <w:szCs w:val="22"/>
        </w:rPr>
        <w:t xml:space="preserve">Родригес-джуниор и его соседи подали иск о прекращении эксплуатации расположенного в Малабоне цементного завода строительной корпорации Дайтона на том основании, что он является источником опасности для окружающих.  Врач, проживающий в этом районе, подтвердил, что он проводил лечение нескольких пациентов, которые связывали возникшие у них заболевания с загрязнением окружающей среды цементным заводом Дайтона.  Он отметил, что цементная пыль приводит к заболеваниям сердечно-сосудистой системы и что люди, проживающие вблизи цементных заводов, наиболее подвержены таким заболеваниям.  Он сообщил о большом количестве случаев бронхиальной астмы среди детей и взрослых, проживающих вблизи этого цементного завода.  Предмет спора: </w:t>
      </w:r>
      <w:r>
        <w:rPr>
          <w:sz w:val="22"/>
          <w:szCs w:val="22"/>
        </w:rPr>
        <w:t xml:space="preserve"> </w:t>
      </w:r>
      <w:r w:rsidRPr="0081105E">
        <w:rPr>
          <w:sz w:val="22"/>
          <w:szCs w:val="22"/>
        </w:rPr>
        <w:t xml:space="preserve">следует ли прекращать деятельность цементного завода по причине того, что он является источником общественной опасности?  Решение: </w:t>
      </w:r>
      <w:r w:rsidRPr="0081105E">
        <w:rPr>
          <w:i/>
          <w:sz w:val="22"/>
          <w:szCs w:val="22"/>
        </w:rPr>
        <w:t>цементная пыль, образующаяся в результате деятельности цементного завода Дайтона, опасна для здоровья истцов и других жителей указанного района</w:t>
      </w:r>
      <w:r w:rsidRPr="0081105E">
        <w:rPr>
          <w:sz w:val="22"/>
          <w:szCs w:val="22"/>
        </w:rPr>
        <w:t xml:space="preserve">.  Шум, вибрация, дым и запах, круглосуточно производимые заводом, действительно являются источником дискомфорта и недомоганий. </w:t>
      </w:r>
      <w:r w:rsidRPr="0081105E">
        <w:rPr>
          <w:i/>
          <w:sz w:val="22"/>
          <w:szCs w:val="22"/>
        </w:rPr>
        <w:t xml:space="preserve"> Таким образом, деятельность данного предприятия нарушает определенные права истцов и причиняет им вред</w:t>
      </w:r>
      <w:r w:rsidRPr="0081105E">
        <w:rPr>
          <w:sz w:val="22"/>
          <w:szCs w:val="22"/>
        </w:rPr>
        <w:t>.</w:t>
      </w:r>
    </w:p>
  </w:footnote>
  <w:footnote w:id="46">
    <w:p w:rsidR="00E9217C" w:rsidRPr="00661879" w:rsidRDefault="00E9217C" w:rsidP="005320CD">
      <w:pPr>
        <w:pStyle w:val="FootnoteText"/>
        <w:rPr>
          <w:sz w:val="22"/>
          <w:szCs w:val="22"/>
        </w:rPr>
      </w:pPr>
      <w:r w:rsidRPr="00661879">
        <w:rPr>
          <w:rStyle w:val="FootnoteReference"/>
          <w:sz w:val="22"/>
          <w:szCs w:val="22"/>
        </w:rPr>
        <w:footnoteRef/>
      </w:r>
      <w:r w:rsidRPr="00661879">
        <w:rPr>
          <w:sz w:val="22"/>
          <w:szCs w:val="22"/>
        </w:rPr>
        <w:t xml:space="preserve"> </w:t>
      </w:r>
      <w:r w:rsidRPr="00661879">
        <w:rPr>
          <w:sz w:val="22"/>
          <w:szCs w:val="22"/>
        </w:rPr>
        <w:tab/>
        <w:t>Цель ПРРВ заключается в расширении возможностей выживания и развития детей, особенно тех из них, кто находится в наиболее уязвимом и неблагоприятном положении.  Этот проект направлен на сведение к минимуму рисков для здоровья детей в самом раннем возрасте;  пополнение знаний родителей и общины о развитии ребенка и стимулировании их активного участия в этом процессе;  пропаганду политики и законодательства, учитывающих интересы ребенка;  укрепление потенциала и выработку надлежащей позиции поставщиков услуг для детей;  и на мобилизацию финансовых средств и создание действенных финансовых механизмов для ПРРВ.  Проект ПРРВ преследует конкретные цели, в частности снижение уровня детской смертности.  В рамках этого проекта используются программы здравоохранения, питания, обучения в раннем возрасте и социального обеспечения, направленные на удовлетворение базовых потребностей ребенка.  Проект осуществляется при помощи различных механизмов, которые включают, в частности, систему государственного надзора за положением детей и информационную службу;  инвестиции в основные ориентированные на детей службы для родителей, опекунов и поставщиков услуг;  расширенное участие общин и обеспечение прав собственности на местном уровне в целях обеспечения устойчивости;  и создание координационных советов ПРРВ на всех уровнях государственной власти для осуществления мониторинга за осуществлением проекта.</w:t>
      </w:r>
    </w:p>
    <w:p w:rsidR="00E9217C" w:rsidRPr="00661879" w:rsidRDefault="00E9217C" w:rsidP="005320CD">
      <w:pPr>
        <w:pStyle w:val="FootnoteText"/>
        <w:rPr>
          <w:sz w:val="22"/>
          <w:szCs w:val="22"/>
        </w:rPr>
      </w:pPr>
    </w:p>
  </w:footnote>
  <w:footnote w:id="47">
    <w:p w:rsidR="00E9217C" w:rsidRPr="00661879" w:rsidRDefault="00E9217C" w:rsidP="005320CD">
      <w:pPr>
        <w:pStyle w:val="FootnoteText"/>
        <w:rPr>
          <w:sz w:val="22"/>
          <w:szCs w:val="22"/>
        </w:rPr>
      </w:pPr>
      <w:r w:rsidRPr="00661879">
        <w:rPr>
          <w:rStyle w:val="FootnoteReference"/>
          <w:sz w:val="22"/>
          <w:szCs w:val="22"/>
        </w:rPr>
        <w:footnoteRef/>
      </w:r>
      <w:r w:rsidRPr="00661879">
        <w:rPr>
          <w:sz w:val="22"/>
          <w:szCs w:val="22"/>
        </w:rPr>
        <w:t xml:space="preserve"> </w:t>
      </w:r>
      <w:r w:rsidRPr="00661879">
        <w:rPr>
          <w:sz w:val="22"/>
          <w:szCs w:val="22"/>
        </w:rPr>
        <w:tab/>
        <w:t xml:space="preserve">МЗ разработало Пакет </w:t>
      </w:r>
      <w:r w:rsidRPr="00661879">
        <w:rPr>
          <w:i/>
          <w:sz w:val="22"/>
          <w:szCs w:val="22"/>
        </w:rPr>
        <w:t>базовых медицинских услуг для беременных женщин</w:t>
      </w:r>
      <w:r w:rsidRPr="00661879">
        <w:rPr>
          <w:sz w:val="22"/>
          <w:szCs w:val="22"/>
        </w:rPr>
        <w:t>, который включает дородовую регистрацию, вакцинацию против столбняка, обогащение продуктов питания витамином А, фолиевой кислотой и железом, лечение имеющихся заболеваний, раннее выявление возможных осложнений и их устранение до родов, родовспоможение в условиях стерильности и безопасности, грудное вскармливание, информационные услуги для планирования семьи, предотвращение и лечение ВИЧ и болезней, передающихся половым путем, и стоматологическое обслуживание.  Соответствующие основные элементы ухода за новорожденными включают:  меры по реанимации,  предотвращению и лечению гипотермии, регулярную профилактику зрения, непосредственное грудное вскармливание до шести месяцев, регистрацию рождения, медицинское обследование новорожденных, предотвращение и лечение инфекционных заболеваний, взвешивание при рождении и наблюдение за ростом.</w:t>
      </w:r>
    </w:p>
    <w:p w:rsidR="00E9217C" w:rsidRPr="00661879" w:rsidRDefault="00E9217C" w:rsidP="005320CD">
      <w:pPr>
        <w:pStyle w:val="FootnoteText"/>
        <w:rPr>
          <w:sz w:val="22"/>
          <w:szCs w:val="22"/>
        </w:rPr>
      </w:pPr>
    </w:p>
    <w:p w:rsidR="00E9217C" w:rsidRPr="00661879" w:rsidRDefault="00E9217C" w:rsidP="005320CD">
      <w:pPr>
        <w:pStyle w:val="FootnoteText"/>
        <w:rPr>
          <w:sz w:val="22"/>
          <w:szCs w:val="22"/>
        </w:rPr>
      </w:pPr>
      <w:r w:rsidRPr="00661879">
        <w:rPr>
          <w:sz w:val="22"/>
          <w:szCs w:val="22"/>
        </w:rPr>
        <w:tab/>
        <w:t xml:space="preserve">В развитие программы здорового развития ребенка правительство инициировало проект </w:t>
      </w:r>
      <w:r w:rsidRPr="00661879">
        <w:rPr>
          <w:i/>
          <w:sz w:val="22"/>
          <w:szCs w:val="22"/>
        </w:rPr>
        <w:t>Комплексного лечения детских болезней</w:t>
      </w:r>
      <w:r w:rsidRPr="00661879">
        <w:rPr>
          <w:sz w:val="22"/>
          <w:szCs w:val="22"/>
        </w:rPr>
        <w:t>, который включает превентивную иммунизацию, питание, наблюдение за ростом и дородовой/послеродовой уход за матерью.  Система государственных услуг в рамках этого проекта распространяется и на МПБ.</w:t>
      </w:r>
    </w:p>
    <w:p w:rsidR="00E9217C" w:rsidRPr="00661879" w:rsidRDefault="00E9217C" w:rsidP="005320CD">
      <w:pPr>
        <w:pStyle w:val="FootnoteText"/>
        <w:rPr>
          <w:sz w:val="22"/>
          <w:szCs w:val="22"/>
        </w:rPr>
      </w:pPr>
    </w:p>
    <w:p w:rsidR="00E9217C" w:rsidRPr="00661879" w:rsidRDefault="00E9217C" w:rsidP="005320CD">
      <w:pPr>
        <w:pStyle w:val="FootnoteText"/>
        <w:rPr>
          <w:sz w:val="22"/>
          <w:szCs w:val="22"/>
        </w:rPr>
      </w:pPr>
      <w:r w:rsidRPr="00661879">
        <w:rPr>
          <w:sz w:val="22"/>
          <w:szCs w:val="22"/>
        </w:rPr>
        <w:tab/>
        <w:t xml:space="preserve">Кроме того, дважды в год МЗ проводит кампанию </w:t>
      </w:r>
      <w:r w:rsidRPr="00661879">
        <w:rPr>
          <w:i/>
          <w:sz w:val="22"/>
          <w:szCs w:val="22"/>
        </w:rPr>
        <w:t>Гарантисадонг Памбата</w:t>
      </w:r>
      <w:r w:rsidRPr="00661879">
        <w:rPr>
          <w:sz w:val="22"/>
          <w:szCs w:val="22"/>
        </w:rPr>
        <w:t xml:space="preserve"> (Неделя здоровья дошкольников), в рамках которой детям, не получавшим по каким-либо причинам медицинского обслуживания, предоставляются необходимые услуги, в частности, связанные с регулярной вакцинацией, обеспечением витамином А, взвешиванием, гигиеной полости рта и т.д.  Кроме того, </w:t>
      </w:r>
      <w:r w:rsidRPr="00661879">
        <w:rPr>
          <w:i/>
          <w:sz w:val="22"/>
          <w:szCs w:val="22"/>
        </w:rPr>
        <w:t>Программа повышения эффективности</w:t>
      </w:r>
      <w:r w:rsidRPr="00661879">
        <w:rPr>
          <w:sz w:val="22"/>
          <w:szCs w:val="22"/>
        </w:rPr>
        <w:t xml:space="preserve"> была расширена за счет добавления модулей </w:t>
      </w:r>
      <w:r w:rsidRPr="00661879">
        <w:rPr>
          <w:i/>
          <w:sz w:val="22"/>
          <w:szCs w:val="22"/>
        </w:rPr>
        <w:t>Обеспечения здоровой окружающей среды</w:t>
      </w:r>
      <w:r w:rsidRPr="00661879">
        <w:rPr>
          <w:sz w:val="22"/>
          <w:szCs w:val="22"/>
        </w:rPr>
        <w:t xml:space="preserve"> и </w:t>
      </w:r>
      <w:r w:rsidRPr="00661879">
        <w:rPr>
          <w:i/>
          <w:sz w:val="22"/>
          <w:szCs w:val="22"/>
        </w:rPr>
        <w:t>Здорового и правильного питания, касающихся детей</w:t>
      </w:r>
      <w:r w:rsidRPr="00661879">
        <w:rPr>
          <w:sz w:val="22"/>
          <w:szCs w:val="22"/>
        </w:rPr>
        <w:t xml:space="preserve">. </w:t>
      </w:r>
    </w:p>
    <w:p w:rsidR="00E9217C" w:rsidRPr="00661879" w:rsidRDefault="00E9217C" w:rsidP="005320CD">
      <w:pPr>
        <w:pStyle w:val="FootnoteText"/>
        <w:rPr>
          <w:sz w:val="22"/>
          <w:szCs w:val="22"/>
        </w:rPr>
      </w:pPr>
    </w:p>
  </w:footnote>
  <w:footnote w:id="48">
    <w:p w:rsidR="00E9217C" w:rsidRPr="00930E9D" w:rsidRDefault="00E9217C" w:rsidP="000A337C">
      <w:pPr>
        <w:pStyle w:val="FootnoteText"/>
        <w:rPr>
          <w:sz w:val="22"/>
          <w:szCs w:val="22"/>
        </w:rPr>
      </w:pPr>
      <w:r w:rsidRPr="00930E9D">
        <w:rPr>
          <w:rStyle w:val="FootnoteReference"/>
          <w:sz w:val="22"/>
          <w:szCs w:val="22"/>
        </w:rPr>
        <w:footnoteRef/>
      </w:r>
      <w:r w:rsidRPr="00930E9D">
        <w:rPr>
          <w:sz w:val="22"/>
          <w:szCs w:val="22"/>
        </w:rPr>
        <w:tab/>
      </w:r>
      <w:r w:rsidRPr="00930E9D">
        <w:rPr>
          <w:i/>
          <w:sz w:val="22"/>
          <w:szCs w:val="22"/>
        </w:rPr>
        <w:t>Экоуотч</w:t>
      </w:r>
      <w:r w:rsidRPr="00930E9D">
        <w:rPr>
          <w:sz w:val="22"/>
          <w:szCs w:val="22"/>
        </w:rPr>
        <w:t xml:space="preserve"> не только выявляет основных загрязнителей, но и классифицирует все промышленные компании с точки зрения принимаемых ими мер по защите окружающей среды, присваивая им различные цвета.  Золотым цветом отмечаются компании с наилучшими результатами в этой области;  зеленым - компании с хорошими результатами;  голубым - компании, непрерывно в течение года соблюдающие основные правила охраны окружающей среды;  красный и черный цвета присваиваются компаниям с самыми низкими показателями, которые в наибольшей степени загрязняют окружающую среду.</w:t>
      </w:r>
    </w:p>
  </w:footnote>
  <w:footnote w:id="49">
    <w:p w:rsidR="00E9217C" w:rsidRPr="00546433" w:rsidRDefault="00E9217C" w:rsidP="00683333">
      <w:pPr>
        <w:pStyle w:val="FootnoteText"/>
        <w:rPr>
          <w:sz w:val="22"/>
          <w:szCs w:val="22"/>
        </w:rPr>
      </w:pPr>
      <w:r w:rsidRPr="00546433">
        <w:rPr>
          <w:rStyle w:val="FootnoteReference"/>
          <w:sz w:val="22"/>
          <w:szCs w:val="22"/>
        </w:rPr>
        <w:footnoteRef/>
      </w:r>
      <w:r w:rsidRPr="00546433">
        <w:rPr>
          <w:sz w:val="22"/>
          <w:szCs w:val="22"/>
        </w:rPr>
        <w:t xml:space="preserve"> </w:t>
      </w:r>
      <w:r w:rsidRPr="00546433">
        <w:rPr>
          <w:sz w:val="22"/>
          <w:szCs w:val="22"/>
        </w:rPr>
        <w:tab/>
      </w:r>
      <w:r w:rsidRPr="00546433">
        <w:rPr>
          <w:b/>
          <w:sz w:val="22"/>
          <w:szCs w:val="22"/>
        </w:rPr>
        <w:t>Управление по развитию Метро Манила против ДЖАНКОМ</w:t>
      </w:r>
      <w:r w:rsidRPr="00546433">
        <w:rPr>
          <w:sz w:val="22"/>
          <w:szCs w:val="22"/>
        </w:rPr>
        <w:t xml:space="preserve">.  Обстоятельства дела:  в 1997 году Целевая президентская группа по вопросам уничтожения отходов заключила договор о строительстве, эксплуатации и передаче пользователю с компанией ДЖАНКОМ, занимающейся переработкой отходов.  5 марта 1998 года этот договор был представлен президенту Фиделю В. Рамосу, но он остался не подписанным и впоследствии был передан будущему президенту Йозефу Эйерсито Эстраде.  С принятием в 1999 году </w:t>
      </w:r>
      <w:r w:rsidRPr="00546433">
        <w:rPr>
          <w:i/>
          <w:sz w:val="22"/>
          <w:szCs w:val="22"/>
        </w:rPr>
        <w:t>Закона о чистом воздухе</w:t>
      </w:r>
      <w:r w:rsidRPr="00546433">
        <w:rPr>
          <w:sz w:val="22"/>
          <w:szCs w:val="22"/>
        </w:rPr>
        <w:t xml:space="preserve"> Управление по развитию Метро Манила (УРММ) попыталось аннулировать договор с ДЖАНКОМ.  Одной из приведенных УРММ причин стало то, что </w:t>
      </w:r>
      <w:r w:rsidRPr="00546433">
        <w:rPr>
          <w:i/>
          <w:sz w:val="22"/>
          <w:szCs w:val="22"/>
        </w:rPr>
        <w:t>Закон о чистом воздухе</w:t>
      </w:r>
      <w:r w:rsidRPr="00546433">
        <w:rPr>
          <w:sz w:val="22"/>
          <w:szCs w:val="22"/>
        </w:rPr>
        <w:t xml:space="preserve"> </w:t>
      </w:r>
      <w:r w:rsidRPr="00546433">
        <w:rPr>
          <w:i/>
          <w:sz w:val="22"/>
          <w:szCs w:val="22"/>
        </w:rPr>
        <w:t>1999</w:t>
      </w:r>
      <w:r w:rsidRPr="00546433">
        <w:rPr>
          <w:i/>
          <w:sz w:val="22"/>
          <w:szCs w:val="22"/>
          <w:lang w:val="en-US"/>
        </w:rPr>
        <w:t> </w:t>
      </w:r>
      <w:r w:rsidRPr="00546433">
        <w:rPr>
          <w:i/>
          <w:sz w:val="22"/>
          <w:szCs w:val="22"/>
        </w:rPr>
        <w:t>года</w:t>
      </w:r>
      <w:r w:rsidRPr="00546433">
        <w:rPr>
          <w:sz w:val="22"/>
          <w:szCs w:val="22"/>
        </w:rPr>
        <w:t xml:space="preserve"> запрещал сжигание в качестве способа ликвидации отходов.  Ввиду того, что компания ДЖАНКОМ как раз предлагала именно этот способ ликвидации отходов, УРММ заявило, что предусмотренный в законе запрет на сжигание лишал договор силы.  Предмет спора:  действительно ли </w:t>
      </w:r>
      <w:r w:rsidRPr="00546433">
        <w:rPr>
          <w:i/>
          <w:sz w:val="22"/>
          <w:szCs w:val="22"/>
        </w:rPr>
        <w:t>Закон о чистом воздухе</w:t>
      </w:r>
      <w:r w:rsidRPr="00546433">
        <w:rPr>
          <w:sz w:val="22"/>
          <w:szCs w:val="22"/>
        </w:rPr>
        <w:t xml:space="preserve"> запрещал сжигание отходов.  Решение:  статья 20 </w:t>
      </w:r>
      <w:r w:rsidRPr="00546433">
        <w:rPr>
          <w:i/>
          <w:sz w:val="22"/>
          <w:szCs w:val="22"/>
        </w:rPr>
        <w:t>Закона о чистом воздухе</w:t>
      </w:r>
      <w:r w:rsidRPr="00546433">
        <w:rPr>
          <w:sz w:val="22"/>
          <w:szCs w:val="22"/>
        </w:rPr>
        <w:t xml:space="preserve"> не содержит абсолютного запрета на подобный способ устранения отходов;  он скорее запрещает только такое сжигание, в результате которого образуются ядовитые и токсичные пары.</w:t>
      </w:r>
    </w:p>
    <w:p w:rsidR="00E9217C" w:rsidRPr="00546433" w:rsidRDefault="00E9217C" w:rsidP="00683333">
      <w:pPr>
        <w:pStyle w:val="FootnoteText"/>
        <w:rPr>
          <w:sz w:val="22"/>
          <w:szCs w:val="22"/>
        </w:rPr>
      </w:pPr>
    </w:p>
    <w:p w:rsidR="00E9217C" w:rsidRPr="00546433" w:rsidRDefault="00E9217C" w:rsidP="00683333">
      <w:pPr>
        <w:pStyle w:val="FootnoteText"/>
        <w:rPr>
          <w:sz w:val="22"/>
          <w:szCs w:val="22"/>
        </w:rPr>
      </w:pPr>
      <w:r w:rsidRPr="00546433">
        <w:rPr>
          <w:b/>
          <w:sz w:val="22"/>
          <w:szCs w:val="22"/>
        </w:rPr>
        <w:t>Управление по развитию озера Лагуна против Апелляционного суда</w:t>
      </w:r>
      <w:r w:rsidRPr="00546433">
        <w:rPr>
          <w:sz w:val="22"/>
          <w:szCs w:val="22"/>
        </w:rPr>
        <w:t>.  Обстоятельства дела:  группа жителей, именующих себя Инициативной группой по ликвидации Камаринской свалки прихода Лурдской Богоматери, Камарин, Калукан сити, подали жалобу на действия Государственной службы по развитию района озера Лагуна, требуя ликвидировать открытую свалку площадью в 8,6 га в Тала Истэйт, барангай Камарин.  Они утверждали, что эта свалка наносит вред здоровью жителей и загрязняет озеро Лагуна.  УРОЛ издало приказ, запрещающий городской администрации Калукана выброс мусора на данной территории.  Городская администрация оспорила полномочия УРОЛ принимать подобные решения.  Предмет спора:  вправе ли УРОЛ запретить городской администрации выбрасывать отходы в реку.  Решение:  в</w:t>
      </w:r>
      <w:r>
        <w:rPr>
          <w:sz w:val="22"/>
          <w:szCs w:val="22"/>
        </w:rPr>
        <w:t> </w:t>
      </w:r>
      <w:r w:rsidRPr="00546433">
        <w:rPr>
          <w:sz w:val="22"/>
          <w:szCs w:val="22"/>
        </w:rPr>
        <w:t xml:space="preserve">Республиканском законе 4850 о создании Управления по развитию района озера Лагуна четко предусмотрено, что УРОЛ может "принимать, отменять или изменять постановления о прекращении процесса загрязнения".  Пункт 4 </w:t>
      </w:r>
      <w:r w:rsidRPr="00546433">
        <w:rPr>
          <w:sz w:val="22"/>
          <w:szCs w:val="22"/>
          <w:lang w:val="en-US"/>
        </w:rPr>
        <w:t>d</w:t>
      </w:r>
      <w:r w:rsidRPr="00546433">
        <w:rPr>
          <w:sz w:val="22"/>
          <w:szCs w:val="22"/>
        </w:rPr>
        <w:t>) уполномочивает УРОЛ издавать любые необходимые предписания в рамках своей компетенции.</w:t>
      </w:r>
    </w:p>
    <w:p w:rsidR="00E9217C" w:rsidRPr="00546433" w:rsidRDefault="00E9217C" w:rsidP="00683333">
      <w:pPr>
        <w:pStyle w:val="FootnoteText"/>
        <w:rPr>
          <w:sz w:val="22"/>
          <w:szCs w:val="22"/>
        </w:rPr>
      </w:pPr>
    </w:p>
    <w:p w:rsidR="00E9217C" w:rsidRPr="00546433" w:rsidRDefault="00E9217C" w:rsidP="00683333">
      <w:pPr>
        <w:pStyle w:val="FootnoteText"/>
        <w:rPr>
          <w:sz w:val="22"/>
          <w:szCs w:val="22"/>
        </w:rPr>
      </w:pPr>
      <w:r w:rsidRPr="00546433">
        <w:rPr>
          <w:b/>
          <w:sz w:val="22"/>
          <w:szCs w:val="22"/>
        </w:rPr>
        <w:t>Тател против Сократес</w:t>
      </w:r>
      <w:r w:rsidRPr="00546433">
        <w:rPr>
          <w:sz w:val="22"/>
          <w:szCs w:val="22"/>
        </w:rPr>
        <w:t xml:space="preserve">.  Обстоятельства дела:  для прекращения практики рыбной ловли с использованием цианида законодательный совет Пуэрто Принцеса Сити вынес распоряжение, запрещающее вывоз живой рыбы из города.  На другом уровне </w:t>
      </w:r>
      <w:r w:rsidRPr="00546433">
        <w:rPr>
          <w:i/>
          <w:sz w:val="22"/>
          <w:szCs w:val="22"/>
        </w:rPr>
        <w:t xml:space="preserve">сангунианг панлалавиган </w:t>
      </w:r>
      <w:r w:rsidRPr="00546433">
        <w:rPr>
          <w:sz w:val="22"/>
          <w:szCs w:val="22"/>
        </w:rPr>
        <w:t>провинции Палаван также издал распоряжение, запрещающее в течение пяти лет ловлю определенных обитающих в кораллах видов морских организмов.  Истцы оспорили обоснованность этих распоряжений на том основании, что они фактически лишили их средств к существованию без надлежащего судебного разбирательства.  Предмет спора:  законность этих распоряжений.  Решение:  оспариваемые распоряжения направлены на защиту и сохранение морских ресурсов не только для нынешнего, но и для будущих поколений.  При этом следует учитывать и закрепленные в Конституции принципы, касающиеся обязанности государства защищать и поощрять права людей на здоровую и сбалансированную экологию в соответствии с существующей в природе гармонией.  В положении об обеспечении общего благополучия, закрепленном в Кодексе органов местного самоуправления 1991 года, это право гласит:  "В рамках соответствующей территориальной юрисдикции органы местного самоуправления, среди прочего, обеспечивают и поддерживают сохранение и обогащение культуры и право людей на сбалансированную окружающую среду".</w:t>
      </w:r>
    </w:p>
  </w:footnote>
  <w:footnote w:id="50">
    <w:p w:rsidR="00E9217C" w:rsidRPr="00AD504B" w:rsidRDefault="00E9217C" w:rsidP="00E120B8">
      <w:pPr>
        <w:pStyle w:val="FootnoteText"/>
        <w:rPr>
          <w:sz w:val="22"/>
          <w:szCs w:val="22"/>
        </w:rPr>
      </w:pPr>
      <w:r w:rsidRPr="00AD504B">
        <w:rPr>
          <w:rStyle w:val="FootnoteReference"/>
          <w:sz w:val="22"/>
          <w:szCs w:val="22"/>
        </w:rPr>
        <w:footnoteRef/>
      </w:r>
      <w:r w:rsidRPr="00AD504B">
        <w:rPr>
          <w:sz w:val="22"/>
          <w:szCs w:val="22"/>
        </w:rPr>
        <w:t xml:space="preserve"> </w:t>
      </w:r>
      <w:r w:rsidRPr="00AD504B">
        <w:rPr>
          <w:sz w:val="22"/>
          <w:szCs w:val="22"/>
        </w:rPr>
        <w:tab/>
        <w:t>Статья 8 Правил и положений об осуществлении РЗ 9257 гласит "Граждане пожилого возраста обеспечиваются бесплатной медицинской и стоматологической помощью, а также диагностическим и лабораторным обслуживанием, включая рентген, компьютерную томографию и анализ крови во всех государственных медицинских учреждениях…".  В статье 9 тех же правил предусмотрено, что "Пожилым гражданам предоставляется 20-процентная (20%) скидка на медицинские и стоматологические услуги, диагностическое и лабораторное обслуживание, включая рентген, компьютерную томографию и анализ крови, а также врачебные консультации во всех частных клиниках и лечебных учреждениях…".</w:t>
      </w:r>
    </w:p>
  </w:footnote>
  <w:footnote w:id="51">
    <w:p w:rsidR="00E9217C" w:rsidRPr="004A60CC" w:rsidRDefault="00E9217C" w:rsidP="006768A9">
      <w:pPr>
        <w:pStyle w:val="FootnoteText"/>
        <w:rPr>
          <w:sz w:val="22"/>
          <w:szCs w:val="22"/>
        </w:rPr>
      </w:pPr>
      <w:r w:rsidRPr="004A60CC">
        <w:rPr>
          <w:rStyle w:val="FootnoteReference"/>
          <w:sz w:val="22"/>
          <w:szCs w:val="22"/>
        </w:rPr>
        <w:footnoteRef/>
      </w:r>
      <w:r w:rsidRPr="004A60CC">
        <w:rPr>
          <w:sz w:val="22"/>
          <w:szCs w:val="22"/>
        </w:rPr>
        <w:t xml:space="preserve"> </w:t>
      </w:r>
      <w:r w:rsidRPr="004A60CC">
        <w:rPr>
          <w:sz w:val="22"/>
          <w:szCs w:val="22"/>
        </w:rPr>
        <w:tab/>
      </w:r>
      <w:r w:rsidRPr="004A60CC">
        <w:rPr>
          <w:i/>
          <w:sz w:val="22"/>
          <w:szCs w:val="22"/>
        </w:rPr>
        <w:t>Региональные средние школы с научным уклоном</w:t>
      </w:r>
      <w:r w:rsidRPr="004A60CC">
        <w:rPr>
          <w:sz w:val="22"/>
          <w:szCs w:val="22"/>
        </w:rPr>
        <w:t xml:space="preserve"> существуют в каждом районе страны.  В</w:t>
      </w:r>
      <w:r>
        <w:rPr>
          <w:sz w:val="22"/>
          <w:szCs w:val="22"/>
        </w:rPr>
        <w:t> </w:t>
      </w:r>
      <w:r w:rsidRPr="004A60CC">
        <w:rPr>
          <w:sz w:val="22"/>
          <w:szCs w:val="22"/>
        </w:rPr>
        <w:t xml:space="preserve">них предлагается изучение предметов по дополнительной или факультативной программе с научным, математическим или исследовательским уклоном и английскому языку в дополнение к общеобразовательной учебной программе (средней школы).  В 110 школах страны существуют </w:t>
      </w:r>
      <w:r w:rsidRPr="004A60CC">
        <w:rPr>
          <w:i/>
          <w:sz w:val="22"/>
          <w:szCs w:val="22"/>
        </w:rPr>
        <w:t>классы с научно-техническим уклоном.</w:t>
      </w:r>
      <w:r w:rsidRPr="004A60CC">
        <w:rPr>
          <w:sz w:val="22"/>
          <w:szCs w:val="22"/>
        </w:rPr>
        <w:t xml:space="preserve">  Первоначально они финансировались за счет займа, предоставленного Всемирным банком министерству науки и технологии на развитие Программы инженерно-научного образования (ПИНО).  </w:t>
      </w:r>
      <w:r w:rsidRPr="004A60CC">
        <w:rPr>
          <w:i/>
          <w:sz w:val="22"/>
          <w:szCs w:val="22"/>
        </w:rPr>
        <w:t>Профессионально-технические училища</w:t>
      </w:r>
      <w:r w:rsidRPr="004A60CC">
        <w:rPr>
          <w:sz w:val="22"/>
          <w:szCs w:val="22"/>
        </w:rPr>
        <w:t xml:space="preserve"> - специализированные  учебные заведения системы среднего образования, занимающиеся подготовкой учащихся к профессиональной трудовой деятельности и продолжению образования на более высоком уровне.  </w:t>
      </w:r>
      <w:r w:rsidRPr="004A60CC">
        <w:rPr>
          <w:i/>
          <w:sz w:val="22"/>
          <w:szCs w:val="22"/>
        </w:rPr>
        <w:t>Программа углубленного изучения искусств</w:t>
      </w:r>
      <w:r w:rsidRPr="004A60CC">
        <w:rPr>
          <w:sz w:val="22"/>
          <w:szCs w:val="22"/>
        </w:rPr>
        <w:t xml:space="preserve"> - специальная программа для учащихся средних школ, обладающих особыми способностями в музыке, изобразительном и театральном искусстве, журналистике, балете и литературном творчестве.  Эта программа в экспериментальном порядке осуществляется в 15 школах страны.  </w:t>
      </w:r>
      <w:r w:rsidRPr="004A60CC">
        <w:rPr>
          <w:i/>
          <w:sz w:val="22"/>
          <w:szCs w:val="22"/>
        </w:rPr>
        <w:t>Спортивные школы - школы, программа которых рассчитана на учащихся</w:t>
      </w:r>
      <w:r w:rsidRPr="004A60CC">
        <w:rPr>
          <w:sz w:val="22"/>
          <w:szCs w:val="22"/>
        </w:rPr>
        <w:t>, проявивших способности к различным видам спорта.  Она предполагает дополнительно два часа тренировок под руководством тренеров со специализацией на соответствующих видах спорта (легкая атлетика, бадминтон, бейсбол/софтбол, баскетбол, футбол, гимнастика, сепак-такро, плавание, настольный теннис, теквандо, теннис и волейбол).</w:t>
      </w:r>
    </w:p>
  </w:footnote>
  <w:footnote w:id="52">
    <w:p w:rsidR="00E9217C" w:rsidRPr="00D4715C" w:rsidRDefault="00E9217C" w:rsidP="00D4715C">
      <w:pPr>
        <w:pStyle w:val="FootnoteText"/>
        <w:rPr>
          <w:sz w:val="22"/>
          <w:szCs w:val="22"/>
        </w:rPr>
      </w:pPr>
      <w:r w:rsidRPr="00D4715C">
        <w:rPr>
          <w:rStyle w:val="FootnoteReference"/>
          <w:sz w:val="22"/>
          <w:szCs w:val="22"/>
        </w:rPr>
        <w:footnoteRef/>
      </w:r>
      <w:r w:rsidRPr="00D4715C">
        <w:rPr>
          <w:sz w:val="22"/>
          <w:szCs w:val="22"/>
        </w:rPr>
        <w:tab/>
        <w:t>Все данные об образовании, приводимые в настоящем докладе, касаются только государственных школ.</w:t>
      </w:r>
    </w:p>
  </w:footnote>
  <w:footnote w:id="53">
    <w:p w:rsidR="00E9217C" w:rsidRPr="00D4715C" w:rsidRDefault="00E9217C" w:rsidP="00D4715C">
      <w:pPr>
        <w:pStyle w:val="FootnoteText"/>
        <w:rPr>
          <w:sz w:val="22"/>
          <w:szCs w:val="22"/>
        </w:rPr>
      </w:pPr>
      <w:r w:rsidRPr="00D4715C">
        <w:rPr>
          <w:rStyle w:val="FootnoteReference"/>
          <w:sz w:val="22"/>
          <w:szCs w:val="22"/>
        </w:rPr>
        <w:footnoteRef/>
      </w:r>
      <w:r w:rsidRPr="00D4715C">
        <w:rPr>
          <w:sz w:val="22"/>
          <w:szCs w:val="22"/>
        </w:rPr>
        <w:tab/>
        <w:t>Индекс гендерного равенства означает соотношение доли женщин и мужчин.  ИГР в размере</w:t>
      </w:r>
      <w:r>
        <w:rPr>
          <w:sz w:val="22"/>
          <w:szCs w:val="22"/>
        </w:rPr>
        <w:t> </w:t>
      </w:r>
      <w:r w:rsidRPr="00D4715C">
        <w:rPr>
          <w:sz w:val="22"/>
          <w:szCs w:val="22"/>
        </w:rPr>
        <w:t>1,0 свидетельствует о гендерном равенстве.  ИГР в размере, превышающем 1,0, свидетельствует о гендерном неравенстве в пользу женщин (например, в школах доля девочек превышает процентную долю мальчиков).</w:t>
      </w:r>
    </w:p>
  </w:footnote>
  <w:footnote w:id="54">
    <w:p w:rsidR="00E9217C" w:rsidRPr="00563691" w:rsidRDefault="00E9217C" w:rsidP="001F10D7">
      <w:pPr>
        <w:pStyle w:val="FootnoteText"/>
        <w:rPr>
          <w:sz w:val="22"/>
          <w:szCs w:val="22"/>
        </w:rPr>
      </w:pPr>
      <w:r w:rsidRPr="00563691">
        <w:rPr>
          <w:rStyle w:val="FootnoteReference"/>
          <w:sz w:val="22"/>
          <w:szCs w:val="22"/>
        </w:rPr>
        <w:footnoteRef/>
      </w:r>
      <w:r w:rsidRPr="00563691">
        <w:rPr>
          <w:sz w:val="22"/>
          <w:szCs w:val="22"/>
        </w:rPr>
        <w:t xml:space="preserve"> </w:t>
      </w:r>
      <w:r w:rsidRPr="00563691">
        <w:rPr>
          <w:sz w:val="22"/>
          <w:szCs w:val="22"/>
        </w:rPr>
        <w:tab/>
        <w:t>В августе 2001 года был принят Республиканский закон (РЗ) 9155, известный также как Закон об управлении системой базового образования, в соответствии с которым министерство образования, культуры и спорта было переименовано в министерство образования.  Была пересмотрена также роль его отделений на местах ( в регионах, учебных и административных округах и школах).  РЗ № 9155 определяет общие рамки для:  i)  укрепления руководящей и направляющей роли директоров школ;  и ii)  управления школами в контексте транспарентности и</w:t>
      </w:r>
      <w:r>
        <w:rPr>
          <w:sz w:val="22"/>
          <w:szCs w:val="22"/>
        </w:rPr>
        <w:t> </w:t>
      </w:r>
      <w:r w:rsidRPr="00563691">
        <w:rPr>
          <w:sz w:val="22"/>
          <w:szCs w:val="22"/>
        </w:rPr>
        <w:t>подотчетности</w:t>
      </w:r>
      <w:r>
        <w:rPr>
          <w:sz w:val="22"/>
          <w:szCs w:val="22"/>
        </w:rPr>
        <w:t xml:space="preserve"> местным</w:t>
      </w:r>
      <w:r w:rsidRPr="00563691">
        <w:rPr>
          <w:sz w:val="22"/>
          <w:szCs w:val="22"/>
        </w:rPr>
        <w:t xml:space="preserve"> органам власти.  Целью базового образования является обучение населения школьного возраста и молодежи навыкам, знаниям и ценностям, позволяющим им стать ответственными, самостоятельности, производительными и патриотически настроенными гражданами. </w:t>
      </w:r>
    </w:p>
  </w:footnote>
  <w:footnote w:id="55">
    <w:p w:rsidR="00E9217C" w:rsidRPr="00A600E0" w:rsidRDefault="00E9217C" w:rsidP="001F10D7">
      <w:pPr>
        <w:pStyle w:val="FootnoteText"/>
        <w:rPr>
          <w:sz w:val="22"/>
          <w:szCs w:val="22"/>
        </w:rPr>
      </w:pPr>
      <w:r w:rsidRPr="00A600E0">
        <w:rPr>
          <w:rStyle w:val="FootnoteReference"/>
          <w:sz w:val="22"/>
          <w:szCs w:val="22"/>
        </w:rPr>
        <w:footnoteRef/>
      </w:r>
      <w:r w:rsidRPr="00A600E0">
        <w:rPr>
          <w:sz w:val="22"/>
          <w:szCs w:val="22"/>
        </w:rPr>
        <w:t xml:space="preserve"> </w:t>
      </w:r>
      <w:r w:rsidRPr="00A600E0">
        <w:rPr>
          <w:sz w:val="22"/>
          <w:szCs w:val="22"/>
        </w:rPr>
        <w:tab/>
        <w:t xml:space="preserve">К числу этих компонентов относятся следующие:  </w:t>
      </w:r>
      <w:r w:rsidRPr="00A600E0">
        <w:rPr>
          <w:i/>
          <w:sz w:val="22"/>
          <w:szCs w:val="22"/>
        </w:rPr>
        <w:t>Многоступенчатые демонстрационные школьные проекты (МДШП),</w:t>
      </w:r>
      <w:r w:rsidRPr="00A600E0">
        <w:rPr>
          <w:sz w:val="22"/>
          <w:szCs w:val="22"/>
        </w:rPr>
        <w:t xml:space="preserve"> которые направлены на общее улучшение работы школ посредством повышения квалификации учителей и школьных работников, а также обеспечения школ учебниками и учебно-методическими материалами.</w:t>
      </w:r>
    </w:p>
    <w:p w:rsidR="00E9217C" w:rsidRPr="0091508C" w:rsidRDefault="00E9217C" w:rsidP="001F10D7">
      <w:pPr>
        <w:pStyle w:val="FootnoteText"/>
        <w:rPr>
          <w:sz w:val="16"/>
          <w:szCs w:val="16"/>
        </w:rPr>
      </w:pPr>
    </w:p>
    <w:p w:rsidR="00E9217C" w:rsidRPr="00A600E0" w:rsidRDefault="00E9217C" w:rsidP="001F10D7">
      <w:pPr>
        <w:pStyle w:val="FootnoteText"/>
        <w:rPr>
          <w:sz w:val="22"/>
          <w:szCs w:val="22"/>
        </w:rPr>
      </w:pPr>
      <w:r w:rsidRPr="00A600E0">
        <w:rPr>
          <w:i/>
          <w:sz w:val="22"/>
          <w:szCs w:val="22"/>
        </w:rPr>
        <w:tab/>
        <w:t>Программа повышения эффективности обучения (ПЭО),</w:t>
      </w:r>
      <w:r w:rsidRPr="00A600E0">
        <w:rPr>
          <w:sz w:val="22"/>
          <w:szCs w:val="22"/>
        </w:rPr>
        <w:t> которая осуществляется при содействии ПРООН и служит средством прямой поддержки учащихся разных классов путем предоставления вспомогательных учебных материалов и привлечения общин к оказанию помощи в осуществлении программы.  Этот проект осуществляется в четырех провинциях:  Суригао дель Сур, Самбоанга дель Сур, Норт Котабато и Негрос Ориенталь.</w:t>
      </w:r>
    </w:p>
    <w:p w:rsidR="00E9217C" w:rsidRPr="0091508C" w:rsidRDefault="00E9217C" w:rsidP="001F10D7">
      <w:pPr>
        <w:pStyle w:val="FootnoteText"/>
        <w:rPr>
          <w:sz w:val="16"/>
          <w:szCs w:val="16"/>
        </w:rPr>
      </w:pPr>
    </w:p>
    <w:p w:rsidR="00E9217C" w:rsidRPr="00A600E0" w:rsidRDefault="00E9217C" w:rsidP="001F10D7">
      <w:pPr>
        <w:pStyle w:val="FootnoteText"/>
        <w:rPr>
          <w:sz w:val="22"/>
          <w:szCs w:val="22"/>
        </w:rPr>
      </w:pPr>
      <w:r w:rsidRPr="00A600E0">
        <w:rPr>
          <w:i/>
          <w:sz w:val="22"/>
          <w:szCs w:val="22"/>
        </w:rPr>
        <w:tab/>
        <w:t>Проект "Красный школьный домик" (ПКШД)</w:t>
      </w:r>
      <w:r w:rsidRPr="00A600E0">
        <w:rPr>
          <w:sz w:val="22"/>
          <w:szCs w:val="22"/>
        </w:rPr>
        <w:t>.  В 1998 году МО (тогда МОКС) в партнерстве с компанией "Кока-Кола" (</w:t>
      </w:r>
      <w:r w:rsidRPr="00A600E0">
        <w:rPr>
          <w:sz w:val="22"/>
          <w:szCs w:val="22"/>
          <w:lang w:val="en-US"/>
        </w:rPr>
        <w:t>Coca</w:t>
      </w:r>
      <w:r w:rsidRPr="00A600E0">
        <w:rPr>
          <w:sz w:val="22"/>
          <w:szCs w:val="22"/>
        </w:rPr>
        <w:noBreakHyphen/>
      </w:r>
      <w:r w:rsidRPr="00A600E0">
        <w:rPr>
          <w:sz w:val="22"/>
          <w:szCs w:val="22"/>
          <w:lang w:val="en-US"/>
        </w:rPr>
        <w:t>Cola</w:t>
      </w:r>
      <w:r w:rsidRPr="00A600E0">
        <w:rPr>
          <w:sz w:val="22"/>
          <w:szCs w:val="22"/>
        </w:rPr>
        <w:t xml:space="preserve"> </w:t>
      </w:r>
      <w:r w:rsidRPr="00A600E0">
        <w:rPr>
          <w:sz w:val="22"/>
          <w:szCs w:val="22"/>
          <w:lang w:val="en-US"/>
        </w:rPr>
        <w:t>Foundation</w:t>
      </w:r>
      <w:r w:rsidRPr="00A600E0">
        <w:rPr>
          <w:sz w:val="22"/>
          <w:szCs w:val="22"/>
        </w:rPr>
        <w:t xml:space="preserve">, </w:t>
      </w:r>
      <w:r w:rsidRPr="00A600E0">
        <w:rPr>
          <w:sz w:val="22"/>
          <w:szCs w:val="22"/>
          <w:lang w:val="en-US"/>
        </w:rPr>
        <w:t>Phil</w:t>
      </w:r>
      <w:r w:rsidRPr="00A600E0">
        <w:rPr>
          <w:sz w:val="22"/>
          <w:szCs w:val="22"/>
        </w:rPr>
        <w:t xml:space="preserve">. </w:t>
      </w:r>
      <w:r w:rsidRPr="00A600E0">
        <w:rPr>
          <w:sz w:val="22"/>
          <w:szCs w:val="22"/>
          <w:lang w:val="en-US"/>
        </w:rPr>
        <w:t>Inc</w:t>
      </w:r>
      <w:r w:rsidRPr="00A600E0">
        <w:rPr>
          <w:sz w:val="22"/>
          <w:szCs w:val="22"/>
        </w:rPr>
        <w:t>.) приступил к осуществлению проекта "Красный школьный домик", предусматривавшего строительство 50 трехкомнатных школьных помещений при некоторых средних школах.  В рамках этого проекта также осуществляется трехэтапная профессиональная подготовка преподавателей, координаторов и руководителей соответствующих школ-бенефициаров по вопросам многоступенчатого образования с целью развития у них навыков качественного управления.</w:t>
      </w:r>
    </w:p>
    <w:p w:rsidR="00E9217C" w:rsidRPr="0091508C" w:rsidRDefault="00E9217C" w:rsidP="001F10D7">
      <w:pPr>
        <w:pStyle w:val="FootnoteText"/>
        <w:rPr>
          <w:sz w:val="16"/>
          <w:szCs w:val="16"/>
        </w:rPr>
      </w:pPr>
    </w:p>
    <w:p w:rsidR="00E9217C" w:rsidRDefault="00E9217C" w:rsidP="001F10D7">
      <w:pPr>
        <w:pStyle w:val="FootnoteText"/>
        <w:rPr>
          <w:sz w:val="22"/>
          <w:szCs w:val="22"/>
        </w:rPr>
      </w:pPr>
      <w:r w:rsidRPr="00A600E0">
        <w:rPr>
          <w:sz w:val="22"/>
          <w:szCs w:val="22"/>
        </w:rPr>
        <w:tab/>
      </w:r>
      <w:r w:rsidRPr="00A600E0">
        <w:rPr>
          <w:i/>
          <w:sz w:val="22"/>
          <w:szCs w:val="22"/>
        </w:rPr>
        <w:t>Единая учебная программа для многоступенчатых классов (ЕП</w:t>
      </w:r>
      <w:r w:rsidRPr="00A600E0">
        <w:rPr>
          <w:i/>
          <w:sz w:val="22"/>
          <w:szCs w:val="22"/>
        </w:rPr>
        <w:noBreakHyphen/>
        <w:t>МК)</w:t>
      </w:r>
      <w:r w:rsidRPr="00A600E0">
        <w:rPr>
          <w:sz w:val="22"/>
          <w:szCs w:val="22"/>
        </w:rPr>
        <w:t>.  С целью институционального закрепления многоступенчатой программы обучения МО в 1997 году издал распоряжение № 96, определяющее политику и устанавливающее руководящие принципы организации и функционирования многоступенчатых классов.  По состоянию на 1999 год программа многоступенчатого обучения осуществляется во всех районах, за исключением РНС.</w:t>
      </w:r>
    </w:p>
    <w:p w:rsidR="00E9217C" w:rsidRPr="0091508C" w:rsidRDefault="00E9217C" w:rsidP="001F10D7">
      <w:pPr>
        <w:pStyle w:val="FootnoteText"/>
        <w:rPr>
          <w:sz w:val="16"/>
          <w:szCs w:val="16"/>
        </w:rPr>
      </w:pPr>
    </w:p>
  </w:footnote>
  <w:footnote w:id="56">
    <w:p w:rsidR="00E9217C" w:rsidRDefault="00E9217C" w:rsidP="00F26757">
      <w:pPr>
        <w:pStyle w:val="FootnoteText"/>
        <w:rPr>
          <w:sz w:val="22"/>
          <w:szCs w:val="22"/>
        </w:rPr>
      </w:pPr>
      <w:r w:rsidRPr="007157D2">
        <w:rPr>
          <w:rStyle w:val="FootnoteReference"/>
          <w:sz w:val="22"/>
          <w:szCs w:val="22"/>
        </w:rPr>
        <w:footnoteRef/>
      </w:r>
      <w:r w:rsidRPr="007157D2">
        <w:rPr>
          <w:sz w:val="22"/>
          <w:szCs w:val="22"/>
        </w:rPr>
        <w:t xml:space="preserve"> </w:t>
      </w:r>
      <w:r w:rsidRPr="007157D2">
        <w:rPr>
          <w:sz w:val="22"/>
          <w:szCs w:val="22"/>
        </w:rPr>
        <w:tab/>
      </w:r>
      <w:r w:rsidRPr="007157D2">
        <w:rPr>
          <w:i/>
          <w:sz w:val="22"/>
          <w:szCs w:val="22"/>
        </w:rPr>
        <w:t>Альтернативный подход к организации школ в общинах.</w:t>
      </w:r>
      <w:r w:rsidRPr="007157D2">
        <w:rPr>
          <w:sz w:val="22"/>
          <w:szCs w:val="22"/>
        </w:rPr>
        <w:t xml:space="preserve">  Этот проект был разработан с целью решения проблемы разгрузки переполненных школ, а также мобилизации и усиления помощи со стороны общины.  Экспериментальный этап этого проекта начался в октябре 2005 года в четырех районах и охватил в общей сложности 14 начальных школ.</w:t>
      </w:r>
    </w:p>
    <w:p w:rsidR="00E9217C" w:rsidRPr="00A84639"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r>
      <w:r w:rsidRPr="007157D2">
        <w:rPr>
          <w:i/>
          <w:sz w:val="22"/>
          <w:szCs w:val="22"/>
        </w:rPr>
        <w:t xml:space="preserve">Синесквела.  </w:t>
      </w:r>
      <w:r w:rsidRPr="007157D2">
        <w:rPr>
          <w:sz w:val="22"/>
          <w:szCs w:val="22"/>
        </w:rPr>
        <w:t xml:space="preserve">В июне 1995 года в государственных начальных школах было введено изучение естественных наук с помощью телепередач по программе </w:t>
      </w:r>
      <w:r w:rsidRPr="007157D2">
        <w:rPr>
          <w:i/>
          <w:sz w:val="22"/>
          <w:szCs w:val="22"/>
        </w:rPr>
        <w:t>Синесквела</w:t>
      </w:r>
      <w:r w:rsidRPr="007157D2">
        <w:rPr>
          <w:sz w:val="22"/>
          <w:szCs w:val="22"/>
        </w:rPr>
        <w:t xml:space="preserve">.  Подготовленная Фондом </w:t>
      </w:r>
      <w:r w:rsidRPr="007157D2">
        <w:rPr>
          <w:sz w:val="22"/>
          <w:szCs w:val="22"/>
          <w:lang w:val="en-US"/>
        </w:rPr>
        <w:t>ABS</w:t>
      </w:r>
      <w:r w:rsidRPr="007157D2">
        <w:rPr>
          <w:sz w:val="22"/>
          <w:szCs w:val="22"/>
        </w:rPr>
        <w:t>-</w:t>
      </w:r>
      <w:r w:rsidRPr="007157D2">
        <w:rPr>
          <w:sz w:val="22"/>
          <w:szCs w:val="22"/>
          <w:lang w:val="en-US"/>
        </w:rPr>
        <w:t>CBN</w:t>
      </w:r>
      <w:r w:rsidRPr="007157D2">
        <w:rPr>
          <w:sz w:val="22"/>
          <w:szCs w:val="22"/>
        </w:rPr>
        <w:t xml:space="preserve"> эта передача призвана служить дополнением к программе изучения основ науки.  Поэтому ее просмотр был сделан обязательным.  В 1995 году началось также осуществление программы Непрерывного научного образования по телевизору (КОНСТЕЛ) с целью повышения уровня научных знаний филиппинцев.  Распоряжением МОКС № 53 в 1996 году в начальных и средних школах было введено официальное использование видеозаписей передач КОНСТЕЛ.</w:t>
      </w:r>
    </w:p>
    <w:p w:rsidR="00E9217C" w:rsidRPr="00A84639"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r>
      <w:r w:rsidRPr="007157D2">
        <w:rPr>
          <w:i/>
          <w:sz w:val="22"/>
          <w:szCs w:val="22"/>
        </w:rPr>
        <w:t xml:space="preserve">Третий проект начального образования.  </w:t>
      </w:r>
      <w:r w:rsidRPr="007157D2">
        <w:rPr>
          <w:sz w:val="22"/>
          <w:szCs w:val="22"/>
        </w:rPr>
        <w:t>Недавно правительство в сотрудничестве со Всемирным банком и Японским банком международного сотрудничества осуществило Третий проект начального образования (ТПНО), конечной целью которого является повышение качества начального образования и расширение доступа к этому образованию.  Этот проект включает три основных компонента:  a)  проведение строительных работ, включая сооружение и ремонт классных помещений и служебных зданий;  b)  финансово-административный компонент, включающий материально-техническое снабжение, финансовый менеджмент, управление информационной системой и проектами;  и  c)  усиление общеобразовательной подготовки, включающей оценку знаний учащихся, обеспечение их учебниками и учебными пособиями.  Характерными особенностями ТПНО являются:  децентрализация и расширение прав школ;  планирование и управление общеобразовательным процессом на местном уровне;  улучшение оснащения школ и внедрение технических новшеств;  подготовка надлежащих учебников и учебных пособий;  повышение квалификации преподавателей, директоров школ и школьных инспекторов с учетом потребностей школ;  строительство и оснащение школ на местах;  осуществление многоступенчатых учебных программ;  и развитие партнерства с основными заинтересованными сторонами.</w:t>
      </w:r>
    </w:p>
    <w:p w:rsidR="00E9217C" w:rsidRPr="00785365"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r>
      <w:r w:rsidRPr="007157D2">
        <w:rPr>
          <w:i/>
          <w:sz w:val="22"/>
          <w:szCs w:val="22"/>
        </w:rPr>
        <w:t xml:space="preserve">Проект развития детей в раннем возрасте (ПРДРВ).  </w:t>
      </w:r>
      <w:r w:rsidRPr="007157D2">
        <w:rPr>
          <w:sz w:val="22"/>
          <w:szCs w:val="22"/>
        </w:rPr>
        <w:t>В соответствии с УДРРВ министерство образования приняло меры для интеграции этого проекта в учебную программу первой ступени начальной школы.  Этот процесс начался в 1991 году в виде экспериментальной летней школы и предусматривал шестинедельную программу обучения детей в возрасте от 6,5 до 7 лет.  Оценка результатов программы показала, что отсев среди детей, посещавших летнюю подготовительную школу, составлял только 1% по сравнению с 15% учеников обычных школ.  На основе этих положительных результатов министерство образования приняло решение продолжить этот эксперимент, но не в летнее время, учитывая трудности с поиском свободных преподавателей и детей, желающих учиться летом.  Поэтому в настоящее время министерство образования осуществляет восьминедельную программу (шесть недель подготовительного обучения плюс две недели переходного периода), которая вводится во время первых двух месяцев обучения в первом классе.  Эта программа позволила снизить показатель отсева из школы и повысить число учеников, продолжающих обучение, и лиц, закончивших школу.</w:t>
      </w:r>
    </w:p>
    <w:p w:rsidR="00E9217C" w:rsidRPr="00785365"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r>
      <w:r w:rsidRPr="007157D2">
        <w:rPr>
          <w:i/>
          <w:sz w:val="22"/>
          <w:szCs w:val="22"/>
        </w:rPr>
        <w:t xml:space="preserve">Дошкольная программа министерства образования </w:t>
      </w:r>
      <w:r w:rsidRPr="007157D2">
        <w:rPr>
          <w:sz w:val="22"/>
          <w:szCs w:val="22"/>
        </w:rPr>
        <w:t>осуществляется в 22 учебных округах, охватывая 1 428 классов и 714 штатных преподавателей дошкольных учебных заведений.</w:t>
      </w:r>
    </w:p>
    <w:p w:rsidR="00E9217C" w:rsidRPr="00785365" w:rsidRDefault="00E9217C" w:rsidP="00F26757">
      <w:pPr>
        <w:pStyle w:val="FootnoteText"/>
        <w:rPr>
          <w:sz w:val="16"/>
          <w:szCs w:val="16"/>
        </w:rPr>
      </w:pPr>
    </w:p>
    <w:p w:rsidR="00E9217C" w:rsidRPr="007157D2" w:rsidRDefault="00E9217C" w:rsidP="00F26757">
      <w:pPr>
        <w:pStyle w:val="FootnoteText"/>
        <w:rPr>
          <w:i/>
          <w:sz w:val="22"/>
          <w:szCs w:val="22"/>
        </w:rPr>
      </w:pPr>
      <w:r w:rsidRPr="007157D2">
        <w:rPr>
          <w:sz w:val="22"/>
          <w:szCs w:val="22"/>
        </w:rPr>
        <w:tab/>
      </w:r>
      <w:r w:rsidRPr="007157D2">
        <w:rPr>
          <w:i/>
          <w:sz w:val="22"/>
          <w:szCs w:val="22"/>
        </w:rPr>
        <w:t>Программа дошкольного обучения на контрактной основе</w:t>
      </w:r>
      <w:r w:rsidRPr="007157D2">
        <w:rPr>
          <w:sz w:val="22"/>
          <w:szCs w:val="22"/>
        </w:rPr>
        <w:t xml:space="preserve"> осуществляется в муниципалитетах пятого и шестого разряда по всей стране с целью приобщения пятилетних детей или будущих учеников первого класса к дошкольному обучению.  Эта программа распространяется на детей, которые не посещают дошкольные учебные заведения и детские сады.</w:t>
      </w:r>
      <w:r w:rsidRPr="007157D2">
        <w:rPr>
          <w:i/>
          <w:sz w:val="22"/>
          <w:szCs w:val="22"/>
        </w:rPr>
        <w:t xml:space="preserve">  </w:t>
      </w:r>
    </w:p>
    <w:p w:rsidR="00E9217C" w:rsidRPr="0079320A" w:rsidRDefault="00E9217C" w:rsidP="00F26757">
      <w:pPr>
        <w:pStyle w:val="FootnoteText"/>
        <w:rPr>
          <w:sz w:val="16"/>
          <w:szCs w:val="16"/>
        </w:rPr>
      </w:pPr>
    </w:p>
  </w:footnote>
  <w:footnote w:id="57">
    <w:p w:rsidR="00E9217C" w:rsidRDefault="00E9217C" w:rsidP="00F26757">
      <w:pPr>
        <w:pStyle w:val="FootnoteText"/>
        <w:rPr>
          <w:sz w:val="22"/>
          <w:szCs w:val="22"/>
        </w:rPr>
      </w:pPr>
      <w:r w:rsidRPr="007157D2">
        <w:rPr>
          <w:rStyle w:val="FootnoteReference"/>
          <w:sz w:val="22"/>
          <w:szCs w:val="22"/>
        </w:rPr>
        <w:footnoteRef/>
      </w:r>
      <w:r w:rsidRPr="007157D2">
        <w:rPr>
          <w:sz w:val="22"/>
          <w:szCs w:val="22"/>
        </w:rPr>
        <w:t xml:space="preserve"> </w:t>
      </w:r>
      <w:r w:rsidRPr="007157D2">
        <w:rPr>
          <w:sz w:val="22"/>
          <w:szCs w:val="22"/>
        </w:rPr>
        <w:tab/>
        <w:t>Распоряжением № 24 от 1995 года МОКС призвал приложить все усилия для достижения целей и задач в области образования за полугодие как по числу зачисленных детей, так и по численности продолжающих обучение лиц;  для комплектации недоукомплектованных начальных школ путем организации комбинированных и/или многоступенчатых классов;  активизации кампании по возвращению в школы (</w:t>
      </w:r>
      <w:r w:rsidRPr="007157D2">
        <w:rPr>
          <w:i/>
          <w:sz w:val="22"/>
          <w:szCs w:val="22"/>
          <w:lang w:val="en-US"/>
        </w:rPr>
        <w:t>balik</w:t>
      </w:r>
      <w:r w:rsidRPr="007157D2">
        <w:rPr>
          <w:i/>
          <w:sz w:val="22"/>
          <w:szCs w:val="22"/>
        </w:rPr>
        <w:t>-</w:t>
      </w:r>
      <w:r w:rsidRPr="007157D2">
        <w:rPr>
          <w:i/>
          <w:sz w:val="22"/>
          <w:szCs w:val="22"/>
          <w:lang w:val="en-US"/>
        </w:rPr>
        <w:t>eskuwela</w:t>
      </w:r>
      <w:r w:rsidRPr="007157D2">
        <w:rPr>
          <w:sz w:val="22"/>
          <w:szCs w:val="22"/>
        </w:rPr>
        <w:t>), в ходе которой каждая начальная школа должна вернуть не менее 10 бросивших учебу детей в своем округе;  и для достижения нулевого отсева учащихся в 5-м и 6-м классах.</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t>Распоряжением № 45 от 1995 года МОКС рекомендовал различным учебным округам отобрать лучших преподавателей первых классов, с тем чтобы побудить учеников первых классов продолжать учебу в школе и завершить свое начальное образование.</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t>Распоряжением № 9 от 2005 года МО утвердило меры по высвобождению рабочего времени преподавателей за счет сокращения числа мероприятий, отвлекающих их и/или учеников от классных занятий, максимального использования времени, отведенного на изучение каждого предмета, и сокращения обязанностей, не связанных с преподаванием.</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t>Распоряжением № 26 от 1997 года МО официально ввело в действие программы специального образования в школах.</w:t>
      </w:r>
    </w:p>
    <w:p w:rsidR="00E9217C" w:rsidRPr="0079320A" w:rsidRDefault="00E9217C" w:rsidP="00F26757">
      <w:pPr>
        <w:pStyle w:val="FootnoteText"/>
        <w:rPr>
          <w:sz w:val="16"/>
          <w:szCs w:val="16"/>
        </w:rPr>
      </w:pPr>
    </w:p>
  </w:footnote>
  <w:footnote w:id="58">
    <w:p w:rsidR="00E9217C" w:rsidRDefault="00E9217C" w:rsidP="00F26757">
      <w:pPr>
        <w:pStyle w:val="FootnoteText"/>
        <w:rPr>
          <w:sz w:val="22"/>
          <w:szCs w:val="22"/>
        </w:rPr>
      </w:pPr>
      <w:r w:rsidRPr="007157D2">
        <w:rPr>
          <w:rStyle w:val="FootnoteReference"/>
          <w:sz w:val="22"/>
          <w:szCs w:val="22"/>
        </w:rPr>
        <w:footnoteRef/>
      </w:r>
      <w:r w:rsidRPr="007157D2">
        <w:rPr>
          <w:sz w:val="22"/>
          <w:szCs w:val="22"/>
        </w:rPr>
        <w:t xml:space="preserve"> </w:t>
      </w:r>
      <w:r w:rsidRPr="007157D2">
        <w:rPr>
          <w:sz w:val="22"/>
          <w:szCs w:val="22"/>
        </w:rPr>
        <w:tab/>
        <w:t xml:space="preserve">В последнее время численность учащихся в средних школах увеличилась.  Это произошло главным образом благодаря осуществлению проекта по </w:t>
      </w:r>
      <w:r w:rsidRPr="007157D2">
        <w:rPr>
          <w:i/>
          <w:sz w:val="22"/>
          <w:szCs w:val="22"/>
        </w:rPr>
        <w:t>Усовершенствованию системы среднего образования (УССО)</w:t>
      </w:r>
      <w:r w:rsidRPr="007157D2">
        <w:rPr>
          <w:sz w:val="22"/>
          <w:szCs w:val="22"/>
        </w:rPr>
        <w:t xml:space="preserve"> и проекта </w:t>
      </w:r>
      <w:r w:rsidRPr="007157D2">
        <w:rPr>
          <w:i/>
          <w:sz w:val="22"/>
          <w:szCs w:val="22"/>
        </w:rPr>
        <w:t>Эффективное и материально доступное среднее образование (ЭМСО)</w:t>
      </w:r>
      <w:r w:rsidRPr="007157D2">
        <w:rPr>
          <w:sz w:val="22"/>
          <w:szCs w:val="22"/>
        </w:rPr>
        <w:t>.  УССО - это рассчитанный на семь лет и осуществляемый при иностранном содействии проект, финансируемый Азиатским банком развития и Японским банком международного сотрудничества.</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b/>
          <w:i/>
          <w:sz w:val="22"/>
          <w:szCs w:val="22"/>
        </w:rPr>
        <w:tab/>
        <w:t>Система открытой средней школы</w:t>
      </w:r>
      <w:r w:rsidRPr="007157D2">
        <w:rPr>
          <w:sz w:val="22"/>
          <w:szCs w:val="22"/>
        </w:rPr>
        <w:t>.  Министерство образования ввело в действие систему открытой средней школы, представляющую собой еще один способ получения формального образования, при котором учащиеся получают возможность получить среднее образование либо путем непосредственного посещения занятий, либо путем заочного обучения.  При этом предполагается использовать как печатные (модули проекта ЭМСО), так и аудиовизуальные материалы.  В рамках этой системы упор делается на независимые, самостоятельные и гибкие методы изучения, приемлемые для учащихся, которые не способны учиться в системе среднего образования из-за проблем, связанных с отсутствием времени, расстоянием, сложностью учебного процесса, физическими дефектами, финансовыми трудностями или семейными проблемами.</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b/>
          <w:i/>
          <w:sz w:val="22"/>
          <w:szCs w:val="22"/>
        </w:rPr>
        <w:tab/>
        <w:t>Программа многоступенчатого обучения и сокращения отсева учащихся.</w:t>
      </w:r>
      <w:r w:rsidRPr="007157D2">
        <w:rPr>
          <w:sz w:val="22"/>
          <w:szCs w:val="22"/>
        </w:rPr>
        <w:t xml:space="preserve">  Задача этой программы состоит в удовлетворении потребностей детей из малоимущих семей и отдаленных районов.  Для увеличения числа учащихся в средней школе МО осуществило ряд программ по расширению приема учащихся и выплате дотаций на покрытие платы за обучение, которыми воспользовались тысячи учащихся средней школы. </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b/>
          <w:i/>
          <w:sz w:val="22"/>
          <w:szCs w:val="22"/>
        </w:rPr>
        <w:tab/>
        <w:t>Система альтернативного обучения.</w:t>
      </w:r>
      <w:r w:rsidRPr="007157D2">
        <w:rPr>
          <w:sz w:val="22"/>
          <w:szCs w:val="22"/>
        </w:rPr>
        <w:t xml:space="preserve">  Эта программа была осуществлена министерством образования, с тем чтобы позволить учащимся гибко включиться как в формальные, так и в неформальные потоки начального образования и обеспечить их растущую социальную мобильность.  Она представляет собой параллельную систему обучения, являющуюся приемлемой альтернативой действующей формальной системе образования.</w:t>
      </w:r>
    </w:p>
    <w:p w:rsidR="00E9217C" w:rsidRPr="0079320A" w:rsidRDefault="00E9217C" w:rsidP="00F26757">
      <w:pPr>
        <w:pStyle w:val="FootnoteText"/>
        <w:rPr>
          <w:sz w:val="16"/>
          <w:szCs w:val="16"/>
        </w:rPr>
      </w:pPr>
    </w:p>
    <w:p w:rsidR="00E9217C" w:rsidRDefault="00E9217C" w:rsidP="00F26757">
      <w:pPr>
        <w:pStyle w:val="FootnoteText"/>
        <w:rPr>
          <w:color w:val="000000"/>
          <w:sz w:val="22"/>
          <w:szCs w:val="22"/>
        </w:rPr>
      </w:pPr>
      <w:r w:rsidRPr="007157D2">
        <w:rPr>
          <w:b/>
          <w:i/>
          <w:sz w:val="22"/>
          <w:szCs w:val="22"/>
        </w:rPr>
        <w:tab/>
        <w:t xml:space="preserve">Программа расширения приема учащихся </w:t>
      </w:r>
      <w:r w:rsidRPr="007157D2">
        <w:rPr>
          <w:b/>
          <w:i/>
          <w:color w:val="000000"/>
          <w:sz w:val="22"/>
          <w:szCs w:val="22"/>
        </w:rPr>
        <w:t xml:space="preserve">(ПРПУ) </w:t>
      </w:r>
      <w:r w:rsidRPr="007157D2">
        <w:rPr>
          <w:color w:val="000000"/>
          <w:sz w:val="22"/>
          <w:szCs w:val="22"/>
        </w:rPr>
        <w:t>и</w:t>
      </w:r>
      <w:r w:rsidRPr="007157D2">
        <w:rPr>
          <w:b/>
          <w:i/>
          <w:color w:val="000000"/>
          <w:sz w:val="22"/>
          <w:szCs w:val="22"/>
        </w:rPr>
        <w:t xml:space="preserve"> Программа выплаты дотаций на покрытие платы за обучение (ПДПО)</w:t>
      </w:r>
      <w:r w:rsidRPr="007157D2">
        <w:rPr>
          <w:color w:val="000000"/>
          <w:sz w:val="22"/>
          <w:szCs w:val="22"/>
        </w:rPr>
        <w:t xml:space="preserve">.  С помощью этих проектов учащиеся, которые не могут быть приняты в государственные школы из-за их переполненности, зачисляются в частные средние школы.  Обе эти программы подпадают под действие </w:t>
      </w:r>
      <w:r w:rsidRPr="007157D2">
        <w:rPr>
          <w:i/>
          <w:color w:val="000000"/>
          <w:sz w:val="22"/>
          <w:szCs w:val="22"/>
        </w:rPr>
        <w:t>Программы государственной помощи учащимся и преподавателям в сфере частного образования</w:t>
      </w:r>
      <w:r w:rsidRPr="007157D2">
        <w:rPr>
          <w:color w:val="000000"/>
          <w:sz w:val="22"/>
          <w:szCs w:val="22"/>
        </w:rPr>
        <w:t xml:space="preserve"> (ПГПУЧ)</w:t>
      </w:r>
      <w:r w:rsidRPr="007157D2">
        <w:rPr>
          <w:i/>
          <w:color w:val="000000"/>
          <w:sz w:val="22"/>
          <w:szCs w:val="22"/>
        </w:rPr>
        <w:t xml:space="preserve">.  </w:t>
      </w:r>
      <w:r w:rsidRPr="007157D2">
        <w:rPr>
          <w:color w:val="000000"/>
          <w:sz w:val="22"/>
          <w:szCs w:val="22"/>
        </w:rPr>
        <w:t>В 2005/06 учебном году помощь по линии ПРПУ была оказана 363</w:t>
      </w:r>
      <w:r w:rsidRPr="007157D2">
        <w:rPr>
          <w:color w:val="000000"/>
          <w:sz w:val="22"/>
          <w:szCs w:val="22"/>
          <w:lang w:val="en-US"/>
        </w:rPr>
        <w:t> </w:t>
      </w:r>
      <w:r w:rsidRPr="007157D2">
        <w:rPr>
          <w:color w:val="000000"/>
          <w:sz w:val="22"/>
          <w:szCs w:val="22"/>
        </w:rPr>
        <w:t>187</w:t>
      </w:r>
      <w:r w:rsidRPr="007157D2">
        <w:rPr>
          <w:color w:val="000000"/>
          <w:sz w:val="22"/>
          <w:szCs w:val="22"/>
          <w:lang w:val="en-US"/>
        </w:rPr>
        <w:t> </w:t>
      </w:r>
      <w:r w:rsidRPr="007157D2">
        <w:rPr>
          <w:color w:val="000000"/>
          <w:sz w:val="22"/>
          <w:szCs w:val="22"/>
        </w:rPr>
        <w:t>учащимся в 1</w:t>
      </w:r>
      <w:r w:rsidRPr="007157D2">
        <w:rPr>
          <w:color w:val="000000"/>
          <w:sz w:val="22"/>
          <w:szCs w:val="22"/>
          <w:lang w:val="en-US"/>
        </w:rPr>
        <w:t> </w:t>
      </w:r>
      <w:r w:rsidRPr="007157D2">
        <w:rPr>
          <w:color w:val="000000"/>
          <w:sz w:val="22"/>
          <w:szCs w:val="22"/>
        </w:rPr>
        <w:t>683 школах - участницах программы, а дотации по линии ПДПО получили 10 692 учащихся в трех школах - участницах программы.  Обе программы в рамках ПГПУЧ действуют в 104 школах.</w:t>
      </w:r>
    </w:p>
    <w:p w:rsidR="00E9217C" w:rsidRPr="0079320A" w:rsidRDefault="00E9217C" w:rsidP="00F26757">
      <w:pPr>
        <w:pStyle w:val="FootnoteText"/>
        <w:rPr>
          <w:sz w:val="16"/>
          <w:szCs w:val="16"/>
        </w:rPr>
      </w:pPr>
    </w:p>
    <w:p w:rsidR="00E9217C" w:rsidRDefault="00E9217C" w:rsidP="00F26757">
      <w:pPr>
        <w:pStyle w:val="FootnoteText"/>
        <w:rPr>
          <w:color w:val="000000"/>
          <w:sz w:val="22"/>
          <w:szCs w:val="22"/>
        </w:rPr>
      </w:pPr>
      <w:r w:rsidRPr="007157D2">
        <w:rPr>
          <w:color w:val="000000"/>
          <w:sz w:val="22"/>
          <w:szCs w:val="22"/>
        </w:rPr>
        <w:tab/>
        <w:t>По состоянию на 15 января 1999</w:t>
      </w:r>
      <w:r w:rsidRPr="007157D2">
        <w:rPr>
          <w:color w:val="000000"/>
          <w:sz w:val="22"/>
          <w:szCs w:val="22"/>
          <w:lang w:val="en-US"/>
        </w:rPr>
        <w:t> </w:t>
      </w:r>
      <w:r w:rsidRPr="007157D2">
        <w:rPr>
          <w:color w:val="000000"/>
          <w:sz w:val="22"/>
          <w:szCs w:val="22"/>
        </w:rPr>
        <w:t>года, программой ПРПУ воспользовались 374 918 учащихся в 1 122 школах - участницах программы, а дотации по линии ПДПО были выплачены 162 966 учащимся в 638 школах.</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b/>
          <w:i/>
          <w:color w:val="000000"/>
          <w:sz w:val="22"/>
          <w:szCs w:val="22"/>
        </w:rPr>
        <w:tab/>
        <w:t>Программа внешкольного образования для взрослых</w:t>
      </w:r>
      <w:r w:rsidRPr="007157D2">
        <w:rPr>
          <w:b/>
          <w:i/>
          <w:sz w:val="22"/>
          <w:szCs w:val="22"/>
        </w:rPr>
        <w:t xml:space="preserve"> (Балик-Пааралан Пара Са).</w:t>
      </w:r>
      <w:r w:rsidRPr="007157D2">
        <w:rPr>
          <w:sz w:val="22"/>
          <w:szCs w:val="22"/>
        </w:rPr>
        <w:t xml:space="preserve">  Возраст не должен быть препятствием для тех, кто желает получить среднее образование.  Программа внешкольного образования для взрослых (ПВОВ) - это новейшая альтернативная система получения образования, которая позволяет взрослым, не посещавшим ранее школу, получить среднее образование, а также приобрести предпринимательские или профессиональные навыки для начального трудоустройства.  В настоящее время в 31 средней школе по всей стране обучается 1 381 взрослый учащийся.</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b/>
          <w:i/>
          <w:sz w:val="22"/>
          <w:szCs w:val="22"/>
        </w:rPr>
        <w:tab/>
        <w:t>Партнерская программа обучения на дому.</w:t>
      </w:r>
      <w:r w:rsidRPr="007157D2">
        <w:rPr>
          <w:sz w:val="22"/>
          <w:szCs w:val="22"/>
        </w:rPr>
        <w:t xml:space="preserve">  Эта программа дополняет существующую школьную программу домашнего воспитания.  Ее задачи состоят в том, чтобы повысить уровень знаний, навыков и способностей родителей в вопросах воспитания школьников, а также позволить им выступать в роли обучающих партнеров школы в процессе воспитания их детей и других членов общества.  </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t>Этот проект завершился проведением исследования по модифицированному методу экспертных оценок, которое показало, что родители в состоянии решать деликатные проблемы, связанные с репродуктивным здоровьем подростков.</w:t>
      </w:r>
    </w:p>
    <w:p w:rsidR="00E9217C" w:rsidRPr="0079320A" w:rsidRDefault="00E9217C" w:rsidP="00F26757">
      <w:pPr>
        <w:pStyle w:val="FootnoteText"/>
        <w:rPr>
          <w:sz w:val="16"/>
          <w:szCs w:val="16"/>
        </w:rPr>
      </w:pPr>
    </w:p>
    <w:p w:rsidR="00E9217C" w:rsidRDefault="00E9217C" w:rsidP="00F26757">
      <w:pPr>
        <w:pStyle w:val="FootnoteText"/>
        <w:rPr>
          <w:color w:val="000000"/>
          <w:sz w:val="22"/>
          <w:szCs w:val="22"/>
        </w:rPr>
      </w:pPr>
      <w:r w:rsidRPr="007157D2">
        <w:rPr>
          <w:b/>
          <w:i/>
          <w:sz w:val="22"/>
          <w:szCs w:val="22"/>
        </w:rPr>
        <w:tab/>
        <w:t xml:space="preserve">Подготовка по вопросам обеспечения общественного порядка и безопасности </w:t>
      </w:r>
      <w:r w:rsidRPr="007157D2">
        <w:rPr>
          <w:b/>
          <w:i/>
          <w:color w:val="000000"/>
          <w:sz w:val="22"/>
          <w:szCs w:val="22"/>
        </w:rPr>
        <w:t>(ПОПБ).</w:t>
      </w:r>
      <w:r w:rsidRPr="007157D2">
        <w:rPr>
          <w:color w:val="000000"/>
          <w:sz w:val="22"/>
          <w:szCs w:val="22"/>
        </w:rPr>
        <w:t xml:space="preserve">  Эта форма обучения получила развитие как в частных, так и в государственных средних школах в качестве составной части курса по формированию гражданского сознания учащихся старших классов средней школы.  Ее целями являются:  а)  расширение круга общественных обязанностей учащихся и их активного участия в делах своих общин;  </w:t>
      </w:r>
      <w:r w:rsidRPr="007157D2">
        <w:rPr>
          <w:color w:val="000000"/>
          <w:sz w:val="22"/>
          <w:szCs w:val="22"/>
          <w:lang w:val="en-US"/>
        </w:rPr>
        <w:t>b</w:t>
      </w:r>
      <w:r w:rsidRPr="007157D2">
        <w:rPr>
          <w:color w:val="000000"/>
          <w:sz w:val="22"/>
          <w:szCs w:val="22"/>
        </w:rPr>
        <w:t>)  обеспечение соблюдения законов и поддержание порядка в процессе активного участия в делах общины;  и  с)  готовность прийти на помощь членам общины, особенно во время чрезвычайных ситуаций.  В настоящее время Управление по вопросам среднего образования готовит учебные пособия и собирает материалы для оказания помощи преподавателям в ходе учебного процесса.</w:t>
      </w:r>
    </w:p>
    <w:p w:rsidR="00E9217C" w:rsidRPr="0079320A" w:rsidRDefault="00E9217C" w:rsidP="00F26757">
      <w:pPr>
        <w:pStyle w:val="FootnoteText"/>
        <w:rPr>
          <w:sz w:val="16"/>
          <w:szCs w:val="16"/>
        </w:rPr>
      </w:pPr>
    </w:p>
    <w:p w:rsidR="00E9217C" w:rsidRDefault="00E9217C" w:rsidP="00F26757">
      <w:pPr>
        <w:pStyle w:val="FootnoteText"/>
        <w:rPr>
          <w:color w:val="000000"/>
          <w:sz w:val="22"/>
          <w:szCs w:val="22"/>
        </w:rPr>
      </w:pPr>
      <w:r w:rsidRPr="007157D2">
        <w:rPr>
          <w:b/>
          <w:i/>
          <w:color w:val="000000"/>
          <w:sz w:val="22"/>
          <w:szCs w:val="22"/>
        </w:rPr>
        <w:tab/>
        <w:t>Обновленная программа педагогической и профессиональной ориентации (ОППО).</w:t>
      </w:r>
      <w:r w:rsidRPr="007157D2">
        <w:rPr>
          <w:color w:val="000000"/>
          <w:sz w:val="22"/>
          <w:szCs w:val="22"/>
        </w:rPr>
        <w:t xml:space="preserve">  Эта</w:t>
      </w:r>
      <w:r>
        <w:rPr>
          <w:color w:val="000000"/>
          <w:sz w:val="22"/>
          <w:szCs w:val="22"/>
        </w:rPr>
        <w:t> </w:t>
      </w:r>
      <w:r w:rsidRPr="007157D2">
        <w:rPr>
          <w:color w:val="000000"/>
          <w:sz w:val="22"/>
          <w:szCs w:val="22"/>
        </w:rPr>
        <w:t>программа помогает учащимся в выборе профессии (соответствующего учебного курса в колледже) или работы с учетом их интересов и способностей.  Она была начата в 1997 году, и после введения в 2002 году диплома по деловому английскому языку ее содержание излагается в публикации "</w:t>
      </w:r>
      <w:r w:rsidRPr="007157D2">
        <w:rPr>
          <w:color w:val="000000"/>
          <w:sz w:val="22"/>
          <w:szCs w:val="22"/>
          <w:lang w:val="en-US"/>
        </w:rPr>
        <w:t>Edukasyon</w:t>
      </w:r>
      <w:r w:rsidRPr="007157D2">
        <w:rPr>
          <w:color w:val="000000"/>
          <w:sz w:val="22"/>
          <w:szCs w:val="22"/>
        </w:rPr>
        <w:t xml:space="preserve"> </w:t>
      </w:r>
      <w:r w:rsidRPr="007157D2">
        <w:rPr>
          <w:color w:val="000000"/>
          <w:sz w:val="22"/>
          <w:szCs w:val="22"/>
          <w:lang w:val="en-US"/>
        </w:rPr>
        <w:t>sa</w:t>
      </w:r>
      <w:r w:rsidRPr="007157D2">
        <w:rPr>
          <w:color w:val="000000"/>
          <w:sz w:val="22"/>
          <w:szCs w:val="22"/>
        </w:rPr>
        <w:t xml:space="preserve"> </w:t>
      </w:r>
      <w:r w:rsidRPr="007157D2">
        <w:rPr>
          <w:color w:val="000000"/>
          <w:sz w:val="22"/>
          <w:szCs w:val="22"/>
          <w:lang w:val="en-US"/>
        </w:rPr>
        <w:t>Pagpapahalaga</w:t>
      </w:r>
      <w:r w:rsidRPr="007157D2">
        <w:rPr>
          <w:color w:val="000000"/>
          <w:sz w:val="22"/>
          <w:szCs w:val="22"/>
        </w:rPr>
        <w:t>".</w:t>
      </w:r>
    </w:p>
    <w:p w:rsidR="00E9217C" w:rsidRPr="0079320A" w:rsidRDefault="00E9217C" w:rsidP="00F26757">
      <w:pPr>
        <w:pStyle w:val="FootnoteText"/>
        <w:rPr>
          <w:sz w:val="16"/>
          <w:szCs w:val="16"/>
        </w:rPr>
      </w:pPr>
    </w:p>
    <w:p w:rsidR="00E9217C" w:rsidRDefault="00E9217C" w:rsidP="00F26757">
      <w:pPr>
        <w:spacing w:line="240" w:lineRule="auto"/>
        <w:rPr>
          <w:sz w:val="22"/>
          <w:szCs w:val="22"/>
        </w:rPr>
      </w:pPr>
      <w:r w:rsidRPr="007157D2">
        <w:rPr>
          <w:b/>
          <w:i/>
          <w:sz w:val="22"/>
          <w:szCs w:val="22"/>
        </w:rPr>
        <w:tab/>
        <w:t>Разработка и осуществление новых учебных программ (РОУП).</w:t>
      </w:r>
      <w:r w:rsidRPr="007157D2">
        <w:rPr>
          <w:sz w:val="22"/>
          <w:szCs w:val="22"/>
        </w:rPr>
        <w:t xml:space="preserve">  Эта непрерывная программа повышения квалификации осуществляется Управлением по вопросам среднего образования.  Она отвечает поставленной МО цели развития у каждого администратора требуемых навыков управления школой в качестве составителя учебной программы.  Благодаря этому, их компетенция повышается за счет приобретения навыков разработки и внедрения новых учебных программ, осуществления контроля и оценки результатов пилотных проектов, а также внедрения и расширения применения новых учебных программ.</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b/>
          <w:i/>
          <w:sz w:val="22"/>
          <w:szCs w:val="22"/>
        </w:rPr>
        <w:tab/>
        <w:t>Развитие навыков мышления в целях максимального повышения познавательных способностей (РНМ-МПС)</w:t>
      </w:r>
      <w:r w:rsidRPr="007157D2">
        <w:rPr>
          <w:sz w:val="22"/>
          <w:szCs w:val="22"/>
        </w:rPr>
        <w:t>.  Цель этой научно-исследовательской и практической программы состоит в повышении познавательных способностей  учащихся средней школы путем целенаправленного обучения их навыкам мышления.  Она была предварительно испытана в шести школах.</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b/>
          <w:i/>
          <w:sz w:val="22"/>
          <w:szCs w:val="22"/>
        </w:rPr>
        <w:tab/>
        <w:t>Оценка на базе школы.</w:t>
      </w:r>
      <w:r w:rsidRPr="007157D2">
        <w:rPr>
          <w:sz w:val="22"/>
          <w:szCs w:val="22"/>
        </w:rPr>
        <w:t xml:space="preserve">  Этот метод предполагает отход от обычной внешней оценки, которая обычно проводится для определения результатов работы школы в целом и учащихся в частности.  Преимущество оценки на базе школы состоит в том, что она инициируется, планируется и осуществляется руководством школы вместе с преподавателями.  Эта программа была предварительно испытана в двух школах в Районе I, но ограничивалась только курсом математики.</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b/>
          <w:i/>
          <w:sz w:val="22"/>
          <w:szCs w:val="22"/>
        </w:rPr>
        <w:tab/>
        <w:t>Адаптация учебных программ средней школы к местным условиям и запросам местного населения</w:t>
      </w:r>
      <w:r w:rsidRPr="007157D2">
        <w:rPr>
          <w:sz w:val="22"/>
          <w:szCs w:val="22"/>
        </w:rPr>
        <w:t>.  Этот проект направлен на приведение учебных программ в соответствие с местными культурными традициями.  Его осуществление началось с проведения общенационального рабочего совещания по разработке учебных программ и схем примерных уроков по восьми предметам.</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b/>
          <w:i/>
          <w:sz w:val="22"/>
          <w:szCs w:val="22"/>
        </w:rPr>
        <w:tab/>
        <w:t>Программа просвещения населения.</w:t>
      </w:r>
      <w:r w:rsidRPr="007157D2">
        <w:rPr>
          <w:sz w:val="22"/>
          <w:szCs w:val="22"/>
        </w:rPr>
        <w:t xml:space="preserve">  Проводимые в стране конкурсы свидетельствуют о широких возможностях образования в плане расширения учебных программ, которые отражают существующие в обществе проблемы, например, в области просвещения населения.  С целью повышения информированности общественности по этим вопросам были проведены три национальных конкурса:  Национальная контрольная работа, Национальный конкурс на лучший плакат и Конкурс на лучшую письменную работу.</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t xml:space="preserve">Целью финансируемого ЮНФПА под рубрикой </w:t>
      </w:r>
      <w:r w:rsidRPr="007157D2">
        <w:rPr>
          <w:sz w:val="22"/>
          <w:szCs w:val="22"/>
          <w:lang w:val="en-US"/>
        </w:rPr>
        <w:t>PHL</w:t>
      </w:r>
      <w:r w:rsidRPr="007157D2">
        <w:rPr>
          <w:sz w:val="22"/>
          <w:szCs w:val="22"/>
        </w:rPr>
        <w:t>6</w:t>
      </w:r>
      <w:r w:rsidRPr="007157D2">
        <w:rPr>
          <w:sz w:val="22"/>
          <w:szCs w:val="22"/>
          <w:lang w:val="en-US"/>
        </w:rPr>
        <w:t>R</w:t>
      </w:r>
      <w:r w:rsidRPr="007157D2">
        <w:rPr>
          <w:sz w:val="22"/>
          <w:szCs w:val="22"/>
        </w:rPr>
        <w:t>306 проекта "Охрана репродуктивного здоровья подростков посредством обучения их основным жизненным навыкам" является общее укрепление здоровья подростков с точки зрения их физического, умственного, эмоционального, социального и духовного развития, способствующего улучшению результатов учебы путем:  обеспечения качественного просвещения по вопросам репродуктивного здоровья, разработанного с учетом интересов, способностей, потребностей и других аспектов, связанных с репродуктивным здоровьем подростков;  предоставления медицинских услуг на базе школы и общины;  популяризации данной программы посредством различных мероприятий и стратегий по мобилизации общественности;  введения практики систематического контроля и оценки в целях устойчивого осуществления программ охраны репродуктивного здоровья, а также путем разработки опытных программ в школах и общинах по вопросам репродуктивного здоровья подростков.</w:t>
      </w:r>
    </w:p>
    <w:p w:rsidR="00E9217C" w:rsidRPr="0079320A"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t xml:space="preserve">В рамках этого проекта были разработаны памятки по основным аспектам репродуктивного здоровья подростков с учетом возрастных особенностей и в разбивке по группам, а также набор вспомогательных учебных материалов для преподавателей.  Эти материалы в экспериментальном порядке должны быть опробованы в текущем 2006/07 учебном году.  Кроме того, победителем конкурса "Национальная контрольная работа", проводившегося отделом образования Района </w:t>
      </w:r>
      <w:r w:rsidRPr="007157D2">
        <w:rPr>
          <w:sz w:val="22"/>
          <w:szCs w:val="22"/>
          <w:lang w:val="en-US"/>
        </w:rPr>
        <w:t>IV</w:t>
      </w:r>
      <w:r w:rsidRPr="007157D2">
        <w:rPr>
          <w:sz w:val="22"/>
          <w:szCs w:val="22"/>
        </w:rPr>
        <w:t>-А (КАЛАБАРСОН) в октябре 2005 года, стал отдел образования Района 12.</w:t>
      </w:r>
    </w:p>
    <w:p w:rsidR="00E9217C" w:rsidRPr="007157D2" w:rsidRDefault="00E9217C" w:rsidP="00F26757">
      <w:pPr>
        <w:pStyle w:val="FootnoteText"/>
        <w:rPr>
          <w:sz w:val="22"/>
          <w:szCs w:val="22"/>
        </w:rPr>
      </w:pPr>
    </w:p>
  </w:footnote>
  <w:footnote w:id="59">
    <w:p w:rsidR="00E9217C" w:rsidRDefault="00E9217C" w:rsidP="00F26757">
      <w:pPr>
        <w:pStyle w:val="FootnoteText"/>
        <w:rPr>
          <w:sz w:val="22"/>
          <w:szCs w:val="22"/>
        </w:rPr>
      </w:pPr>
      <w:r w:rsidRPr="007157D2">
        <w:rPr>
          <w:rStyle w:val="FootnoteReference"/>
          <w:sz w:val="22"/>
          <w:szCs w:val="22"/>
        </w:rPr>
        <w:footnoteRef/>
      </w:r>
      <w:r w:rsidRPr="007157D2">
        <w:rPr>
          <w:sz w:val="22"/>
          <w:szCs w:val="22"/>
        </w:rPr>
        <w:t xml:space="preserve"> </w:t>
      </w:r>
      <w:r w:rsidRPr="007157D2">
        <w:rPr>
          <w:sz w:val="22"/>
          <w:szCs w:val="22"/>
        </w:rPr>
        <w:tab/>
      </w:r>
      <w:r w:rsidRPr="007157D2">
        <w:rPr>
          <w:i/>
          <w:sz w:val="22"/>
          <w:szCs w:val="22"/>
        </w:rPr>
        <w:t>Создание Технических групп.</w:t>
      </w:r>
      <w:r w:rsidRPr="007157D2">
        <w:rPr>
          <w:sz w:val="22"/>
          <w:szCs w:val="22"/>
        </w:rPr>
        <w:t xml:space="preserve">  КВО создала Технические группы по 13 блокам дисциплин.  Эти Технические группы в составе экспертов, специалистов старшего звена, ученых и практиков помогают КВО разрабатывать стандарты учебных программ, а также осуществлять контроль и оценку этих программ и учебных заведений.  КВО также создала Региональные комиссии по оценке качества (РКОК) по различным предметам или областям знаний, которые помогают Региональным управлениям оценивать качество учебных программ, предлагаемых ВУЗами региона.  В состав РКОК КВО входят также специалисты по отдельным дисциплинам из научных, промышленных или профессиональных ассоциаций.  Как Технические группы, так и РКОК работают по запросу.</w:t>
      </w:r>
    </w:p>
    <w:p w:rsidR="00E9217C" w:rsidRPr="007157D2" w:rsidRDefault="00E9217C" w:rsidP="00F26757">
      <w:pPr>
        <w:pStyle w:val="FootnoteText"/>
        <w:rPr>
          <w:sz w:val="16"/>
          <w:szCs w:val="16"/>
        </w:rPr>
      </w:pPr>
    </w:p>
    <w:p w:rsidR="00E9217C" w:rsidRDefault="00E9217C" w:rsidP="00F26757">
      <w:pPr>
        <w:pStyle w:val="FootnoteText"/>
        <w:rPr>
          <w:sz w:val="22"/>
          <w:szCs w:val="22"/>
        </w:rPr>
      </w:pPr>
      <w:r w:rsidRPr="007157D2">
        <w:rPr>
          <w:sz w:val="22"/>
          <w:szCs w:val="22"/>
        </w:rPr>
        <w:tab/>
        <w:t>Кроме того, в соответствии с Распоряжением Корпоративного исполнительного совета №</w:t>
      </w:r>
      <w:r>
        <w:rPr>
          <w:sz w:val="22"/>
          <w:szCs w:val="22"/>
        </w:rPr>
        <w:t> </w:t>
      </w:r>
      <w:r w:rsidRPr="007157D2">
        <w:rPr>
          <w:sz w:val="22"/>
          <w:szCs w:val="22"/>
        </w:rPr>
        <w:t>201 от 2005 года был создан механизм институционального контроля и оценки качества (ИКОП) программ, процедур и услуг, предоставляемых высшими учебными заведениями страны.  Управление КВО по программам и стандартам и региональные отделения КВО во взаимодействии с Канцелярией Исполнительного директора осуществляют контроль и проводят оценку результатов деятельности учебных заведений.  Для оказания помощи в осуществлении проектов были созданы также технические рабочие группы и объединение экспертов.</w:t>
      </w:r>
    </w:p>
    <w:p w:rsidR="00E9217C" w:rsidRPr="00405475" w:rsidRDefault="00E9217C" w:rsidP="00F26757">
      <w:pPr>
        <w:pStyle w:val="FootnoteText"/>
        <w:rPr>
          <w:sz w:val="16"/>
          <w:szCs w:val="16"/>
        </w:rPr>
      </w:pPr>
    </w:p>
    <w:p w:rsidR="00E9217C" w:rsidRDefault="00E9217C" w:rsidP="00F26757">
      <w:pPr>
        <w:pStyle w:val="FootnoteText"/>
        <w:rPr>
          <w:color w:val="000000"/>
          <w:sz w:val="22"/>
          <w:szCs w:val="22"/>
        </w:rPr>
      </w:pPr>
      <w:r w:rsidRPr="007157D2">
        <w:rPr>
          <w:i/>
          <w:sz w:val="22"/>
          <w:szCs w:val="22"/>
        </w:rPr>
        <w:tab/>
        <w:t>Субсидии на проведение исследований в системе высшего образования</w:t>
      </w:r>
      <w:r w:rsidRPr="007157D2">
        <w:rPr>
          <w:sz w:val="22"/>
          <w:szCs w:val="22"/>
        </w:rPr>
        <w:t>.  Проведение научных исследований является одной из трех основных функций высших учебных заведений (ВУЗов).  В соответствии со своим мандатом по поощрению научных исследований в системе высшего образования КВО утвердила десятилетнюю Национальную программу научных исследований в системе высшего образования на 1998-2007 годы.  В этом документе определены политика, стратегия, приоритеты и методы, а также содержатся руководящие указания по созданию условий, необходимых для развития, поощрения и поддержки научно-исследовательской работы в филиппинских колледжах и университетах, как государственных, так и частных.  КВО оказывает материально-техническую и финансовую помощь в целях укрепления научно-исследовательского потенциала ВУЗов.  Помимо программы укрепления исследовательского потенциала, КВО оказывает поддержку публикации научных материалов и проведению качественных научных исследований с помощью следующих практических программ:  публикация и популяризация итогов научных исследований;  Комплексная программа использования результатов научных исследований (КПИР</w:t>
      </w:r>
      <w:r w:rsidRPr="007157D2">
        <w:rPr>
          <w:color w:val="000000"/>
          <w:sz w:val="22"/>
          <w:szCs w:val="22"/>
        </w:rPr>
        <w:t>);  организация научно-исследовательской работы;  и создание Управленческой информационной системы по научным исследованиям (УСНИ).</w:t>
      </w:r>
    </w:p>
    <w:p w:rsidR="00E9217C" w:rsidRPr="00405475" w:rsidRDefault="00E9217C" w:rsidP="00F26757">
      <w:pPr>
        <w:pStyle w:val="FootnoteText"/>
        <w:rPr>
          <w:sz w:val="16"/>
          <w:szCs w:val="16"/>
        </w:rPr>
      </w:pPr>
    </w:p>
    <w:p w:rsidR="00E9217C" w:rsidRDefault="00E9217C" w:rsidP="00F26757">
      <w:pPr>
        <w:pStyle w:val="FootnoteText"/>
        <w:rPr>
          <w:color w:val="000000"/>
          <w:sz w:val="22"/>
          <w:szCs w:val="22"/>
        </w:rPr>
      </w:pPr>
      <w:r w:rsidRPr="007157D2">
        <w:rPr>
          <w:color w:val="000000"/>
          <w:sz w:val="22"/>
          <w:szCs w:val="22"/>
        </w:rPr>
        <w:tab/>
        <w:t>В Правительственном распоряжении № 330 содержалось требование о разработке Программы расширенного высшего образования, проверки соответствия и признания дипломов (ПРВОСД) в качестве составной части системы образования;  выполнение этой задачи было возложено на КВО.  ПРВОСД является программой оценки эффективности образования, в которой учитываются знания, навыки и предыдущий опыт, полученные учащимися в рамках неформального и неофициального сектора образования.  По завершении процедур проверки документов и соответствия требованиям высшее учебное заведение, уполномоченное КВО, вручает кандидату документы о подтверждении эквивалентности его диплома и присваивает соответствующее научное звание.</w:t>
      </w:r>
    </w:p>
    <w:p w:rsidR="00E9217C" w:rsidRPr="00405475" w:rsidRDefault="00E9217C" w:rsidP="00F26757">
      <w:pPr>
        <w:pStyle w:val="FootnoteText"/>
        <w:rPr>
          <w:sz w:val="16"/>
          <w:szCs w:val="16"/>
        </w:rPr>
      </w:pPr>
    </w:p>
    <w:p w:rsidR="00E9217C" w:rsidRDefault="00E9217C" w:rsidP="00FB7F7B">
      <w:pPr>
        <w:pStyle w:val="FootnoteText"/>
        <w:spacing w:line="233" w:lineRule="auto"/>
        <w:rPr>
          <w:color w:val="000000"/>
          <w:sz w:val="22"/>
          <w:szCs w:val="22"/>
        </w:rPr>
      </w:pPr>
      <w:r w:rsidRPr="007157D2">
        <w:rPr>
          <w:color w:val="000000"/>
          <w:sz w:val="22"/>
          <w:szCs w:val="22"/>
        </w:rPr>
        <w:tab/>
      </w:r>
      <w:r w:rsidRPr="007157D2">
        <w:rPr>
          <w:i/>
          <w:color w:val="000000"/>
          <w:sz w:val="22"/>
          <w:szCs w:val="22"/>
        </w:rPr>
        <w:t>Разработка минимальных стандартов</w:t>
      </w:r>
      <w:r w:rsidRPr="007157D2">
        <w:rPr>
          <w:color w:val="000000"/>
          <w:sz w:val="22"/>
          <w:szCs w:val="22"/>
        </w:rPr>
        <w:t>.  При содействии Технических групп КВО занималась разработкой и пересмотром минимальных стандартов различных программ неполного и полного цикла обучения.  Этими стандартами предусмотрены минимальные требования к содержанию учебной программы, профессорско-преподавательскому составу, инфраструктуре, оснащенности лабораторий и оборудованию, библиотечным помещениям, программе проведения исследований и распространения информации и т.п.  Эти стандарты утверждены и выпущены в виде памятной записки КВО.  Соответствие этим минимальным стандартам служит критерием при определении качества учебных программ, предлагаемых высшими учебными заведениями.</w:t>
      </w:r>
    </w:p>
    <w:p w:rsidR="00E9217C" w:rsidRPr="00405475" w:rsidRDefault="00E9217C" w:rsidP="00F26757">
      <w:pPr>
        <w:pStyle w:val="FootnoteText"/>
        <w:rPr>
          <w:sz w:val="16"/>
          <w:szCs w:val="16"/>
        </w:rPr>
      </w:pPr>
    </w:p>
    <w:p w:rsidR="00E9217C" w:rsidRDefault="00E9217C" w:rsidP="00FB7F7B">
      <w:pPr>
        <w:pStyle w:val="FootnoteText"/>
        <w:spacing w:line="233" w:lineRule="auto"/>
        <w:rPr>
          <w:color w:val="000000"/>
          <w:sz w:val="22"/>
          <w:szCs w:val="22"/>
        </w:rPr>
      </w:pPr>
      <w:r w:rsidRPr="007157D2">
        <w:rPr>
          <w:color w:val="000000"/>
          <w:sz w:val="22"/>
          <w:szCs w:val="22"/>
        </w:rPr>
        <w:tab/>
      </w:r>
      <w:r w:rsidRPr="007157D2">
        <w:rPr>
          <w:i/>
          <w:color w:val="000000"/>
          <w:sz w:val="22"/>
          <w:szCs w:val="22"/>
        </w:rPr>
        <w:t>Повышение качества высшего образования.</w:t>
      </w:r>
      <w:r w:rsidRPr="007157D2">
        <w:rPr>
          <w:color w:val="000000"/>
          <w:sz w:val="22"/>
          <w:szCs w:val="22"/>
        </w:rPr>
        <w:t xml:space="preserve">  КВО осуществляет политику вертикальной увязки при введении в действие новых программ на получение степени магистра по всем предметам, предусмотренным высшим образованием.  В соответствии с Памятной запиской № 36 от 1998 года наличие третьей степени аккредитации программ неполного цикла является основным требованием КВО при выдаче разрешений частным ВУЗам на введение новых выпускных программ, за исключением случаев, когда КВО считает, что такие новые программы будут в значительной степени способствовать подготовке высококвалифицированной рабочей силы по недопредставленным и дефицитным профессиям.  Наличие третьей степени аккредитации программ неполного цикла в настоящее время является также важным аспектом для официального признания этих программ правительством.</w:t>
      </w:r>
    </w:p>
    <w:p w:rsidR="00E9217C" w:rsidRPr="00405475" w:rsidRDefault="00E9217C" w:rsidP="00F26757">
      <w:pPr>
        <w:pStyle w:val="FootnoteText"/>
        <w:rPr>
          <w:sz w:val="16"/>
          <w:szCs w:val="16"/>
        </w:rPr>
      </w:pPr>
    </w:p>
    <w:p w:rsidR="00E9217C" w:rsidRDefault="00E9217C" w:rsidP="00FB7F7B">
      <w:pPr>
        <w:pStyle w:val="FootnoteText"/>
        <w:spacing w:line="233" w:lineRule="auto"/>
        <w:rPr>
          <w:color w:val="000000"/>
          <w:sz w:val="22"/>
          <w:szCs w:val="22"/>
        </w:rPr>
      </w:pPr>
      <w:r w:rsidRPr="007157D2">
        <w:rPr>
          <w:i/>
          <w:sz w:val="22"/>
          <w:szCs w:val="22"/>
        </w:rPr>
        <w:tab/>
        <w:t>Центры высокого качества</w:t>
      </w:r>
      <w:r w:rsidRPr="007157D2">
        <w:rPr>
          <w:sz w:val="22"/>
          <w:szCs w:val="22"/>
        </w:rPr>
        <w:t>.  КВО стремится укреплять государственные и частные ВУЗы, которые неизменно</w:t>
      </w:r>
      <w:r w:rsidRPr="007157D2">
        <w:rPr>
          <w:color w:val="000000"/>
          <w:sz w:val="22"/>
          <w:szCs w:val="22"/>
        </w:rPr>
        <w:t xml:space="preserve"> демонстрируют высокое качество образования, свидетельствующее о достигнутых успехах в области преподавания, научно-исследовательской работы и дальнейшего развития, путем создания Центров высокого качества (ЦВК) и Центров разработок (ЦР) по 13 блокам дисциплин.  Через свой Фонд развития высшего образования КВО оказывает финансовую помощь таким центрам в виде предоставления дотаций на выплату студенческих стипендий, укомплектование профессорско-преподавательским составом и сотрудниками, проведение научных исследований, разработку учебных материалов, улучшение оснащения библиотек и лабораторий и расширение связей.  Идея заключается в том, чтобы направить ресурсы на развитие нескольких учреждений, обеспечивающих качественные программы высшего образования.  В свою очередь ожидается, что ЦВК и ЦР будут служить образцом для подражания, делясь своими ресурсами и опытом и оказывая помощь другим высшим учебным заведениям в своей географической зоне.</w:t>
      </w:r>
    </w:p>
    <w:p w:rsidR="00E9217C" w:rsidRPr="00405475" w:rsidRDefault="00E9217C" w:rsidP="00F26757">
      <w:pPr>
        <w:pStyle w:val="FootnoteText"/>
        <w:rPr>
          <w:sz w:val="16"/>
          <w:szCs w:val="16"/>
        </w:rPr>
      </w:pPr>
    </w:p>
    <w:p w:rsidR="00E9217C" w:rsidRDefault="00E9217C" w:rsidP="00FB7F7B">
      <w:pPr>
        <w:pStyle w:val="FootnoteText"/>
        <w:spacing w:line="233" w:lineRule="auto"/>
        <w:rPr>
          <w:color w:val="000000"/>
          <w:sz w:val="22"/>
          <w:szCs w:val="22"/>
        </w:rPr>
      </w:pPr>
      <w:r w:rsidRPr="007157D2">
        <w:rPr>
          <w:color w:val="000000"/>
          <w:sz w:val="22"/>
          <w:szCs w:val="22"/>
        </w:rPr>
        <w:tab/>
      </w:r>
      <w:r w:rsidRPr="007157D2">
        <w:rPr>
          <w:i/>
          <w:color w:val="000000"/>
          <w:sz w:val="22"/>
          <w:szCs w:val="22"/>
        </w:rPr>
        <w:t>Предоставление автономного и свободного статуса</w:t>
      </w:r>
      <w:r w:rsidRPr="007157D2">
        <w:rPr>
          <w:color w:val="000000"/>
          <w:sz w:val="22"/>
          <w:szCs w:val="22"/>
        </w:rPr>
        <w:t>.  КВО признает огромный вклад частных вузов в укрепление и расширение сферы высшего образования в стране.  Исключительно важной и ответственной является задача осуществления надзора за деятельностью этих частных ВУЗов.  В этой связи КВО приняла решение рационализировать эти функции  путем предоставления большей автономии и более свободного статуса отдельным частным колледжам и университетам.  Подобный статус и сопутствующие льготы были предоставлены в соответствии с распоряжением КВО № 151</w:t>
      </w:r>
      <w:r w:rsidRPr="007157D2">
        <w:rPr>
          <w:color w:val="000000"/>
          <w:sz w:val="22"/>
          <w:szCs w:val="22"/>
        </w:rPr>
        <w:noBreakHyphen/>
        <w:t>2001.</w:t>
      </w:r>
    </w:p>
    <w:p w:rsidR="00E9217C" w:rsidRPr="00405475" w:rsidRDefault="00E9217C" w:rsidP="00F26757">
      <w:pPr>
        <w:pStyle w:val="FootnoteText"/>
        <w:rPr>
          <w:sz w:val="16"/>
          <w:szCs w:val="16"/>
        </w:rPr>
      </w:pPr>
    </w:p>
    <w:p w:rsidR="00E9217C" w:rsidRDefault="00E9217C" w:rsidP="00FB7F7B">
      <w:pPr>
        <w:pStyle w:val="FootnoteText"/>
        <w:spacing w:line="233" w:lineRule="auto"/>
        <w:rPr>
          <w:color w:val="000000"/>
          <w:sz w:val="22"/>
          <w:szCs w:val="22"/>
        </w:rPr>
      </w:pPr>
      <w:r w:rsidRPr="007157D2">
        <w:rPr>
          <w:color w:val="000000"/>
          <w:sz w:val="22"/>
          <w:szCs w:val="22"/>
        </w:rPr>
        <w:tab/>
      </w:r>
      <w:r w:rsidRPr="007157D2">
        <w:rPr>
          <w:i/>
          <w:color w:val="000000"/>
          <w:sz w:val="22"/>
          <w:szCs w:val="22"/>
        </w:rPr>
        <w:t>Повышение квалификации профессорско-преподавательского состава</w:t>
      </w:r>
      <w:r w:rsidRPr="007157D2">
        <w:rPr>
          <w:color w:val="000000"/>
          <w:sz w:val="22"/>
          <w:szCs w:val="22"/>
        </w:rPr>
        <w:t>.  Качество профессорско-преподавательского состава является одним из решающих факторов повышения качества образования.  КВО требует, чтобы каждый из преподавателей обладал как минимум степенью магистра в своем предмете.</w:t>
      </w:r>
    </w:p>
    <w:p w:rsidR="00E9217C" w:rsidRPr="00405475" w:rsidRDefault="00E9217C" w:rsidP="00F26757">
      <w:pPr>
        <w:pStyle w:val="FootnoteText"/>
        <w:rPr>
          <w:sz w:val="16"/>
          <w:szCs w:val="16"/>
        </w:rPr>
      </w:pPr>
    </w:p>
    <w:p w:rsidR="00E9217C" w:rsidRDefault="00E9217C" w:rsidP="00FB7F7B">
      <w:pPr>
        <w:pStyle w:val="FootnoteText"/>
        <w:spacing w:line="233" w:lineRule="auto"/>
        <w:rPr>
          <w:color w:val="000000"/>
          <w:sz w:val="22"/>
          <w:szCs w:val="22"/>
        </w:rPr>
      </w:pPr>
      <w:r w:rsidRPr="007157D2">
        <w:rPr>
          <w:color w:val="000000"/>
          <w:sz w:val="22"/>
          <w:szCs w:val="22"/>
        </w:rPr>
        <w:tab/>
        <w:t>С целью повышения научной квалификации профессорско-преподавательского состава ВУЗов до степени магистра и доктора наук КВО выделяет субсидии на выплату стипендий лицам, пишущим диссертацию или занимающимся по программе получения степени магистра с отрывом или без отрыва от производства, на базе ВУЗа или заочно в рамках Программы усовершенствования профессорско-преподавательского состава (УПС).</w:t>
      </w:r>
    </w:p>
    <w:p w:rsidR="00E9217C" w:rsidRPr="00405475" w:rsidRDefault="00E9217C" w:rsidP="00F26757">
      <w:pPr>
        <w:pStyle w:val="FootnoteText"/>
        <w:rPr>
          <w:sz w:val="16"/>
          <w:szCs w:val="16"/>
        </w:rPr>
      </w:pPr>
    </w:p>
    <w:p w:rsidR="00E9217C" w:rsidRDefault="00E9217C" w:rsidP="00F26757">
      <w:pPr>
        <w:pStyle w:val="FootnoteText"/>
        <w:rPr>
          <w:color w:val="000000"/>
          <w:sz w:val="22"/>
          <w:szCs w:val="22"/>
        </w:rPr>
      </w:pPr>
      <w:r w:rsidRPr="007157D2">
        <w:rPr>
          <w:color w:val="000000"/>
          <w:sz w:val="22"/>
          <w:szCs w:val="22"/>
        </w:rPr>
        <w:tab/>
      </w:r>
      <w:r w:rsidRPr="007157D2">
        <w:rPr>
          <w:i/>
          <w:color w:val="000000"/>
          <w:sz w:val="22"/>
          <w:szCs w:val="22"/>
        </w:rPr>
        <w:t>Субсидии на проведение исследований в системе высшего образования</w:t>
      </w:r>
      <w:r w:rsidRPr="007157D2">
        <w:rPr>
          <w:color w:val="000000"/>
          <w:sz w:val="22"/>
          <w:szCs w:val="22"/>
        </w:rPr>
        <w:t>.  Проведение научных исследований является одной из трех основных функций высших учебных заведений (ВУЗов).  В соответствии со своим мандатом по поощрению научных исследований в системе высшего образования КВО утвердила десятилетнюю Национальную программу научных исследований в системе высшего образования на 1998-2007 годы.  В этом документе определены политика, стратегия, приоритеты и методы, а также содержатся руководящие указания по созданию условий, необходимых для развития, поощрения и поддержки научно-исследовательской работы в филиппинских колледжах и университетах, как государственных, так и частных.  КВО оказывает материально-техническую и финансовую помощь в целях укрепления научно-исследовательского потенциала ВУЗов.  Помимо программы укрепления исследовательского потенциала, КВО оказывает поддержку публикации научных материалов и проведению качественных научных исследований с помощью следующих практических программ:  публикация и популяризация итогов научных исследований;  Комплексная программа использования результатов научных исследований (КПИР);  организация научно-исследовательской работы;  и создание Управленческой информационной системы по научным исследованиям (УСНИ).</w:t>
      </w:r>
    </w:p>
    <w:p w:rsidR="00E9217C" w:rsidRPr="0079320A" w:rsidRDefault="00E9217C" w:rsidP="00F26757">
      <w:pPr>
        <w:pStyle w:val="FootnoteText"/>
        <w:rPr>
          <w:sz w:val="16"/>
          <w:szCs w:val="16"/>
        </w:rPr>
      </w:pPr>
    </w:p>
    <w:p w:rsidR="00E9217C" w:rsidRPr="007157D2" w:rsidRDefault="00E9217C" w:rsidP="00F26757">
      <w:pPr>
        <w:pStyle w:val="FootnoteText"/>
        <w:rPr>
          <w:sz w:val="22"/>
          <w:szCs w:val="22"/>
        </w:rPr>
      </w:pPr>
      <w:r w:rsidRPr="007157D2">
        <w:rPr>
          <w:color w:val="000000"/>
          <w:sz w:val="22"/>
          <w:szCs w:val="22"/>
        </w:rPr>
        <w:tab/>
      </w:r>
      <w:r w:rsidRPr="007157D2">
        <w:rPr>
          <w:i/>
          <w:color w:val="000000"/>
          <w:sz w:val="22"/>
          <w:szCs w:val="22"/>
        </w:rPr>
        <w:t>Интернационализация системы высшего образования на Филиппинах</w:t>
      </w:r>
      <w:r w:rsidRPr="007157D2">
        <w:rPr>
          <w:color w:val="000000"/>
          <w:sz w:val="22"/>
          <w:szCs w:val="22"/>
        </w:rPr>
        <w:t xml:space="preserve">.  Будучи сторонником интернационализации системы высшего образования, Международный отдел КВО содействовал выделению субсидий на стажировки и программы повышения квалификации профессорско-преподавательского состава университетов и </w:t>
      </w:r>
      <w:r w:rsidRPr="007157D2">
        <w:rPr>
          <w:sz w:val="22"/>
          <w:szCs w:val="22"/>
        </w:rPr>
        <w:t>колледжей за рубежом.  КВО также поощряет получение иностранных стипендий и обмен студентами с зарубежными странами.</w:t>
      </w:r>
    </w:p>
  </w:footnote>
  <w:footnote w:id="60">
    <w:p w:rsidR="00E9217C" w:rsidRPr="00BF42CD" w:rsidRDefault="00E9217C" w:rsidP="006C60E8">
      <w:pPr>
        <w:pStyle w:val="FootnoteText"/>
        <w:rPr>
          <w:sz w:val="22"/>
          <w:szCs w:val="22"/>
        </w:rPr>
      </w:pPr>
      <w:r w:rsidRPr="00BF42CD">
        <w:rPr>
          <w:rStyle w:val="FootnoteReference"/>
          <w:sz w:val="22"/>
          <w:szCs w:val="22"/>
        </w:rPr>
        <w:footnoteRef/>
      </w:r>
      <w:r w:rsidRPr="00BF42CD">
        <w:rPr>
          <w:sz w:val="22"/>
          <w:szCs w:val="22"/>
        </w:rPr>
        <w:tab/>
        <w:t xml:space="preserve">В их число входят провинции:  </w:t>
      </w:r>
      <w:r w:rsidRPr="00BF42CD">
        <w:rPr>
          <w:i/>
          <w:sz w:val="22"/>
          <w:szCs w:val="22"/>
        </w:rPr>
        <w:t>Лусон:</w:t>
      </w:r>
      <w:r w:rsidRPr="00BF42CD">
        <w:rPr>
          <w:sz w:val="22"/>
          <w:szCs w:val="22"/>
        </w:rPr>
        <w:t xml:space="preserve"> Калинга, Апайяо, Абра, Батанес, Горная провинция, Ифугао, Бенгует, Аурора, Масбате;  </w:t>
      </w:r>
      <w:r w:rsidRPr="00BF42CD">
        <w:rPr>
          <w:i/>
          <w:sz w:val="22"/>
          <w:szCs w:val="22"/>
        </w:rPr>
        <w:t xml:space="preserve">Висаяс:  </w:t>
      </w:r>
      <w:r w:rsidRPr="00BF42CD">
        <w:rPr>
          <w:sz w:val="22"/>
          <w:szCs w:val="22"/>
        </w:rPr>
        <w:t xml:space="preserve">Антикуе, Негрос Ориенталь, Ромблон, Капис, Восточный Самар, Лейте, Южный Лейте, Билиран, Гуимарас;  и </w:t>
      </w:r>
      <w:r w:rsidRPr="00BF42CD">
        <w:rPr>
          <w:i/>
          <w:sz w:val="22"/>
          <w:szCs w:val="22"/>
        </w:rPr>
        <w:t xml:space="preserve">Минданао:  </w:t>
      </w:r>
      <w:r w:rsidRPr="00BF42CD">
        <w:rPr>
          <w:sz w:val="22"/>
          <w:szCs w:val="22"/>
        </w:rPr>
        <w:t>Агусан-дель-Сур, Суригао-дель-Сур, Норт Котабато, Самбоанга-дель-Сур.</w:t>
      </w:r>
    </w:p>
    <w:p w:rsidR="00E9217C" w:rsidRPr="00BF42CD" w:rsidRDefault="00E9217C" w:rsidP="006C60E8">
      <w:pPr>
        <w:pStyle w:val="FootnoteText"/>
        <w:rPr>
          <w:sz w:val="22"/>
          <w:szCs w:val="22"/>
        </w:rPr>
      </w:pPr>
    </w:p>
  </w:footnote>
  <w:footnote w:id="61">
    <w:p w:rsidR="00E9217C" w:rsidRPr="00BF42CD" w:rsidRDefault="00E9217C" w:rsidP="006C60E8">
      <w:pPr>
        <w:pStyle w:val="FootnoteText"/>
        <w:rPr>
          <w:sz w:val="22"/>
          <w:szCs w:val="22"/>
        </w:rPr>
      </w:pPr>
      <w:r w:rsidRPr="00BF42CD">
        <w:rPr>
          <w:rStyle w:val="FootnoteReference"/>
          <w:sz w:val="22"/>
          <w:szCs w:val="22"/>
        </w:rPr>
        <w:footnoteRef/>
      </w:r>
      <w:r w:rsidRPr="00BF42CD">
        <w:rPr>
          <w:sz w:val="22"/>
          <w:szCs w:val="22"/>
        </w:rPr>
        <w:tab/>
        <w:t xml:space="preserve">В 2003 году министерство труда и занятости (МТЗ) приступило к осуществлению проекта под названием </w:t>
      </w:r>
      <w:r w:rsidRPr="00BF42CD">
        <w:rPr>
          <w:i/>
          <w:sz w:val="22"/>
          <w:szCs w:val="22"/>
        </w:rPr>
        <w:t xml:space="preserve">Новые классные помещения силами филиппинцев, проживающих за рубежом </w:t>
      </w:r>
      <w:r w:rsidRPr="00BF42CD">
        <w:rPr>
          <w:sz w:val="22"/>
          <w:szCs w:val="22"/>
        </w:rPr>
        <w:t>(НКФРЗ).  Цель этого проекта состоит в устранении нехватки школьных помещений в стране путем строительства 25 классных комнат в государственных школах.  Этот проект осуществляется за счет взносов, поступающих от ассоциаций филиппинцев, работающих за рубежом (ФРЗ), и их общин на Ближнем Востоке, в Азии, Европе и Соединенных Штатах Америки.  Этот проект осуществляется по линии Программы социального обеспечения филиппинцев, работающих за рубежом.  Содействие в этом оказывают партнерские организации министерства, в частности Торгово-промышленная палата Федерации филиппинских китайцев, МО и МИД.  По состоянию на 31 марта 2005 года на осуществление проекта НКФРЗ по строительству 310 классных помещений в отдельных государственных начальных и средних школах по всей стране поступило свыше 62 млн. пожертвований.  В рамках этого проекта в 2005 году уже завершено строительство в общей сложности 185 новых классных помещений.  А в целом в рамках проекта НКФРЗ уже построено 234 новых классных помещения, что составляет 74% от намеченного количества в 315 новых классов.</w:t>
      </w:r>
    </w:p>
    <w:p w:rsidR="00E9217C" w:rsidRPr="00CA5347" w:rsidRDefault="00E9217C" w:rsidP="006C60E8">
      <w:pPr>
        <w:pStyle w:val="FootnoteText"/>
        <w:rPr>
          <w:sz w:val="16"/>
          <w:szCs w:val="16"/>
        </w:rPr>
      </w:pPr>
    </w:p>
    <w:p w:rsidR="00E9217C" w:rsidRPr="00BF42CD" w:rsidRDefault="00E9217C" w:rsidP="006C60E8">
      <w:pPr>
        <w:pStyle w:val="FootnoteText"/>
        <w:rPr>
          <w:sz w:val="22"/>
          <w:szCs w:val="22"/>
        </w:rPr>
      </w:pPr>
      <w:r w:rsidRPr="00BF42CD">
        <w:rPr>
          <w:sz w:val="22"/>
          <w:szCs w:val="22"/>
        </w:rPr>
        <w:tab/>
        <w:t xml:space="preserve">Министерство образования осуществляет также </w:t>
      </w:r>
      <w:r w:rsidRPr="00BF42CD">
        <w:rPr>
          <w:i/>
          <w:sz w:val="22"/>
          <w:szCs w:val="22"/>
        </w:rPr>
        <w:t xml:space="preserve">Программу подшефных школ, </w:t>
      </w:r>
      <w:r w:rsidRPr="00BF42CD">
        <w:rPr>
          <w:sz w:val="22"/>
          <w:szCs w:val="22"/>
        </w:rPr>
        <w:t>направленную на привлечение средств из частного сектора на нужды государственной системы начального образования.  За период с сентября 2002 года по январь 2004 года в рамках этой программы собрано свыше 270 млн. ФП.  Донорская помощь поступала на цели строительства школьных помещений;  подготовки преподавателей; обеспечения школ базовыми ресурсами, включая учебники, компьютеры, оборудование научных лабораторий и программы питания детей в школе.</w:t>
      </w:r>
    </w:p>
    <w:p w:rsidR="00E9217C" w:rsidRPr="00CA5347" w:rsidRDefault="00E9217C" w:rsidP="006C60E8">
      <w:pPr>
        <w:pStyle w:val="FootnoteText"/>
        <w:rPr>
          <w:sz w:val="16"/>
          <w:szCs w:val="16"/>
        </w:rPr>
      </w:pPr>
    </w:p>
    <w:p w:rsidR="00E9217C" w:rsidRPr="00BF42CD" w:rsidRDefault="00E9217C" w:rsidP="006C60E8">
      <w:pPr>
        <w:pStyle w:val="FootnoteText"/>
        <w:rPr>
          <w:sz w:val="22"/>
          <w:szCs w:val="22"/>
        </w:rPr>
      </w:pPr>
      <w:r w:rsidRPr="00BF42CD">
        <w:rPr>
          <w:sz w:val="22"/>
          <w:szCs w:val="22"/>
        </w:rPr>
        <w:tab/>
        <w:t xml:space="preserve">В мае 2003 года министерство образования инициировало проект </w:t>
      </w:r>
      <w:r w:rsidRPr="00BF42CD">
        <w:rPr>
          <w:i/>
          <w:sz w:val="22"/>
          <w:szCs w:val="22"/>
        </w:rPr>
        <w:t>Школьная бригада</w:t>
      </w:r>
      <w:r w:rsidRPr="00BF42CD">
        <w:rPr>
          <w:sz w:val="22"/>
          <w:szCs w:val="22"/>
        </w:rPr>
        <w:t xml:space="preserve"> (</w:t>
      </w:r>
      <w:r w:rsidRPr="00BF42CD">
        <w:rPr>
          <w:sz w:val="22"/>
          <w:szCs w:val="22"/>
          <w:lang w:val="en-US"/>
        </w:rPr>
        <w:t>Brigada</w:t>
      </w:r>
      <w:r w:rsidRPr="00BF42CD">
        <w:rPr>
          <w:sz w:val="22"/>
          <w:szCs w:val="22"/>
        </w:rPr>
        <w:t xml:space="preserve"> </w:t>
      </w:r>
      <w:r w:rsidRPr="00BF42CD">
        <w:rPr>
          <w:sz w:val="22"/>
          <w:szCs w:val="22"/>
          <w:lang w:val="en-US"/>
        </w:rPr>
        <w:t>Eskwela</w:t>
      </w:r>
      <w:r w:rsidRPr="00BF42CD">
        <w:rPr>
          <w:sz w:val="22"/>
          <w:szCs w:val="22"/>
        </w:rPr>
        <w:t>), направленный на мобилизацию помощи по линии общин.  Этот проект материально-технического обеспечения школ предполагает добровольную работу в свободное время и выделение ресурсов на обновление и поддержание в исправном состоянии классов, лабораторий и школьных мастерских.  С начала осуществления этого проекта число охваченных им начальных и средних школ возросло с 13 600 в 2003 году до 16 086 в 2004 году.  В мае 2004 года в реализации этой программы участвовало в общей сложности 278 170 добровольцев, которые занимались ремонтом и поддержанием в исправном состоянии классных помещений.  В мае 2005 года этим проектом было охвачено в общей сложности 20 563 государственные школы (17 861 начальная и 2 702 средние).</w:t>
      </w:r>
    </w:p>
    <w:p w:rsidR="00E9217C" w:rsidRPr="00CA5347" w:rsidRDefault="00E9217C" w:rsidP="006C60E8">
      <w:pPr>
        <w:pStyle w:val="FootnoteText"/>
        <w:rPr>
          <w:sz w:val="16"/>
          <w:szCs w:val="16"/>
        </w:rPr>
      </w:pPr>
    </w:p>
    <w:p w:rsidR="00E9217C" w:rsidRPr="00BF42CD" w:rsidRDefault="00E9217C" w:rsidP="006C60E8">
      <w:pPr>
        <w:pStyle w:val="FootnoteText"/>
        <w:rPr>
          <w:sz w:val="22"/>
          <w:szCs w:val="22"/>
        </w:rPr>
      </w:pPr>
      <w:r w:rsidRPr="00BF42CD">
        <w:rPr>
          <w:sz w:val="22"/>
          <w:szCs w:val="22"/>
        </w:rPr>
        <w:tab/>
        <w:t>Вооруженные силы Филиппин (ВСФ) также оказывают содействие в строительстве школ через свои инженерные службы.  Результатом усилий ВСФ, например, стало строительство 220 школ в 2002 году и 155 школьных зданий в 2003 году.  В 2005 году ВСФ планируют построить дополнительно еще 48 школьных зданий.  На сегодняшний день в рамках проекта, предназначенного для барангаев, не имеющих школ, по линии ВСФ в ряде районов было построено 589 из намеченных 802 новых классных помещений.</w:t>
      </w:r>
    </w:p>
    <w:p w:rsidR="00E9217C" w:rsidRPr="00CA5347" w:rsidRDefault="00E9217C" w:rsidP="006C60E8">
      <w:pPr>
        <w:pStyle w:val="FootnoteText"/>
        <w:rPr>
          <w:sz w:val="16"/>
          <w:szCs w:val="16"/>
        </w:rPr>
      </w:pPr>
    </w:p>
  </w:footnote>
  <w:footnote w:id="62">
    <w:p w:rsidR="00E9217C" w:rsidRPr="008A3DE7" w:rsidRDefault="00E9217C" w:rsidP="00717B88">
      <w:pPr>
        <w:pStyle w:val="FootnoteText"/>
        <w:rPr>
          <w:sz w:val="22"/>
          <w:szCs w:val="22"/>
        </w:rPr>
      </w:pPr>
      <w:r w:rsidRPr="008A3DE7">
        <w:rPr>
          <w:rStyle w:val="FootnoteReference"/>
          <w:sz w:val="22"/>
          <w:szCs w:val="22"/>
        </w:rPr>
        <w:footnoteRef/>
      </w:r>
      <w:r w:rsidRPr="008A3DE7">
        <w:rPr>
          <w:sz w:val="22"/>
          <w:szCs w:val="22"/>
        </w:rPr>
        <w:t xml:space="preserve"> </w:t>
      </w:r>
      <w:r w:rsidRPr="008A3DE7">
        <w:rPr>
          <w:sz w:val="22"/>
          <w:szCs w:val="22"/>
        </w:rPr>
        <w:tab/>
        <w:t>РПЭДВО создана Правительственным распоряжением № 330 как составная часть системы образования;  органом, ответственным за ее выполнение, является КВО.</w:t>
      </w:r>
    </w:p>
    <w:p w:rsidR="00E9217C" w:rsidRPr="008A3DE7" w:rsidRDefault="00E9217C" w:rsidP="00717B88">
      <w:pPr>
        <w:pStyle w:val="FootnoteText"/>
        <w:rPr>
          <w:sz w:val="22"/>
          <w:szCs w:val="22"/>
        </w:rPr>
      </w:pPr>
    </w:p>
  </w:footnote>
  <w:footnote w:id="63">
    <w:p w:rsidR="00E9217C" w:rsidRPr="008A3DE7" w:rsidRDefault="00E9217C" w:rsidP="00717B88">
      <w:pPr>
        <w:pStyle w:val="FootnoteText"/>
        <w:rPr>
          <w:sz w:val="22"/>
          <w:szCs w:val="22"/>
        </w:rPr>
      </w:pPr>
      <w:r w:rsidRPr="008A3DE7">
        <w:rPr>
          <w:rStyle w:val="FootnoteReference"/>
          <w:sz w:val="22"/>
          <w:szCs w:val="22"/>
        </w:rPr>
        <w:footnoteRef/>
      </w:r>
      <w:r w:rsidRPr="008A3DE7">
        <w:rPr>
          <w:sz w:val="22"/>
          <w:szCs w:val="22"/>
        </w:rPr>
        <w:t xml:space="preserve"> </w:t>
      </w:r>
      <w:r w:rsidRPr="008A3DE7">
        <w:rPr>
          <w:sz w:val="22"/>
          <w:szCs w:val="22"/>
        </w:rPr>
        <w:tab/>
        <w:t xml:space="preserve">ООПМ преследует цель расширения доступа к формальному образованию в Минданао и организации дистанционного обучения в качестве способа приобретения знаний, особенно детьми из удаленных и изолированных деревень.  С тем чтобы дать возможность детям из этих районов учиться и избавить их от необходимости ежедневно посещать ближайшую начальную государственную школу (такой путь занимает в среднем 2-4 часа), занятия проводятся непосредственно у них дома по системе дистанционного обучения.  Для этого контингента учеников разработаны специальные учебные материалы по всем основным предметам.  Учителя из передвижной бригады, специально подготовленные для преподавания учебных материалов по такой системе, еженедельно посещают детей, записавшихся в эту программу.  Учащиеся получают индивидуальные учебные задания на неделю, и в выполнении домашних заданий им помогают специально подготовленные местные неофициальные преподаватели.  Материалы для самостоятельного изучения также подготовлены с учетом культурных особенностей детей из числа коренных народов, а многим учебным программам придается соответствующий этнический колорит, разумеется, не в ущерб требованиям стандартной учебной программы.  В текущих планах РПЭДВО по поддержке развития образования мусульман внимание уделяется выполнению ключевых положений недавно принятой министерством образования специальной программы комплексного развития образования мусульман Минданао - "Плана действий по усилению общего образования мусульман".  Главной целью этого плана действий является укрепление потенциала уламов/асатизов (учителей </w:t>
      </w:r>
      <w:r w:rsidRPr="008A3DE7">
        <w:rPr>
          <w:i/>
          <w:sz w:val="22"/>
          <w:szCs w:val="22"/>
        </w:rPr>
        <w:t>медресе</w:t>
      </w:r>
      <w:r w:rsidRPr="008A3DE7">
        <w:rPr>
          <w:sz w:val="22"/>
          <w:szCs w:val="22"/>
        </w:rPr>
        <w:t>) в качестве профессиональных преподавателей, особенно в области профессионального владения английским языком, педагогическими навыками и  содержанием преподаваемых предметов.</w:t>
      </w:r>
    </w:p>
    <w:p w:rsidR="00E9217C" w:rsidRPr="008A3DE7" w:rsidRDefault="00E9217C" w:rsidP="00717B88">
      <w:pPr>
        <w:pStyle w:val="FootnoteText"/>
        <w:rPr>
          <w:sz w:val="22"/>
          <w:szCs w:val="22"/>
        </w:rPr>
      </w:pPr>
    </w:p>
  </w:footnote>
  <w:footnote w:id="64">
    <w:p w:rsidR="00E9217C" w:rsidRPr="00C24EF5" w:rsidRDefault="00E9217C" w:rsidP="00C07877">
      <w:pPr>
        <w:pStyle w:val="FootnoteText"/>
        <w:spacing w:line="233" w:lineRule="auto"/>
        <w:rPr>
          <w:sz w:val="22"/>
          <w:szCs w:val="22"/>
        </w:rPr>
      </w:pPr>
      <w:r w:rsidRPr="00C24EF5">
        <w:rPr>
          <w:rStyle w:val="FootnoteReference"/>
          <w:sz w:val="22"/>
          <w:szCs w:val="22"/>
        </w:rPr>
        <w:footnoteRef/>
      </w:r>
      <w:r w:rsidRPr="00C24EF5">
        <w:rPr>
          <w:sz w:val="22"/>
          <w:szCs w:val="22"/>
        </w:rPr>
        <w:t xml:space="preserve"> </w:t>
      </w:r>
      <w:r w:rsidRPr="00C24EF5">
        <w:rPr>
          <w:sz w:val="22"/>
          <w:szCs w:val="22"/>
        </w:rPr>
        <w:tab/>
        <w:t>К числу этих программ относятся следующие:  Программа государственных стипендий;  Национальная интеграционная программа дотаций;  Программа помощи отдельным этническим группам в области образования;  Программа учебных пособий для участников Национально-освободительного фронта Моро (НОФМ), осуществляемая КВО совместно с МО и Советом по реализации Национальной программы за объединение и развитие;  Программа дотаций на образование для бывших повстанцев, осуществляемая Канцелярией советника президента по вопросам мирного процесса (КСМП) и КВО;  Программа финансовой поддержки учащихся в сфере частного образования;  Программа отсроченной оплаты обучения;  Программа кредитов на образование для района Бикол;  Программа кредитов на образование для Центров высокого качества обучения;  Программа стипендий КВО для одаренных мусульман Минданао;  Программа стипендий на получение степени бакалавра в области естественных наук и математики для отдельных государственных колледжей и университетов;  Программа повышения квалификации профессорско-преподавательского состава колледжей;  Специальная программа учебных дотаций КВО для избирательных округов;  Программа стипендий для профессорско-преподавательского состава колледжей после получения степени бакалавра для острова Лусон и прилегающих островов;  Программа стипендий для второго избирательного округа Восточного Давао, финансируемая КВО;  Программа стипендий КВО и Филиппинского государственного университета.</w:t>
      </w:r>
    </w:p>
    <w:p w:rsidR="00E9217C" w:rsidRPr="00C07877" w:rsidRDefault="00E9217C" w:rsidP="00717B88">
      <w:pPr>
        <w:pStyle w:val="FootnoteText"/>
        <w:rPr>
          <w:sz w:val="16"/>
          <w:szCs w:val="16"/>
        </w:rPr>
      </w:pPr>
    </w:p>
  </w:footnote>
  <w:footnote w:id="65">
    <w:p w:rsidR="00E9217C" w:rsidRPr="00C24EF5" w:rsidRDefault="00E9217C" w:rsidP="00C07877">
      <w:pPr>
        <w:pStyle w:val="FootnoteText"/>
        <w:spacing w:line="233" w:lineRule="auto"/>
        <w:rPr>
          <w:sz w:val="22"/>
          <w:szCs w:val="22"/>
        </w:rPr>
      </w:pPr>
      <w:r w:rsidRPr="00C24EF5">
        <w:rPr>
          <w:rStyle w:val="FootnoteReference"/>
          <w:sz w:val="22"/>
          <w:szCs w:val="22"/>
        </w:rPr>
        <w:footnoteRef/>
      </w:r>
      <w:r w:rsidRPr="00C24EF5">
        <w:rPr>
          <w:sz w:val="22"/>
          <w:szCs w:val="22"/>
        </w:rPr>
        <w:t xml:space="preserve"> </w:t>
      </w:r>
      <w:r w:rsidRPr="00C24EF5">
        <w:rPr>
          <w:sz w:val="22"/>
          <w:szCs w:val="22"/>
        </w:rPr>
        <w:tab/>
        <w:t>Целью политики двуязычного образования является изучение филиппинского и английского языков на национальном уровне посредством преподавания обоих языков и их использования в качестве средства обучения на всех уровнях.  Политика двуязычного образования ставит перед собой следующие цели:  активизация двуязычного обучения с целью повышения общего уровня образования;  распространение филиппинского языка как общенационального;  развитие филиппинского языка как языкового символа национального единства и самобытности;  культивирование и дальнейшее развитие филиппинского языка как языка общения и преподавания в школе, т.е. его дальнейшая интеллектуализация;  поддержание английского языка как средства международного общения, а также как одного из языков, используемых в сфере науки и техники.</w:t>
      </w:r>
    </w:p>
  </w:footnote>
  <w:footnote w:id="66">
    <w:p w:rsidR="00E9217C" w:rsidRPr="00E0799A" w:rsidRDefault="00E9217C" w:rsidP="00D676C2">
      <w:pPr>
        <w:pStyle w:val="FootnoteText"/>
        <w:rPr>
          <w:sz w:val="22"/>
          <w:szCs w:val="22"/>
        </w:rPr>
      </w:pPr>
      <w:r w:rsidRPr="00E0799A">
        <w:rPr>
          <w:rStyle w:val="FootnoteReference"/>
          <w:sz w:val="22"/>
          <w:szCs w:val="22"/>
        </w:rPr>
        <w:footnoteRef/>
      </w:r>
      <w:r w:rsidRPr="00E0799A">
        <w:rPr>
          <w:sz w:val="22"/>
          <w:szCs w:val="22"/>
        </w:rPr>
        <w:tab/>
        <w:t>Служащие вооруженных сил Филиппин получают более высокое жалованье.  Преподаватель первой категории в государственной школе (начальный уровень) получает лишь базовый оклад в указанном выше размере, эквивалентный заработной плате преподавателя в частном секторе.  В то же время главный мастер-сержант получает такую же зарплату, что и окружной инспектор второй категории министерства образования.  Мастеру-сержанту достаточно иметь только диплом об окончании средней школы, тогда как инспекторы и директора школ системы МО имеют степени магистров.  Кроме того, старший преподаватель первой категории в колледже получает такую же зарплату, что и главный мастер-сержант или окружной инспектор второй категории (18-й разряд зарплаты) и впоследствии получает ежемесячный оклад в размере 15 841 ФП (292 долл. США).  Слушателю филиппинской военной академии положена зарплата 19</w:t>
      </w:r>
      <w:r w:rsidRPr="00E0799A">
        <w:rPr>
          <w:sz w:val="22"/>
          <w:szCs w:val="22"/>
        </w:rPr>
        <w:noBreakHyphen/>
        <w:t>го разряда, и он получает к тому же более высокий "прожиточный минимум", чем окружной инспектор, который, помимо того, что он имеет степень магистра, отработал на государство не менее 15 лет.</w:t>
      </w:r>
    </w:p>
  </w:footnote>
  <w:footnote w:id="67">
    <w:p w:rsidR="00E9217C" w:rsidRPr="00E0799A" w:rsidRDefault="00E9217C" w:rsidP="00D676C2">
      <w:pPr>
        <w:pStyle w:val="FootnoteText"/>
        <w:rPr>
          <w:sz w:val="22"/>
          <w:szCs w:val="22"/>
        </w:rPr>
      </w:pPr>
      <w:r w:rsidRPr="00E0799A">
        <w:rPr>
          <w:rStyle w:val="FootnoteReference"/>
          <w:sz w:val="22"/>
          <w:szCs w:val="22"/>
        </w:rPr>
        <w:footnoteRef/>
      </w:r>
      <w:r w:rsidRPr="00E0799A">
        <w:rPr>
          <w:sz w:val="22"/>
          <w:szCs w:val="22"/>
        </w:rPr>
        <w:t xml:space="preserve"> </w:t>
      </w:r>
      <w:r w:rsidRPr="00E0799A">
        <w:rPr>
          <w:sz w:val="22"/>
          <w:szCs w:val="22"/>
        </w:rPr>
        <w:tab/>
        <w:t>"</w:t>
      </w:r>
      <w:r w:rsidRPr="00E0799A">
        <w:rPr>
          <w:b/>
          <w:i/>
          <w:sz w:val="22"/>
          <w:szCs w:val="22"/>
        </w:rPr>
        <w:t>Подкомиссии</w:t>
      </w:r>
      <w:r w:rsidRPr="00E0799A">
        <w:rPr>
          <w:b/>
          <w:sz w:val="22"/>
          <w:szCs w:val="22"/>
        </w:rPr>
        <w:t>.</w:t>
      </w:r>
      <w:r w:rsidRPr="00E0799A">
        <w:rPr>
          <w:sz w:val="22"/>
          <w:szCs w:val="22"/>
        </w:rPr>
        <w:t xml:space="preserve">  Комиссия должна осуществлять надзор за деятельностью и состоянием национальных комитетов с помощью следующих подкомиссий:</w:t>
      </w:r>
    </w:p>
    <w:p w:rsidR="00E9217C" w:rsidRPr="00E0799A" w:rsidRDefault="00E9217C" w:rsidP="00D676C2">
      <w:pPr>
        <w:pStyle w:val="FootnoteText"/>
        <w:rPr>
          <w:sz w:val="22"/>
          <w:szCs w:val="22"/>
        </w:rPr>
      </w:pPr>
    </w:p>
    <w:p w:rsidR="00E9217C" w:rsidRPr="00E0799A" w:rsidRDefault="00E9217C" w:rsidP="00794E22">
      <w:pPr>
        <w:pStyle w:val="FootnoteText"/>
        <w:ind w:firstLine="567"/>
        <w:rPr>
          <w:sz w:val="22"/>
          <w:szCs w:val="22"/>
        </w:rPr>
      </w:pPr>
      <w:r w:rsidRPr="00E0799A">
        <w:rPr>
          <w:sz w:val="22"/>
          <w:szCs w:val="22"/>
        </w:rPr>
        <w:t>а)</w:t>
      </w:r>
      <w:r w:rsidRPr="00E0799A">
        <w:rPr>
          <w:sz w:val="22"/>
          <w:szCs w:val="22"/>
        </w:rPr>
        <w:tab/>
        <w:t>Подкомиссии по культурному наследию, которая должна охватывать следующие сферы, но не ограничиваться ими:  библиотеки и информационные службы;  архивы, музеи, галереи, памятники и исторические места, а также исторические исследования;</w:t>
      </w:r>
    </w:p>
    <w:p w:rsidR="00E9217C" w:rsidRPr="00E0799A" w:rsidRDefault="00E9217C" w:rsidP="00D676C2">
      <w:pPr>
        <w:pStyle w:val="FootnoteText"/>
        <w:ind w:left="567"/>
        <w:rPr>
          <w:sz w:val="22"/>
          <w:szCs w:val="22"/>
        </w:rPr>
      </w:pPr>
    </w:p>
    <w:p w:rsidR="00E9217C" w:rsidRPr="00E0799A" w:rsidRDefault="00E9217C" w:rsidP="00794E22">
      <w:pPr>
        <w:pStyle w:val="FootnoteText"/>
        <w:ind w:firstLine="567"/>
        <w:rPr>
          <w:sz w:val="22"/>
          <w:szCs w:val="22"/>
        </w:rPr>
      </w:pPr>
      <w:r w:rsidRPr="00E0799A">
        <w:rPr>
          <w:sz w:val="22"/>
          <w:szCs w:val="22"/>
          <w:lang w:val="en-US"/>
        </w:rPr>
        <w:t>b</w:t>
      </w:r>
      <w:r w:rsidRPr="00E0799A">
        <w:rPr>
          <w:sz w:val="22"/>
          <w:szCs w:val="22"/>
        </w:rPr>
        <w:t>)</w:t>
      </w:r>
      <w:r w:rsidRPr="00E0799A">
        <w:rPr>
          <w:sz w:val="22"/>
          <w:szCs w:val="22"/>
        </w:rPr>
        <w:tab/>
        <w:t>Подкомиссии по делам искусств, которая должна охватывать следующие сферы, но не ограничиваться ими:  литература, изобразительное искусство, архитектура, драматическое искусство, радио- и телевидение, музыка, балет и кино;</w:t>
      </w:r>
    </w:p>
    <w:p w:rsidR="00E9217C" w:rsidRPr="00E0799A" w:rsidRDefault="00E9217C" w:rsidP="00D676C2">
      <w:pPr>
        <w:pStyle w:val="FootnoteText"/>
        <w:ind w:left="567"/>
        <w:rPr>
          <w:sz w:val="22"/>
          <w:szCs w:val="22"/>
        </w:rPr>
      </w:pPr>
    </w:p>
    <w:p w:rsidR="00E9217C" w:rsidRPr="00E0799A" w:rsidRDefault="00E9217C" w:rsidP="00794E22">
      <w:pPr>
        <w:pStyle w:val="FootnoteText"/>
        <w:ind w:firstLine="567"/>
        <w:rPr>
          <w:sz w:val="22"/>
          <w:szCs w:val="22"/>
        </w:rPr>
      </w:pPr>
      <w:r w:rsidRPr="00E0799A">
        <w:rPr>
          <w:sz w:val="22"/>
          <w:szCs w:val="22"/>
          <w:lang w:val="en-US"/>
        </w:rPr>
        <w:t>c</w:t>
      </w:r>
      <w:r w:rsidRPr="00E0799A">
        <w:rPr>
          <w:sz w:val="22"/>
          <w:szCs w:val="22"/>
        </w:rPr>
        <w:t>)</w:t>
      </w:r>
      <w:r w:rsidRPr="00E0799A">
        <w:rPr>
          <w:sz w:val="22"/>
          <w:szCs w:val="22"/>
        </w:rPr>
        <w:tab/>
        <w:t>Подкомиссии по распространению культуры, которая должна охватывать следующие сферы, но не ограничиваться ими:  языки и перевод, культурные события, культурное просвещение и информация;</w:t>
      </w:r>
    </w:p>
    <w:p w:rsidR="00E9217C" w:rsidRPr="00E0799A" w:rsidRDefault="00E9217C" w:rsidP="00D676C2">
      <w:pPr>
        <w:pStyle w:val="FootnoteText"/>
        <w:ind w:left="567"/>
        <w:rPr>
          <w:sz w:val="22"/>
          <w:szCs w:val="22"/>
        </w:rPr>
      </w:pPr>
    </w:p>
    <w:p w:rsidR="00E9217C" w:rsidRPr="00E0799A" w:rsidRDefault="00E9217C" w:rsidP="00794E22">
      <w:pPr>
        <w:pStyle w:val="FootnoteText"/>
        <w:ind w:firstLine="567"/>
        <w:rPr>
          <w:sz w:val="22"/>
          <w:szCs w:val="22"/>
        </w:rPr>
      </w:pPr>
      <w:r w:rsidRPr="00E0799A">
        <w:rPr>
          <w:sz w:val="22"/>
          <w:szCs w:val="22"/>
          <w:lang w:val="en-US"/>
        </w:rPr>
        <w:t>d</w:t>
      </w:r>
      <w:r w:rsidRPr="00E0799A">
        <w:rPr>
          <w:sz w:val="22"/>
          <w:szCs w:val="22"/>
        </w:rPr>
        <w:t>)</w:t>
      </w:r>
      <w:r w:rsidRPr="00E0799A">
        <w:rPr>
          <w:sz w:val="22"/>
          <w:szCs w:val="22"/>
        </w:rPr>
        <w:tab/>
        <w:t>Подкомиссии по делам культурных сообществ и традиционного искусства, которая должна охватывать следующие сферы, но не ограничиваться ими:  культура и искусство агта (аэта), культура и искусство северных, южных и мусульманских культурных сообществ, а также культурных сообществ низменной части страны".</w:t>
      </w:r>
    </w:p>
  </w:footnote>
  <w:footnote w:id="68">
    <w:p w:rsidR="00E9217C" w:rsidRPr="00C5657A" w:rsidRDefault="00E9217C" w:rsidP="00444EE2">
      <w:pPr>
        <w:pStyle w:val="FootnoteText"/>
        <w:rPr>
          <w:sz w:val="22"/>
          <w:szCs w:val="22"/>
        </w:rPr>
      </w:pPr>
      <w:r w:rsidRPr="00C5657A">
        <w:rPr>
          <w:rStyle w:val="FootnoteReference"/>
          <w:sz w:val="22"/>
          <w:szCs w:val="22"/>
        </w:rPr>
        <w:footnoteRef/>
      </w:r>
      <w:r w:rsidRPr="00C5657A">
        <w:rPr>
          <w:sz w:val="22"/>
          <w:szCs w:val="22"/>
        </w:rPr>
        <w:t xml:space="preserve"> </w:t>
      </w:r>
      <w:r w:rsidRPr="00C5657A">
        <w:rPr>
          <w:sz w:val="22"/>
          <w:szCs w:val="22"/>
        </w:rPr>
        <w:tab/>
        <w:t>Музей Сан Исидро в Пулилане был создан в 1997 году одной молодежной организацией для того, "чтобы служить фактором, объединяющим жителей города, быть местом показа изделий художественных промыслов, воспитателем молодежи, центром интеллектуального и культурного развития… и участвовать в непрерывном, устойчивом и целенаправленном развитии города Пулилан".  Музей Bahay Nakpil Bautista ng Quiapo был открыт для посетителей в 1997 году "в</w:t>
      </w:r>
      <w:r>
        <w:rPr>
          <w:sz w:val="22"/>
          <w:szCs w:val="22"/>
        </w:rPr>
        <w:t> </w:t>
      </w:r>
      <w:r w:rsidRPr="00C5657A">
        <w:rPr>
          <w:sz w:val="22"/>
          <w:szCs w:val="22"/>
        </w:rPr>
        <w:t xml:space="preserve">качестве места ознакомления с культурой и историей, которые способствуют выработке гражданской ответственности, эстетических вкусов, бережного отношения к культуре и укреплению позитивных ценностей в обществе".  Музей ng Maynila был открыт в 1997 году, "чтобы стать центром, способствующим осознанию жителями города своего культурного наследия, хранилищем ценных исторических и культурных реликвий, которое служит также пантеоном местных героев".  </w:t>
      </w:r>
    </w:p>
  </w:footnote>
  <w:footnote w:id="69">
    <w:p w:rsidR="00E9217C" w:rsidRPr="002125E0" w:rsidRDefault="00E9217C" w:rsidP="005167E8">
      <w:pPr>
        <w:pStyle w:val="FootnoteText"/>
        <w:rPr>
          <w:sz w:val="22"/>
          <w:szCs w:val="22"/>
        </w:rPr>
      </w:pPr>
      <w:r w:rsidRPr="002125E0">
        <w:rPr>
          <w:rStyle w:val="FootnoteReference"/>
          <w:sz w:val="22"/>
          <w:szCs w:val="22"/>
        </w:rPr>
        <w:footnoteRef/>
      </w:r>
      <w:r w:rsidRPr="002125E0">
        <w:rPr>
          <w:sz w:val="22"/>
          <w:szCs w:val="22"/>
        </w:rPr>
        <w:t xml:space="preserve"> </w:t>
      </w:r>
      <w:r w:rsidRPr="002125E0">
        <w:rPr>
          <w:sz w:val="22"/>
          <w:szCs w:val="22"/>
        </w:rPr>
        <w:tab/>
        <w:t>Статья 14 предусматривает, что "государство должно прилагать усилия для сохранения, обогащения и динамичного развития филиппинской национальной культуры на основе принципа единства в разнообразии и в условиях свободы художественного выражения".  Согласно статье 15, "искусство и литература должны пользоваться поддержкой государства.  Государство должно сохранять, расширять и популяризировать историческое и культурное наследие страны, его ресурсы и художественное творчество".  В стать</w:t>
      </w:r>
      <w:r>
        <w:rPr>
          <w:sz w:val="22"/>
          <w:szCs w:val="22"/>
        </w:rPr>
        <w:t>е</w:t>
      </w:r>
      <w:r w:rsidRPr="002125E0">
        <w:rPr>
          <w:sz w:val="22"/>
          <w:szCs w:val="22"/>
        </w:rPr>
        <w:t xml:space="preserve"> 16 указывается, что "все художественные и исторические ценности страны образуют сокровищницу национальной культуры и должны находиться под защитой государства, которое должно регулировать пользование ими".  Статья 17 предусматривает, что "государство должно признавать, уважать и защищать право культурных сообществ коренных народов на сохранение и развитие своей культуры, традиций и институтов.  Оно должно учитывать эти права при разработке национальных планов и политики".  Согласно статье 18, "1)  Государство должно обеспечивать равный доступ к культурному богатству через систему образования, государственные или частные учреждения культуры, стипендии и другие стимулирующие меры, а также через общинные культурные центры и другие государственные учреждения.  2)  Государства должны поощрять и поддерживать проведение научных исследований и разработок по вопросам искусства и культуры".  </w:t>
      </w:r>
    </w:p>
  </w:footnote>
  <w:footnote w:id="70">
    <w:p w:rsidR="00E9217C" w:rsidRPr="002125E0" w:rsidRDefault="00E9217C" w:rsidP="005167E8">
      <w:pPr>
        <w:pStyle w:val="FootnoteText"/>
        <w:rPr>
          <w:sz w:val="22"/>
          <w:szCs w:val="22"/>
        </w:rPr>
      </w:pPr>
      <w:r w:rsidRPr="002125E0">
        <w:rPr>
          <w:rStyle w:val="FootnoteReference"/>
          <w:sz w:val="22"/>
          <w:szCs w:val="22"/>
        </w:rPr>
        <w:footnoteRef/>
      </w:r>
      <w:r w:rsidRPr="002125E0">
        <w:rPr>
          <w:sz w:val="22"/>
          <w:szCs w:val="22"/>
        </w:rPr>
        <w:t xml:space="preserve"> </w:t>
      </w:r>
      <w:r w:rsidRPr="002125E0">
        <w:rPr>
          <w:sz w:val="22"/>
          <w:szCs w:val="22"/>
        </w:rPr>
        <w:tab/>
        <w:t xml:space="preserve">В деле </w:t>
      </w:r>
      <w:r w:rsidRPr="002125E0">
        <w:rPr>
          <w:i/>
          <w:sz w:val="22"/>
          <w:szCs w:val="22"/>
        </w:rPr>
        <w:t>Хойа против ПКБУ</w:t>
      </w:r>
      <w:r w:rsidRPr="002125E0">
        <w:rPr>
          <w:sz w:val="22"/>
          <w:szCs w:val="22"/>
        </w:rPr>
        <w:t xml:space="preserve"> заявители оспорили правомерность продажи части состояния Маркоса, включая коллекцию работ старых мастеров и изделий из серебра, на том основании, что они являются историческими реликвиями и имеют большое культурное значение.  Суд, однако, принял к сведению свидетельство директора музея о том, что эти предназначенные для продажи предметы не являются охраняемыми культурными ценностями.  В деле </w:t>
      </w:r>
      <w:r w:rsidRPr="002125E0">
        <w:rPr>
          <w:i/>
          <w:sz w:val="22"/>
          <w:szCs w:val="22"/>
        </w:rPr>
        <w:t>Маноска против Апелляционного суда</w:t>
      </w:r>
      <w:r w:rsidRPr="002125E0">
        <w:rPr>
          <w:sz w:val="22"/>
          <w:szCs w:val="22"/>
        </w:rPr>
        <w:t xml:space="preserve"> правительство возбудило судебное разбирательство с целью экспроприации участка земли, признанного национальной исторической достопримечательностью, поскольку он является местом рождения основателя церкви </w:t>
      </w:r>
      <w:r w:rsidRPr="002125E0">
        <w:rPr>
          <w:i/>
          <w:sz w:val="22"/>
          <w:szCs w:val="22"/>
        </w:rPr>
        <w:t>Iglesia ni Cristo</w:t>
      </w:r>
      <w:r w:rsidRPr="002125E0">
        <w:rPr>
          <w:sz w:val="22"/>
          <w:szCs w:val="22"/>
        </w:rPr>
        <w:t>.  Владелец земли возразил, заявив, что конфискация земли не может осуществляться в целях передачи ее в общественное пользование.  Суд отказал владельцу на том основании, что "публичное пользование" должно рассматриваться в общем контексте удовлетворения общественных интересов.  Историческая ценность данной собственности оправдывала экспроприацию.</w:t>
      </w:r>
    </w:p>
  </w:footnote>
  <w:footnote w:id="71">
    <w:p w:rsidR="00E9217C" w:rsidRPr="00F72D94" w:rsidRDefault="00E9217C" w:rsidP="005167E8">
      <w:pPr>
        <w:pStyle w:val="FootnoteText"/>
        <w:rPr>
          <w:sz w:val="22"/>
          <w:szCs w:val="22"/>
        </w:rPr>
      </w:pPr>
      <w:r w:rsidRPr="00F72D94">
        <w:rPr>
          <w:rStyle w:val="FootnoteReference"/>
          <w:sz w:val="22"/>
          <w:szCs w:val="22"/>
        </w:rPr>
        <w:footnoteRef/>
      </w:r>
      <w:r w:rsidRPr="00F72D94">
        <w:rPr>
          <w:sz w:val="22"/>
          <w:szCs w:val="22"/>
        </w:rPr>
        <w:tab/>
      </w:r>
      <w:r w:rsidRPr="00F72D94">
        <w:rPr>
          <w:b/>
          <w:i/>
          <w:sz w:val="22"/>
          <w:szCs w:val="22"/>
        </w:rPr>
        <w:t>Экскурсии по местам, представляющим культурную ценность -</w:t>
      </w:r>
      <w:r w:rsidRPr="00F72D94">
        <w:rPr>
          <w:sz w:val="22"/>
          <w:szCs w:val="22"/>
        </w:rPr>
        <w:t xml:space="preserve"> помощь оказывается в проведении просветительских экскурсий/экскурсий по местам, представляющим культурную ценность, которые позволяют учащимся и преподавателям государственных школ, государственным служащим, неучащейся молодежи посещать такие очаги культуры, как музеи, галереи, исторические места, центры исполнительского искусства и т.д.  Помощь включает аренду транспортных средств и оплату входных билетов.  </w:t>
      </w:r>
      <w:r w:rsidRPr="00F72D94">
        <w:rPr>
          <w:b/>
          <w:i/>
          <w:sz w:val="22"/>
          <w:szCs w:val="22"/>
        </w:rPr>
        <w:t xml:space="preserve">Повышение уровня художественного творчества </w:t>
      </w:r>
      <w:r w:rsidRPr="00F72D94">
        <w:rPr>
          <w:i/>
          <w:sz w:val="22"/>
          <w:szCs w:val="22"/>
        </w:rPr>
        <w:t xml:space="preserve">- </w:t>
      </w:r>
      <w:r w:rsidRPr="00F72D94">
        <w:rPr>
          <w:sz w:val="22"/>
          <w:szCs w:val="22"/>
        </w:rPr>
        <w:t>в данном случае</w:t>
      </w:r>
      <w:r w:rsidRPr="00F72D94">
        <w:rPr>
          <w:i/>
          <w:sz w:val="22"/>
          <w:szCs w:val="22"/>
        </w:rPr>
        <w:t xml:space="preserve"> </w:t>
      </w:r>
      <w:r w:rsidRPr="00F72D94">
        <w:rPr>
          <w:sz w:val="22"/>
          <w:szCs w:val="22"/>
        </w:rPr>
        <w:t xml:space="preserve">помощь включает содействие в организации театральных постановок, музыкальных представлений и выставок силами различных творческих коллективов или отдельных лиц из маргинализованных групп населения, например инвалидов, неучащейся молодежи, учащихся государственных школ и т.п.  </w:t>
      </w:r>
      <w:r w:rsidRPr="00F72D94">
        <w:rPr>
          <w:b/>
          <w:i/>
          <w:sz w:val="22"/>
          <w:szCs w:val="22"/>
        </w:rPr>
        <w:t xml:space="preserve">Художественные конкурсы </w:t>
      </w:r>
      <w:r w:rsidRPr="00F72D94">
        <w:rPr>
          <w:sz w:val="22"/>
          <w:szCs w:val="22"/>
        </w:rPr>
        <w:t xml:space="preserve">- Комиссия организует конкурсы, призванные способствовать повышению художественного мастерства артистов в данном секторе.  </w:t>
      </w:r>
      <w:r w:rsidRPr="00F72D94">
        <w:rPr>
          <w:b/>
          <w:i/>
          <w:sz w:val="22"/>
          <w:szCs w:val="22"/>
        </w:rPr>
        <w:t xml:space="preserve">Повышение квалификации </w:t>
      </w:r>
      <w:r w:rsidRPr="00F72D94">
        <w:rPr>
          <w:b/>
          <w:sz w:val="22"/>
          <w:szCs w:val="22"/>
        </w:rPr>
        <w:t xml:space="preserve">- </w:t>
      </w:r>
      <w:r w:rsidRPr="00F72D94">
        <w:rPr>
          <w:sz w:val="22"/>
          <w:szCs w:val="22"/>
        </w:rPr>
        <w:t xml:space="preserve">помощь включает организацию лекций и семинаров по различным областям искусства.  </w:t>
      </w:r>
      <w:r w:rsidRPr="00F72D94">
        <w:rPr>
          <w:b/>
          <w:i/>
          <w:sz w:val="22"/>
          <w:szCs w:val="22"/>
        </w:rPr>
        <w:t>Развитие искусств в общине</w:t>
      </w:r>
      <w:r w:rsidRPr="00F72D94">
        <w:rPr>
          <w:sz w:val="22"/>
          <w:szCs w:val="22"/>
        </w:rPr>
        <w:t xml:space="preserve"> - Комиссия содействует созданию организаций по развитию искусств на уровне общины в районах переселения и для неучащейся молодежи.  </w:t>
      </w:r>
    </w:p>
  </w:footnote>
  <w:footnote w:id="72">
    <w:p w:rsidR="00E9217C" w:rsidRDefault="00E9217C" w:rsidP="005167E8">
      <w:pPr>
        <w:pStyle w:val="FootnoteText"/>
        <w:rPr>
          <w:sz w:val="22"/>
          <w:szCs w:val="22"/>
        </w:rPr>
      </w:pPr>
      <w:r w:rsidRPr="00F72D94">
        <w:rPr>
          <w:rStyle w:val="FootnoteReference"/>
          <w:sz w:val="22"/>
          <w:szCs w:val="22"/>
        </w:rPr>
        <w:footnoteRef/>
      </w:r>
      <w:r w:rsidRPr="00F72D94">
        <w:rPr>
          <w:sz w:val="22"/>
          <w:szCs w:val="22"/>
        </w:rPr>
        <w:tab/>
        <w:t>Эта программа включает организацию турне по стране поддерживаемых ОМС и признанных исполнительских групп;  предоставление помощи в организации художественных сезонов при поддержке ОМС;  оказание технической помощи местным музеям, библиотекам, архивам и ассоциациям историков;  участие в финансировании публикаций по вопросам истории, культуры и искусства данной местности, включая биографии выходцев из этого региона, которые приобрели общенациональную известность;  предоставление возможности местным группам выступать в столице по случаю различных национальных событий;  и содействие в проведении научных исследований и раскопок в местах, отнесенных к категории культурного наследия.</w:t>
      </w:r>
    </w:p>
    <w:p w:rsidR="00E9217C" w:rsidRPr="00F72D94" w:rsidRDefault="00E9217C" w:rsidP="005167E8">
      <w:pPr>
        <w:pStyle w:val="FootnoteText"/>
        <w:rPr>
          <w:sz w:val="22"/>
          <w:szCs w:val="22"/>
        </w:rPr>
      </w:pPr>
    </w:p>
  </w:footnote>
  <w:footnote w:id="73">
    <w:p w:rsidR="00E9217C" w:rsidRPr="00EB1769" w:rsidRDefault="00E9217C" w:rsidP="00C34C45">
      <w:pPr>
        <w:pStyle w:val="FootnoteText"/>
        <w:rPr>
          <w:sz w:val="22"/>
          <w:szCs w:val="22"/>
        </w:rPr>
      </w:pPr>
      <w:r w:rsidRPr="00EB1769">
        <w:rPr>
          <w:rStyle w:val="FootnoteReference"/>
          <w:sz w:val="22"/>
          <w:szCs w:val="22"/>
        </w:rPr>
        <w:footnoteRef/>
      </w:r>
      <w:r w:rsidRPr="00EB1769">
        <w:rPr>
          <w:sz w:val="22"/>
          <w:szCs w:val="22"/>
        </w:rPr>
        <w:t xml:space="preserve"> </w:t>
      </w:r>
      <w:r w:rsidRPr="00EB1769">
        <w:rPr>
          <w:sz w:val="22"/>
          <w:szCs w:val="22"/>
        </w:rPr>
        <w:tab/>
        <w:t xml:space="preserve">а)  </w:t>
      </w:r>
      <w:r w:rsidRPr="00EB1769">
        <w:rPr>
          <w:b/>
          <w:i/>
          <w:sz w:val="22"/>
          <w:szCs w:val="22"/>
        </w:rPr>
        <w:t>Программа повышения культурного уровня преподавателей </w:t>
      </w:r>
      <w:r w:rsidRPr="00EB1769">
        <w:rPr>
          <w:sz w:val="22"/>
          <w:szCs w:val="22"/>
        </w:rPr>
        <w:noBreakHyphen/>
        <w:t xml:space="preserve"> НККИ оказывает помощь в повышении квалификации учителей и преподавателей в сфере культуры и искусства.  Целью этой программы является оказание помощи институтам повышения квалификации преподавательского состава, министерству образования, творческим коллективам и другим группам в разработке и реализации программ профессиональной подготовки преподавателей без отрыва от производства;  </w:t>
      </w:r>
      <w:r w:rsidRPr="00EB1769">
        <w:rPr>
          <w:sz w:val="22"/>
          <w:szCs w:val="22"/>
          <w:lang w:val="en-US"/>
        </w:rPr>
        <w:t>b</w:t>
      </w:r>
      <w:r w:rsidRPr="00EB1769">
        <w:rPr>
          <w:sz w:val="22"/>
          <w:szCs w:val="22"/>
        </w:rPr>
        <w:t>)  </w:t>
      </w:r>
      <w:r w:rsidRPr="00EB1769">
        <w:rPr>
          <w:b/>
          <w:i/>
          <w:sz w:val="22"/>
          <w:szCs w:val="22"/>
        </w:rPr>
        <w:t>Пополнение библиотек</w:t>
      </w:r>
      <w:r w:rsidRPr="00EB1769">
        <w:rPr>
          <w:sz w:val="22"/>
          <w:szCs w:val="22"/>
        </w:rPr>
        <w:t> </w:t>
      </w:r>
      <w:r w:rsidRPr="00EB1769">
        <w:rPr>
          <w:sz w:val="22"/>
          <w:szCs w:val="22"/>
        </w:rPr>
        <w:noBreakHyphen/>
        <w:t xml:space="preserve"> эта программа предусматривает оказание содействия Национальной библиотеке и библиотекам государственных школ, а также министерству образования в приобретении материалов по вопросам культуры и искусства в виде книг, журналов, газет, а также аудио- и видеоматериалов для общего пользования;  </w:t>
      </w:r>
      <w:r w:rsidRPr="00EB1769">
        <w:rPr>
          <w:sz w:val="22"/>
          <w:szCs w:val="22"/>
          <w:lang w:val="en-US"/>
        </w:rPr>
        <w:t>c</w:t>
      </w:r>
      <w:r w:rsidRPr="00EB1769">
        <w:rPr>
          <w:sz w:val="22"/>
          <w:szCs w:val="22"/>
        </w:rPr>
        <w:t>)  </w:t>
      </w:r>
      <w:r w:rsidRPr="00EB1769">
        <w:rPr>
          <w:b/>
          <w:i/>
          <w:sz w:val="22"/>
          <w:szCs w:val="22"/>
        </w:rPr>
        <w:t>Разработка учебных программ и учебных материалов</w:t>
      </w:r>
      <w:r w:rsidRPr="00EB1769">
        <w:rPr>
          <w:sz w:val="22"/>
          <w:szCs w:val="22"/>
        </w:rPr>
        <w:t> </w:t>
      </w:r>
      <w:r w:rsidRPr="00EB1769">
        <w:rPr>
          <w:sz w:val="22"/>
          <w:szCs w:val="22"/>
        </w:rPr>
        <w:noBreakHyphen/>
        <w:t xml:space="preserve"> в рамках этой программы оказывается помощь в реализации проектов по расширению учебных программ, особенно программ Специальной школы искусств, просветительских курсов в системе высшего образования и т.п.  Она направлена также на содействие производству аудио-, видео- и печатных материалов в качестве пособий для изучения предметов/курсов, связанных с культурой и искусством;  </w:t>
      </w:r>
      <w:r w:rsidRPr="00EB1769">
        <w:rPr>
          <w:sz w:val="22"/>
          <w:szCs w:val="22"/>
          <w:lang w:val="en-US"/>
        </w:rPr>
        <w:t>d</w:t>
      </w:r>
      <w:r w:rsidRPr="00EB1769">
        <w:rPr>
          <w:sz w:val="22"/>
          <w:szCs w:val="22"/>
        </w:rPr>
        <w:t>)  </w:t>
      </w:r>
      <w:r w:rsidRPr="00EB1769">
        <w:rPr>
          <w:b/>
          <w:i/>
          <w:sz w:val="22"/>
          <w:szCs w:val="22"/>
        </w:rPr>
        <w:t>Программа расширения охвата и повышения культурного уровня зрительской аудитории</w:t>
      </w:r>
      <w:r w:rsidRPr="00EB1769">
        <w:rPr>
          <w:sz w:val="22"/>
          <w:szCs w:val="22"/>
        </w:rPr>
        <w:t xml:space="preserve">.  Целью этой программы является поддержка проектов, содействующих расширению культурного кругозора филиппинцев и ознакомления их с культурой и искусством своей страны.  Она включает проведение выставок, лекций, симпозиумов, а также семинаров/лекций для широкой аудитории;  </w:t>
      </w:r>
      <w:r w:rsidRPr="00EB1769">
        <w:rPr>
          <w:sz w:val="22"/>
          <w:szCs w:val="22"/>
          <w:lang w:val="en-US"/>
        </w:rPr>
        <w:t>e</w:t>
      </w:r>
      <w:r w:rsidRPr="00EB1769">
        <w:rPr>
          <w:sz w:val="22"/>
          <w:szCs w:val="22"/>
        </w:rPr>
        <w:t>)  </w:t>
      </w:r>
      <w:r w:rsidRPr="00EB1769">
        <w:rPr>
          <w:b/>
          <w:i/>
          <w:sz w:val="22"/>
          <w:szCs w:val="22"/>
        </w:rPr>
        <w:t>Национальная программа просвещения/повышения квалификации работников культуры</w:t>
      </w:r>
      <w:r w:rsidRPr="00EB1769">
        <w:rPr>
          <w:sz w:val="22"/>
          <w:szCs w:val="22"/>
        </w:rPr>
        <w:t> </w:t>
      </w:r>
      <w:r w:rsidRPr="00EB1769">
        <w:rPr>
          <w:sz w:val="22"/>
          <w:szCs w:val="22"/>
        </w:rPr>
        <w:noBreakHyphen/>
        <w:t xml:space="preserve"> эта программа отвечает потребностям, связанным с расширением полномочий НККИ для осуществления широкой программы культурного просвещения (ФПКП) в соответствии с РЗ 9155.  В рамках этой программы оказывается содействие в реализации любых проектов в сфере формального и неформального образования.  В помощь руководителям проектов будут разработаны стратегические цели и руководящие принципы, а также основные направления программы;  </w:t>
      </w:r>
      <w:r w:rsidRPr="00EB1769">
        <w:rPr>
          <w:sz w:val="22"/>
          <w:szCs w:val="22"/>
          <w:lang w:val="en-US"/>
        </w:rPr>
        <w:t>f</w:t>
      </w:r>
      <w:r w:rsidRPr="00EB1769">
        <w:rPr>
          <w:sz w:val="22"/>
          <w:szCs w:val="22"/>
        </w:rPr>
        <w:t>)  </w:t>
      </w:r>
      <w:r w:rsidRPr="00EB1769">
        <w:rPr>
          <w:b/>
          <w:i/>
          <w:sz w:val="22"/>
          <w:szCs w:val="22"/>
        </w:rPr>
        <w:t>Программа научных исследований</w:t>
      </w:r>
      <w:r w:rsidRPr="00EB1769">
        <w:rPr>
          <w:sz w:val="22"/>
          <w:szCs w:val="22"/>
        </w:rPr>
        <w:t> </w:t>
      </w:r>
      <w:r w:rsidRPr="00EB1769">
        <w:rPr>
          <w:sz w:val="22"/>
          <w:szCs w:val="22"/>
        </w:rPr>
        <w:noBreakHyphen/>
        <w:t xml:space="preserve"> в целях расширения программы культурного просвещения НККИ поощряет и поддерживает научные изыскания в различных областях культуры и искусства Филиппин.</w:t>
      </w:r>
    </w:p>
    <w:p w:rsidR="00E9217C" w:rsidRPr="00EB1769" w:rsidRDefault="00E9217C" w:rsidP="00C34C45">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7C" w:rsidRPr="005F167B" w:rsidRDefault="00E9217C">
    <w:pPr>
      <w:pStyle w:val="Header"/>
      <w:rPr>
        <w:lang w:val="en-US"/>
      </w:rPr>
    </w:pPr>
    <w:r>
      <w:t>Е</w:t>
    </w:r>
    <w:r>
      <w:rPr>
        <w:lang w:val="en-US"/>
      </w:rPr>
      <w:t>/C.12/PHL/4</w:t>
    </w:r>
  </w:p>
  <w:p w:rsidR="00E9217C" w:rsidRDefault="00E9217C">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DC76AF">
      <w:rPr>
        <w:rStyle w:val="PageNumber"/>
        <w:noProof/>
      </w:rPr>
      <w:t>114</w:t>
    </w:r>
    <w:r>
      <w:rPr>
        <w:rStyle w:val="PageNumber"/>
      </w:rPr>
      <w:fldChar w:fldCharType="end"/>
    </w:r>
  </w:p>
  <w:p w:rsidR="00E9217C" w:rsidRDefault="00E9217C">
    <w:pPr>
      <w:pStyle w:val="Header"/>
      <w:rPr>
        <w:rStyle w:val="PageNumber"/>
        <w:lang w:val="en-US"/>
      </w:rPr>
    </w:pPr>
  </w:p>
  <w:p w:rsidR="00E9217C" w:rsidRDefault="00E9217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7C" w:rsidRDefault="00E9217C">
    <w:pPr>
      <w:pStyle w:val="Header"/>
      <w:tabs>
        <w:tab w:val="left" w:pos="6237"/>
      </w:tabs>
      <w:rPr>
        <w:lang w:val="en-US"/>
      </w:rPr>
    </w:pPr>
    <w:r>
      <w:rPr>
        <w:lang w:val="en-US"/>
      </w:rPr>
      <w:tab/>
    </w:r>
    <w:r>
      <w:rPr>
        <w:lang w:val="en-US"/>
      </w:rPr>
      <w:tab/>
    </w:r>
    <w:r>
      <w:t>Е</w:t>
    </w:r>
    <w:r>
      <w:rPr>
        <w:lang w:val="en-US"/>
      </w:rPr>
      <w:t>/C.12/PHL/4</w:t>
    </w:r>
  </w:p>
  <w:p w:rsidR="00E9217C" w:rsidRDefault="00E9217C">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DC76AF">
      <w:rPr>
        <w:rStyle w:val="PageNumber"/>
        <w:noProof/>
      </w:rPr>
      <w:t>115</w:t>
    </w:r>
    <w:r>
      <w:rPr>
        <w:rStyle w:val="PageNumber"/>
      </w:rPr>
      <w:fldChar w:fldCharType="end"/>
    </w:r>
  </w:p>
  <w:p w:rsidR="00E9217C" w:rsidRDefault="00E9217C">
    <w:pPr>
      <w:pStyle w:val="Header"/>
      <w:tabs>
        <w:tab w:val="left" w:pos="6237"/>
      </w:tabs>
      <w:rPr>
        <w:rStyle w:val="PageNumber"/>
        <w:lang w:val="en-US"/>
      </w:rPr>
    </w:pPr>
  </w:p>
  <w:p w:rsidR="00E9217C" w:rsidRDefault="00E9217C">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36E405A"/>
    <w:lvl w:ilvl="0">
      <w:numFmt w:val="decimal"/>
      <w:lvlText w:val="*"/>
      <w:lvlJc w:val="left"/>
    </w:lvl>
  </w:abstractNum>
  <w:abstractNum w:abstractNumId="2">
    <w:nsid w:val="02F21DF0"/>
    <w:multiLevelType w:val="hybridMultilevel"/>
    <w:tmpl w:val="8D52E6B0"/>
    <w:lvl w:ilvl="0" w:tplc="41642276">
      <w:start w:val="682"/>
      <w:numFmt w:val="decimal"/>
      <w:lvlText w:val="%1."/>
      <w:lvlJc w:val="left"/>
      <w:pPr>
        <w:tabs>
          <w:tab w:val="num" w:pos="1128"/>
        </w:tabs>
        <w:ind w:left="1128" w:hanging="42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8B114DF"/>
    <w:multiLevelType w:val="hybridMultilevel"/>
    <w:tmpl w:val="D772D7E6"/>
    <w:lvl w:ilvl="0" w:tplc="7EF4DD3C">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0548CC"/>
    <w:multiLevelType w:val="hybridMultilevel"/>
    <w:tmpl w:val="14B258BC"/>
    <w:lvl w:ilvl="0" w:tplc="A6D4BC22">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3635A9"/>
    <w:multiLevelType w:val="hybridMultilevel"/>
    <w:tmpl w:val="72327C2E"/>
    <w:lvl w:ilvl="0" w:tplc="85C2FC44">
      <w:start w:val="72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6A015F"/>
    <w:multiLevelType w:val="hybridMultilevel"/>
    <w:tmpl w:val="9DAEC520"/>
    <w:lvl w:ilvl="0" w:tplc="B83A1912">
      <w:start w:val="1"/>
      <w:numFmt w:val="bullet"/>
      <w:lvlText w:val=""/>
      <w:lvlJc w:val="left"/>
      <w:pPr>
        <w:tabs>
          <w:tab w:val="num" w:pos="3350"/>
        </w:tabs>
        <w:ind w:left="340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8">
    <w:nsid w:val="14B87CB3"/>
    <w:multiLevelType w:val="hybridMultilevel"/>
    <w:tmpl w:val="B5B6B0CE"/>
    <w:lvl w:ilvl="0" w:tplc="0C14B586">
      <w:start w:val="1"/>
      <w:numFmt w:val="bullet"/>
      <w:lvlText w:val=""/>
      <w:lvlJc w:val="left"/>
      <w:pPr>
        <w:tabs>
          <w:tab w:val="num" w:pos="130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2A1FF1"/>
    <w:multiLevelType w:val="hybridMultilevel"/>
    <w:tmpl w:val="5582D166"/>
    <w:lvl w:ilvl="0" w:tplc="7EC24F0C">
      <w:numFmt w:val="bullet"/>
      <w:lvlText w:val=""/>
      <w:lvlJc w:val="left"/>
      <w:pPr>
        <w:tabs>
          <w:tab w:val="num" w:pos="1134"/>
        </w:tabs>
        <w:ind w:left="1134" w:hanging="567"/>
      </w:pPr>
      <w:rPr>
        <w:rFonts w:ascii="Symbol" w:hAnsi="Symbol" w:cs="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0">
    <w:nsid w:val="19A86A43"/>
    <w:multiLevelType w:val="multilevel"/>
    <w:tmpl w:val="3C1C5DBA"/>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DB2441"/>
    <w:multiLevelType w:val="hybridMultilevel"/>
    <w:tmpl w:val="FAC297E0"/>
    <w:lvl w:ilvl="0" w:tplc="1478965A">
      <w:numFmt w:val="bullet"/>
      <w:lvlText w:val=""/>
      <w:lvlJc w:val="left"/>
      <w:pPr>
        <w:tabs>
          <w:tab w:val="num" w:pos="1134"/>
        </w:tabs>
        <w:ind w:left="1134" w:hanging="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282AB0"/>
    <w:multiLevelType w:val="hybridMultilevel"/>
    <w:tmpl w:val="DC9A8618"/>
    <w:lvl w:ilvl="0" w:tplc="6CA2F98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3">
    <w:nsid w:val="1BD61CA7"/>
    <w:multiLevelType w:val="hybridMultilevel"/>
    <w:tmpl w:val="20D61DA4"/>
    <w:lvl w:ilvl="0" w:tplc="0C14B586">
      <w:start w:val="1"/>
      <w:numFmt w:val="bullet"/>
      <w:lvlText w:val=""/>
      <w:lvlJc w:val="left"/>
      <w:pPr>
        <w:tabs>
          <w:tab w:val="num" w:pos="130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604C90"/>
    <w:multiLevelType w:val="hybridMultilevel"/>
    <w:tmpl w:val="68E22E5C"/>
    <w:lvl w:ilvl="0" w:tplc="65C493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5">
    <w:nsid w:val="22DE559E"/>
    <w:multiLevelType w:val="multilevel"/>
    <w:tmpl w:val="616C0B94"/>
    <w:lvl w:ilvl="0">
      <w:start w:val="1"/>
      <w:numFmt w:val="bullet"/>
      <w:lvlText w:val=""/>
      <w:lvlJc w:val="left"/>
      <w:pPr>
        <w:tabs>
          <w:tab w:val="num" w:pos="1485"/>
        </w:tabs>
        <w:ind w:left="1485" w:hanging="360"/>
      </w:pPr>
      <w:rPr>
        <w:rFonts w:ascii="Symbol" w:hAnsi="Symbol" w:hint="default"/>
      </w:rPr>
    </w:lvl>
    <w:lvl w:ilvl="1">
      <w:start w:val="1"/>
      <w:numFmt w:val="bullet"/>
      <w:lvlText w:val="o"/>
      <w:lvlJc w:val="left"/>
      <w:pPr>
        <w:tabs>
          <w:tab w:val="num" w:pos="2205"/>
        </w:tabs>
        <w:ind w:left="2205" w:hanging="360"/>
      </w:pPr>
      <w:rPr>
        <w:rFonts w:ascii="Courier New" w:hAnsi="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16">
    <w:nsid w:val="24464179"/>
    <w:multiLevelType w:val="hybridMultilevel"/>
    <w:tmpl w:val="25ACB51A"/>
    <w:lvl w:ilvl="0" w:tplc="ECBA42E0">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113815"/>
    <w:multiLevelType w:val="hybridMultilevel"/>
    <w:tmpl w:val="D54445F2"/>
    <w:lvl w:ilvl="0" w:tplc="0C14B586">
      <w:start w:val="1"/>
      <w:numFmt w:val="bullet"/>
      <w:lvlText w:val=""/>
      <w:lvlJc w:val="left"/>
      <w:pPr>
        <w:tabs>
          <w:tab w:val="num" w:pos="130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734C6B"/>
    <w:multiLevelType w:val="hybridMultilevel"/>
    <w:tmpl w:val="B0C618F6"/>
    <w:lvl w:ilvl="0" w:tplc="BE78A89A">
      <w:start w:val="1"/>
      <w:numFmt w:val="bullet"/>
      <w:lvlText w:val=""/>
      <w:lvlJc w:val="left"/>
      <w:pPr>
        <w:tabs>
          <w:tab w:val="num" w:pos="1134"/>
        </w:tabs>
        <w:ind w:left="1134"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C856F7"/>
    <w:multiLevelType w:val="hybridMultilevel"/>
    <w:tmpl w:val="1E82BFDE"/>
    <w:lvl w:ilvl="0" w:tplc="A6D4BC22">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521177"/>
    <w:multiLevelType w:val="hybridMultilevel"/>
    <w:tmpl w:val="918628A2"/>
    <w:lvl w:ilvl="0" w:tplc="1478965A">
      <w:numFmt w:val="bullet"/>
      <w:lvlText w:val=""/>
      <w:lvlJc w:val="left"/>
      <w:pPr>
        <w:tabs>
          <w:tab w:val="num" w:pos="1287"/>
        </w:tabs>
        <w:ind w:left="1287" w:hanging="567"/>
      </w:pPr>
      <w:rPr>
        <w:rFonts w:ascii="Symbol" w:hAnsi="Symbol" w:cs="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21">
    <w:nsid w:val="30EE5DCC"/>
    <w:multiLevelType w:val="hybridMultilevel"/>
    <w:tmpl w:val="6E145BA2"/>
    <w:lvl w:ilvl="0" w:tplc="A6D4BC22">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EC2AC6"/>
    <w:multiLevelType w:val="hybridMultilevel"/>
    <w:tmpl w:val="616C0B9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3">
    <w:nsid w:val="3C0D7DE2"/>
    <w:multiLevelType w:val="hybridMultilevel"/>
    <w:tmpl w:val="94365856"/>
    <w:lvl w:ilvl="0" w:tplc="0C14B586">
      <w:start w:val="1"/>
      <w:numFmt w:val="bullet"/>
      <w:lvlText w:val=""/>
      <w:lvlJc w:val="left"/>
      <w:pPr>
        <w:tabs>
          <w:tab w:val="num" w:pos="130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CE37A4"/>
    <w:multiLevelType w:val="hybridMultilevel"/>
    <w:tmpl w:val="76109FA2"/>
    <w:lvl w:ilvl="0" w:tplc="B1129B46">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746969"/>
    <w:multiLevelType w:val="hybridMultilevel"/>
    <w:tmpl w:val="EE54ABF0"/>
    <w:lvl w:ilvl="0" w:tplc="66B21DCC">
      <w:numFmt w:val="bullet"/>
      <w:lvlText w:val=""/>
      <w:lvlJc w:val="left"/>
      <w:pPr>
        <w:tabs>
          <w:tab w:val="num" w:pos="0"/>
        </w:tabs>
        <w:ind w:left="1134" w:hanging="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75302E"/>
    <w:multiLevelType w:val="hybridMultilevel"/>
    <w:tmpl w:val="1A6E5A1C"/>
    <w:lvl w:ilvl="0" w:tplc="0C14B586">
      <w:start w:val="1"/>
      <w:numFmt w:val="bullet"/>
      <w:lvlText w:val=""/>
      <w:lvlJc w:val="left"/>
      <w:pPr>
        <w:tabs>
          <w:tab w:val="num" w:pos="130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5F628F"/>
    <w:multiLevelType w:val="hybridMultilevel"/>
    <w:tmpl w:val="C1C899A0"/>
    <w:lvl w:ilvl="0" w:tplc="F49EF818">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79B3FB7"/>
    <w:multiLevelType w:val="hybridMultilevel"/>
    <w:tmpl w:val="3FF28E6C"/>
    <w:lvl w:ilvl="0" w:tplc="82E29B10">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9">
    <w:nsid w:val="4CB90C00"/>
    <w:multiLevelType w:val="multilevel"/>
    <w:tmpl w:val="EE54ABF0"/>
    <w:lvl w:ilvl="0">
      <w:numFmt w:val="bullet"/>
      <w:lvlText w:val=""/>
      <w:lvlJc w:val="left"/>
      <w:pPr>
        <w:tabs>
          <w:tab w:val="num" w:pos="0"/>
        </w:tabs>
        <w:ind w:left="1134"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3535D78"/>
    <w:multiLevelType w:val="hybridMultilevel"/>
    <w:tmpl w:val="0DB0737C"/>
    <w:lvl w:ilvl="0" w:tplc="1478965A">
      <w:numFmt w:val="bullet"/>
      <w:lvlText w:val=""/>
      <w:lvlJc w:val="left"/>
      <w:pPr>
        <w:tabs>
          <w:tab w:val="num" w:pos="1134"/>
        </w:tabs>
        <w:ind w:left="1134" w:hanging="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B45901"/>
    <w:multiLevelType w:val="hybridMultilevel"/>
    <w:tmpl w:val="0D665A74"/>
    <w:lvl w:ilvl="0" w:tplc="ECD09CE6">
      <w:start w:val="1"/>
      <w:numFmt w:val="bullet"/>
      <w:lvlText w:val=""/>
      <w:lvlJc w:val="left"/>
      <w:pPr>
        <w:tabs>
          <w:tab w:val="num" w:pos="1700"/>
        </w:tabs>
        <w:ind w:left="1700" w:hanging="567"/>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32">
    <w:nsid w:val="5C4F16CC"/>
    <w:multiLevelType w:val="hybridMultilevel"/>
    <w:tmpl w:val="3C1C5DBA"/>
    <w:lvl w:ilvl="0" w:tplc="AECA28F8">
      <w:start w:val="1"/>
      <w:numFmt w:val="bullet"/>
      <w:lvlText w:val=""/>
      <w:lvlJc w:val="left"/>
      <w:pPr>
        <w:tabs>
          <w:tab w:val="num" w:pos="1134"/>
        </w:tabs>
        <w:ind w:left="1134"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5B7712"/>
    <w:multiLevelType w:val="hybridMultilevel"/>
    <w:tmpl w:val="1166DDA0"/>
    <w:lvl w:ilvl="0" w:tplc="0C14B586">
      <w:start w:val="1"/>
      <w:numFmt w:val="bullet"/>
      <w:lvlText w:val=""/>
      <w:lvlJc w:val="left"/>
      <w:pPr>
        <w:tabs>
          <w:tab w:val="num" w:pos="130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8C45DE"/>
    <w:multiLevelType w:val="hybridMultilevel"/>
    <w:tmpl w:val="15FA8EC2"/>
    <w:lvl w:ilvl="0" w:tplc="1098112A">
      <w:start w:val="1"/>
      <w:numFmt w:val="bullet"/>
      <w:lvlText w:val=""/>
      <w:lvlJc w:val="left"/>
      <w:pPr>
        <w:tabs>
          <w:tab w:val="num" w:pos="2784"/>
        </w:tabs>
        <w:ind w:left="1134"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5B76A3"/>
    <w:multiLevelType w:val="hybridMultilevel"/>
    <w:tmpl w:val="17DCC0AA"/>
    <w:lvl w:ilvl="0" w:tplc="A6D4BC22">
      <w:start w:val="1"/>
      <w:numFmt w:val="bullet"/>
      <w:lvlText w:val=""/>
      <w:lvlJc w:val="left"/>
      <w:pPr>
        <w:tabs>
          <w:tab w:val="num" w:pos="1080"/>
        </w:tabs>
        <w:ind w:left="1134" w:hanging="567"/>
      </w:pPr>
      <w:rPr>
        <w:rFonts w:ascii="Symbol" w:hAnsi="Symbol" w:hint="default"/>
      </w:rPr>
    </w:lvl>
    <w:lvl w:ilvl="1" w:tplc="B1B06290">
      <w:start w:val="1"/>
      <w:numFmt w:val="bullet"/>
      <w:lvlText w:val=""/>
      <w:lvlJc w:val="left"/>
      <w:pPr>
        <w:tabs>
          <w:tab w:val="num" w:pos="1647"/>
        </w:tabs>
        <w:ind w:left="1647" w:hanging="56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C366CB"/>
    <w:multiLevelType w:val="hybridMultilevel"/>
    <w:tmpl w:val="7132108E"/>
    <w:lvl w:ilvl="0" w:tplc="255455D0">
      <w:start w:val="677"/>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F67AD6"/>
    <w:multiLevelType w:val="hybridMultilevel"/>
    <w:tmpl w:val="93849476"/>
    <w:lvl w:ilvl="0" w:tplc="B83A1912">
      <w:start w:val="1"/>
      <w:numFmt w:val="bullet"/>
      <w:lvlText w:val=""/>
      <w:lvlJc w:val="left"/>
      <w:pPr>
        <w:tabs>
          <w:tab w:val="num" w:pos="3350"/>
        </w:tabs>
        <w:ind w:left="3404"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397973"/>
    <w:multiLevelType w:val="hybridMultilevel"/>
    <w:tmpl w:val="0C84677E"/>
    <w:lvl w:ilvl="0" w:tplc="A6D4BC22">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820B80"/>
    <w:multiLevelType w:val="hybridMultilevel"/>
    <w:tmpl w:val="C18A4C10"/>
    <w:lvl w:ilvl="0" w:tplc="3E7EEA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7CCC02AF"/>
    <w:multiLevelType w:val="multilevel"/>
    <w:tmpl w:val="918628A2"/>
    <w:lvl w:ilvl="0">
      <w:numFmt w:val="bullet"/>
      <w:lvlText w:val=""/>
      <w:lvlJc w:val="left"/>
      <w:pPr>
        <w:tabs>
          <w:tab w:val="num" w:pos="1287"/>
        </w:tabs>
        <w:ind w:left="1287" w:hanging="567"/>
      </w:pPr>
      <w:rPr>
        <w:rFonts w:ascii="Symbol" w:hAnsi="Symbol" w:cs="Symbol" w:hint="default"/>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num w:numId="1">
    <w:abstractNumId w:val="0"/>
  </w:num>
  <w:num w:numId="2">
    <w:abstractNumId w:val="7"/>
  </w:num>
  <w:num w:numId="3">
    <w:abstractNumId w:val="22"/>
  </w:num>
  <w:num w:numId="4">
    <w:abstractNumId w:val="1"/>
    <w:lvlOverride w:ilvl="0">
      <w:lvl w:ilvl="0">
        <w:numFmt w:val="bullet"/>
        <w:lvlText w:val=""/>
        <w:legacy w:legacy="1" w:legacySpace="0" w:legacyIndent="360"/>
        <w:lvlJc w:val="left"/>
        <w:rPr>
          <w:rFonts w:ascii="Symbol" w:hAnsi="Symbol" w:cs="Symbol" w:hint="default"/>
        </w:rPr>
      </w:lvl>
    </w:lvlOverride>
  </w:num>
  <w:num w:numId="5">
    <w:abstractNumId w:val="25"/>
  </w:num>
  <w:num w:numId="6">
    <w:abstractNumId w:val="39"/>
  </w:num>
  <w:num w:numId="7">
    <w:abstractNumId w:val="1"/>
    <w:lvlOverride w:ilvl="0">
      <w:lvl w:ilvl="0">
        <w:numFmt w:val="bullet"/>
        <w:lvlText w:val=""/>
        <w:legacy w:legacy="1" w:legacySpace="0" w:legacyIndent="360"/>
        <w:lvlJc w:val="left"/>
        <w:rPr>
          <w:rFonts w:ascii="Symbol" w:hAnsi="Symbol" w:cs="Symbol" w:hint="default"/>
        </w:rPr>
      </w:lvl>
    </w:lvlOverride>
  </w:num>
  <w:num w:numId="8">
    <w:abstractNumId w:val="38"/>
  </w:num>
  <w:num w:numId="9">
    <w:abstractNumId w:val="27"/>
  </w:num>
  <w:num w:numId="10">
    <w:abstractNumId w:val="12"/>
  </w:num>
  <w:num w:numId="11">
    <w:abstractNumId w:val="29"/>
  </w:num>
  <w:num w:numId="12">
    <w:abstractNumId w:val="11"/>
  </w:num>
  <w:num w:numId="13">
    <w:abstractNumId w:val="15"/>
  </w:num>
  <w:num w:numId="14">
    <w:abstractNumId w:val="28"/>
  </w:num>
  <w:num w:numId="15">
    <w:abstractNumId w:val="21"/>
  </w:num>
  <w:num w:numId="16">
    <w:abstractNumId w:val="6"/>
  </w:num>
  <w:num w:numId="17">
    <w:abstractNumId w:val="35"/>
  </w:num>
  <w:num w:numId="18">
    <w:abstractNumId w:val="19"/>
  </w:num>
  <w:num w:numId="19">
    <w:abstractNumId w:val="24"/>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
  </w:num>
  <w:num w:numId="23">
    <w:abstractNumId w:val="34"/>
  </w:num>
  <w:num w:numId="24">
    <w:abstractNumId w:val="32"/>
  </w:num>
  <w:num w:numId="25">
    <w:abstractNumId w:val="4"/>
  </w:num>
  <w:num w:numId="26">
    <w:abstractNumId w:val="36"/>
  </w:num>
  <w:num w:numId="27">
    <w:abstractNumId w:val="2"/>
  </w:num>
  <w:num w:numId="28">
    <w:abstractNumId w:val="14"/>
  </w:num>
  <w:num w:numId="29">
    <w:abstractNumId w:val="18"/>
  </w:num>
  <w:num w:numId="30">
    <w:abstractNumId w:val="5"/>
  </w:num>
  <w:num w:numId="31">
    <w:abstractNumId w:val="31"/>
  </w:num>
  <w:num w:numId="32">
    <w:abstractNumId w:val="16"/>
  </w:num>
  <w:num w:numId="33">
    <w:abstractNumId w:val="8"/>
  </w:num>
  <w:num w:numId="34">
    <w:abstractNumId w:val="17"/>
  </w:num>
  <w:num w:numId="35">
    <w:abstractNumId w:val="33"/>
  </w:num>
  <w:num w:numId="36">
    <w:abstractNumId w:val="13"/>
  </w:num>
  <w:num w:numId="37">
    <w:abstractNumId w:val="26"/>
  </w:num>
  <w:num w:numId="38">
    <w:abstractNumId w:val="23"/>
  </w:num>
  <w:num w:numId="39">
    <w:abstractNumId w:val="10"/>
  </w:num>
  <w:num w:numId="40">
    <w:abstractNumId w:val="30"/>
  </w:num>
  <w:num w:numId="41">
    <w:abstractNumId w:val="20"/>
  </w:num>
  <w:num w:numId="42">
    <w:abstractNumId w:val="4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7FC"/>
    <w:rsid w:val="00027273"/>
    <w:rsid w:val="00043368"/>
    <w:rsid w:val="00062739"/>
    <w:rsid w:val="00085A47"/>
    <w:rsid w:val="00095547"/>
    <w:rsid w:val="000A337C"/>
    <w:rsid w:val="000B71E2"/>
    <w:rsid w:val="000D1690"/>
    <w:rsid w:val="000E33F5"/>
    <w:rsid w:val="001242AE"/>
    <w:rsid w:val="00131E8E"/>
    <w:rsid w:val="00132F45"/>
    <w:rsid w:val="001374B7"/>
    <w:rsid w:val="00184605"/>
    <w:rsid w:val="001A05E9"/>
    <w:rsid w:val="001A137A"/>
    <w:rsid w:val="001C5D25"/>
    <w:rsid w:val="001C6E87"/>
    <w:rsid w:val="001E216B"/>
    <w:rsid w:val="001F10D7"/>
    <w:rsid w:val="00200C95"/>
    <w:rsid w:val="00221285"/>
    <w:rsid w:val="002272CF"/>
    <w:rsid w:val="002304FE"/>
    <w:rsid w:val="002400FD"/>
    <w:rsid w:val="002765FF"/>
    <w:rsid w:val="002833C3"/>
    <w:rsid w:val="00293A57"/>
    <w:rsid w:val="002B3C5F"/>
    <w:rsid w:val="002D0082"/>
    <w:rsid w:val="002E795F"/>
    <w:rsid w:val="0031649A"/>
    <w:rsid w:val="0033276A"/>
    <w:rsid w:val="00357DAC"/>
    <w:rsid w:val="00367FD3"/>
    <w:rsid w:val="00383507"/>
    <w:rsid w:val="0039615B"/>
    <w:rsid w:val="003A1ADC"/>
    <w:rsid w:val="003A56F4"/>
    <w:rsid w:val="003B5239"/>
    <w:rsid w:val="003C04F3"/>
    <w:rsid w:val="003D65F8"/>
    <w:rsid w:val="003E5D1F"/>
    <w:rsid w:val="00422297"/>
    <w:rsid w:val="00437825"/>
    <w:rsid w:val="004432C3"/>
    <w:rsid w:val="00444EE2"/>
    <w:rsid w:val="0046505E"/>
    <w:rsid w:val="00486C10"/>
    <w:rsid w:val="004878C5"/>
    <w:rsid w:val="004A4062"/>
    <w:rsid w:val="004B2B8D"/>
    <w:rsid w:val="004C5929"/>
    <w:rsid w:val="004C7748"/>
    <w:rsid w:val="004D5C13"/>
    <w:rsid w:val="004E082F"/>
    <w:rsid w:val="004E2D54"/>
    <w:rsid w:val="004F6F39"/>
    <w:rsid w:val="00504C08"/>
    <w:rsid w:val="005167E8"/>
    <w:rsid w:val="00531914"/>
    <w:rsid w:val="005320CD"/>
    <w:rsid w:val="0054090E"/>
    <w:rsid w:val="00586F50"/>
    <w:rsid w:val="0059103B"/>
    <w:rsid w:val="005A18D3"/>
    <w:rsid w:val="005C221C"/>
    <w:rsid w:val="005D5D5E"/>
    <w:rsid w:val="005D69ED"/>
    <w:rsid w:val="005F167B"/>
    <w:rsid w:val="006034DC"/>
    <w:rsid w:val="006062E9"/>
    <w:rsid w:val="0061746C"/>
    <w:rsid w:val="00653168"/>
    <w:rsid w:val="00657694"/>
    <w:rsid w:val="00661160"/>
    <w:rsid w:val="0066239D"/>
    <w:rsid w:val="006768A9"/>
    <w:rsid w:val="00683333"/>
    <w:rsid w:val="00694405"/>
    <w:rsid w:val="006A3A46"/>
    <w:rsid w:val="006B1321"/>
    <w:rsid w:val="006B3217"/>
    <w:rsid w:val="006B333C"/>
    <w:rsid w:val="006C60E8"/>
    <w:rsid w:val="006D2AAC"/>
    <w:rsid w:val="006F0BCF"/>
    <w:rsid w:val="006F2266"/>
    <w:rsid w:val="006F5D7D"/>
    <w:rsid w:val="006F73D8"/>
    <w:rsid w:val="00717B88"/>
    <w:rsid w:val="00722ED8"/>
    <w:rsid w:val="00734B05"/>
    <w:rsid w:val="007652F2"/>
    <w:rsid w:val="00786A08"/>
    <w:rsid w:val="00787585"/>
    <w:rsid w:val="00794E22"/>
    <w:rsid w:val="007B17FC"/>
    <w:rsid w:val="007D18FA"/>
    <w:rsid w:val="007E2A1F"/>
    <w:rsid w:val="007F2FD5"/>
    <w:rsid w:val="00800389"/>
    <w:rsid w:val="00815765"/>
    <w:rsid w:val="008216E9"/>
    <w:rsid w:val="00825BE3"/>
    <w:rsid w:val="0084157D"/>
    <w:rsid w:val="008662C2"/>
    <w:rsid w:val="0087545E"/>
    <w:rsid w:val="008755BE"/>
    <w:rsid w:val="008800D0"/>
    <w:rsid w:val="008C1217"/>
    <w:rsid w:val="008D5691"/>
    <w:rsid w:val="008D61A5"/>
    <w:rsid w:val="008E49F2"/>
    <w:rsid w:val="008F7632"/>
    <w:rsid w:val="0091508C"/>
    <w:rsid w:val="00930C92"/>
    <w:rsid w:val="0093281F"/>
    <w:rsid w:val="0093322B"/>
    <w:rsid w:val="00943888"/>
    <w:rsid w:val="0096146A"/>
    <w:rsid w:val="00965BA5"/>
    <w:rsid w:val="00965C8A"/>
    <w:rsid w:val="009745E9"/>
    <w:rsid w:val="009870AE"/>
    <w:rsid w:val="009967E7"/>
    <w:rsid w:val="009E588E"/>
    <w:rsid w:val="009F20C9"/>
    <w:rsid w:val="009F5024"/>
    <w:rsid w:val="00A11CB8"/>
    <w:rsid w:val="00A24AB7"/>
    <w:rsid w:val="00A25C5B"/>
    <w:rsid w:val="00A33D18"/>
    <w:rsid w:val="00A4183A"/>
    <w:rsid w:val="00A53D1B"/>
    <w:rsid w:val="00A71157"/>
    <w:rsid w:val="00A833F4"/>
    <w:rsid w:val="00A950A1"/>
    <w:rsid w:val="00AA16B6"/>
    <w:rsid w:val="00AA711F"/>
    <w:rsid w:val="00AB358D"/>
    <w:rsid w:val="00AC573E"/>
    <w:rsid w:val="00AD11FB"/>
    <w:rsid w:val="00AF0B15"/>
    <w:rsid w:val="00AF5574"/>
    <w:rsid w:val="00B17FF1"/>
    <w:rsid w:val="00B337E7"/>
    <w:rsid w:val="00B356D7"/>
    <w:rsid w:val="00B41A6D"/>
    <w:rsid w:val="00B555EF"/>
    <w:rsid w:val="00B661D8"/>
    <w:rsid w:val="00B85A7F"/>
    <w:rsid w:val="00B9095F"/>
    <w:rsid w:val="00B95465"/>
    <w:rsid w:val="00BB3D45"/>
    <w:rsid w:val="00BB5C57"/>
    <w:rsid w:val="00BC240F"/>
    <w:rsid w:val="00BD49CB"/>
    <w:rsid w:val="00BD674F"/>
    <w:rsid w:val="00BE4485"/>
    <w:rsid w:val="00C07877"/>
    <w:rsid w:val="00C30763"/>
    <w:rsid w:val="00C33DD8"/>
    <w:rsid w:val="00C34C45"/>
    <w:rsid w:val="00C45760"/>
    <w:rsid w:val="00C55DE6"/>
    <w:rsid w:val="00C74EAA"/>
    <w:rsid w:val="00C9594D"/>
    <w:rsid w:val="00CA17A0"/>
    <w:rsid w:val="00CA3831"/>
    <w:rsid w:val="00CA5347"/>
    <w:rsid w:val="00CA7E3A"/>
    <w:rsid w:val="00CD51FC"/>
    <w:rsid w:val="00CD6AA6"/>
    <w:rsid w:val="00CE23AC"/>
    <w:rsid w:val="00CE52E7"/>
    <w:rsid w:val="00D12461"/>
    <w:rsid w:val="00D16190"/>
    <w:rsid w:val="00D20F7F"/>
    <w:rsid w:val="00D21DAE"/>
    <w:rsid w:val="00D322C7"/>
    <w:rsid w:val="00D463DC"/>
    <w:rsid w:val="00D4715C"/>
    <w:rsid w:val="00D47D5A"/>
    <w:rsid w:val="00D5652C"/>
    <w:rsid w:val="00D6559F"/>
    <w:rsid w:val="00D676C2"/>
    <w:rsid w:val="00D81B65"/>
    <w:rsid w:val="00D825D4"/>
    <w:rsid w:val="00D86B80"/>
    <w:rsid w:val="00D87E2B"/>
    <w:rsid w:val="00D904FF"/>
    <w:rsid w:val="00D9234D"/>
    <w:rsid w:val="00DB0C17"/>
    <w:rsid w:val="00DB4655"/>
    <w:rsid w:val="00DB4CAE"/>
    <w:rsid w:val="00DC76AF"/>
    <w:rsid w:val="00DE03A8"/>
    <w:rsid w:val="00DF0D84"/>
    <w:rsid w:val="00DF1BA8"/>
    <w:rsid w:val="00DF1F0B"/>
    <w:rsid w:val="00DF206A"/>
    <w:rsid w:val="00DF2919"/>
    <w:rsid w:val="00DF7221"/>
    <w:rsid w:val="00DF7943"/>
    <w:rsid w:val="00E120B8"/>
    <w:rsid w:val="00E157A0"/>
    <w:rsid w:val="00E1690B"/>
    <w:rsid w:val="00E33A7E"/>
    <w:rsid w:val="00E5379C"/>
    <w:rsid w:val="00E9217C"/>
    <w:rsid w:val="00EA60D7"/>
    <w:rsid w:val="00EB1AA3"/>
    <w:rsid w:val="00EB392D"/>
    <w:rsid w:val="00EC67E4"/>
    <w:rsid w:val="00ED31C8"/>
    <w:rsid w:val="00ED7231"/>
    <w:rsid w:val="00EE3EBA"/>
    <w:rsid w:val="00EE4198"/>
    <w:rsid w:val="00F06DBF"/>
    <w:rsid w:val="00F25C5D"/>
    <w:rsid w:val="00F26757"/>
    <w:rsid w:val="00F40477"/>
    <w:rsid w:val="00F44AA7"/>
    <w:rsid w:val="00F53B7F"/>
    <w:rsid w:val="00F64556"/>
    <w:rsid w:val="00F64575"/>
    <w:rsid w:val="00F651D6"/>
    <w:rsid w:val="00F71205"/>
    <w:rsid w:val="00F71A04"/>
    <w:rsid w:val="00F76A30"/>
    <w:rsid w:val="00F8635B"/>
    <w:rsid w:val="00FB73ED"/>
    <w:rsid w:val="00FB7F7B"/>
    <w:rsid w:val="00FC33D2"/>
    <w:rsid w:val="00FD1ABB"/>
    <w:rsid w:val="00FD75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link w:val="Heading4Char"/>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character" w:customStyle="1" w:styleId="postcolor1">
    <w:name w:val="postcolor1"/>
    <w:rPr>
      <w:rFonts w:ascii="Verdana" w:hAnsi="Verdana" w:hint="default"/>
      <w:sz w:val="18"/>
      <w:szCs w:val="18"/>
    </w:rPr>
  </w:style>
  <w:style w:type="paragraph" w:styleId="HTMLPreformatted">
    <w:name w:val="HTML Preformatted"/>
    <w:basedOn w:val="Normal"/>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lang w:eastAsia="ru-RU"/>
    </w:rPr>
  </w:style>
  <w:style w:type="paragraph" w:styleId="BodyText">
    <w:name w:val="Body Text"/>
    <w:basedOn w:val="Normal"/>
    <w:rsid w:val="00E157A0"/>
    <w:pPr>
      <w:tabs>
        <w:tab w:val="clear" w:pos="567"/>
        <w:tab w:val="clear" w:pos="1134"/>
        <w:tab w:val="clear" w:pos="1701"/>
        <w:tab w:val="clear" w:pos="2268"/>
        <w:tab w:val="clear" w:pos="6237"/>
      </w:tabs>
      <w:spacing w:line="240" w:lineRule="auto"/>
    </w:pPr>
    <w:rPr>
      <w:b/>
      <w:bCs/>
      <w:szCs w:val="24"/>
      <w:lang w:eastAsia="ru-RU"/>
    </w:rPr>
  </w:style>
  <w:style w:type="table" w:styleId="TableGrid">
    <w:name w:val="Table Grid"/>
    <w:basedOn w:val="TableNormal"/>
    <w:rsid w:val="002B3C5F"/>
    <w:pPr>
      <w:tabs>
        <w:tab w:val="left" w:pos="567"/>
        <w:tab w:val="left" w:pos="1134"/>
        <w:tab w:val="left" w:pos="1701"/>
        <w:tab w:val="left" w:pos="2268"/>
        <w:tab w:val="left" w:pos="6237"/>
      </w:tabs>
      <w:spacing w:line="288"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D4715C"/>
    <w:rPr>
      <w:b/>
      <w:i/>
      <w:sz w:val="2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82666</Words>
  <Characters>471202</Characters>
  <Application>Microsoft Office Word</Application>
  <DocSecurity>4</DocSecurity>
  <Lines>3926</Lines>
  <Paragraphs>1105</Paragraphs>
  <ScaleCrop>false</ScaleCrop>
  <HeadingPairs>
    <vt:vector size="2" baseType="variant">
      <vt:variant>
        <vt:lpstr>Название</vt:lpstr>
      </vt:variant>
      <vt:variant>
        <vt:i4>1</vt:i4>
      </vt:variant>
    </vt:vector>
  </HeadingPairs>
  <TitlesOfParts>
    <vt:vector size="1" baseType="lpstr">
      <vt:lpstr>0743950</vt:lpstr>
    </vt:vector>
  </TitlesOfParts>
  <Company>ONU</Company>
  <LinksUpToDate>false</LinksUpToDate>
  <CharactersWithSpaces>552763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0743950</dc:title>
  <dc:subject/>
  <dc:creator>Григорьева</dc:creator>
  <cp:keywords/>
  <dc:description/>
  <cp:lastModifiedBy>Вера АРГУНОВА</cp:lastModifiedBy>
  <cp:revision>3</cp:revision>
  <cp:lastPrinted>2008-02-08T10:46:00Z</cp:lastPrinted>
  <dcterms:created xsi:type="dcterms:W3CDTF">2008-02-08T10:46:00Z</dcterms:created>
  <dcterms:modified xsi:type="dcterms:W3CDTF">2008-02-08T10:47:00Z</dcterms:modified>
</cp:coreProperties>
</file>