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rPr>
          <w:rFonts w:hint="eastAsia"/>
        </w:rPr>
        <w:t>人权委员会</w:t>
      </w:r>
    </w:p>
    <w:p w:rsidR="00000000" w:rsidRDefault="00000000">
      <w:r>
        <w:rPr>
          <w:rFonts w:hint="eastAsia"/>
        </w:rPr>
        <w:t>第五十九届会议</w:t>
      </w:r>
    </w:p>
    <w:p w:rsidR="00000000" w:rsidRDefault="00000000">
      <w:pPr>
        <w:spacing w:after="320"/>
        <w:rPr>
          <w:rFonts w:hint="eastAsia"/>
        </w:rPr>
      </w:pPr>
      <w:r>
        <w:rPr>
          <w:rFonts w:hint="eastAsia"/>
        </w:rPr>
        <w:t>临时议程项目</w:t>
      </w:r>
      <w:r>
        <w:t>10</w:t>
      </w:r>
    </w:p>
    <w:p w:rsidR="00000000" w:rsidRDefault="00000000">
      <w:pPr>
        <w:pStyle w:val="Heading2"/>
      </w:pPr>
      <w:r>
        <w:rPr>
          <w:rFonts w:hint="eastAsia"/>
        </w:rPr>
        <w:t>经济、社会和文化权利</w:t>
      </w:r>
    </w:p>
    <w:p w:rsidR="00000000" w:rsidRDefault="00000000">
      <w:pPr>
        <w:pStyle w:val="Heading3"/>
      </w:pPr>
      <w:r>
        <w:rPr>
          <w:rFonts w:hint="eastAsia"/>
        </w:rPr>
        <w:t>非法运输和倾倒有毒和危险产品及</w:t>
      </w:r>
      <w:r>
        <w:br/>
      </w:r>
      <w:r>
        <w:rPr>
          <w:rFonts w:hint="eastAsia"/>
        </w:rPr>
        <w:t>废料对享受人权的不良影响</w:t>
      </w:r>
    </w:p>
    <w:p w:rsidR="00000000" w:rsidRDefault="00000000">
      <w:pPr>
        <w:pStyle w:val="Heading3"/>
        <w:rPr>
          <w:rFonts w:hint="eastAsia"/>
        </w:rPr>
      </w:pPr>
      <w:r>
        <w:rPr>
          <w:rFonts w:hint="eastAsia"/>
        </w:rPr>
        <w:t>有毒废物问题特别报告员法特玛－祖赫拉·</w:t>
      </w:r>
      <w:r>
        <w:br/>
      </w:r>
      <w:r>
        <w:rPr>
          <w:rFonts w:hint="eastAsia"/>
        </w:rPr>
        <w:t>乌哈奇－维斯利女士按照委员会</w:t>
      </w:r>
      <w:r>
        <w:br/>
      </w:r>
      <w:r>
        <w:rPr>
          <w:rFonts w:hint="eastAsia"/>
        </w:rPr>
        <w:t>第</w:t>
      </w:r>
      <w:r>
        <w:rPr>
          <w:rFonts w:hint="eastAsia"/>
        </w:rPr>
        <w:t>2002/27</w:t>
      </w:r>
      <w:r>
        <w:rPr>
          <w:rFonts w:hint="eastAsia"/>
        </w:rPr>
        <w:t>号决议提交的报告</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3"/>
        <w:rPr>
          <w:rFonts w:hint="eastAsia"/>
          <w:u w:val="none"/>
        </w:rPr>
      </w:pPr>
      <w:r>
        <w:rPr>
          <w:rFonts w:hint="eastAsia"/>
        </w:rPr>
        <w:t>2002</w:t>
      </w:r>
      <w:r>
        <w:rPr>
          <w:rFonts w:hint="eastAsia"/>
        </w:rPr>
        <w:t>年</w:t>
      </w:r>
      <w:r>
        <w:rPr>
          <w:rFonts w:hint="eastAsia"/>
        </w:rPr>
        <w:t>10</w:t>
      </w:r>
      <w:r>
        <w:rPr>
          <w:rFonts w:hint="eastAsia"/>
        </w:rPr>
        <w:t>月</w:t>
      </w:r>
      <w:r>
        <w:rPr>
          <w:rFonts w:hint="eastAsia"/>
        </w:rPr>
        <w:t>17</w:t>
      </w:r>
      <w:r>
        <w:rPr>
          <w:rFonts w:hint="eastAsia"/>
        </w:rPr>
        <w:t>日至</w:t>
      </w:r>
      <w:r>
        <w:rPr>
          <w:rFonts w:hint="eastAsia"/>
        </w:rPr>
        <w:t>30</w:t>
      </w:r>
      <w:r>
        <w:rPr>
          <w:rFonts w:hint="eastAsia"/>
        </w:rPr>
        <w:t>日</w:t>
      </w:r>
      <w:r>
        <w:br/>
      </w:r>
      <w:r>
        <w:rPr>
          <w:rFonts w:hint="eastAsia"/>
        </w:rPr>
        <w:t>对加拿大的访问</w:t>
      </w:r>
      <w:r>
        <w:rPr>
          <w:rFonts w:hint="eastAsia"/>
          <w:u w:val="none"/>
        </w:rPr>
        <w:t xml:space="preserve"> </w:t>
      </w:r>
      <w:r>
        <w:rPr>
          <w:rStyle w:val="FootnoteReference"/>
          <w:b w:val="0"/>
          <w:bCs/>
          <w:u w:val="none"/>
          <w:vertAlign w:val="baseline"/>
        </w:rPr>
        <w:footnoteReference w:customMarkFollows="1" w:id="1"/>
        <w:t>*</w:t>
      </w:r>
    </w:p>
    <w:p w:rsidR="00000000" w:rsidRDefault="00000000">
      <w:pPr>
        <w:ind w:firstLineChars="3100" w:firstLine="8060"/>
      </w:pPr>
      <w:r>
        <w:br w:type="page"/>
      </w:r>
    </w:p>
    <w:p w:rsidR="00000000" w:rsidRDefault="00000000">
      <w:pPr>
        <w:pStyle w:val="Heading2"/>
      </w:pPr>
      <w:r>
        <w:rPr>
          <w:rFonts w:hint="eastAsia"/>
        </w:rPr>
        <w:t>内</w:t>
      </w:r>
      <w:r>
        <w:t xml:space="preserve"> </w:t>
      </w:r>
      <w:r>
        <w:rPr>
          <w:rFonts w:hint="eastAsia"/>
        </w:rPr>
        <w:t>容</w:t>
      </w:r>
      <w:r>
        <w:t xml:space="preserve"> </w:t>
      </w:r>
      <w:r>
        <w:rPr>
          <w:rFonts w:hint="eastAsia"/>
        </w:rPr>
        <w:t>提</w:t>
      </w:r>
      <w:r>
        <w:t xml:space="preserve"> </w:t>
      </w:r>
      <w:r>
        <w:rPr>
          <w:rFonts w:hint="eastAsia"/>
        </w:rPr>
        <w:t>要</w:t>
      </w:r>
    </w:p>
    <w:p w:rsidR="00000000" w:rsidRDefault="00000000">
      <w:pPr>
        <w:rPr>
          <w:rFonts w:hint="eastAsia"/>
        </w:rPr>
      </w:pPr>
      <w:r>
        <w:tab/>
      </w:r>
      <w:r>
        <w:rPr>
          <w:rFonts w:hint="eastAsia"/>
        </w:rPr>
        <w:t>应加拿大政府的邀请，特别报告员</w:t>
      </w:r>
      <w:r>
        <w:rPr>
          <w:rFonts w:hint="eastAsia"/>
        </w:rPr>
        <w:t>2002</w:t>
      </w:r>
      <w:r>
        <w:rPr>
          <w:rFonts w:hint="eastAsia"/>
        </w:rPr>
        <w:t>年</w:t>
      </w:r>
      <w:r>
        <w:rPr>
          <w:rFonts w:hint="eastAsia"/>
        </w:rPr>
        <w:t>10</w:t>
      </w:r>
      <w:r>
        <w:rPr>
          <w:rFonts w:hint="eastAsia"/>
        </w:rPr>
        <w:t>月对该国进行了一次访问。访问的主要目标是了解加拿大关于非法运输有毒和危险产品及废料的法律、政策和惯例以及人权的享有情况。在访问当中，特别报告员会见了许多有关的行为者，包括联邦和各省的机构、非政府组织以及私营部门代表。</w:t>
      </w:r>
    </w:p>
    <w:p w:rsidR="00000000" w:rsidRDefault="00000000">
      <w:pPr>
        <w:rPr>
          <w:rFonts w:hint="eastAsia"/>
        </w:rPr>
      </w:pPr>
      <w:r>
        <w:tab/>
      </w:r>
      <w:r>
        <w:rPr>
          <w:rFonts w:hint="eastAsia"/>
        </w:rPr>
        <w:t>特别报告员在访问中研究了与其任务相关的法律和规章，与此同时，她遇到了一些具体问题：向亚洲出口有害电子废料、拟议在北安大略省实施的焚烧炉项目、第一国领土越界污染、废船回收利用、贸易自由化的影响、持久性有机污染物、杀虫剂及其出口、环境决策的公众参与和透明度以及企业的社会责任。</w:t>
      </w:r>
    </w:p>
    <w:p w:rsidR="00000000" w:rsidRDefault="00000000">
      <w:r>
        <w:tab/>
      </w:r>
      <w:r>
        <w:rPr>
          <w:rFonts w:hint="eastAsia"/>
        </w:rPr>
        <w:t>特别报告员对于加拿大政府在与她的任务相关的领域内，尤其是在持久性有机污染物、技术合作和公众参与领域内实行的政策表示欢迎，同时，也向该国政府提出了一些建议，鼓励该国政府</w:t>
      </w:r>
      <w:r>
        <w:rPr>
          <w:rFonts w:ascii="SimSun" w:hAnsi="SimSun" w:hint="eastAsia"/>
        </w:rPr>
        <w:t>(以下各项的排列顺序与是否优先无关</w:t>
      </w:r>
      <w:r>
        <w:rPr>
          <w:rFonts w:hint="eastAsia"/>
        </w:rPr>
        <w:t>）：</w:t>
      </w:r>
    </w:p>
    <w:p w:rsidR="00000000" w:rsidRDefault="00000000">
      <w:pPr>
        <w:numPr>
          <w:ilvl w:val="0"/>
          <w:numId w:val="26"/>
        </w:numPr>
        <w:tabs>
          <w:tab w:val="clear" w:pos="1531"/>
        </w:tabs>
        <w:rPr>
          <w:rFonts w:ascii="SimSun" w:hAnsi="SimSun"/>
        </w:rPr>
      </w:pPr>
      <w:r>
        <w:rPr>
          <w:rFonts w:ascii="SimSun" w:hAnsi="SimSun"/>
        </w:rPr>
        <w:t>批准《巴塞尔公约禁止议定书》；</w:t>
      </w:r>
    </w:p>
    <w:p w:rsidR="00000000" w:rsidRDefault="00000000">
      <w:pPr>
        <w:numPr>
          <w:ilvl w:val="0"/>
          <w:numId w:val="26"/>
        </w:numPr>
      </w:pPr>
      <w:r>
        <w:rPr>
          <w:rFonts w:hint="eastAsia"/>
        </w:rPr>
        <w:t>采取实际措施，确保加拿大的出口厂商遵守按照事先知情同意程序对于进口化学品和杀虫剂规定的任何条件，尤其应当注意发展中国家遇到的困难；</w:t>
      </w:r>
    </w:p>
    <w:p w:rsidR="00000000" w:rsidRDefault="00000000">
      <w:pPr>
        <w:numPr>
          <w:ilvl w:val="0"/>
          <w:numId w:val="26"/>
        </w:numPr>
        <w:rPr>
          <w:rFonts w:ascii="SimSun" w:hAnsi="SimSun"/>
        </w:rPr>
      </w:pPr>
      <w:r>
        <w:rPr>
          <w:rFonts w:ascii="SimSun" w:hAnsi="SimSun"/>
        </w:rPr>
        <w:t>尽快将</w:t>
      </w:r>
      <w:r>
        <w:rPr>
          <w:rFonts w:ascii="SimSun" w:hAnsi="SimSun" w:hint="eastAsia"/>
        </w:rPr>
        <w:t>无害环境管理的</w:t>
      </w:r>
      <w:r>
        <w:rPr>
          <w:rFonts w:ascii="SimSun" w:hAnsi="SimSun"/>
        </w:rPr>
        <w:t>标准纳入关于危险废物运输的联邦规章；</w:t>
      </w:r>
    </w:p>
    <w:p w:rsidR="00000000" w:rsidRDefault="00000000">
      <w:pPr>
        <w:numPr>
          <w:ilvl w:val="0"/>
          <w:numId w:val="26"/>
        </w:numPr>
        <w:rPr>
          <w:rFonts w:ascii="SimSun" w:hAnsi="SimSun"/>
        </w:rPr>
      </w:pPr>
      <w:r>
        <w:rPr>
          <w:rFonts w:ascii="SimSun" w:hAnsi="SimSun"/>
        </w:rPr>
        <w:t>对于</w:t>
      </w:r>
      <w:r>
        <w:rPr>
          <w:rFonts w:ascii="SimSun" w:hAnsi="SimSun" w:hint="eastAsia"/>
        </w:rPr>
        <w:t>“</w:t>
      </w:r>
      <w:r>
        <w:rPr>
          <w:rFonts w:ascii="SimSun" w:hAnsi="SimSun"/>
        </w:rPr>
        <w:t>巴塞尔行动网</w:t>
      </w:r>
      <w:r>
        <w:rPr>
          <w:rFonts w:ascii="SimSun" w:hAnsi="SimSun" w:hint="eastAsia"/>
        </w:rPr>
        <w:t>”</w:t>
      </w:r>
      <w:r>
        <w:rPr>
          <w:rFonts w:ascii="SimSun" w:hAnsi="SimSun"/>
        </w:rPr>
        <w:t>报告中关于未经审批向亚洲国家出口有害电子废物的所有报道展开调查；</w:t>
      </w:r>
    </w:p>
    <w:p w:rsidR="00000000" w:rsidRDefault="00000000">
      <w:pPr>
        <w:numPr>
          <w:ilvl w:val="0"/>
          <w:numId w:val="26"/>
        </w:numPr>
        <w:rPr>
          <w:rFonts w:ascii="SimSun" w:hAnsi="SimSun"/>
        </w:rPr>
      </w:pPr>
      <w:r>
        <w:rPr>
          <w:rFonts w:ascii="SimSun" w:hAnsi="SimSun"/>
        </w:rPr>
        <w:t>禁止出口加拿大境内未予注册</w:t>
      </w:r>
      <w:r>
        <w:rPr>
          <w:rFonts w:ascii="SimSun" w:hAnsi="SimSun" w:hint="eastAsia"/>
        </w:rPr>
        <w:t>可</w:t>
      </w:r>
      <w:r>
        <w:rPr>
          <w:rFonts w:ascii="SimSun" w:hAnsi="SimSun"/>
        </w:rPr>
        <w:t>供销售或使用的杀虫剂；</w:t>
      </w:r>
    </w:p>
    <w:p w:rsidR="00000000" w:rsidRDefault="00000000">
      <w:pPr>
        <w:numPr>
          <w:ilvl w:val="0"/>
          <w:numId w:val="26"/>
        </w:numPr>
        <w:rPr>
          <w:rFonts w:ascii="SimSun" w:hAnsi="SimSun"/>
        </w:rPr>
      </w:pPr>
      <w:r>
        <w:rPr>
          <w:rFonts w:ascii="SimSun" w:hAnsi="SimSun"/>
        </w:rPr>
        <w:t>注意联邦一级</w:t>
      </w:r>
      <w:r>
        <w:rPr>
          <w:rFonts w:ascii="SimSun" w:hAnsi="SimSun" w:hint="eastAsia"/>
        </w:rPr>
        <w:t>协</w:t>
      </w:r>
      <w:r>
        <w:rPr>
          <w:rFonts w:ascii="SimSun" w:hAnsi="SimSun"/>
        </w:rPr>
        <w:t>商程序存在的</w:t>
      </w:r>
      <w:r>
        <w:rPr>
          <w:rFonts w:ascii="SimSun" w:hAnsi="SimSun" w:hint="eastAsia"/>
        </w:rPr>
        <w:t>差距</w:t>
      </w:r>
      <w:r>
        <w:rPr>
          <w:rFonts w:ascii="SimSun" w:hAnsi="SimSun"/>
        </w:rPr>
        <w:t>，这是审批有害废物进口、评价新的物质和审批杀虫剂的审核层次；</w:t>
      </w:r>
    </w:p>
    <w:p w:rsidR="00000000" w:rsidRDefault="00000000">
      <w:pPr>
        <w:numPr>
          <w:ilvl w:val="0"/>
          <w:numId w:val="26"/>
        </w:numPr>
        <w:rPr>
          <w:rFonts w:ascii="SimSun" w:hAnsi="SimSun"/>
        </w:rPr>
      </w:pPr>
      <w:r>
        <w:rPr>
          <w:rFonts w:ascii="SimSun" w:hAnsi="SimSun"/>
        </w:rPr>
        <w:t>确保以公开和透明的方式就任一项目的所有方面开展全面协商；</w:t>
      </w:r>
    </w:p>
    <w:p w:rsidR="00000000" w:rsidRDefault="00000000">
      <w:pPr>
        <w:numPr>
          <w:ilvl w:val="0"/>
          <w:numId w:val="26"/>
        </w:numPr>
        <w:tabs>
          <w:tab w:val="clear" w:pos="1531"/>
        </w:tabs>
        <w:rPr>
          <w:rFonts w:ascii="SimSun" w:hAnsi="SimSun"/>
        </w:rPr>
      </w:pPr>
      <w:r>
        <w:rPr>
          <w:rFonts w:ascii="SimSun" w:hAnsi="SimSun"/>
        </w:rPr>
        <w:t>尽一切努力避免在已经处于弱势地位的社区发展或建立项目，在此种地点发展或建立项目可能会对这类社区的环境和健康产生负面影响；</w:t>
      </w:r>
    </w:p>
    <w:p w:rsidR="00000000" w:rsidRDefault="00000000">
      <w:pPr>
        <w:numPr>
          <w:ilvl w:val="0"/>
          <w:numId w:val="26"/>
        </w:numPr>
        <w:tabs>
          <w:tab w:val="clear" w:pos="1531"/>
        </w:tabs>
        <w:rPr>
          <w:rFonts w:ascii="SimSun" w:hAnsi="SimSun"/>
        </w:rPr>
      </w:pPr>
      <w:r>
        <w:rPr>
          <w:rFonts w:ascii="SimSun" w:hAnsi="SimSun"/>
        </w:rPr>
        <w:t>特别注意关于土著群体的生活方式和权利受到威胁的指称；</w:t>
      </w:r>
    </w:p>
    <w:p w:rsidR="00000000" w:rsidRDefault="00000000">
      <w:pPr>
        <w:numPr>
          <w:ilvl w:val="0"/>
          <w:numId w:val="26"/>
        </w:numPr>
        <w:tabs>
          <w:tab w:val="clear" w:pos="1531"/>
        </w:tabs>
        <w:rPr>
          <w:rFonts w:ascii="SimSun" w:hAnsi="SimSun" w:hint="eastAsia"/>
        </w:rPr>
      </w:pPr>
      <w:r>
        <w:rPr>
          <w:rFonts w:ascii="SimSun" w:hAnsi="SimSun"/>
        </w:rPr>
        <w:t>研究办法，对于在国外经营的公司</w:t>
      </w:r>
      <w:r>
        <w:rPr>
          <w:rFonts w:ascii="SimSun" w:hAnsi="SimSun" w:hint="eastAsia"/>
        </w:rPr>
        <w:t>实施的侵犯人权行为建立问责制；以及</w:t>
      </w:r>
    </w:p>
    <w:p w:rsidR="00000000" w:rsidRDefault="00000000">
      <w:pPr>
        <w:numPr>
          <w:ilvl w:val="0"/>
          <w:numId w:val="26"/>
        </w:numPr>
        <w:tabs>
          <w:tab w:val="clear" w:pos="1531"/>
        </w:tabs>
        <w:rPr>
          <w:rFonts w:ascii="SimSun" w:hAnsi="SimSun" w:hint="eastAsia"/>
        </w:rPr>
      </w:pPr>
      <w:r>
        <w:rPr>
          <w:rFonts w:ascii="SimSun" w:hAnsi="SimSun" w:hint="eastAsia"/>
        </w:rPr>
        <w:t>对于有毒和危险废料领域的违法现象，继续依靠刑事追究与民事和行政诉讼相结合的办法予以查禁。</w:t>
      </w:r>
    </w:p>
    <w:p w:rsidR="00000000" w:rsidRDefault="00000000">
      <w:pPr>
        <w:pStyle w:val="ac"/>
        <w:keepNext/>
        <w:tabs>
          <w:tab w:val="clear" w:pos="7201"/>
          <w:tab w:val="left" w:pos="7088"/>
          <w:tab w:val="left" w:pos="8080"/>
        </w:tabs>
        <w:spacing w:after="120" w:line="336" w:lineRule="auto"/>
        <w:jc w:val="center"/>
        <w:rPr>
          <w:lang w:val="fr-CH"/>
        </w:rPr>
      </w:pPr>
    </w:p>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03-10277 (C)</w:t>
          </w:r>
        </w:p>
      </w:tc>
      <w:tc>
        <w:tcPr>
          <w:tcW w:w="1050" w:type="dxa"/>
        </w:tcPr>
        <w:p w:rsidR="00000000" w:rsidRDefault="00000000">
          <w:pPr>
            <w:pStyle w:val="Footer"/>
          </w:pPr>
          <w:r>
            <w:t>240103</w:t>
          </w:r>
        </w:p>
      </w:tc>
      <w:tc>
        <w:tcPr>
          <w:tcW w:w="6061" w:type="dxa"/>
        </w:tcPr>
        <w:p w:rsidR="00000000" w:rsidRDefault="00000000">
          <w:pPr>
            <w:pStyle w:val="Footer"/>
          </w:pPr>
          <w:r>
            <w:t>240103</w:t>
          </w:r>
        </w:p>
      </w:tc>
    </w:tr>
  </w:tbl>
  <w:p w:rsidR="00000000" w:rsidRDefault="00000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vertAlign w:val="baseline"/>
        </w:rPr>
        <w:t>*</w:t>
      </w:r>
      <w:r>
        <w:t xml:space="preserve">  </w:t>
      </w:r>
      <w:r>
        <w:rPr>
          <w:rFonts w:hint="eastAsia"/>
        </w:rPr>
        <w:t>本访问报告的内容提要以所有正式语文分发，本文件附件中所附的访问报告本身则只以原文印发。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1R2"/>
      <w:framePr w:w="0" w:hRule="auto" w:hSpace="0" w:wrap="auto" w:vAnchor="margin" w:hAnchor="text" w:xAlign="left" w:yAlign="inline"/>
    </w:pPr>
    <w:r>
      <w:t>E/CN.4/2003/56/Add.2</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1R2"/>
      <w:framePr w:w="0" w:hRule="auto" w:hSpace="0" w:wrap="auto" w:vAnchor="margin" w:hAnchor="text" w:xAlign="left" w:yAlign="inline"/>
      <w:ind w:firstLine="6480"/>
    </w:pPr>
    <w:r>
      <w:t>E/CN.4/2003/56/Add.2</w:t>
    </w:r>
  </w:p>
  <w:p w:rsidR="00000000" w:rsidRDefault="00000000">
    <w:pPr>
      <w:pStyle w:val="1R2"/>
      <w:framePr w:w="0" w:hRule="auto" w:hSpace="0" w:wrap="auto" w:vAnchor="margin" w:hAnchor="text" w:xAlign="left" w:yAlign="inline"/>
      <w:ind w:firstLine="6480"/>
      <w:rPr>
        <w:lang w:val="fr-CH"/>
      </w:rPr>
    </w:pPr>
    <w:r>
      <w:rPr>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noProof/>
        <w:lang w:val="fr-CH"/>
      </w:rPr>
      <w:t>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p>
  <w:p w:rsidR="00000000" w:rsidRDefault="00000000">
    <w:pPr>
      <w:pStyle w:val="1R2"/>
      <w:framePr w:w="3007" w:wrap="around" w:x="8422" w:y="2402"/>
    </w:pPr>
    <w:r>
      <w:t>Distr.</w:t>
    </w:r>
  </w:p>
  <w:p w:rsidR="00000000" w:rsidRDefault="00000000">
    <w:pPr>
      <w:pStyle w:val="1R2"/>
      <w:framePr w:w="3007" w:wrap="around" w:x="8422" w:y="2402"/>
    </w:pPr>
    <w:r>
      <w:t>GENERAL</w:t>
    </w:r>
  </w:p>
  <w:p w:rsidR="00000000" w:rsidRDefault="00000000">
    <w:pPr>
      <w:pStyle w:val="1R2"/>
      <w:framePr w:w="3007" w:wrap="around" w:x="8422" w:y="2402"/>
    </w:pPr>
  </w:p>
  <w:p w:rsidR="00000000" w:rsidRDefault="00000000">
    <w:pPr>
      <w:pStyle w:val="1R2"/>
      <w:framePr w:w="3007" w:wrap="around" w:x="8422" w:y="2402"/>
    </w:pPr>
    <w:r>
      <w:t>E/CN.4/2003/56/Add.2</w:t>
    </w:r>
  </w:p>
  <w:p w:rsidR="00000000" w:rsidRDefault="00000000">
    <w:pPr>
      <w:pStyle w:val="1R2"/>
      <w:framePr w:w="3007" w:wrap="around" w:x="8422" w:y="2402"/>
    </w:pPr>
    <w:r>
      <w:t>14 January 2003</w:t>
    </w:r>
  </w:p>
  <w:p w:rsidR="00000000" w:rsidRDefault="00000000">
    <w:pPr>
      <w:pStyle w:val="1R2"/>
      <w:framePr w:w="3007" w:wrap="around" w:x="8422" w:y="2402"/>
    </w:pPr>
    <w:r>
      <w:t>CHINESE</w:t>
    </w:r>
  </w:p>
  <w:p w:rsidR="00000000" w:rsidRDefault="00000000">
    <w:pPr>
      <w:pStyle w:val="1R2"/>
      <w:framePr w:w="3007" w:wrap="around" w:x="8422" w:y="2402"/>
    </w:pPr>
    <w:r>
      <w:t>Original:</w:t>
    </w:r>
    <w:r>
      <w:tab/>
      <w:t>ENGLISH</w:t>
    </w: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1">
    <w:nsid w:val="0D4C3EC3"/>
    <w:multiLevelType w:val="hybridMultilevel"/>
    <w:tmpl w:val="007E6092"/>
    <w:lvl w:ilvl="0" w:tplc="B21C4D7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95564"/>
    <w:multiLevelType w:val="hybridMultilevel"/>
    <w:tmpl w:val="507657FA"/>
    <w:lvl w:ilvl="0" w:tplc="1F346D50">
      <w:start w:val="1"/>
      <w:numFmt w:val="lowerLetter"/>
      <w:lvlText w:val="(%1）"/>
      <w:lvlJc w:val="left"/>
      <w:pPr>
        <w:tabs>
          <w:tab w:val="num" w:pos="1365"/>
        </w:tabs>
        <w:ind w:left="1365" w:hanging="795"/>
      </w:pPr>
      <w:rPr>
        <w:rFonts w:hint="default"/>
      </w:rPr>
    </w:lvl>
    <w:lvl w:ilvl="1" w:tplc="18945A08">
      <w:start w:val="1"/>
      <w:numFmt w:val="lowerRoman"/>
      <w:lvlText w:val="(%2)"/>
      <w:lvlJc w:val="left"/>
      <w:pPr>
        <w:tabs>
          <w:tab w:val="num" w:pos="2370"/>
        </w:tabs>
        <w:ind w:left="2370" w:hanging="1080"/>
      </w:pPr>
      <w:rPr>
        <w:rFonts w:hint="default"/>
      </w:rPr>
    </w:lvl>
    <w:lvl w:ilvl="2" w:tplc="8B1895C8">
      <w:start w:val="10"/>
      <w:numFmt w:val="lowerLetter"/>
      <w:lvlText w:val="(%3)"/>
      <w:lvlJc w:val="left"/>
      <w:pPr>
        <w:tabs>
          <w:tab w:val="num" w:pos="3015"/>
        </w:tabs>
        <w:ind w:left="3015" w:hanging="825"/>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5">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6">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7">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8">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4"/>
  </w:num>
  <w:num w:numId="5">
    <w:abstractNumId w:val="5"/>
  </w:num>
  <w:num w:numId="6">
    <w:abstractNumId w:val="7"/>
  </w:num>
  <w:num w:numId="7">
    <w:abstractNumId w:val="6"/>
  </w:num>
  <w:num w:numId="8">
    <w:abstractNumId w:val="4"/>
  </w:num>
  <w:num w:numId="9">
    <w:abstractNumId w:val="5"/>
  </w:num>
  <w:num w:numId="10">
    <w:abstractNumId w:val="7"/>
  </w:num>
  <w:num w:numId="11">
    <w:abstractNumId w:val="6"/>
  </w:num>
  <w:num w:numId="12">
    <w:abstractNumId w:val="4"/>
  </w:num>
  <w:num w:numId="13">
    <w:abstractNumId w:val="5"/>
  </w:num>
  <w:num w:numId="14">
    <w:abstractNumId w:val="7"/>
  </w:num>
  <w:num w:numId="15">
    <w:abstractNumId w:val="6"/>
  </w:num>
  <w:num w:numId="16">
    <w:abstractNumId w:val="7"/>
  </w:num>
  <w:num w:numId="17">
    <w:abstractNumId w:val="6"/>
  </w:num>
  <w:num w:numId="18">
    <w:abstractNumId w:val="0"/>
  </w:num>
  <w:num w:numId="19">
    <w:abstractNumId w:val="7"/>
  </w:num>
  <w:num w:numId="20">
    <w:abstractNumId w:val="6"/>
  </w:num>
  <w:num w:numId="21">
    <w:abstractNumId w:val="8"/>
  </w:num>
  <w:num w:numId="22">
    <w:abstractNumId w:val="3"/>
  </w:num>
  <w:num w:numId="23">
    <w:abstractNumId w:val="3"/>
  </w:num>
  <w:num w:numId="24">
    <w:abstractNumId w:val="7"/>
  </w:num>
  <w:num w:numId="25">
    <w:abstractNumId w:val="6"/>
  </w:num>
  <w:num w:numId="26">
    <w:abstractNumId w:val="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basedOn w:val="DefaultParagraphFont"/>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basedOn w:val="DefaultParagraphFont"/>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basedOn w:val="DefaultParagraphFont"/>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137</Words>
  <Characters>785</Characters>
  <Application>Microsoft Office Outlook</Application>
  <DocSecurity>4</DocSecurity>
  <Lines>6</Lines>
  <Paragraphs>1</Paragraphs>
  <ScaleCrop>false</ScaleCrop>
  <HeadingPairs>
    <vt:vector size="4" baseType="variant">
      <vt:variant>
        <vt:lpstr>题目</vt:lpstr>
      </vt:variant>
      <vt:variant>
        <vt:i4>1</vt:i4>
      </vt:variant>
      <vt:variant>
        <vt:lpstr>标题</vt:lpstr>
      </vt:variant>
      <vt:variant>
        <vt:i4>6</vt:i4>
      </vt:variant>
    </vt:vector>
  </HeadingPairs>
  <TitlesOfParts>
    <vt:vector size="7" baseType="lpstr">
      <vt:lpstr>E.dot</vt:lpstr>
      <vt:lpstr>    经济、社会和文化权利</vt:lpstr>
      <vt:lpstr>        非法运输和倾倒有毒和危险产品及 废料对享受人权的不良影响</vt:lpstr>
      <vt:lpstr>        有毒废物问题特别报告员法特玛－祖赫拉  乌哈奇－维斯利女士按照委员会 第2002/27号决议提交的报告</vt:lpstr>
      <vt:lpstr>        增  编</vt:lpstr>
      <vt:lpstr>        2002年10月17日至30日 对加拿大的访问 *</vt:lpstr>
      <vt:lpstr>    内 容 提 要</vt:lpstr>
    </vt:vector>
  </TitlesOfParts>
  <Company>ONU</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Kong</dc:creator>
  <cp:keywords/>
  <cp:lastModifiedBy>linl</cp:lastModifiedBy>
  <cp:revision>2</cp:revision>
  <cp:lastPrinted>2003-01-24T10:30:00Z</cp:lastPrinted>
  <dcterms:created xsi:type="dcterms:W3CDTF">2003-01-24T10:41:00Z</dcterms:created>
  <dcterms:modified xsi:type="dcterms:W3CDTF">2003-01-24T10:41:00Z</dcterms:modified>
</cp:coreProperties>
</file>