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81142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1142B" w:rsidP="0081142B">
            <w:pPr>
              <w:jc w:val="right"/>
            </w:pPr>
            <w:r w:rsidRPr="0081142B">
              <w:rPr>
                <w:sz w:val="40"/>
              </w:rPr>
              <w:t>E</w:t>
            </w:r>
            <w:r>
              <w:t>/C.12/TKM/Q/2/Add.1</w:t>
            </w:r>
          </w:p>
        </w:tc>
      </w:tr>
      <w:tr w:rsidR="002D5AAC" w:rsidRPr="006451E3"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81142B" w:rsidP="00DD44B1">
            <w:pPr>
              <w:spacing w:before="240"/>
              <w:rPr>
                <w:lang w:val="en-US"/>
              </w:rPr>
            </w:pPr>
            <w:r>
              <w:rPr>
                <w:lang w:val="en-US"/>
              </w:rPr>
              <w:t>Distr.: General</w:t>
            </w:r>
          </w:p>
          <w:p w:rsidR="0081142B" w:rsidRDefault="0081142B" w:rsidP="0081142B">
            <w:pPr>
              <w:spacing w:line="240" w:lineRule="exact"/>
              <w:rPr>
                <w:lang w:val="en-US"/>
              </w:rPr>
            </w:pPr>
            <w:r>
              <w:rPr>
                <w:lang w:val="en-US"/>
              </w:rPr>
              <w:t>26 July 2018</w:t>
            </w:r>
          </w:p>
          <w:p w:rsidR="0081142B" w:rsidRDefault="0081142B" w:rsidP="0081142B">
            <w:pPr>
              <w:spacing w:line="240" w:lineRule="exact"/>
              <w:rPr>
                <w:lang w:val="en-US"/>
              </w:rPr>
            </w:pPr>
          </w:p>
          <w:p w:rsidR="0081142B" w:rsidRPr="00D62A45" w:rsidRDefault="0081142B" w:rsidP="0081142B">
            <w:pPr>
              <w:spacing w:line="240" w:lineRule="exact"/>
              <w:rPr>
                <w:lang w:val="en-US"/>
              </w:rPr>
            </w:pPr>
            <w:r>
              <w:rPr>
                <w:lang w:val="en-US"/>
              </w:rPr>
              <w:t>Original: Russian</w:t>
            </w:r>
            <w:r>
              <w:rPr>
                <w:lang w:val="en-US"/>
              </w:rPr>
              <w:br/>
              <w:t>English, French, Russian and Spanish only</w:t>
            </w:r>
          </w:p>
        </w:tc>
      </w:tr>
    </w:tbl>
    <w:p w:rsidR="0081142B" w:rsidRPr="0081142B" w:rsidRDefault="0081142B" w:rsidP="007A7831">
      <w:pPr>
        <w:spacing w:before="120"/>
        <w:rPr>
          <w:b/>
          <w:sz w:val="24"/>
          <w:szCs w:val="24"/>
        </w:rPr>
      </w:pPr>
      <w:r w:rsidRPr="0081142B">
        <w:rPr>
          <w:b/>
          <w:sz w:val="24"/>
          <w:szCs w:val="24"/>
        </w:rPr>
        <w:t xml:space="preserve">Комитет по экономическим, </w:t>
      </w:r>
      <w:r>
        <w:rPr>
          <w:b/>
          <w:sz w:val="24"/>
          <w:szCs w:val="24"/>
        </w:rPr>
        <w:t>социальным</w:t>
      </w:r>
      <w:r>
        <w:rPr>
          <w:b/>
          <w:sz w:val="24"/>
          <w:szCs w:val="24"/>
        </w:rPr>
        <w:br/>
      </w:r>
      <w:r w:rsidRPr="0081142B">
        <w:rPr>
          <w:b/>
          <w:sz w:val="24"/>
          <w:szCs w:val="24"/>
        </w:rPr>
        <w:t>и культурным правам</w:t>
      </w:r>
    </w:p>
    <w:p w:rsidR="0081142B" w:rsidRPr="0081142B" w:rsidRDefault="0081142B" w:rsidP="0081142B">
      <w:r w:rsidRPr="0081142B">
        <w:t>Шестьдесят четвертая сессия</w:t>
      </w:r>
    </w:p>
    <w:p w:rsidR="0081142B" w:rsidRPr="0081142B" w:rsidRDefault="0081142B" w:rsidP="0081142B">
      <w:r w:rsidRPr="0081142B">
        <w:t>24 сентября</w:t>
      </w:r>
      <w:r>
        <w:t xml:space="preserve"> </w:t>
      </w:r>
      <w:r w:rsidRPr="0081142B">
        <w:t>–</w:t>
      </w:r>
      <w:r>
        <w:t xml:space="preserve"> </w:t>
      </w:r>
      <w:r w:rsidRPr="0081142B">
        <w:t>12 октября 2018 года</w:t>
      </w:r>
    </w:p>
    <w:p w:rsidR="0081142B" w:rsidRPr="0081142B" w:rsidRDefault="0081142B" w:rsidP="0081142B">
      <w:r w:rsidRPr="0081142B">
        <w:t>Пункт 6</w:t>
      </w:r>
      <w:r w:rsidRPr="0081142B">
        <w:rPr>
          <w:lang w:val="en-GB"/>
        </w:rPr>
        <w:t> a</w:t>
      </w:r>
      <w:r w:rsidRPr="0081142B">
        <w:t>) предварительной повестки дня</w:t>
      </w:r>
    </w:p>
    <w:p w:rsidR="0081142B" w:rsidRPr="0081142B" w:rsidRDefault="0081142B" w:rsidP="0081142B">
      <w:pPr>
        <w:rPr>
          <w:b/>
        </w:rPr>
      </w:pPr>
      <w:r w:rsidRPr="0081142B">
        <w:rPr>
          <w:b/>
        </w:rPr>
        <w:t>Рассмотрение докладов: доклады, представленные</w:t>
      </w:r>
      <w:r w:rsidRPr="0081142B">
        <w:rPr>
          <w:b/>
        </w:rPr>
        <w:br/>
        <w:t>государствам</w:t>
      </w:r>
      <w:r w:rsidR="001D339A">
        <w:rPr>
          <w:b/>
        </w:rPr>
        <w:t>и-участниками в соответствии</w:t>
      </w:r>
      <w:r w:rsidR="001D339A">
        <w:rPr>
          <w:b/>
        </w:rPr>
        <w:br/>
        <w:t xml:space="preserve">со </w:t>
      </w:r>
      <w:r w:rsidRPr="0081142B">
        <w:rPr>
          <w:b/>
        </w:rPr>
        <w:t>статьями 16 и 17 Пакта</w:t>
      </w:r>
    </w:p>
    <w:p w:rsidR="0081142B" w:rsidRPr="0081142B" w:rsidRDefault="0081142B" w:rsidP="0081142B">
      <w:pPr>
        <w:pStyle w:val="HChGR"/>
      </w:pPr>
      <w:r w:rsidRPr="0081142B">
        <w:tab/>
      </w:r>
      <w:r w:rsidRPr="0081142B">
        <w:tab/>
        <w:t>Перечень вопросов в связи с рассмотрением второго периодического доклада Туркменистана</w:t>
      </w:r>
    </w:p>
    <w:p w:rsidR="0081142B" w:rsidRPr="0081142B" w:rsidRDefault="0081142B" w:rsidP="0081142B">
      <w:pPr>
        <w:pStyle w:val="H23GR"/>
      </w:pPr>
      <w:r>
        <w:tab/>
      </w:r>
      <w:r>
        <w:tab/>
      </w:r>
      <w:r w:rsidRPr="0081142B">
        <w:t>Добавление</w:t>
      </w:r>
    </w:p>
    <w:p w:rsidR="0081142B" w:rsidRPr="0081142B" w:rsidRDefault="0081142B" w:rsidP="0081142B">
      <w:pPr>
        <w:pStyle w:val="HChGR"/>
      </w:pPr>
      <w:r w:rsidRPr="0081142B">
        <w:tab/>
      </w:r>
      <w:r w:rsidRPr="0081142B">
        <w:tab/>
        <w:t>Ответы Туркменистана на перечень вопросов</w:t>
      </w:r>
      <w:r w:rsidRPr="0081142B">
        <w:rPr>
          <w:b w:val="0"/>
          <w:bCs/>
          <w:sz w:val="20"/>
        </w:rPr>
        <w:footnoteReference w:customMarkFollows="1" w:id="1"/>
        <w:t>*</w:t>
      </w:r>
    </w:p>
    <w:p w:rsidR="00381C24" w:rsidRDefault="0081142B" w:rsidP="0081142B">
      <w:pPr>
        <w:pStyle w:val="SingleTxtGR"/>
        <w:jc w:val="right"/>
      </w:pPr>
      <w:r w:rsidRPr="0081142B">
        <w:t>[Дата получения: 4 июня 2018 года]</w:t>
      </w:r>
    </w:p>
    <w:p w:rsidR="0081142B" w:rsidRDefault="0081142B">
      <w:pPr>
        <w:suppressAutoHyphens w:val="0"/>
        <w:spacing w:line="240" w:lineRule="auto"/>
        <w:rPr>
          <w:rFonts w:eastAsia="Times New Roman" w:cs="Times New Roman"/>
          <w:szCs w:val="20"/>
        </w:rPr>
      </w:pPr>
      <w:r>
        <w:br w:type="page"/>
      </w:r>
    </w:p>
    <w:p w:rsidR="0081142B" w:rsidRDefault="0081142B" w:rsidP="0081142B">
      <w:pPr>
        <w:pStyle w:val="HChGR"/>
      </w:pPr>
      <w:r>
        <w:lastRenderedPageBreak/>
        <w:tab/>
      </w:r>
      <w:r>
        <w:tab/>
        <w:t>Ответы на перечень вопросов, касающихся второго периодического доклада Туркменистана по Международному пакту об экономических, социальных и культурных правах</w:t>
      </w:r>
    </w:p>
    <w:p w:rsidR="0081142B" w:rsidRDefault="0081142B" w:rsidP="0081142B">
      <w:pPr>
        <w:pStyle w:val="HChGR"/>
      </w:pPr>
      <w:r>
        <w:tab/>
      </w:r>
      <w:r>
        <w:rPr>
          <w:lang w:val="en-US"/>
        </w:rPr>
        <w:t>I</w:t>
      </w:r>
      <w:r>
        <w:t>.</w:t>
      </w:r>
      <w:r>
        <w:tab/>
        <w:t>Общая информация</w:t>
      </w:r>
    </w:p>
    <w:p w:rsidR="0081142B" w:rsidRDefault="0081142B" w:rsidP="001D339A">
      <w:pPr>
        <w:pStyle w:val="SingleTxtGR"/>
        <w:spacing w:line="234" w:lineRule="atLeast"/>
      </w:pPr>
      <w:r>
        <w:t>1.</w:t>
      </w:r>
      <w:r>
        <w:tab/>
        <w:t xml:space="preserve">Туркменистан, осуществляя правовую реформу, имплементирует положения Международного пакта об экономических, социальных и культурных правах в национальное законодательство. </w:t>
      </w:r>
      <w:r>
        <w:rPr>
          <w:bCs/>
        </w:rPr>
        <w:t>З</w:t>
      </w:r>
      <w:r>
        <w:t>а истекший период проведен комплекс мер, нацеленных на дальнейшее укрепление правовых основ туркменского общества, обеспечение гарантий реализации политических, экономических, социальных, культурных прав граждан страны.</w:t>
      </w:r>
      <w:r>
        <w:rPr>
          <w:bCs/>
        </w:rPr>
        <w:t xml:space="preserve"> Обеспечение реализации признаваемых в Пакте прав, дальнейшее достижение его целей и выполнение его положений осуществляется путем принятия законодательных мер и механизмов их реализации. </w:t>
      </w:r>
    </w:p>
    <w:p w:rsidR="0081142B" w:rsidRDefault="0081142B" w:rsidP="001D339A">
      <w:pPr>
        <w:pStyle w:val="SingleTxtGR"/>
        <w:spacing w:line="234" w:lineRule="atLeast"/>
      </w:pPr>
      <w:r>
        <w:t>2.</w:t>
      </w:r>
      <w:r>
        <w:tab/>
        <w:t>14 сентября 2016 года Парламентом страны был принят Конституционный закон Туркменистана «Об утверждении Конституции Туркменистана в новой редакции». Новая редакция Конституции Туркменистана включает в себя один новый раздел − Экономика и финансово-кредитная система, 28 новых статей, в 107 статей были внесены изменения и дополнения. Значительно расширен спектр прав и свобод граждан Туркменистана.</w:t>
      </w:r>
      <w:r>
        <w:rPr>
          <w:bCs/>
        </w:rPr>
        <w:t xml:space="preserve"> </w:t>
      </w:r>
    </w:p>
    <w:p w:rsidR="0081142B" w:rsidRDefault="0081142B" w:rsidP="001D339A">
      <w:pPr>
        <w:pStyle w:val="SingleTxtGR"/>
        <w:spacing w:line="234" w:lineRule="atLeast"/>
      </w:pPr>
      <w:r>
        <w:t>3.</w:t>
      </w:r>
      <w:r>
        <w:tab/>
        <w:t xml:space="preserve">Конституцией Туркменистана установлено, что каждому гарантируются судебная защита чести и достоинства, а также права и свободы, предусмотренные Конституцией и законами. Каждый человек имеет право обжаловать в суд решения и действия государственных органов, общественных объединений, органов местного самоуправления и должностных лиц. Основным законом страны гарантируется и право требовать возмещение в судебном порядке материального или морального ущерба, причинённого ему незаконными действиями государственных органов, иных организаций, их работников, а также отдельных лиц. </w:t>
      </w:r>
    </w:p>
    <w:p w:rsidR="0081142B" w:rsidRDefault="0081142B" w:rsidP="001D339A">
      <w:pPr>
        <w:pStyle w:val="SingleTxtGR"/>
        <w:spacing w:line="234" w:lineRule="atLeast"/>
        <w:rPr>
          <w:bCs/>
        </w:rPr>
      </w:pPr>
      <w:r>
        <w:rPr>
          <w:bCs/>
        </w:rPr>
        <w:t>4.</w:t>
      </w:r>
      <w:r>
        <w:rPr>
          <w:bCs/>
        </w:rPr>
        <w:tab/>
        <w:t>Право на доступ к правосудию признается в качестве основных прав человека и гражданина в Туркменистане. В ходе правовых реформ, проводимых в стране в последнее десятилетие, были приняты Уголовно-процессуальный, Гражданско-процессуальный кодексы, Законы Туркменистана «О суде», «Об адвокатуре и адвокатской деятельности в Туркменистане», «Об Омбудсмене» и другие.</w:t>
      </w:r>
    </w:p>
    <w:p w:rsidR="0081142B" w:rsidRDefault="0081142B" w:rsidP="001D339A">
      <w:pPr>
        <w:pStyle w:val="SingleTxtGR"/>
        <w:spacing w:line="234" w:lineRule="atLeast"/>
        <w:rPr>
          <w:lang w:val="tk-TM"/>
        </w:rPr>
      </w:pPr>
      <w:r>
        <w:t>5.</w:t>
      </w:r>
      <w:r>
        <w:tab/>
      </w:r>
      <w:r>
        <w:rPr>
          <w:lang w:val="tk-TM"/>
        </w:rPr>
        <w:t xml:space="preserve">Законодательство Туркменистана в отношении независимости и беспристрастности судей основано на Конституции Туркменистана и нормах международного права, в том числе, Международных Конвенций в области прав человека, участником которых является Туркменистан. </w:t>
      </w:r>
    </w:p>
    <w:p w:rsidR="0081142B" w:rsidRDefault="0081142B" w:rsidP="001D339A">
      <w:pPr>
        <w:pStyle w:val="SingleTxtGR"/>
        <w:spacing w:line="234" w:lineRule="atLeast"/>
      </w:pPr>
      <w:r>
        <w:t>6.</w:t>
      </w:r>
      <w:r>
        <w:tab/>
        <w:t xml:space="preserve">Доступ к правосудию может быть обеспечен при наличии независимой судебной системы. Согласно </w:t>
      </w:r>
      <w:proofErr w:type="gramStart"/>
      <w:r>
        <w:t>Конституции</w:t>
      </w:r>
      <w:proofErr w:type="gramEnd"/>
      <w:r>
        <w:t xml:space="preserve"> судебная власть в Туркменистане принадлежит только судам. Независимость судей </w:t>
      </w:r>
      <w:r>
        <w:rPr>
          <w:lang w:val="tk-TM"/>
        </w:rPr>
        <w:t>гарантирована Конституцией Туркменистана в ст.</w:t>
      </w:r>
      <w:r>
        <w:t> </w:t>
      </w:r>
      <w:r>
        <w:rPr>
          <w:lang w:val="tk-TM"/>
        </w:rPr>
        <w:t>98 четко отражено, что судьи независимы, они подчиняются только Конституции Туркменистана и закону. Вмешательство в деятельность судей с чьей бы то ни было стороны недопустимы и влечёт ответственность, установленную законом.</w:t>
      </w:r>
    </w:p>
    <w:p w:rsidR="0081142B" w:rsidRDefault="0081142B" w:rsidP="001D339A">
      <w:pPr>
        <w:pStyle w:val="SingleTxtGR"/>
        <w:spacing w:line="234" w:lineRule="atLeast"/>
      </w:pPr>
      <w:r>
        <w:t>7.</w:t>
      </w:r>
      <w:r>
        <w:tab/>
      </w:r>
      <w:r>
        <w:rPr>
          <w:lang w:val="tk-TM"/>
        </w:rPr>
        <w:t>Кроме того, в Законе Туркменистана «О суде» также устанолвено, что судья никому не обязан давать пояснения по рассмотренному делу или делу, находящимся в производстве. Независимость и неприкосновенность судей гарантируется законом.</w:t>
      </w:r>
      <w:r>
        <w:t xml:space="preserve"> В отношении судьи не может быть возбуждено уголовное дело, а также он не может быть арестован без согласия Президента Туркменистана. Неприкосновенность судьи имеет отношение к его личности, собственности, жилью, где он проживает и работает, служебному и личному транспорту и другому имуществу. Не допускаются задержание, привод судьи, а также заседателя суда при исполнении им обязанностей заседателя в суде или применение в отношении них мер административного взыскания. </w:t>
      </w:r>
    </w:p>
    <w:p w:rsidR="0081142B" w:rsidRDefault="0081142B" w:rsidP="0081142B">
      <w:pPr>
        <w:pStyle w:val="SingleTxtGR"/>
        <w:ind w:left="1701"/>
      </w:pPr>
      <w:r>
        <w:t>1.</w:t>
      </w:r>
      <w:r>
        <w:tab/>
      </w:r>
      <w:r>
        <w:rPr>
          <w:lang w:val="tk-TM"/>
        </w:rPr>
        <w:t>Необходимо отметить, что в целях дальнейшего совершенствования судебной власти и независимости судей</w:t>
      </w:r>
      <w:r>
        <w:t xml:space="preserve"> Постановлением Президента Туркменистана от 18 марта 2017 года была утверждена Государственная Концепция развития судебной системы на 2017−2021 годы, в которой исходя из международной практики предусматривается подготовить соответствующие предложения о сроках полномочий судей, о порядке их представления на судейскую должность, о правах и обязанностях судей и судебных работников. Основными задачами данной Концепции в том числе, являются: повышение качества правосудия; обеспечение доступа к правосудию; обеспечение открытости и гласности правосудия; обеспечение независимости судей и подчинения их только Конституции и закону. </w:t>
      </w:r>
    </w:p>
    <w:p w:rsidR="0081142B" w:rsidRDefault="0081142B" w:rsidP="0081142B">
      <w:pPr>
        <w:pStyle w:val="SingleTxtGR"/>
        <w:ind w:left="1701"/>
      </w:pPr>
      <w:r>
        <w:rPr>
          <w:lang w:val="tk-TM"/>
        </w:rPr>
        <w:t>2.</w:t>
      </w:r>
      <w:r>
        <w:rPr>
          <w:bCs/>
        </w:rPr>
        <w:t xml:space="preserve"> </w:t>
      </w:r>
      <w:r>
        <w:rPr>
          <w:bCs/>
        </w:rPr>
        <w:tab/>
      </w:r>
      <w:r>
        <w:rPr>
          <w:lang w:val="tk-TM"/>
        </w:rPr>
        <w:t>Согласно статьи 9 Основного закона страны Туркменистан признаёт приоритет общепринятых норм международного права. В связи этим, если международном договором Туркменистана, установлены иные нормы, чем</w:t>
      </w:r>
      <w:r>
        <w:t xml:space="preserve"> те, которые содержатся в </w:t>
      </w:r>
      <w:r>
        <w:rPr>
          <w:lang w:val="tk-TM"/>
        </w:rPr>
        <w:t xml:space="preserve">национальных законах, </w:t>
      </w:r>
      <w:r>
        <w:t>то применяются правила международного договора.</w:t>
      </w:r>
      <w:r>
        <w:rPr>
          <w:lang w:val="tk-TM"/>
        </w:rPr>
        <w:t xml:space="preserve"> </w:t>
      </w:r>
    </w:p>
    <w:p w:rsidR="0081142B" w:rsidRDefault="0081142B" w:rsidP="0081142B">
      <w:pPr>
        <w:pStyle w:val="SingleTxtGR"/>
        <w:ind w:left="1701"/>
      </w:pPr>
      <w:r>
        <w:rPr>
          <w:lang w:val="tk-TM"/>
        </w:rPr>
        <w:t>3.</w:t>
      </w:r>
      <w:r>
        <w:t xml:space="preserve"> </w:t>
      </w:r>
      <w:r>
        <w:tab/>
        <w:t>Новая редакция Конституции Туркменистана (статья 81, пункт 8) предусматривает избрание по предложению Президента Туркменистана Парламентом страны Уполномоченного представителя по правам человека в Туркменистане. Омбудсмен своей деятельностью дополняет существующие государственные средства защиты прав и свобод человека и гражданина.</w:t>
      </w:r>
    </w:p>
    <w:p w:rsidR="0081142B" w:rsidRDefault="0081142B" w:rsidP="0081142B">
      <w:pPr>
        <w:pStyle w:val="SingleTxtGR"/>
      </w:pPr>
      <w:r>
        <w:t>8.</w:t>
      </w:r>
      <w:r>
        <w:tab/>
        <w:t>23 ноября 2016 года Парламентом Туркменистана принят Закон Туркменистана «Об Омбудсмене», определяющий полномочия, права, обязанности, основные направления и гарантии деятельности Омбудсмена, который вступил в силу с 1 января 2017 года. 20 марта 2017 года Парламентом Туркменистана на альтернативной основе был избран Омбудсмен Туркменистана и следом создан его Аппарат.</w:t>
      </w:r>
    </w:p>
    <w:p w:rsidR="0081142B" w:rsidRDefault="0081142B" w:rsidP="0081142B">
      <w:pPr>
        <w:pStyle w:val="SingleTxtGR"/>
        <w:ind w:left="1701"/>
      </w:pPr>
      <w:r>
        <w:t>Согласно Закону, Омбудсмен и его заместитель обладают правом личной неприкосновенности и при осуществлении своих полномочий независимы и неподотчётны каким-либо государственным органам и должностным лицам. При исполнении своих полномочий Омбудсмен самостоятелен и не представляет государственные органы, должностные лица, политические партии и иные общественные объединения.</w:t>
      </w:r>
    </w:p>
    <w:p w:rsidR="0081142B" w:rsidRDefault="0081142B" w:rsidP="0081142B">
      <w:pPr>
        <w:pStyle w:val="SingleTxtGR"/>
        <w:ind w:left="1701"/>
      </w:pPr>
      <w:r>
        <w:t>Решения Омбудсмена выражают свободную от политических пристрастий правовую позицию, соответствующую Конституции, законам и международным договорам Туркменистана, общепризнанным нормам международного права в области прав человека.</w:t>
      </w:r>
    </w:p>
    <w:p w:rsidR="0081142B" w:rsidRDefault="0081142B" w:rsidP="0081142B">
      <w:pPr>
        <w:pStyle w:val="SingleTxtGR"/>
        <w:ind w:left="1701"/>
      </w:pPr>
      <w:r>
        <w:t xml:space="preserve">Финансирование деятельности Омбудсмена и его аппарата осуществляется за счёт средств Государственного бюджета Туркменистана. </w:t>
      </w:r>
    </w:p>
    <w:p w:rsidR="0081142B" w:rsidRDefault="0081142B" w:rsidP="0081142B">
      <w:pPr>
        <w:pStyle w:val="SingleTxtGR"/>
        <w:ind w:left="1701"/>
      </w:pPr>
      <w:r>
        <w:t xml:space="preserve">Законом обеспечивается независимость Омбудсмена в соответствии с международными требованиями, касающимися статуса национальных учреждений по правам человека, с мандатом, включающим экономические, социальные и культурные права граждан. </w:t>
      </w:r>
    </w:p>
    <w:p w:rsidR="0081142B" w:rsidRDefault="0081142B" w:rsidP="0081142B">
      <w:pPr>
        <w:pStyle w:val="SingleTxtGR"/>
        <w:ind w:left="1701"/>
      </w:pPr>
      <w:r>
        <w:t>В соответствии со статьей 18 Закона Омбудсмен:</w:t>
      </w:r>
    </w:p>
    <w:p w:rsidR="0081142B" w:rsidRDefault="0081142B" w:rsidP="0081142B">
      <w:pPr>
        <w:pStyle w:val="SingleTxtGR"/>
        <w:ind w:left="1701"/>
      </w:pPr>
      <w:r>
        <w:t xml:space="preserve">1) </w:t>
      </w:r>
      <w:r>
        <w:tab/>
        <w:t xml:space="preserve">беспрепятственно и без предварительного уведомления посещает органы государственной власти, органы местного самоуправления, предприятия, учреждения и организации независимо от их организационно-правовых форм </w:t>
      </w:r>
      <w:r>
        <w:rPr>
          <w:bCs/>
        </w:rPr>
        <w:t>и форм собственности</w:t>
      </w:r>
      <w:r>
        <w:t>, исправительные и другие специализированные учреждения, места предварительного заключения, места содержания задержанных, Вооружённые Силы Туркменистана, другие войска, военные учреждения и проводит в них самостоятельно или совместно с компетентными государственными органами, должностными лицами, государственными служащими проверку их деятельности;</w:t>
      </w:r>
    </w:p>
    <w:p w:rsidR="0081142B" w:rsidRDefault="0081142B" w:rsidP="001D339A">
      <w:pPr>
        <w:pStyle w:val="SingleTxtGR"/>
        <w:pageBreakBefore/>
        <w:ind w:left="1701"/>
      </w:pPr>
      <w:r>
        <w:t xml:space="preserve">2) </w:t>
      </w:r>
      <w:r>
        <w:tab/>
        <w:t>запрашивает и получает от должностных лиц органов государственной власти, местного самоуправления, предприятий, учреждений и организаций независимо от их организационно-правовых форм</w:t>
      </w:r>
      <w:r>
        <w:rPr>
          <w:bCs/>
        </w:rPr>
        <w:t xml:space="preserve"> и форм собственности</w:t>
      </w:r>
      <w:r>
        <w:t xml:space="preserve"> необходимые документы, материалы и другие сведения и их пояснения; </w:t>
      </w:r>
    </w:p>
    <w:p w:rsidR="0081142B" w:rsidRDefault="0081142B" w:rsidP="0081142B">
      <w:pPr>
        <w:pStyle w:val="SingleTxtGR"/>
        <w:ind w:left="1701"/>
      </w:pPr>
      <w:r>
        <w:t xml:space="preserve">3) </w:t>
      </w:r>
      <w:r>
        <w:tab/>
        <w:t>поручает компетентным государственным органам и научным организациям проведение экспертных исследований по вопросам, подлежащим выяснению;</w:t>
      </w:r>
    </w:p>
    <w:p w:rsidR="0081142B" w:rsidRDefault="0081142B" w:rsidP="0081142B">
      <w:pPr>
        <w:pStyle w:val="SingleTxtGR"/>
        <w:ind w:left="1701"/>
      </w:pPr>
      <w:r>
        <w:t xml:space="preserve">4) </w:t>
      </w:r>
      <w:r>
        <w:tab/>
        <w:t>обращается к уполномоченным государственным органам или должностным лицам с предложением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w:t>
      </w:r>
    </w:p>
    <w:p w:rsidR="0081142B" w:rsidRDefault="0081142B" w:rsidP="0081142B">
      <w:pPr>
        <w:pStyle w:val="SingleTxtGR"/>
        <w:ind w:left="1701"/>
      </w:pPr>
      <w:r>
        <w:t xml:space="preserve">5) </w:t>
      </w:r>
      <w:r>
        <w:tab/>
        <w:t>осуществляет другие полномочия, предусмотренные настоящим Законом и иными нормативными правовыми актами Туркменистана.</w:t>
      </w:r>
    </w:p>
    <w:p w:rsidR="0081142B" w:rsidRDefault="0081142B" w:rsidP="0081142B">
      <w:pPr>
        <w:pStyle w:val="HChGR"/>
      </w:pPr>
      <w:r>
        <w:t xml:space="preserve"> </w:t>
      </w:r>
      <w:r>
        <w:tab/>
      </w:r>
      <w:r>
        <w:rPr>
          <w:lang w:val="en-US"/>
        </w:rPr>
        <w:t>II</w:t>
      </w:r>
      <w:r>
        <w:t xml:space="preserve">. </w:t>
      </w:r>
      <w:r>
        <w:tab/>
        <w:t>Вопросы, касающиеся общих положений Пакта (статьи 1−5)</w:t>
      </w:r>
    </w:p>
    <w:p w:rsidR="0081142B" w:rsidRDefault="0081142B" w:rsidP="0081142B">
      <w:pPr>
        <w:pStyle w:val="H1GR"/>
      </w:pPr>
      <w:r>
        <w:tab/>
      </w:r>
      <w:r>
        <w:tab/>
        <w:t>Максимальные доступные ресурсы (статья 2(1))</w:t>
      </w:r>
    </w:p>
    <w:p w:rsidR="0081142B" w:rsidRDefault="0081142B" w:rsidP="0081142B">
      <w:pPr>
        <w:pStyle w:val="H23GR"/>
      </w:pPr>
      <w:r>
        <w:tab/>
      </w:r>
      <w:r>
        <w:tab/>
        <w:t xml:space="preserve">Пункт 4 </w:t>
      </w:r>
    </w:p>
    <w:p w:rsidR="0081142B" w:rsidRDefault="0081142B" w:rsidP="0081142B">
      <w:pPr>
        <w:pStyle w:val="H23GR"/>
      </w:pPr>
      <w:r>
        <w:tab/>
      </w:r>
      <w:r>
        <w:tab/>
      </w:r>
      <w:r>
        <w:rPr>
          <w:bCs/>
        </w:rPr>
        <w:t>а)</w:t>
      </w:r>
    </w:p>
    <w:p w:rsidR="0081142B" w:rsidRDefault="0081142B" w:rsidP="0081142B">
      <w:pPr>
        <w:pStyle w:val="H23GR"/>
      </w:pPr>
      <w:r>
        <w:tab/>
      </w:r>
      <w:r>
        <w:tab/>
        <w:t>Уровень благосостояния населения домашних хозяйств по обследованию уровня жизни населения Туркменистана 2011 года, в процентах</w:t>
      </w:r>
    </w:p>
    <w:tbl>
      <w:tblPr>
        <w:tblW w:w="7370" w:type="dxa"/>
        <w:tblInd w:w="1134" w:type="dxa"/>
        <w:tblLayout w:type="fixed"/>
        <w:tblCellMar>
          <w:left w:w="10" w:type="dxa"/>
          <w:right w:w="10" w:type="dxa"/>
        </w:tblCellMar>
        <w:tblLook w:val="0000" w:firstRow="0" w:lastRow="0" w:firstColumn="0" w:lastColumn="0" w:noHBand="0" w:noVBand="0"/>
      </w:tblPr>
      <w:tblGrid>
        <w:gridCol w:w="709"/>
        <w:gridCol w:w="3686"/>
        <w:gridCol w:w="1559"/>
        <w:gridCol w:w="1416"/>
      </w:tblGrid>
      <w:tr w:rsidR="0081142B" w:rsidRPr="0074640B" w:rsidTr="0081142B">
        <w:trPr>
          <w:trHeight w:val="20"/>
          <w:tblHeader/>
        </w:trPr>
        <w:tc>
          <w:tcPr>
            <w:tcW w:w="709" w:type="dxa"/>
            <w:vMerge w:val="restart"/>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80" w:after="80" w:line="220" w:lineRule="atLeast"/>
              <w:rPr>
                <w:i/>
                <w:sz w:val="16"/>
                <w:lang w:eastAsia="ru-RU"/>
              </w:rPr>
            </w:pPr>
            <w:r>
              <w:rPr>
                <w:i/>
                <w:sz w:val="16"/>
                <w:lang w:eastAsia="ru-RU"/>
              </w:rPr>
              <w:t>№ п/п</w:t>
            </w:r>
          </w:p>
        </w:tc>
        <w:tc>
          <w:tcPr>
            <w:tcW w:w="3686" w:type="dxa"/>
            <w:vMerge w:val="restart"/>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80" w:after="80" w:line="220" w:lineRule="atLeast"/>
              <w:rPr>
                <w:i/>
                <w:sz w:val="16"/>
                <w:lang w:eastAsia="ru-RU"/>
              </w:rPr>
            </w:pPr>
            <w:r w:rsidRPr="008978CF">
              <w:rPr>
                <w:i/>
                <w:sz w:val="16"/>
                <w:lang w:eastAsia="ru-RU"/>
              </w:rPr>
              <w:t>Наименование относительных измерителей уровня благосостояния населения</w:t>
            </w:r>
          </w:p>
        </w:tc>
        <w:tc>
          <w:tcPr>
            <w:tcW w:w="2975" w:type="dxa"/>
            <w:gridSpan w:val="2"/>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80" w:after="80" w:line="220" w:lineRule="atLeast"/>
              <w:jc w:val="center"/>
              <w:rPr>
                <w:i/>
                <w:sz w:val="16"/>
                <w:lang w:eastAsia="ru-RU"/>
              </w:rPr>
            </w:pPr>
            <w:r w:rsidRPr="008978CF">
              <w:rPr>
                <w:i/>
                <w:sz w:val="16"/>
                <w:lang w:eastAsia="ru-RU"/>
              </w:rPr>
              <w:t>Доля населения с доходами ниже относительного измерителя по данным обследования</w:t>
            </w:r>
          </w:p>
        </w:tc>
      </w:tr>
      <w:tr w:rsidR="0081142B" w:rsidTr="0081142B">
        <w:trPr>
          <w:trHeight w:val="20"/>
          <w:tblHeader/>
        </w:trPr>
        <w:tc>
          <w:tcPr>
            <w:tcW w:w="709" w:type="dxa"/>
            <w:vMerge/>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80" w:after="80" w:line="220" w:lineRule="atLeast"/>
              <w:rPr>
                <w:i/>
                <w:sz w:val="16"/>
                <w:lang w:eastAsia="ru-RU"/>
              </w:rPr>
            </w:pPr>
          </w:p>
        </w:tc>
        <w:tc>
          <w:tcPr>
            <w:tcW w:w="3686" w:type="dxa"/>
            <w:vMerge/>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80" w:after="80" w:line="220" w:lineRule="atLeast"/>
              <w:rPr>
                <w:i/>
                <w:sz w:val="16"/>
                <w:lang w:eastAsia="ru-RU"/>
              </w:rPr>
            </w:pPr>
          </w:p>
        </w:tc>
        <w:tc>
          <w:tcPr>
            <w:tcW w:w="155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80" w:after="80" w:line="220" w:lineRule="atLeast"/>
              <w:jc w:val="right"/>
              <w:rPr>
                <w:i/>
                <w:sz w:val="16"/>
                <w:lang w:eastAsia="ru-RU"/>
              </w:rPr>
            </w:pPr>
            <w:r>
              <w:rPr>
                <w:i/>
                <w:sz w:val="16"/>
                <w:lang w:eastAsia="ru-RU"/>
              </w:rPr>
              <w:t>без субсидий</w:t>
            </w:r>
          </w:p>
        </w:tc>
        <w:tc>
          <w:tcPr>
            <w:tcW w:w="141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80" w:after="80" w:line="220" w:lineRule="atLeast"/>
              <w:jc w:val="right"/>
              <w:rPr>
                <w:i/>
                <w:sz w:val="16"/>
                <w:lang w:eastAsia="ru-RU"/>
              </w:rPr>
            </w:pPr>
            <w:r>
              <w:rPr>
                <w:i/>
                <w:sz w:val="16"/>
                <w:lang w:eastAsia="ru-RU"/>
              </w:rPr>
              <w:t>с субсидиями</w:t>
            </w:r>
          </w:p>
        </w:tc>
      </w:tr>
      <w:tr w:rsidR="0081142B" w:rsidTr="0081142B">
        <w:trPr>
          <w:trHeight w:val="20"/>
        </w:trPr>
        <w:tc>
          <w:tcPr>
            <w:tcW w:w="709" w:type="dxa"/>
            <w:tcBorders>
              <w:top w:val="single" w:sz="12" w:space="0" w:color="000000"/>
            </w:tcBorders>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1.</w:t>
            </w:r>
          </w:p>
        </w:tc>
        <w:tc>
          <w:tcPr>
            <w:tcW w:w="3686" w:type="dxa"/>
            <w:tcBorders>
              <w:top w:val="single" w:sz="12" w:space="0" w:color="000000"/>
            </w:tcBorders>
            <w:shd w:val="clear" w:color="auto" w:fill="auto"/>
            <w:tcMar>
              <w:top w:w="0" w:type="dxa"/>
              <w:left w:w="28" w:type="dxa"/>
              <w:bottom w:w="0" w:type="dxa"/>
              <w:right w:w="28" w:type="dxa"/>
            </w:tcMar>
          </w:tcPr>
          <w:p w:rsidR="0081142B" w:rsidRDefault="0081142B" w:rsidP="0081142B">
            <w:pPr>
              <w:spacing w:before="40" w:after="40" w:line="220" w:lineRule="atLeast"/>
              <w:ind w:left="567" w:hanging="567"/>
              <w:rPr>
                <w:sz w:val="18"/>
                <w:szCs w:val="18"/>
                <w:lang w:eastAsia="ru-RU"/>
              </w:rPr>
            </w:pPr>
            <w:r>
              <w:rPr>
                <w:sz w:val="18"/>
                <w:szCs w:val="18"/>
                <w:lang w:eastAsia="ru-RU"/>
              </w:rPr>
              <w:t>50% от среднего медианного потребления</w:t>
            </w:r>
          </w:p>
        </w:tc>
        <w:tc>
          <w:tcPr>
            <w:tcW w:w="155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10,3</w:t>
            </w:r>
          </w:p>
        </w:tc>
        <w:tc>
          <w:tcPr>
            <w:tcW w:w="1416"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5,8</w:t>
            </w:r>
          </w:p>
        </w:tc>
      </w:tr>
      <w:tr w:rsidR="0081142B" w:rsidTr="0081142B">
        <w:trPr>
          <w:trHeight w:val="20"/>
        </w:trPr>
        <w:tc>
          <w:tcPr>
            <w:tcW w:w="709" w:type="dxa"/>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2.</w:t>
            </w:r>
          </w:p>
        </w:tc>
        <w:tc>
          <w:tcPr>
            <w:tcW w:w="3686" w:type="dxa"/>
            <w:shd w:val="clear" w:color="auto" w:fill="auto"/>
            <w:tcMar>
              <w:top w:w="0" w:type="dxa"/>
              <w:left w:w="28" w:type="dxa"/>
              <w:bottom w:w="0" w:type="dxa"/>
              <w:right w:w="28" w:type="dxa"/>
            </w:tcMar>
          </w:tcPr>
          <w:p w:rsidR="0081142B" w:rsidRPr="008978CF" w:rsidRDefault="0081142B" w:rsidP="0081142B">
            <w:pPr>
              <w:spacing w:before="40" w:after="40" w:line="220" w:lineRule="atLeast"/>
              <w:rPr>
                <w:sz w:val="18"/>
                <w:szCs w:val="18"/>
                <w:lang w:eastAsia="ru-RU"/>
              </w:rPr>
            </w:pPr>
            <w:r w:rsidRPr="008978CF">
              <w:rPr>
                <w:sz w:val="18"/>
                <w:szCs w:val="18"/>
                <w:lang w:eastAsia="ru-RU"/>
              </w:rPr>
              <w:t>Суточное потребление в размере 1,25$ на одного человека по ППС</w:t>
            </w:r>
          </w:p>
        </w:tc>
        <w:tc>
          <w:tcPr>
            <w:tcW w:w="155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w:t>
            </w:r>
          </w:p>
        </w:tc>
        <w:tc>
          <w:tcPr>
            <w:tcW w:w="1416"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w:t>
            </w:r>
          </w:p>
        </w:tc>
      </w:tr>
      <w:tr w:rsidR="0081142B" w:rsidTr="0081142B">
        <w:trPr>
          <w:trHeight w:val="20"/>
        </w:trPr>
        <w:tc>
          <w:tcPr>
            <w:tcW w:w="709" w:type="dxa"/>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3.</w:t>
            </w:r>
          </w:p>
        </w:tc>
        <w:tc>
          <w:tcPr>
            <w:tcW w:w="3686" w:type="dxa"/>
            <w:shd w:val="clear" w:color="auto" w:fill="auto"/>
            <w:tcMar>
              <w:top w:w="0" w:type="dxa"/>
              <w:left w:w="28" w:type="dxa"/>
              <w:bottom w:w="0" w:type="dxa"/>
              <w:right w:w="28" w:type="dxa"/>
            </w:tcMar>
          </w:tcPr>
          <w:p w:rsidR="0081142B" w:rsidRPr="008978CF" w:rsidRDefault="0081142B" w:rsidP="0081142B">
            <w:pPr>
              <w:spacing w:before="40" w:after="40" w:line="220" w:lineRule="atLeast"/>
              <w:rPr>
                <w:sz w:val="18"/>
                <w:szCs w:val="18"/>
                <w:lang w:eastAsia="ru-RU"/>
              </w:rPr>
            </w:pPr>
            <w:r w:rsidRPr="008978CF">
              <w:rPr>
                <w:sz w:val="18"/>
                <w:szCs w:val="18"/>
                <w:lang w:eastAsia="ru-RU"/>
              </w:rPr>
              <w:t>Суточное потребление в размере 2,15$ на одного человека по ППС</w:t>
            </w:r>
          </w:p>
        </w:tc>
        <w:tc>
          <w:tcPr>
            <w:tcW w:w="155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0,19</w:t>
            </w:r>
          </w:p>
        </w:tc>
        <w:tc>
          <w:tcPr>
            <w:tcW w:w="1416"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w:t>
            </w:r>
          </w:p>
        </w:tc>
      </w:tr>
      <w:tr w:rsidR="0081142B" w:rsidTr="0081142B">
        <w:trPr>
          <w:trHeight w:val="20"/>
        </w:trPr>
        <w:tc>
          <w:tcPr>
            <w:tcW w:w="709" w:type="dxa"/>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4.</w:t>
            </w:r>
          </w:p>
        </w:tc>
        <w:tc>
          <w:tcPr>
            <w:tcW w:w="3686" w:type="dxa"/>
            <w:shd w:val="clear" w:color="auto" w:fill="auto"/>
            <w:tcMar>
              <w:top w:w="0" w:type="dxa"/>
              <w:left w:w="28" w:type="dxa"/>
              <w:bottom w:w="0" w:type="dxa"/>
              <w:right w:w="28" w:type="dxa"/>
            </w:tcMar>
          </w:tcPr>
          <w:p w:rsidR="0081142B" w:rsidRPr="008978CF" w:rsidRDefault="0081142B" w:rsidP="0081142B">
            <w:pPr>
              <w:spacing w:before="40" w:after="40" w:line="220" w:lineRule="atLeast"/>
              <w:rPr>
                <w:sz w:val="18"/>
                <w:szCs w:val="18"/>
                <w:lang w:eastAsia="ru-RU"/>
              </w:rPr>
            </w:pPr>
            <w:r w:rsidRPr="008978CF">
              <w:rPr>
                <w:sz w:val="18"/>
                <w:szCs w:val="18"/>
                <w:lang w:eastAsia="ru-RU"/>
              </w:rPr>
              <w:t>Суточное потребление в размере 2,50$ на одного человека по ППС</w:t>
            </w:r>
          </w:p>
        </w:tc>
        <w:tc>
          <w:tcPr>
            <w:tcW w:w="155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0,27</w:t>
            </w:r>
          </w:p>
        </w:tc>
        <w:tc>
          <w:tcPr>
            <w:tcW w:w="1416"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w:t>
            </w:r>
          </w:p>
        </w:tc>
      </w:tr>
      <w:tr w:rsidR="0081142B" w:rsidTr="0081142B">
        <w:trPr>
          <w:trHeight w:val="20"/>
        </w:trPr>
        <w:tc>
          <w:tcPr>
            <w:tcW w:w="709" w:type="dxa"/>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5.</w:t>
            </w:r>
          </w:p>
        </w:tc>
        <w:tc>
          <w:tcPr>
            <w:tcW w:w="3686" w:type="dxa"/>
            <w:shd w:val="clear" w:color="auto" w:fill="auto"/>
            <w:tcMar>
              <w:top w:w="0" w:type="dxa"/>
              <w:left w:w="28" w:type="dxa"/>
              <w:bottom w:w="0" w:type="dxa"/>
              <w:right w:w="28" w:type="dxa"/>
            </w:tcMar>
          </w:tcPr>
          <w:p w:rsidR="0081142B" w:rsidRPr="008978CF" w:rsidRDefault="0081142B" w:rsidP="0081142B">
            <w:pPr>
              <w:spacing w:before="40" w:after="40" w:line="220" w:lineRule="atLeast"/>
              <w:rPr>
                <w:sz w:val="18"/>
                <w:szCs w:val="18"/>
                <w:lang w:eastAsia="ru-RU"/>
              </w:rPr>
            </w:pPr>
            <w:r w:rsidRPr="008978CF">
              <w:rPr>
                <w:sz w:val="18"/>
                <w:szCs w:val="18"/>
                <w:lang w:eastAsia="ru-RU"/>
              </w:rPr>
              <w:t>Суточное потребление в размере 4,30$ на одного человека по ППС</w:t>
            </w:r>
          </w:p>
        </w:tc>
        <w:tc>
          <w:tcPr>
            <w:tcW w:w="155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2,65</w:t>
            </w:r>
          </w:p>
        </w:tc>
        <w:tc>
          <w:tcPr>
            <w:tcW w:w="1416"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0,27</w:t>
            </w:r>
          </w:p>
        </w:tc>
      </w:tr>
      <w:tr w:rsidR="0081142B" w:rsidTr="0081142B">
        <w:trPr>
          <w:trHeight w:val="20"/>
        </w:trPr>
        <w:tc>
          <w:tcPr>
            <w:tcW w:w="709" w:type="dxa"/>
            <w:tcBorders>
              <w:bottom w:val="single" w:sz="12" w:space="0" w:color="000000"/>
            </w:tcBorders>
            <w:shd w:val="clear" w:color="auto" w:fill="auto"/>
            <w:tcMar>
              <w:top w:w="0" w:type="dxa"/>
              <w:left w:w="28" w:type="dxa"/>
              <w:bottom w:w="0" w:type="dxa"/>
              <w:right w:w="28" w:type="dxa"/>
            </w:tcMar>
          </w:tcPr>
          <w:p w:rsidR="0081142B" w:rsidRDefault="0081142B" w:rsidP="0081142B">
            <w:pPr>
              <w:spacing w:before="40" w:after="40" w:line="220" w:lineRule="atLeast"/>
              <w:rPr>
                <w:sz w:val="18"/>
                <w:szCs w:val="18"/>
                <w:lang w:eastAsia="ru-RU"/>
              </w:rPr>
            </w:pPr>
            <w:r>
              <w:rPr>
                <w:sz w:val="18"/>
                <w:szCs w:val="18"/>
                <w:lang w:eastAsia="ru-RU"/>
              </w:rPr>
              <w:t>6.</w:t>
            </w:r>
          </w:p>
        </w:tc>
        <w:tc>
          <w:tcPr>
            <w:tcW w:w="3686" w:type="dxa"/>
            <w:tcBorders>
              <w:bottom w:val="single" w:sz="12" w:space="0" w:color="000000"/>
            </w:tcBorders>
            <w:shd w:val="clear" w:color="auto" w:fill="auto"/>
            <w:tcMar>
              <w:top w:w="0" w:type="dxa"/>
              <w:left w:w="28" w:type="dxa"/>
              <w:bottom w:w="0" w:type="dxa"/>
              <w:right w:w="28" w:type="dxa"/>
            </w:tcMar>
          </w:tcPr>
          <w:p w:rsidR="0081142B" w:rsidRPr="008978CF" w:rsidRDefault="0081142B" w:rsidP="0081142B">
            <w:pPr>
              <w:spacing w:before="40" w:after="40" w:line="220" w:lineRule="atLeast"/>
              <w:rPr>
                <w:sz w:val="18"/>
                <w:szCs w:val="18"/>
                <w:lang w:eastAsia="ru-RU"/>
              </w:rPr>
            </w:pPr>
            <w:r w:rsidRPr="008978CF">
              <w:rPr>
                <w:sz w:val="18"/>
                <w:szCs w:val="18"/>
                <w:lang w:eastAsia="ru-RU"/>
              </w:rPr>
              <w:t>Суточное потребление в размере 5,00$ на одного человека по ППС</w:t>
            </w:r>
          </w:p>
        </w:tc>
        <w:tc>
          <w:tcPr>
            <w:tcW w:w="1559" w:type="dxa"/>
            <w:tcBorders>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3,3</w:t>
            </w:r>
          </w:p>
        </w:tc>
        <w:tc>
          <w:tcPr>
            <w:tcW w:w="1416"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p w:rsidR="0081142B" w:rsidRDefault="0081142B" w:rsidP="0081142B">
            <w:pPr>
              <w:spacing w:before="40" w:after="40" w:line="220" w:lineRule="atLeast"/>
              <w:jc w:val="right"/>
              <w:rPr>
                <w:sz w:val="18"/>
                <w:szCs w:val="18"/>
                <w:lang w:eastAsia="ru-RU"/>
              </w:rPr>
            </w:pPr>
            <w:r>
              <w:rPr>
                <w:sz w:val="18"/>
                <w:szCs w:val="18"/>
                <w:lang w:eastAsia="ru-RU"/>
              </w:rPr>
              <w:t>0,47</w:t>
            </w:r>
          </w:p>
        </w:tc>
      </w:tr>
    </w:tbl>
    <w:p w:rsidR="0081142B" w:rsidRDefault="0081142B" w:rsidP="0081142B">
      <w:pPr>
        <w:pStyle w:val="H23GR"/>
      </w:pPr>
      <w:r>
        <w:rPr>
          <w:lang w:val="en-GB"/>
        </w:rPr>
        <w:tab/>
      </w:r>
      <w:r>
        <w:rPr>
          <w:lang w:val="en-GB"/>
        </w:rPr>
        <w:tab/>
      </w:r>
      <w:r>
        <w:t>б)</w:t>
      </w:r>
    </w:p>
    <w:p w:rsidR="0081142B" w:rsidRDefault="0081142B" w:rsidP="0081142B">
      <w:pPr>
        <w:pStyle w:val="H23GR"/>
      </w:pPr>
      <w:r>
        <w:tab/>
      </w:r>
      <w:r>
        <w:tab/>
        <w:t>Доходы государственного бюджета Туркменистана, млн </w:t>
      </w:r>
      <w:proofErr w:type="spellStart"/>
      <w:r>
        <w:t>манатов</w:t>
      </w:r>
      <w:proofErr w:type="spellEnd"/>
    </w:p>
    <w:tbl>
      <w:tblPr>
        <w:tblW w:w="9637" w:type="dxa"/>
        <w:tblLayout w:type="fixed"/>
        <w:tblCellMar>
          <w:left w:w="10" w:type="dxa"/>
          <w:right w:w="10" w:type="dxa"/>
        </w:tblCellMar>
        <w:tblLook w:val="0000" w:firstRow="0" w:lastRow="0" w:firstColumn="0" w:lastColumn="0" w:noHBand="0" w:noVBand="0"/>
      </w:tblPr>
      <w:tblGrid>
        <w:gridCol w:w="1769"/>
        <w:gridCol w:w="786"/>
        <w:gridCol w:w="786"/>
        <w:gridCol w:w="788"/>
        <w:gridCol w:w="786"/>
        <w:gridCol w:w="788"/>
        <w:gridCol w:w="786"/>
        <w:gridCol w:w="786"/>
        <w:gridCol w:w="788"/>
        <w:gridCol w:w="786"/>
        <w:gridCol w:w="788"/>
      </w:tblGrid>
      <w:tr w:rsidR="0081142B" w:rsidTr="0081142B">
        <w:trPr>
          <w:tblHeader/>
        </w:trPr>
        <w:tc>
          <w:tcPr>
            <w:tcW w:w="176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uppressAutoHyphens w:val="0"/>
              <w:spacing w:before="80" w:after="80" w:line="220" w:lineRule="atLeast"/>
              <w:rPr>
                <w:i/>
                <w:sz w:val="16"/>
                <w:lang w:eastAsia="ru-RU"/>
              </w:rPr>
            </w:pP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2008</w:t>
            </w: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2009</w:t>
            </w:r>
          </w:p>
        </w:tc>
        <w:tc>
          <w:tcPr>
            <w:tcW w:w="78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2010</w:t>
            </w: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2011</w:t>
            </w:r>
          </w:p>
        </w:tc>
        <w:tc>
          <w:tcPr>
            <w:tcW w:w="78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2012</w:t>
            </w: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2013</w:t>
            </w: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2014</w:t>
            </w:r>
          </w:p>
        </w:tc>
        <w:tc>
          <w:tcPr>
            <w:tcW w:w="78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2015</w:t>
            </w:r>
          </w:p>
        </w:tc>
        <w:tc>
          <w:tcPr>
            <w:tcW w:w="786"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2016</w:t>
            </w:r>
          </w:p>
        </w:tc>
        <w:tc>
          <w:tcPr>
            <w:tcW w:w="78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2017</w:t>
            </w:r>
          </w:p>
        </w:tc>
      </w:tr>
      <w:tr w:rsidR="0081142B" w:rsidTr="0081142B">
        <w:tc>
          <w:tcPr>
            <w:tcW w:w="1769"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Доходы Государственного бюджета</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10080,0</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11767,8</w:t>
            </w:r>
          </w:p>
        </w:tc>
        <w:tc>
          <w:tcPr>
            <w:tcW w:w="788"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10169,9</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15078,8</w:t>
            </w:r>
          </w:p>
        </w:tc>
        <w:tc>
          <w:tcPr>
            <w:tcW w:w="788"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21078,7</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20561,2</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22201,8</w:t>
            </w:r>
          </w:p>
        </w:tc>
        <w:tc>
          <w:tcPr>
            <w:tcW w:w="788"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20819,1</w:t>
            </w:r>
          </w:p>
        </w:tc>
        <w:tc>
          <w:tcPr>
            <w:tcW w:w="786"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16162,1</w:t>
            </w:r>
          </w:p>
        </w:tc>
        <w:tc>
          <w:tcPr>
            <w:tcW w:w="788" w:type="dxa"/>
            <w:tcBorders>
              <w:top w:val="single" w:sz="12"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23800,5</w:t>
            </w:r>
          </w:p>
        </w:tc>
      </w:tr>
    </w:tbl>
    <w:p w:rsidR="0081142B" w:rsidRDefault="0081142B" w:rsidP="0081142B">
      <w:pPr>
        <w:pStyle w:val="H23GR"/>
      </w:pPr>
      <w:r>
        <w:rPr>
          <w:lang w:val="tk-TM"/>
        </w:rPr>
        <w:tab/>
      </w:r>
      <w:r>
        <w:rPr>
          <w:lang w:val="tk-TM"/>
        </w:rPr>
        <w:tab/>
        <w:t>в)</w:t>
      </w:r>
      <w:r>
        <w:t xml:space="preserve"> </w:t>
      </w:r>
    </w:p>
    <w:p w:rsidR="0081142B" w:rsidRDefault="0081142B" w:rsidP="0081142B">
      <w:pPr>
        <w:pStyle w:val="SingleTxtGR"/>
        <w:keepLines/>
      </w:pPr>
      <w:r>
        <w:t>9.</w:t>
      </w:r>
      <w:r>
        <w:tab/>
        <w:t>Налоговым кодексом Туркменистана определены виды налогов, их характеристики в отношении объектов налогообложения и ставок. Установлены следующие виды налогов: налог на добавленную стоимость, налог на имущество, налог на прибыль (доход) юридических лиц, налог на доходы физических лиц, акциз, налог за пользование недрами.</w:t>
      </w:r>
    </w:p>
    <w:p w:rsidR="0081142B" w:rsidRDefault="0081142B" w:rsidP="0081142B">
      <w:pPr>
        <w:pStyle w:val="SingleTxtGR"/>
      </w:pPr>
      <w:r>
        <w:t>В отношении налога на добавленную стоимость Кодекс предусматривает ставку налога в размере 15%.</w:t>
      </w:r>
    </w:p>
    <w:p w:rsidR="0081142B" w:rsidRDefault="0081142B" w:rsidP="0081142B">
      <w:pPr>
        <w:pStyle w:val="SingleTxtGR"/>
      </w:pPr>
      <w:r>
        <w:t>10.</w:t>
      </w:r>
      <w:r>
        <w:tab/>
        <w:t xml:space="preserve">По экспортируемым товарам применяется нулевая ставка налога на добавленную стоимость (за исключением природного газа, нефти и продуктов их переработки), что предполагает не только освобождение от налога, но и возмещение налога, уплачиваемого поставщикам сырья, материалов. Это способствует стимулированию экспорта товаров, делает их более конкурентоспособными на мировом рынке и обеспечивает приток валюты в страну. </w:t>
      </w:r>
    </w:p>
    <w:p w:rsidR="0081142B" w:rsidRDefault="0081142B" w:rsidP="0081142B">
      <w:pPr>
        <w:pStyle w:val="SingleTxtGR"/>
      </w:pPr>
      <w:r>
        <w:t>Введены льготы по отдельным видам социально значимых товаров.</w:t>
      </w:r>
    </w:p>
    <w:p w:rsidR="0081142B" w:rsidRDefault="0081142B" w:rsidP="0081142B">
      <w:pPr>
        <w:pStyle w:val="SingleTxtGR"/>
      </w:pPr>
      <w:r>
        <w:t>11.</w:t>
      </w:r>
      <w:r>
        <w:tab/>
        <w:t>Налоговым кодексом Туркменистана предусмотрен порядок зачета налога на добавленную стоимость, который основывается на следующем:</w:t>
      </w:r>
    </w:p>
    <w:p w:rsidR="0081142B" w:rsidRDefault="0081142B" w:rsidP="0081142B">
      <w:pPr>
        <w:pStyle w:val="Bullet1GR"/>
        <w:numPr>
          <w:ilvl w:val="0"/>
          <w:numId w:val="39"/>
        </w:numPr>
        <w:autoSpaceDN w:val="0"/>
        <w:textAlignment w:val="baseline"/>
      </w:pPr>
      <w:r>
        <w:t>зачету подлежит налог на добавленную стоимость, уплачиваемый не только поставщикам продукции, работ и услуг, но и по приобретаемым основным средствам и нематериальным активам;</w:t>
      </w:r>
    </w:p>
    <w:p w:rsidR="0081142B" w:rsidRDefault="0081142B" w:rsidP="0081142B">
      <w:pPr>
        <w:pStyle w:val="Bullet1GR"/>
        <w:numPr>
          <w:ilvl w:val="0"/>
          <w:numId w:val="39"/>
        </w:numPr>
        <w:autoSpaceDN w:val="0"/>
        <w:textAlignment w:val="baseline"/>
      </w:pPr>
      <w:r>
        <w:t>зачет производится в отношении фактических сумм налога, уплаченных налогоплательщиком продукции, работ и услуг в отчетном периоде.</w:t>
      </w:r>
    </w:p>
    <w:p w:rsidR="0081142B" w:rsidRDefault="0081142B" w:rsidP="0081142B">
      <w:pPr>
        <w:pStyle w:val="SingleTxtGR"/>
      </w:pPr>
      <w:r>
        <w:t>В целях исчисления этого и других налогов введен широко применяемый в мировой практике метод начисления по мере реализации продукции (товаров), работ и услуг и при отгрузке продукции (товаров).</w:t>
      </w:r>
    </w:p>
    <w:p w:rsidR="0081142B" w:rsidRDefault="0081142B" w:rsidP="0081142B">
      <w:pPr>
        <w:pStyle w:val="SingleTxtGR"/>
      </w:pPr>
      <w:r>
        <w:t>12.</w:t>
      </w:r>
      <w:r w:rsidRPr="0060267F">
        <w:t xml:space="preserve"> </w:t>
      </w:r>
      <w:r>
        <w:tab/>
        <w:t>По налогу на имущество определен общий принцип его исчисления и ставка налога в размере 1% от стоимости имущества. При этом в налоговую базу включается только основные средства производственного назначения, а также материальные оборотные средства, используемые в производственной деятельности.</w:t>
      </w:r>
    </w:p>
    <w:p w:rsidR="0081142B" w:rsidRDefault="0081142B" w:rsidP="0081142B">
      <w:pPr>
        <w:pStyle w:val="SingleTxtGR"/>
      </w:pPr>
      <w:r>
        <w:t>13.</w:t>
      </w:r>
      <w:r w:rsidRPr="0060267F">
        <w:t xml:space="preserve"> </w:t>
      </w:r>
      <w:r>
        <w:tab/>
      </w:r>
      <w:proofErr w:type="gramStart"/>
      <w:r>
        <w:t>В</w:t>
      </w:r>
      <w:proofErr w:type="gramEnd"/>
      <w:r>
        <w:t xml:space="preserve"> отношении налога на прибыль (доход) юридических лиц в Кодексе введено следующее:</w:t>
      </w:r>
    </w:p>
    <w:p w:rsidR="0081142B" w:rsidRDefault="0081142B" w:rsidP="0081142B">
      <w:pPr>
        <w:pStyle w:val="Bullet1GR"/>
        <w:numPr>
          <w:ilvl w:val="0"/>
          <w:numId w:val="39"/>
        </w:numPr>
        <w:autoSpaceDN w:val="0"/>
        <w:textAlignment w:val="baseline"/>
      </w:pPr>
      <w:r>
        <w:tab/>
        <w:t>в качестве базы для исчисления налога на прибыль принимается сумма валового дохода, уменьшенная на сумму вычетов, т. е. допустимых расходов;</w:t>
      </w:r>
    </w:p>
    <w:p w:rsidR="0081142B" w:rsidRDefault="0081142B" w:rsidP="0081142B">
      <w:pPr>
        <w:pStyle w:val="Bullet1GR"/>
        <w:numPr>
          <w:ilvl w:val="0"/>
          <w:numId w:val="39"/>
        </w:numPr>
        <w:autoSpaceDN w:val="0"/>
        <w:textAlignment w:val="baseline"/>
      </w:pPr>
      <w:r>
        <w:t xml:space="preserve"> прибыль, подлежащая налогообложению, определяется исходя из выручки от реализации товаров, работ, услуг, исчисляемой по методу начисления;</w:t>
      </w:r>
    </w:p>
    <w:p w:rsidR="0081142B" w:rsidRDefault="0081142B" w:rsidP="0081142B">
      <w:pPr>
        <w:pStyle w:val="Bullet1GR"/>
        <w:numPr>
          <w:ilvl w:val="0"/>
          <w:numId w:val="39"/>
        </w:numPr>
        <w:autoSpaceDN w:val="0"/>
        <w:textAlignment w:val="baseline"/>
      </w:pPr>
      <w:r>
        <w:t>расходы принимаются в качестве вычетов в том периоде, к которому они относятся;</w:t>
      </w:r>
    </w:p>
    <w:p w:rsidR="0081142B" w:rsidRDefault="0081142B" w:rsidP="0081142B">
      <w:pPr>
        <w:pStyle w:val="Bullet1GR"/>
        <w:numPr>
          <w:ilvl w:val="0"/>
          <w:numId w:val="39"/>
        </w:numPr>
        <w:autoSpaceDN w:val="0"/>
        <w:textAlignment w:val="baseline"/>
      </w:pPr>
      <w:r>
        <w:t>разрешен перенос убытков прошлых лет вперед, но не более чем на три года.</w:t>
      </w:r>
    </w:p>
    <w:p w:rsidR="0081142B" w:rsidRDefault="0081142B" w:rsidP="0081142B">
      <w:pPr>
        <w:pStyle w:val="SingleTxtGR"/>
      </w:pPr>
      <w:r>
        <w:t xml:space="preserve">Кодексом установлены две ставки налога на прибыль: </w:t>
      </w:r>
    </w:p>
    <w:p w:rsidR="0081142B" w:rsidRDefault="0081142B" w:rsidP="0081142B">
      <w:pPr>
        <w:pStyle w:val="Bullet1GR"/>
        <w:numPr>
          <w:ilvl w:val="0"/>
          <w:numId w:val="39"/>
        </w:numPr>
        <w:autoSpaceDN w:val="0"/>
        <w:textAlignment w:val="baseline"/>
      </w:pPr>
      <w:r>
        <w:t>8% для предприятий негосударственной формы собственности;</w:t>
      </w:r>
    </w:p>
    <w:p w:rsidR="0081142B" w:rsidRDefault="0081142B" w:rsidP="0081142B">
      <w:pPr>
        <w:pStyle w:val="Bullet1GR"/>
        <w:numPr>
          <w:ilvl w:val="0"/>
          <w:numId w:val="39"/>
        </w:numPr>
        <w:autoSpaceDN w:val="0"/>
        <w:textAlignment w:val="baseline"/>
      </w:pPr>
      <w:r>
        <w:t>20% для других предприятий.</w:t>
      </w:r>
    </w:p>
    <w:p w:rsidR="0081142B" w:rsidRDefault="0081142B" w:rsidP="0081142B">
      <w:pPr>
        <w:pStyle w:val="SingleTxtGR"/>
      </w:pPr>
      <w:r>
        <w:t>14.</w:t>
      </w:r>
      <w:r>
        <w:tab/>
        <w:t>Для индивидуальных предпринимателей и малых предприятий введена упрощённая система налогообложения, при которой налог уплачивается по единой ставке 2% от валового дохода.</w:t>
      </w:r>
    </w:p>
    <w:p w:rsidR="0081142B" w:rsidRDefault="0081142B" w:rsidP="0081142B">
      <w:pPr>
        <w:pStyle w:val="SingleTxtGR"/>
      </w:pPr>
      <w:r>
        <w:t>15.</w:t>
      </w:r>
      <w:r>
        <w:tab/>
        <w:t xml:space="preserve">По налогу на доходы физических лиц (б. подоходный налог) установлена единая ставка в размере 10% независимо от размера получаемого дохода, при применении которой установлена система вычетов из облагаемого дохода необлагаемого минимума. </w:t>
      </w:r>
    </w:p>
    <w:p w:rsidR="0081142B" w:rsidRDefault="0081142B" w:rsidP="0081142B">
      <w:pPr>
        <w:pStyle w:val="SingleTxtGR"/>
      </w:pPr>
      <w:r>
        <w:t>16.</w:t>
      </w:r>
      <w:r>
        <w:tab/>
        <w:t xml:space="preserve">Плательщиками акциза являются юридические и физические лица при совершении ими налогооблагаемых операций, а также при ввозе подакцизных товаров на таможенную территорию Туркменистана. </w:t>
      </w:r>
    </w:p>
    <w:p w:rsidR="0081142B" w:rsidRDefault="0081142B" w:rsidP="0081142B">
      <w:pPr>
        <w:pStyle w:val="SingleTxtGR"/>
      </w:pPr>
      <w:r>
        <w:t xml:space="preserve">В системе применяемых акцизов действуют порядок исчисления и уплаты акцизов − при ввозе подакцизных товаров, а также при их производстве. Соответственно, исчисление акцизов производится от таможенной стоимости и от цены реализации (за вычетом налога на добавленную стоимость) по ставкам, дифференцированным в зависимости от вида товаров. </w:t>
      </w:r>
    </w:p>
    <w:p w:rsidR="0081142B" w:rsidRDefault="0081142B" w:rsidP="0081142B">
      <w:pPr>
        <w:pStyle w:val="SingleTxtGR"/>
      </w:pPr>
      <w:r>
        <w:t>На производимые товары (в процентах от стоимости их реализации) установлены следующие ставки акцизов:</w:t>
      </w:r>
    </w:p>
    <w:p w:rsidR="0081142B" w:rsidRDefault="0081142B" w:rsidP="0081142B">
      <w:pPr>
        <w:pStyle w:val="Bullet1GR"/>
        <w:numPr>
          <w:ilvl w:val="0"/>
          <w:numId w:val="39"/>
        </w:numPr>
        <w:autoSpaceDN w:val="0"/>
        <w:textAlignment w:val="baseline"/>
      </w:pPr>
      <w:r>
        <w:t>пиво – 10%;</w:t>
      </w:r>
    </w:p>
    <w:p w:rsidR="0081142B" w:rsidRDefault="0081142B" w:rsidP="0081142B">
      <w:pPr>
        <w:pStyle w:val="Bullet1GR"/>
        <w:numPr>
          <w:ilvl w:val="0"/>
          <w:numId w:val="39"/>
        </w:numPr>
        <w:autoSpaceDN w:val="0"/>
        <w:textAlignment w:val="baseline"/>
      </w:pPr>
      <w:r>
        <w:t>алкогольные напитки, в зависимости от содержания алкоголя – от 15 до 40%;</w:t>
      </w:r>
    </w:p>
    <w:p w:rsidR="0081142B" w:rsidRDefault="0081142B" w:rsidP="0081142B">
      <w:pPr>
        <w:pStyle w:val="Bullet1GR"/>
        <w:numPr>
          <w:ilvl w:val="0"/>
          <w:numId w:val="39"/>
        </w:numPr>
        <w:autoSpaceDN w:val="0"/>
        <w:textAlignment w:val="baseline"/>
      </w:pPr>
      <w:r>
        <w:t>бензины, дизельное топливо – 40%.</w:t>
      </w:r>
    </w:p>
    <w:p w:rsidR="0081142B" w:rsidRDefault="0081142B" w:rsidP="0081142B">
      <w:pPr>
        <w:pStyle w:val="SingleTxtGR"/>
      </w:pPr>
      <w:r>
        <w:t>На ввозимые товары установлены следующие ставки акцизов:</w:t>
      </w:r>
    </w:p>
    <w:p w:rsidR="0081142B" w:rsidRDefault="0081142B" w:rsidP="0081142B">
      <w:pPr>
        <w:pStyle w:val="Bullet1GR"/>
        <w:numPr>
          <w:ilvl w:val="0"/>
          <w:numId w:val="39"/>
        </w:numPr>
        <w:autoSpaceDN w:val="0"/>
        <w:textAlignment w:val="baseline"/>
      </w:pPr>
      <w:r>
        <w:t xml:space="preserve">пиво – 50% от таможенной стоимости, но не менее 4 </w:t>
      </w:r>
      <w:proofErr w:type="spellStart"/>
      <w:r>
        <w:t>манатов</w:t>
      </w:r>
      <w:proofErr w:type="spellEnd"/>
      <w:r>
        <w:t xml:space="preserve"> за 1 литр;</w:t>
      </w:r>
    </w:p>
    <w:p w:rsidR="0081142B" w:rsidRDefault="0081142B" w:rsidP="0081142B">
      <w:pPr>
        <w:pStyle w:val="Bullet1GR"/>
        <w:numPr>
          <w:ilvl w:val="0"/>
          <w:numId w:val="39"/>
        </w:numPr>
        <w:autoSpaceDN w:val="0"/>
        <w:textAlignment w:val="baseline"/>
      </w:pPr>
      <w:r>
        <w:t>алкогольные напитки – 100% от таможенной стоимости, но не менее 20−30 </w:t>
      </w:r>
      <w:proofErr w:type="spellStart"/>
      <w:r>
        <w:t>манатов</w:t>
      </w:r>
      <w:proofErr w:type="spellEnd"/>
      <w:r>
        <w:t xml:space="preserve"> за 1 литр в зависимости от содержания алкоголя;</w:t>
      </w:r>
    </w:p>
    <w:p w:rsidR="0081142B" w:rsidRDefault="0081142B" w:rsidP="0081142B">
      <w:pPr>
        <w:pStyle w:val="Bullet1GR"/>
        <w:numPr>
          <w:ilvl w:val="0"/>
          <w:numId w:val="39"/>
        </w:numPr>
        <w:autoSpaceDN w:val="0"/>
        <w:textAlignment w:val="baseline"/>
      </w:pPr>
      <w:r>
        <w:t>спирт – 4 доллара США за 1 литр;</w:t>
      </w:r>
    </w:p>
    <w:p w:rsidR="0081142B" w:rsidRDefault="0081142B" w:rsidP="0081142B">
      <w:pPr>
        <w:pStyle w:val="Bullet1GR"/>
        <w:numPr>
          <w:ilvl w:val="0"/>
          <w:numId w:val="39"/>
        </w:numPr>
        <w:autoSpaceDN w:val="0"/>
        <w:textAlignment w:val="baseline"/>
      </w:pPr>
      <w:r>
        <w:t>табачные изделия − 30% от таможенной стоимости, но не менее 0,5 доллара США за 1 пачку;</w:t>
      </w:r>
    </w:p>
    <w:p w:rsidR="0081142B" w:rsidRDefault="0081142B" w:rsidP="0081142B">
      <w:pPr>
        <w:pStyle w:val="Bullet1GR"/>
        <w:numPr>
          <w:ilvl w:val="0"/>
          <w:numId w:val="39"/>
        </w:numPr>
        <w:autoSpaceDN w:val="0"/>
        <w:textAlignment w:val="baseline"/>
      </w:pPr>
      <w:r>
        <w:t>прочий промышленно изготовленный табак и промышленные заменители табака − 10 долларов США за 1 кг;</w:t>
      </w:r>
    </w:p>
    <w:p w:rsidR="0081142B" w:rsidRDefault="0081142B" w:rsidP="0081142B">
      <w:pPr>
        <w:pStyle w:val="Bullet1GR"/>
        <w:numPr>
          <w:ilvl w:val="0"/>
          <w:numId w:val="39"/>
        </w:numPr>
        <w:autoSpaceDN w:val="0"/>
        <w:textAlignment w:val="baseline"/>
      </w:pPr>
      <w:r>
        <w:t>легковые автомобили – 0,3 доллара США за 1 куб. см рабочего объема двигателя.</w:t>
      </w:r>
    </w:p>
    <w:p w:rsidR="0081142B" w:rsidRDefault="0081142B" w:rsidP="0081142B">
      <w:pPr>
        <w:pStyle w:val="SingleTxtGR"/>
      </w:pPr>
      <w:r>
        <w:t>17.</w:t>
      </w:r>
      <w:r>
        <w:tab/>
        <w:t>Плательщиками налога за пользование недрами являются юридические лица и физические лица–индивидуальные предприниматели, осуществляющие добычу полезных ископаемых, добывающие и использующие подземные (наземные) воды для извлечения химических элементов и соединений на территории Туркменистана.</w:t>
      </w:r>
    </w:p>
    <w:p w:rsidR="0081142B" w:rsidRDefault="0081142B" w:rsidP="0081142B">
      <w:pPr>
        <w:pStyle w:val="SingleTxtGR"/>
      </w:pPr>
      <w:r>
        <w:t>По налогу за пользование недрами ставка налога по газу установлена в размере 22%, а по сырой нефти − 10% от объема реализации.</w:t>
      </w:r>
    </w:p>
    <w:p w:rsidR="0081142B" w:rsidRDefault="0081142B" w:rsidP="0081142B">
      <w:pPr>
        <w:pStyle w:val="SingleTxtGR"/>
      </w:pPr>
      <w:r>
        <w:t>По другим полезным ископаемым налог исчисляется от прибыли по дифференцированным ставкам от 30 до 50% в зависимости от рентабельности, превышающей 15%. Установленные ставки налога на период опытно-промышленной эксплуатации месторождений, но не более чем сроком на три года, снижаются на 50%.</w:t>
      </w:r>
    </w:p>
    <w:p w:rsidR="0081142B" w:rsidRDefault="0081142B" w:rsidP="0081142B">
      <w:pPr>
        <w:pStyle w:val="SingleTxtGR"/>
      </w:pPr>
      <w:r>
        <w:t>18.</w:t>
      </w:r>
      <w:r>
        <w:tab/>
        <w:t>Кодексом предусмотрены льготы и освобождения от уплаты налогов.</w:t>
      </w:r>
    </w:p>
    <w:p w:rsidR="0081142B" w:rsidRDefault="0081142B" w:rsidP="0081142B">
      <w:pPr>
        <w:pStyle w:val="SingleTxtGR"/>
      </w:pPr>
      <w:r>
        <w:t>19.</w:t>
      </w:r>
      <w:r>
        <w:tab/>
        <w:t xml:space="preserve">Установлен порядок налогообложения доходов от игорной деятельности в виде фиксированной суммы налога. </w:t>
      </w:r>
    </w:p>
    <w:p w:rsidR="0081142B" w:rsidRPr="008978CF" w:rsidRDefault="0081142B" w:rsidP="0081142B">
      <w:pPr>
        <w:suppressAutoHyphens w:val="0"/>
        <w:spacing w:line="240" w:lineRule="auto"/>
        <w:rPr>
          <w:b/>
          <w:lang w:eastAsia="ru-RU"/>
        </w:rPr>
      </w:pPr>
      <w:r w:rsidRPr="008978CF">
        <w:br w:type="page"/>
      </w:r>
    </w:p>
    <w:p w:rsidR="0081142B" w:rsidRDefault="0081142B" w:rsidP="0081142B">
      <w:pPr>
        <w:pStyle w:val="H23GR"/>
      </w:pPr>
      <w:r>
        <w:tab/>
      </w:r>
      <w:r>
        <w:tab/>
        <w:t>г</w:t>
      </w:r>
      <w:r>
        <w:rPr>
          <w:lang w:val="tk-TM"/>
        </w:rPr>
        <w:t>)</w:t>
      </w:r>
    </w:p>
    <w:p w:rsidR="0081142B" w:rsidRDefault="0081142B" w:rsidP="0081142B">
      <w:pPr>
        <w:pStyle w:val="H23GR"/>
      </w:pPr>
      <w:r>
        <w:tab/>
      </w:r>
      <w:r>
        <w:tab/>
        <w:t>Структура расходов государственного бюджета Туркменистана</w:t>
      </w:r>
    </w:p>
    <w:tbl>
      <w:tblPr>
        <w:tblW w:w="8504" w:type="dxa"/>
        <w:tblInd w:w="1134" w:type="dxa"/>
        <w:tblLayout w:type="fixed"/>
        <w:tblCellMar>
          <w:left w:w="10" w:type="dxa"/>
          <w:right w:w="10" w:type="dxa"/>
        </w:tblCellMar>
        <w:tblLook w:val="0000" w:firstRow="0" w:lastRow="0" w:firstColumn="0" w:lastColumn="0" w:noHBand="0" w:noVBand="0"/>
      </w:tblPr>
      <w:tblGrid>
        <w:gridCol w:w="3119"/>
        <w:gridCol w:w="538"/>
        <w:gridCol w:w="539"/>
        <w:gridCol w:w="538"/>
        <w:gridCol w:w="539"/>
        <w:gridCol w:w="538"/>
        <w:gridCol w:w="539"/>
        <w:gridCol w:w="538"/>
        <w:gridCol w:w="539"/>
        <w:gridCol w:w="538"/>
        <w:gridCol w:w="539"/>
      </w:tblGrid>
      <w:tr w:rsidR="0081142B" w:rsidTr="0081142B">
        <w:trPr>
          <w:tblHeader/>
        </w:trPr>
        <w:tc>
          <w:tcPr>
            <w:tcW w:w="311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uppressAutoHyphens w:val="0"/>
              <w:spacing w:before="80" w:after="80" w:line="220" w:lineRule="atLeast"/>
              <w:rPr>
                <w:i/>
                <w:sz w:val="16"/>
                <w:lang w:eastAsia="ru-RU"/>
              </w:rPr>
            </w:pP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2008</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2009</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2010</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2011</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2012</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2013</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2014</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2015</w:t>
            </w:r>
          </w:p>
        </w:tc>
        <w:tc>
          <w:tcPr>
            <w:tcW w:w="538"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2016</w:t>
            </w:r>
          </w:p>
        </w:tc>
        <w:tc>
          <w:tcPr>
            <w:tcW w:w="53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20" w:lineRule="atLeast"/>
              <w:jc w:val="right"/>
              <w:rPr>
                <w:i/>
                <w:sz w:val="16"/>
                <w:lang w:eastAsia="ru-RU"/>
              </w:rPr>
            </w:pPr>
            <w:r>
              <w:rPr>
                <w:i/>
                <w:sz w:val="16"/>
                <w:lang w:eastAsia="ru-RU"/>
              </w:rPr>
              <w:t>2017</w:t>
            </w:r>
          </w:p>
        </w:tc>
      </w:tr>
      <w:tr w:rsidR="0081142B" w:rsidTr="0081142B">
        <w:tc>
          <w:tcPr>
            <w:tcW w:w="3119" w:type="dxa"/>
            <w:tcBorders>
              <w:top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Расходы государственного бюджета в процентах от ВВП</w:t>
            </w:r>
          </w:p>
        </w:tc>
        <w:tc>
          <w:tcPr>
            <w:tcW w:w="538"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10,9</w:t>
            </w:r>
          </w:p>
        </w:tc>
        <w:tc>
          <w:tcPr>
            <w:tcW w:w="53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17,6</w:t>
            </w:r>
          </w:p>
        </w:tc>
        <w:tc>
          <w:tcPr>
            <w:tcW w:w="538"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13,8</w:t>
            </w:r>
          </w:p>
        </w:tc>
        <w:tc>
          <w:tcPr>
            <w:tcW w:w="53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14,6</w:t>
            </w:r>
          </w:p>
        </w:tc>
        <w:tc>
          <w:tcPr>
            <w:tcW w:w="538"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14,7</w:t>
            </w:r>
          </w:p>
        </w:tc>
        <w:tc>
          <w:tcPr>
            <w:tcW w:w="53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16,9</w:t>
            </w:r>
          </w:p>
        </w:tc>
        <w:tc>
          <w:tcPr>
            <w:tcW w:w="538"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17,0</w:t>
            </w:r>
          </w:p>
        </w:tc>
        <w:tc>
          <w:tcPr>
            <w:tcW w:w="53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17,3</w:t>
            </w:r>
          </w:p>
        </w:tc>
        <w:tc>
          <w:tcPr>
            <w:tcW w:w="538"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14,1</w:t>
            </w:r>
          </w:p>
        </w:tc>
        <w:tc>
          <w:tcPr>
            <w:tcW w:w="53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7,9</w:t>
            </w:r>
          </w:p>
        </w:tc>
      </w:tr>
      <w:tr w:rsidR="0081142B" w:rsidTr="0081142B">
        <w:tc>
          <w:tcPr>
            <w:tcW w:w="311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образование в общих расходах государственного бюджета, в процентах</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25,3</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17,0</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24,0</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23,4</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24,3</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25,6</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27,4</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23,1</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23,4</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21,1</w:t>
            </w:r>
          </w:p>
        </w:tc>
      </w:tr>
      <w:tr w:rsidR="0081142B" w:rsidTr="0081142B">
        <w:tc>
          <w:tcPr>
            <w:tcW w:w="311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здравоохранение в общих расходах государственного бюджета, в</w:t>
            </w:r>
            <w:r>
              <w:rPr>
                <w:sz w:val="18"/>
                <w:szCs w:val="18"/>
                <w:lang w:eastAsia="ru-RU"/>
              </w:rPr>
              <w:t> </w:t>
            </w:r>
            <w:r w:rsidRPr="008978CF">
              <w:rPr>
                <w:sz w:val="18"/>
                <w:szCs w:val="18"/>
                <w:lang w:eastAsia="ru-RU"/>
              </w:rPr>
              <w:t>процентах</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8,7</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6,3</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7,6</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7,3</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6,8</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6,4</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6,6</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6,9</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7,8</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8,9</w:t>
            </w:r>
          </w:p>
        </w:tc>
      </w:tr>
      <w:tr w:rsidR="0081142B" w:rsidTr="0081142B">
        <w:tc>
          <w:tcPr>
            <w:tcW w:w="311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жилищно-коммунальное хозяйство в общих расходах государственного бюджета, в</w:t>
            </w:r>
            <w:r>
              <w:rPr>
                <w:sz w:val="18"/>
                <w:szCs w:val="18"/>
                <w:lang w:eastAsia="ru-RU"/>
              </w:rPr>
              <w:t> </w:t>
            </w:r>
            <w:r w:rsidRPr="008978CF">
              <w:rPr>
                <w:sz w:val="18"/>
                <w:szCs w:val="18"/>
                <w:lang w:eastAsia="ru-RU"/>
              </w:rPr>
              <w:t>процентах</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8,1</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14,9</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15,6</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17,7</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18,9</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19,5</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20,7</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21,9</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13,9</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21,8</w:t>
            </w:r>
          </w:p>
        </w:tc>
      </w:tr>
      <w:tr w:rsidR="0081142B" w:rsidTr="0081142B">
        <w:tc>
          <w:tcPr>
            <w:tcW w:w="311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водоснабжение в общих расходах на жилищно-коммунальное хозяйство, в</w:t>
            </w:r>
            <w:r>
              <w:rPr>
                <w:sz w:val="18"/>
                <w:szCs w:val="18"/>
                <w:lang w:eastAsia="ru-RU"/>
              </w:rPr>
              <w:t> </w:t>
            </w:r>
            <w:r w:rsidRPr="008978CF">
              <w:rPr>
                <w:sz w:val="18"/>
                <w:szCs w:val="18"/>
                <w:lang w:eastAsia="ru-RU"/>
              </w:rPr>
              <w:t>процентах</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10,3</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4,2</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4,5</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3,8</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3,3</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2,9</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3,7</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4,1</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6,8</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3,6</w:t>
            </w:r>
          </w:p>
        </w:tc>
      </w:tr>
      <w:tr w:rsidR="0081142B" w:rsidTr="0081142B">
        <w:tc>
          <w:tcPr>
            <w:tcW w:w="3119"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жилищное строительство и коммунальное развитие, в общих расходах на жилищно-коммунальное хозяйство, в</w:t>
            </w:r>
            <w:r>
              <w:rPr>
                <w:sz w:val="18"/>
                <w:szCs w:val="18"/>
                <w:lang w:eastAsia="ru-RU"/>
              </w:rPr>
              <w:t> </w:t>
            </w:r>
            <w:r w:rsidRPr="008978CF">
              <w:rPr>
                <w:sz w:val="18"/>
                <w:szCs w:val="18"/>
                <w:lang w:eastAsia="ru-RU"/>
              </w:rPr>
              <w:t>процентах</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28,2</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79,6</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72,2</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77,3</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80,9</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83,2</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83,0</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81,1</w:t>
            </w:r>
          </w:p>
        </w:tc>
        <w:tc>
          <w:tcPr>
            <w:tcW w:w="538"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69,3</w:t>
            </w:r>
          </w:p>
        </w:tc>
        <w:tc>
          <w:tcPr>
            <w:tcW w:w="539"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83,7</w:t>
            </w:r>
          </w:p>
        </w:tc>
      </w:tr>
      <w:tr w:rsidR="0081142B" w:rsidTr="0081142B">
        <w:tc>
          <w:tcPr>
            <w:tcW w:w="3119" w:type="dxa"/>
            <w:tcBorders>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Удельный вес расходов на санитарные мероприятия, в общих расходах на жилищно-коммунальное хозяйство, в</w:t>
            </w:r>
            <w:r>
              <w:rPr>
                <w:sz w:val="18"/>
                <w:szCs w:val="18"/>
                <w:lang w:eastAsia="ru-RU"/>
              </w:rPr>
              <w:t> </w:t>
            </w:r>
            <w:r w:rsidRPr="008978CF">
              <w:rPr>
                <w:sz w:val="18"/>
                <w:szCs w:val="18"/>
                <w:lang w:eastAsia="ru-RU"/>
              </w:rPr>
              <w:t>процентах</w:t>
            </w:r>
          </w:p>
        </w:tc>
        <w:tc>
          <w:tcPr>
            <w:tcW w:w="538"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4,1</w:t>
            </w:r>
          </w:p>
        </w:tc>
        <w:tc>
          <w:tcPr>
            <w:tcW w:w="53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1,3</w:t>
            </w:r>
          </w:p>
        </w:tc>
        <w:tc>
          <w:tcPr>
            <w:tcW w:w="538"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1,6</w:t>
            </w:r>
          </w:p>
        </w:tc>
        <w:tc>
          <w:tcPr>
            <w:tcW w:w="53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w:t>
            </w:r>
          </w:p>
        </w:tc>
        <w:tc>
          <w:tcPr>
            <w:tcW w:w="538"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1,2</w:t>
            </w:r>
          </w:p>
        </w:tc>
        <w:tc>
          <w:tcPr>
            <w:tcW w:w="53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w:t>
            </w:r>
          </w:p>
        </w:tc>
        <w:tc>
          <w:tcPr>
            <w:tcW w:w="538"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0,9</w:t>
            </w:r>
          </w:p>
        </w:tc>
        <w:tc>
          <w:tcPr>
            <w:tcW w:w="53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w:t>
            </w:r>
          </w:p>
        </w:tc>
        <w:tc>
          <w:tcPr>
            <w:tcW w:w="538"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1,9</w:t>
            </w:r>
          </w:p>
        </w:tc>
        <w:tc>
          <w:tcPr>
            <w:tcW w:w="53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w:t>
            </w:r>
          </w:p>
        </w:tc>
      </w:tr>
    </w:tbl>
    <w:p w:rsidR="0081142B" w:rsidRDefault="0081142B" w:rsidP="0081142B">
      <w:pPr>
        <w:pStyle w:val="H23GR"/>
      </w:pPr>
      <w:r>
        <w:rPr>
          <w:lang w:val="en-GB"/>
        </w:rPr>
        <w:tab/>
      </w:r>
      <w:r>
        <w:rPr>
          <w:lang w:val="en-GB"/>
        </w:rPr>
        <w:tab/>
      </w:r>
      <w:r>
        <w:t>д)</w:t>
      </w:r>
    </w:p>
    <w:p w:rsidR="0081142B" w:rsidRDefault="0081142B" w:rsidP="0081142B">
      <w:pPr>
        <w:pStyle w:val="H23GR"/>
      </w:pPr>
      <w:r>
        <w:tab/>
      </w:r>
      <w:r>
        <w:tab/>
        <w:t xml:space="preserve">Расходы государственного бюджета Туркменистана, млн </w:t>
      </w:r>
      <w:proofErr w:type="spellStart"/>
      <w:r>
        <w:t>манатов</w:t>
      </w:r>
      <w:proofErr w:type="spellEnd"/>
    </w:p>
    <w:tbl>
      <w:tblPr>
        <w:tblW w:w="9637" w:type="dxa"/>
        <w:tblLayout w:type="fixed"/>
        <w:tblCellMar>
          <w:left w:w="10" w:type="dxa"/>
          <w:right w:w="10" w:type="dxa"/>
        </w:tblCellMar>
        <w:tblLook w:val="0000" w:firstRow="0" w:lastRow="0" w:firstColumn="0" w:lastColumn="0" w:noHBand="0" w:noVBand="0"/>
      </w:tblPr>
      <w:tblGrid>
        <w:gridCol w:w="1889"/>
        <w:gridCol w:w="774"/>
        <w:gridCol w:w="775"/>
        <w:gridCol w:w="775"/>
        <w:gridCol w:w="775"/>
        <w:gridCol w:w="775"/>
        <w:gridCol w:w="774"/>
        <w:gridCol w:w="775"/>
        <w:gridCol w:w="775"/>
        <w:gridCol w:w="775"/>
        <w:gridCol w:w="775"/>
      </w:tblGrid>
      <w:tr w:rsidR="0081142B" w:rsidTr="0081142B">
        <w:trPr>
          <w:tblHeader/>
        </w:trPr>
        <w:tc>
          <w:tcPr>
            <w:tcW w:w="188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tabs>
                <w:tab w:val="left" w:pos="250"/>
              </w:tabs>
              <w:suppressAutoHyphens w:val="0"/>
              <w:spacing w:before="80" w:after="80" w:line="200" w:lineRule="exact"/>
              <w:rPr>
                <w:i/>
                <w:sz w:val="16"/>
                <w:lang w:eastAsia="ru-RU"/>
              </w:rPr>
            </w:pPr>
          </w:p>
        </w:tc>
        <w:tc>
          <w:tcPr>
            <w:tcW w:w="774"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2008</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2009</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2010</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2011</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2012</w:t>
            </w:r>
          </w:p>
        </w:tc>
        <w:tc>
          <w:tcPr>
            <w:tcW w:w="774"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2013</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2014</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2015</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2016</w:t>
            </w:r>
          </w:p>
        </w:tc>
        <w:tc>
          <w:tcPr>
            <w:tcW w:w="7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szCs w:val="16"/>
                <w:lang w:eastAsia="ru-RU"/>
              </w:rPr>
            </w:pPr>
            <w:r>
              <w:rPr>
                <w:i/>
                <w:sz w:val="16"/>
                <w:szCs w:val="16"/>
                <w:lang w:eastAsia="ru-RU"/>
              </w:rPr>
              <w:t>2017</w:t>
            </w:r>
          </w:p>
        </w:tc>
      </w:tr>
      <w:tr w:rsidR="0081142B" w:rsidTr="0081142B">
        <w:tc>
          <w:tcPr>
            <w:tcW w:w="188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rPr>
                <w:sz w:val="18"/>
                <w:szCs w:val="18"/>
                <w:lang w:eastAsia="ru-RU"/>
              </w:rPr>
            </w:pPr>
            <w:r>
              <w:rPr>
                <w:sz w:val="18"/>
                <w:szCs w:val="18"/>
                <w:lang w:eastAsia="ru-RU"/>
              </w:rPr>
              <w:t>Расходы Государственного бюджета</w:t>
            </w:r>
          </w:p>
        </w:tc>
        <w:tc>
          <w:tcPr>
            <w:tcW w:w="774"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5 375,3</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10 124,2</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8 877,5</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12 179,9</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14 694,6</w:t>
            </w:r>
          </w:p>
        </w:tc>
        <w:tc>
          <w:tcPr>
            <w:tcW w:w="774"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18 852,9</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21101,0</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21693,1</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17 831,2</w:t>
            </w:r>
          </w:p>
        </w:tc>
        <w:tc>
          <w:tcPr>
            <w:tcW w:w="7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23785,4</w:t>
            </w: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rPr>
                <w:i/>
                <w:sz w:val="18"/>
                <w:szCs w:val="18"/>
                <w:lang w:eastAsia="ru-RU"/>
              </w:rPr>
            </w:pPr>
            <w:r>
              <w:rPr>
                <w:i/>
                <w:sz w:val="18"/>
                <w:szCs w:val="18"/>
                <w:lang w:eastAsia="ru-RU"/>
              </w:rPr>
              <w:t>из них на:</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rPr>
                <w:sz w:val="18"/>
                <w:szCs w:val="18"/>
                <w:lang w:eastAsia="ru-RU"/>
              </w:rPr>
            </w:pPr>
            <w:r>
              <w:rPr>
                <w:sz w:val="18"/>
                <w:szCs w:val="18"/>
                <w:lang w:eastAsia="ru-RU"/>
              </w:rPr>
              <w:t>образование</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1 361,5</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1 721,3</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2 128,9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2 849,9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3 569,6</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4 820,6</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5 781,1</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5 011,4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4 170,9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5028,9</w:t>
            </w: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rPr>
                <w:sz w:val="18"/>
                <w:szCs w:val="18"/>
                <w:lang w:eastAsia="ru-RU"/>
              </w:rPr>
            </w:pPr>
            <w:r>
              <w:rPr>
                <w:sz w:val="18"/>
                <w:szCs w:val="18"/>
                <w:lang w:eastAsia="ru-RU"/>
              </w:rPr>
              <w:t>здравоохранение</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468,4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639,4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672,4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894,9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996,7</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1 207,6</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1 400,2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1 496,2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1 386,0</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2122,5</w:t>
            </w: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rPr>
                <w:sz w:val="18"/>
                <w:szCs w:val="18"/>
                <w:lang w:eastAsia="ru-RU"/>
              </w:rPr>
            </w:pPr>
            <w:r>
              <w:rPr>
                <w:sz w:val="18"/>
                <w:szCs w:val="18"/>
                <w:lang w:eastAsia="ru-RU"/>
              </w:rPr>
              <w:t>жилищно-коммунальное хозяйство</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433,2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1 505,8</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1 383,2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2 153,2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2 773,4</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3 679,7</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4 374,7</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4 752,9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2 476,4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5194,3</w:t>
            </w: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pPr>
            <w:r>
              <w:rPr>
                <w:i/>
                <w:sz w:val="18"/>
                <w:szCs w:val="18"/>
                <w:lang w:eastAsia="ru-RU"/>
              </w:rPr>
              <w:t>из него:</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p>
        </w:tc>
      </w:tr>
      <w:tr w:rsidR="0081142B" w:rsidTr="0081142B">
        <w:tc>
          <w:tcPr>
            <w:tcW w:w="1889" w:type="dxa"/>
            <w:shd w:val="clear" w:color="auto" w:fill="auto"/>
            <w:tcMar>
              <w:top w:w="0" w:type="dxa"/>
              <w:left w:w="28" w:type="dxa"/>
              <w:bottom w:w="0" w:type="dxa"/>
              <w:right w:w="28" w:type="dxa"/>
            </w:tcMar>
            <w:vAlign w:val="bottom"/>
          </w:tcPr>
          <w:p w:rsidR="0081142B" w:rsidRDefault="0081142B" w:rsidP="0081142B">
            <w:pPr>
              <w:tabs>
                <w:tab w:val="left" w:pos="250"/>
              </w:tabs>
              <w:spacing w:before="40" w:after="40" w:line="220" w:lineRule="atLeast"/>
              <w:ind w:left="250" w:hanging="250"/>
              <w:rPr>
                <w:sz w:val="18"/>
                <w:szCs w:val="18"/>
                <w:lang w:eastAsia="ru-RU"/>
              </w:rPr>
            </w:pPr>
            <w:r>
              <w:rPr>
                <w:sz w:val="18"/>
                <w:szCs w:val="18"/>
                <w:lang w:eastAsia="ru-RU"/>
              </w:rPr>
              <w:t>на водоснабжение</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44,6</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62,8</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62,5</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81,1</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92,5</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108,5</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161,6</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194,5</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167,6</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188,7</w:t>
            </w:r>
          </w:p>
        </w:tc>
      </w:tr>
      <w:tr w:rsidR="0081142B" w:rsidTr="0081142B">
        <w:tc>
          <w:tcPr>
            <w:tcW w:w="1889" w:type="dxa"/>
            <w:shd w:val="clear" w:color="auto" w:fill="auto"/>
            <w:tcMar>
              <w:top w:w="0" w:type="dxa"/>
              <w:left w:w="28" w:type="dxa"/>
              <w:bottom w:w="0" w:type="dxa"/>
              <w:right w:w="28" w:type="dxa"/>
            </w:tcMar>
            <w:vAlign w:val="bottom"/>
          </w:tcPr>
          <w:p w:rsidR="0081142B" w:rsidRPr="008978CF" w:rsidRDefault="0081142B" w:rsidP="0081142B">
            <w:pPr>
              <w:tabs>
                <w:tab w:val="left" w:pos="250"/>
              </w:tabs>
              <w:spacing w:before="40" w:after="40" w:line="220" w:lineRule="atLeast"/>
              <w:rPr>
                <w:sz w:val="18"/>
                <w:szCs w:val="18"/>
                <w:lang w:eastAsia="ru-RU"/>
              </w:rPr>
            </w:pPr>
            <w:r w:rsidRPr="008978CF">
              <w:rPr>
                <w:sz w:val="18"/>
                <w:szCs w:val="18"/>
                <w:lang w:eastAsia="ru-RU"/>
              </w:rPr>
              <w:t>на жилищное строительство и коммунальное развитие</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122,2</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1 199,1</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999,3</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1 663,4</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2 243,6</w:t>
            </w:r>
          </w:p>
        </w:tc>
        <w:tc>
          <w:tcPr>
            <w:tcW w:w="774"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3 061,5</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3 632,9</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3 856,1</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1 715,1</w:t>
            </w:r>
          </w:p>
        </w:tc>
        <w:tc>
          <w:tcPr>
            <w:tcW w:w="7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4347,8</w:t>
            </w:r>
          </w:p>
        </w:tc>
      </w:tr>
      <w:tr w:rsidR="0081142B" w:rsidTr="0081142B">
        <w:tc>
          <w:tcPr>
            <w:tcW w:w="1889" w:type="dxa"/>
            <w:tcBorders>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tabs>
                <w:tab w:val="left" w:pos="250"/>
              </w:tabs>
              <w:spacing w:before="40" w:after="40" w:line="220" w:lineRule="atLeast"/>
              <w:rPr>
                <w:sz w:val="18"/>
                <w:szCs w:val="18"/>
                <w:lang w:eastAsia="ru-RU"/>
              </w:rPr>
            </w:pPr>
            <w:r w:rsidRPr="008978CF">
              <w:rPr>
                <w:sz w:val="18"/>
                <w:szCs w:val="18"/>
                <w:lang w:eastAsia="ru-RU"/>
              </w:rPr>
              <w:t>на санитарные мероприятия, включая меры по ограничению и контролю за загрязнением окружающей среды</w:t>
            </w:r>
          </w:p>
        </w:tc>
        <w:tc>
          <w:tcPr>
            <w:tcW w:w="774"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17,6</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19,7</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21,5</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30,1</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32,6</w:t>
            </w:r>
          </w:p>
        </w:tc>
        <w:tc>
          <w:tcPr>
            <w:tcW w:w="774"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37,1</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40,4</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47,3</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46,4</w:t>
            </w:r>
          </w:p>
        </w:tc>
        <w:tc>
          <w:tcPr>
            <w:tcW w:w="7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51,0</w:t>
            </w:r>
          </w:p>
        </w:tc>
      </w:tr>
    </w:tbl>
    <w:p w:rsidR="0081142B" w:rsidRDefault="0081142B" w:rsidP="0081142B">
      <w:pPr>
        <w:pStyle w:val="H1GR"/>
        <w:rPr>
          <w:lang w:val="en-GB"/>
        </w:rPr>
      </w:pPr>
      <w:r>
        <w:rPr>
          <w:lang w:val="en-GB"/>
        </w:rPr>
        <w:tab/>
      </w:r>
      <w:r>
        <w:rPr>
          <w:lang w:val="en-GB"/>
        </w:rPr>
        <w:tab/>
      </w:r>
      <w:proofErr w:type="spellStart"/>
      <w:r>
        <w:rPr>
          <w:lang w:val="en-GB"/>
        </w:rPr>
        <w:t>Недискриминация</w:t>
      </w:r>
      <w:proofErr w:type="spellEnd"/>
      <w:r>
        <w:rPr>
          <w:lang w:val="en-GB"/>
        </w:rPr>
        <w:t xml:space="preserve"> (</w:t>
      </w:r>
      <w:proofErr w:type="spellStart"/>
      <w:r>
        <w:rPr>
          <w:lang w:val="en-GB"/>
        </w:rPr>
        <w:t>статья</w:t>
      </w:r>
      <w:proofErr w:type="spellEnd"/>
      <w:r>
        <w:rPr>
          <w:lang w:val="en-GB"/>
        </w:rPr>
        <w:t xml:space="preserve"> 2(2))</w:t>
      </w:r>
    </w:p>
    <w:p w:rsidR="0081142B" w:rsidRDefault="0081142B" w:rsidP="0081142B">
      <w:pPr>
        <w:pStyle w:val="H23GR"/>
      </w:pPr>
      <w:r>
        <w:tab/>
      </w:r>
      <w:r>
        <w:tab/>
        <w:t>Пункт 5</w:t>
      </w:r>
    </w:p>
    <w:p w:rsidR="0081142B" w:rsidRDefault="0081142B" w:rsidP="0081142B">
      <w:pPr>
        <w:pStyle w:val="SingleTxtGR"/>
      </w:pPr>
      <w:r>
        <w:t>20.|</w:t>
      </w:r>
      <w:r>
        <w:tab/>
        <w:t>Конституция Туркменистана, равно как и все национальные законодательные акты содержат нормы, запрещающие дискриминацию.</w:t>
      </w:r>
    </w:p>
    <w:p w:rsidR="0081142B" w:rsidRDefault="0081142B" w:rsidP="0081142B">
      <w:pPr>
        <w:pStyle w:val="SingleTxtGR"/>
      </w:pPr>
      <w:r>
        <w:t>21.</w:t>
      </w:r>
      <w:r>
        <w:tab/>
        <w:t xml:space="preserve">Конституция Туркменистана гарантирует равенство прав и свобод человека и гражданина, а также равенство человека и гражданина перед законом и судом независимо от 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 При этом представителям этнических меньшинств, в том числе различным национальным и социальным слоям населения, как гражданам Туркменистана, гарантируются все права и свободы, предусмотренные Конституцией и законами Туркменистана (ст. 28). </w:t>
      </w:r>
    </w:p>
    <w:p w:rsidR="0081142B" w:rsidRDefault="0081142B" w:rsidP="0081142B">
      <w:pPr>
        <w:pStyle w:val="SingleTxtGR"/>
      </w:pPr>
      <w:r>
        <w:t>22.</w:t>
      </w:r>
      <w:r>
        <w:tab/>
        <w:t>Конституцией Туркменистана также закреплено, что мужчина и женщина в Туркменистане имеют не только равные права и свободы, но и равные возможности для их реализации. Нарушение равноправия по признаку пола влечёт ответственность, установленную законом (ст. 29).</w:t>
      </w:r>
    </w:p>
    <w:p w:rsidR="0081142B" w:rsidRDefault="0081142B" w:rsidP="0081142B">
      <w:pPr>
        <w:pStyle w:val="SingleTxtGR"/>
      </w:pPr>
      <w:r>
        <w:t>23.</w:t>
      </w:r>
      <w:r>
        <w:tab/>
        <w:t>В Законе</w:t>
      </w:r>
      <w:r>
        <w:rPr>
          <w:lang w:val="sq-AL"/>
        </w:rPr>
        <w:t xml:space="preserve"> </w:t>
      </w:r>
      <w:r>
        <w:t>«Об образовании»</w:t>
      </w:r>
      <w:r>
        <w:rPr>
          <w:lang w:val="sq-AL"/>
        </w:rPr>
        <w:t xml:space="preserve"> </w:t>
      </w:r>
      <w:r>
        <w:t>(04.05.2013) содержатся нормы, которые гарантируют гражданам все условия для получения образования независимо от национальности, цвета кожи, пола, происхождения, имущественного и должностного положения, места жительства, языка, отношения к религии, политических убеждений или иных обстоятельств, а также возраста и состояния здоровья. Государство создаёт гражданам с ограниченными возможностями здоровья, то есть имеющим недостатки в физическом и (или) психическом развитии, условия для получения ими образования в образовательных учреждениях общего типа (инклюзивное образование). Для детей, которые по состоянию здоровья не могут посещать образовательные учреждения общего типа, создаются специальные образовательные учреждения для получения ими образования на основе специальных педагогических подходов, коррекции нарушений развития и социальной адаптации (ст. 4).</w:t>
      </w:r>
    </w:p>
    <w:p w:rsidR="0081142B" w:rsidRDefault="0081142B" w:rsidP="0081142B">
      <w:pPr>
        <w:pStyle w:val="SingleTxtGR"/>
      </w:pPr>
      <w:r>
        <w:t>24.</w:t>
      </w:r>
      <w:r>
        <w:tab/>
        <w:t xml:space="preserve">Законодательно закрепленные нормы находят свое практическое применение. Примером этому являются, действующие образовательные учреждения совместно с зарубежными партнерами совместная </w:t>
      </w:r>
      <w:proofErr w:type="spellStart"/>
      <w:r>
        <w:t>туркмено</w:t>
      </w:r>
      <w:proofErr w:type="spellEnd"/>
      <w:r>
        <w:t xml:space="preserve">-российская средняя общеобразовательная школа имени А.С. Пушкина, Ашхабадская международная школа, Инженерно-технологический университет имени </w:t>
      </w:r>
      <w:proofErr w:type="spellStart"/>
      <w:r>
        <w:t>Огузхана</w:t>
      </w:r>
      <w:proofErr w:type="spellEnd"/>
      <w:r>
        <w:t xml:space="preserve">, Международный университет гуманитарных наук и развития и др., а также в ВУЗах и </w:t>
      </w:r>
      <w:proofErr w:type="spellStart"/>
      <w:r>
        <w:t>ССУЗах</w:t>
      </w:r>
      <w:proofErr w:type="spellEnd"/>
      <w:r>
        <w:t xml:space="preserve"> Туркменистана обучаются иностранные студенты, происходит обмен студентами, все это является яркими примерами обеспечения не дискриминации в сфере образования.</w:t>
      </w:r>
    </w:p>
    <w:p w:rsidR="0081142B" w:rsidRDefault="0081142B" w:rsidP="0081142B">
      <w:pPr>
        <w:pStyle w:val="SingleTxtGR"/>
      </w:pPr>
      <w:r>
        <w:t>25.</w:t>
      </w:r>
      <w:r>
        <w:tab/>
      </w:r>
      <w:r>
        <w:rPr>
          <w:lang w:val="sq-AL"/>
        </w:rPr>
        <w:t xml:space="preserve">Кодекс Туркменистана </w:t>
      </w:r>
      <w:r>
        <w:t>о</w:t>
      </w:r>
      <w:r>
        <w:rPr>
          <w:lang w:val="sq-AL"/>
        </w:rPr>
        <w:t xml:space="preserve"> социальной защите населения </w:t>
      </w:r>
      <w:r>
        <w:t xml:space="preserve">(19.10.2012), в котором изложены нормы </w:t>
      </w:r>
      <w:r>
        <w:rPr>
          <w:lang w:val="sq-AL"/>
        </w:rPr>
        <w:t>по</w:t>
      </w:r>
      <w:r>
        <w:t xml:space="preserve"> </w:t>
      </w:r>
      <w:r>
        <w:rPr>
          <w:lang w:val="sq-AL"/>
        </w:rPr>
        <w:t>трудоустройств</w:t>
      </w:r>
      <w:r>
        <w:t>у</w:t>
      </w:r>
      <w:r>
        <w:rPr>
          <w:lang w:val="sq-AL"/>
        </w:rPr>
        <w:t xml:space="preserve">, </w:t>
      </w:r>
      <w:r>
        <w:t>образованию</w:t>
      </w:r>
      <w:r>
        <w:rPr>
          <w:lang w:val="sq-AL"/>
        </w:rPr>
        <w:t xml:space="preserve"> и профессиональн</w:t>
      </w:r>
      <w:r>
        <w:t>ой</w:t>
      </w:r>
      <w:r>
        <w:rPr>
          <w:lang w:val="sq-AL"/>
        </w:rPr>
        <w:t xml:space="preserve"> подготовк</w:t>
      </w:r>
      <w:r>
        <w:t>е</w:t>
      </w:r>
      <w:r>
        <w:rPr>
          <w:lang w:val="sq-AL"/>
        </w:rPr>
        <w:t xml:space="preserve"> инвалидов</w:t>
      </w:r>
      <w:r>
        <w:t xml:space="preserve"> (23 глава (ст. 131−139)), право на жилье инвалидов (глава 25 (ст. 147−152)). Согласно </w:t>
      </w:r>
      <w:proofErr w:type="gramStart"/>
      <w:r>
        <w:t>нормам Кодекса</w:t>
      </w:r>
      <w:proofErr w:type="gramEnd"/>
      <w:r>
        <w:t xml:space="preserve"> органы образования и здравоохранения обязаны обеспечивать дошкольное и внешкольное воспитание детей-инвалидов, получение инвалидами общего среднего образования, а также оказывать содействие в профессиональной подготовке инвалидов в соответствии с индивидуальной программой реабилитации.</w:t>
      </w:r>
    </w:p>
    <w:p w:rsidR="0081142B" w:rsidRDefault="0081142B" w:rsidP="0081142B">
      <w:pPr>
        <w:pStyle w:val="SingleTxtGR"/>
      </w:pPr>
      <w:r>
        <w:t>26.</w:t>
      </w:r>
      <w:r>
        <w:tab/>
        <w:t>Органы образования и здравоохранения обязаны создавать условия для воспитания детей-инвалидов дошкольного возраста и оказания им необходимой реабилитационной помощи в детских дошкольных учреждениях общего типа для пребывания в них детей-инвалидов.</w:t>
      </w:r>
    </w:p>
    <w:p w:rsidR="0081142B" w:rsidRDefault="0081142B" w:rsidP="0081142B">
      <w:pPr>
        <w:pStyle w:val="SingleTxtGR"/>
      </w:pPr>
      <w:r>
        <w:t>27.</w:t>
      </w:r>
      <w:r>
        <w:tab/>
        <w:t>Для детей-инвалидов, состояние здоровья которых исключает возможность их пребывания в дошкольных учреждениях общего типа, создаются специализированные дошкольные учреждения.</w:t>
      </w:r>
    </w:p>
    <w:p w:rsidR="0081142B" w:rsidRDefault="0081142B" w:rsidP="001D339A">
      <w:pPr>
        <w:pStyle w:val="SingleTxtGR"/>
        <w:pageBreakBefore/>
      </w:pPr>
      <w:r>
        <w:t>28.</w:t>
      </w:r>
      <w:r>
        <w:tab/>
        <w:t>Общее среднее образование, начальное, среднее и высшее профессиональное образование инвалидов осуществляется в учебных заведениях общего типа, а при необходимости − в специальных учебных заведениях в порядке, предусмотренном Законом Туркменистана «Об образовании».</w:t>
      </w:r>
    </w:p>
    <w:p w:rsidR="0081142B" w:rsidRDefault="0081142B" w:rsidP="0081142B">
      <w:pPr>
        <w:pStyle w:val="SingleTxtGR"/>
      </w:pPr>
      <w:r>
        <w:t>29.</w:t>
      </w:r>
      <w:r>
        <w:tab/>
        <w:t xml:space="preserve">Инвалиды </w:t>
      </w:r>
      <w:r>
        <w:rPr>
          <w:lang w:val="en-GB"/>
        </w:rPr>
        <w:t>I</w:t>
      </w:r>
      <w:r>
        <w:t xml:space="preserve"> и </w:t>
      </w:r>
      <w:r>
        <w:rPr>
          <w:lang w:val="en-GB"/>
        </w:rPr>
        <w:t>II</w:t>
      </w:r>
      <w:r>
        <w:t xml:space="preserve"> групп, которым по заключению МСЭК не противопоказано обучение в начальных, средних и высших профессиональных учебных заведениях, принимаются вне конкурса.</w:t>
      </w:r>
    </w:p>
    <w:p w:rsidR="0081142B" w:rsidRDefault="0081142B" w:rsidP="0081142B">
      <w:pPr>
        <w:pStyle w:val="SingleTxtGR"/>
      </w:pPr>
      <w:r>
        <w:t xml:space="preserve">Инвалиды </w:t>
      </w:r>
      <w:r>
        <w:rPr>
          <w:lang w:val="en-GB"/>
        </w:rPr>
        <w:t>III</w:t>
      </w:r>
      <w:r>
        <w:t xml:space="preserve"> группы при равных условиях имеют преимущественное право на зачисление в начальное, среднее и высшее профессиональное учебное заведение.</w:t>
      </w:r>
    </w:p>
    <w:p w:rsidR="0081142B" w:rsidRDefault="0081142B" w:rsidP="0081142B">
      <w:pPr>
        <w:pStyle w:val="SingleTxtGR"/>
      </w:pPr>
      <w:r>
        <w:t>30.</w:t>
      </w:r>
      <w:r w:rsidRPr="0060267F">
        <w:t xml:space="preserve"> </w:t>
      </w:r>
      <w:r>
        <w:tab/>
      </w:r>
      <w:proofErr w:type="gramStart"/>
      <w:r>
        <w:t>В</w:t>
      </w:r>
      <w:proofErr w:type="gramEnd"/>
      <w:r>
        <w:t xml:space="preserve"> период обучения инвалидов в средних и высших профессиональных учебных заведениях государственные пособия и стипендии им выплачиваются в полном размере.</w:t>
      </w:r>
    </w:p>
    <w:p w:rsidR="0081142B" w:rsidRDefault="0081142B" w:rsidP="0081142B">
      <w:pPr>
        <w:pStyle w:val="SingleTxtGR"/>
      </w:pPr>
      <w:r>
        <w:t>31.</w:t>
      </w:r>
      <w:r>
        <w:tab/>
        <w:t>По окончании учебного заведения инвалид направляется на работу по специальности с учётом условий труда и индивидуальной программы реабилитации.</w:t>
      </w:r>
    </w:p>
    <w:p w:rsidR="0081142B" w:rsidRDefault="0081142B" w:rsidP="0081142B">
      <w:pPr>
        <w:pStyle w:val="SingleTxtGR"/>
      </w:pPr>
      <w:r>
        <w:t>32.</w:t>
      </w:r>
      <w:r>
        <w:tab/>
        <w:t>Органы образования и другие государственные органы создают необходимые условия для доступности детям-инвалидам внешкольного воспитания.</w:t>
      </w:r>
    </w:p>
    <w:p w:rsidR="0081142B" w:rsidRDefault="0081142B" w:rsidP="0081142B">
      <w:pPr>
        <w:pStyle w:val="SingleTxtGR"/>
      </w:pPr>
      <w:r>
        <w:t>33.</w:t>
      </w:r>
      <w:r>
        <w:tab/>
        <w:t>Органы образования организуют учебные занятия для детей-инвалидов, проходящих курс лечения в стационарных, лечебно-профилактических или реабилитационных учреждениях.</w:t>
      </w:r>
    </w:p>
    <w:p w:rsidR="0081142B" w:rsidRDefault="0081142B" w:rsidP="0081142B">
      <w:pPr>
        <w:pStyle w:val="SingleTxtGR"/>
      </w:pPr>
      <w:r>
        <w:t>34.</w:t>
      </w:r>
      <w:r>
        <w:tab/>
        <w:t xml:space="preserve">Яркими примерами решения социальных задач являются утвержденные Постановлением Президента Туркменистана от 14 октября 2016 года «План мероприятий по обеспечению полной реализации в Туркменистане прав лиц, имеющих инвалидность, в области труда и занятости на 2017−2020 годы», от 20 января 2017 года «О строительстве с благоустройством прилегающих территорий многоквартирных жилых домов для инвалидов и других лиц, особо нуждающихся в социальной защите в </w:t>
      </w:r>
      <w:proofErr w:type="spellStart"/>
      <w:r>
        <w:t>Ахалском</w:t>
      </w:r>
      <w:proofErr w:type="spellEnd"/>
      <w:r>
        <w:t xml:space="preserve">, Балканском, </w:t>
      </w:r>
      <w:proofErr w:type="spellStart"/>
      <w:r>
        <w:t>Дашогузском</w:t>
      </w:r>
      <w:proofErr w:type="spellEnd"/>
      <w:r>
        <w:t xml:space="preserve">, </w:t>
      </w:r>
      <w:proofErr w:type="spellStart"/>
      <w:r>
        <w:t>Лебапском</w:t>
      </w:r>
      <w:proofErr w:type="spellEnd"/>
      <w:r>
        <w:t xml:space="preserve">, Марыйском </w:t>
      </w:r>
      <w:proofErr w:type="spellStart"/>
      <w:r>
        <w:t>велаятах</w:t>
      </w:r>
      <w:proofErr w:type="spellEnd"/>
      <w:r>
        <w:t xml:space="preserve"> и городе Ашхабаде». </w:t>
      </w:r>
    </w:p>
    <w:p w:rsidR="0081142B" w:rsidRDefault="0081142B" w:rsidP="0081142B">
      <w:pPr>
        <w:pStyle w:val="SingleTxtGR"/>
      </w:pPr>
      <w:r>
        <w:t>35.</w:t>
      </w:r>
      <w:r>
        <w:tab/>
        <w:t>Государственными гарантиями в сфере занятости населения в соответствии с Законом Туркменистана «О занятости населения» (18.06.2016) являются обеспечение каждому равенства прав и возможностей в получении профессии, работы и вознаграждения, соответствующего количеству и качеству труда, в продвижении по службе; правовая защита от любых форм дискриминации, необоснованного отказа в приёме на работу, незаконного увольнения и прекращения трудового договора (ст. 6).</w:t>
      </w:r>
    </w:p>
    <w:p w:rsidR="0081142B" w:rsidRDefault="0081142B" w:rsidP="0081142B">
      <w:pPr>
        <w:pStyle w:val="SingleTxtGR"/>
      </w:pPr>
      <w:r>
        <w:t>36.</w:t>
      </w:r>
      <w:r>
        <w:tab/>
        <w:t>Согласно Трудовому кодексу Туркменистана (18.04.2009) запрещается дискриминация в трудовых отношениях (ст. 7), не допускается ограничение в трудовых правах или получение каких-либо преимуществ в их реализации в зависимости от национальности, цвета кожи, расы, пола, происхождения, имущественного и должностного положения, места жительства, языка, возраста, отношения к религии, политических убеждений, партийной принадлежности либо отсутствия принадлежности к какой-либо партии, а также иных обстоятельств, не связанных с деловыми качествами работников и результатами их труда.</w:t>
      </w:r>
    </w:p>
    <w:p w:rsidR="0081142B" w:rsidRDefault="0081142B" w:rsidP="0081142B">
      <w:pPr>
        <w:pStyle w:val="H23GR"/>
      </w:pPr>
      <w:r>
        <w:tab/>
      </w:r>
      <w:r>
        <w:tab/>
        <w:t>Пункт 6</w:t>
      </w:r>
    </w:p>
    <w:p w:rsidR="0081142B" w:rsidRDefault="0081142B" w:rsidP="0081142B">
      <w:pPr>
        <w:pStyle w:val="SingleTxtGR"/>
      </w:pPr>
      <w:r>
        <w:t>37.</w:t>
      </w:r>
      <w:r>
        <w:tab/>
        <w:t>Сведения о близких родственниках предоставляются при приеме на работу граждан с целью соблюдения положений статьи 22 Трудового кодекса Туркменистана и Закона Туркменистана 1995 года «Об ограничении совместной службы родственников в органах государственной власти и управления», в соответствии с которыми запрещается совместная работа (служба) в органах государственной власти и управления Туркменистана, а также на одном и том же государственном предприятии, организации, учреждении лиц, состоящих между собой в близком родстве или свойстве (родители, супруги, братья, сестры, сыновья, дочери, а также родители, братья, сестры и дети супругов), если их работа (служба) связана с непосредственной (прямой) подчиненностью или подконтрольностью одного из них другому, кроме занятия выборных должностей.</w:t>
      </w:r>
    </w:p>
    <w:p w:rsidR="0081142B" w:rsidRDefault="0081142B" w:rsidP="001D339A">
      <w:pPr>
        <w:pStyle w:val="SingleTxtGR"/>
        <w:spacing w:line="234" w:lineRule="atLeast"/>
      </w:pPr>
      <w:r>
        <w:t>38.</w:t>
      </w:r>
      <w:r>
        <w:tab/>
        <w:t>Конституционный принцип равенства прав и свобод человека и гражданина независимо от национальности закреплен в Трудовом кодексе Туркменистана, Кодексе Туркменистана «О социальной защите населения», Законе Туркменистана «О занятости населения» и в других нормативных правовых актах Туркменистана.</w:t>
      </w:r>
    </w:p>
    <w:p w:rsidR="0081142B" w:rsidRDefault="0081142B" w:rsidP="001D339A">
      <w:pPr>
        <w:pStyle w:val="SingleTxtGR"/>
        <w:spacing w:line="234" w:lineRule="atLeast"/>
      </w:pPr>
      <w:r>
        <w:t>39.</w:t>
      </w:r>
      <w:r>
        <w:tab/>
        <w:t xml:space="preserve">Статистика занятости, трудовая и социальная статистика не предусматривают сбор данных по национальному признаку граждан, так как все граждане, в том числе этнические меньшинства имеют право на равное участие, как в трудовой деятельности, так и в вопросах пенсионного и социального обеспечения. </w:t>
      </w:r>
    </w:p>
    <w:p w:rsidR="0081142B" w:rsidRDefault="0081142B" w:rsidP="0081142B">
      <w:pPr>
        <w:pStyle w:val="H1GR"/>
      </w:pPr>
      <w:r>
        <w:tab/>
      </w:r>
      <w:r>
        <w:tab/>
        <w:t>Равные права мужчин и женщин (статья 3)</w:t>
      </w:r>
    </w:p>
    <w:p w:rsidR="0081142B" w:rsidRDefault="0081142B" w:rsidP="0081142B">
      <w:pPr>
        <w:pStyle w:val="H23GR"/>
      </w:pPr>
      <w:r>
        <w:tab/>
      </w:r>
      <w:r>
        <w:tab/>
        <w:t>Пункт 7</w:t>
      </w:r>
    </w:p>
    <w:p w:rsidR="0081142B" w:rsidRDefault="0081142B" w:rsidP="001D339A">
      <w:pPr>
        <w:pStyle w:val="SingleTxtGR"/>
        <w:spacing w:line="234" w:lineRule="atLeast"/>
      </w:pPr>
      <w:r>
        <w:t>40.</w:t>
      </w:r>
      <w:r>
        <w:tab/>
        <w:t>В Туркменистане проводится гендерная политика, направленная на укрепление принципов равноправного участия женщин и мужчин в общественно-политической, экономической, социальной и культурной сферах, также созданы законодательные и практические условия. Конституционный принцип равенства прав и свобод мужчины и женщины является основой национальной нормативно-правовой базы, не допускающей дискриминацию по признаку пола (см. пункт 5).</w:t>
      </w:r>
    </w:p>
    <w:p w:rsidR="0081142B" w:rsidRDefault="0081142B" w:rsidP="001D339A">
      <w:pPr>
        <w:pStyle w:val="SingleTxtGR"/>
        <w:spacing w:line="234" w:lineRule="atLeast"/>
      </w:pPr>
      <w:r>
        <w:t>41.</w:t>
      </w:r>
      <w:r>
        <w:tab/>
        <w:t>18 августа 2015 года был принят Закон Туркменистана «О государственных гарантиях обеспечения равных прав и равных возможностей женщин и мужчин», который устанавливает государственные гарантии обеспечения равных прав и равных возможностей женщин и мужчин во всех сферах государственной и общественной жизни. Государство гарантирует и принимает все меры для обеспечения гендерного равенства в сфере охраны здоровья, образования, науки, культуры, труда и социальной защиты.</w:t>
      </w:r>
    </w:p>
    <w:p w:rsidR="0081142B" w:rsidRDefault="0081142B" w:rsidP="001D339A">
      <w:pPr>
        <w:pStyle w:val="SingleTxtGR"/>
        <w:spacing w:line="234" w:lineRule="atLeast"/>
      </w:pPr>
      <w:r>
        <w:t>42.</w:t>
      </w:r>
      <w:r>
        <w:tab/>
        <w:t xml:space="preserve">Более 45% от всех занятых в экономике страны составляют женщины. 23,8% руководящих должностей на сегодня занимают женщины. Важно отметить, что из 125 депутатов 6-го созыва Парламента Туркменистана 31 женщина, что составляет 24,8%. Председателем Парламента является женщина. Женщины также представлены в представительных и исполнительных органах государственной власти всех уровней. Из </w:t>
      </w:r>
      <w:r>
        <w:rPr>
          <w:lang w:val="tk-TM"/>
        </w:rPr>
        <w:t>240 членов велаятских халк маслахаты, халк маслахаты города Ашхабада</w:t>
      </w:r>
      <w:r>
        <w:t xml:space="preserve"> − </w:t>
      </w:r>
      <w:r>
        <w:rPr>
          <w:lang w:val="tk-TM"/>
        </w:rPr>
        <w:t xml:space="preserve">20,42% женщины. Из 1200 членов этрапских, городских халк маслахаты − 26% женщины, из 5900 членов Генгешей − 22,05% женщины. </w:t>
      </w:r>
    </w:p>
    <w:p w:rsidR="0081142B" w:rsidRDefault="0081142B" w:rsidP="001D339A">
      <w:pPr>
        <w:pStyle w:val="SingleTxtGR"/>
        <w:spacing w:line="234" w:lineRule="atLeast"/>
      </w:pPr>
      <w:r>
        <w:t>43.</w:t>
      </w:r>
      <w:r>
        <w:tab/>
        <w:t>Степень участия женщин в трудовой деятельности отражает уровень их экономической активности. Так, в 2016 году в численности экономически активного населения женщины составляли 42,8%, в численности населения, занятого в экономике, − 45,1%. В 2015 году эти показатели составляли соответственно 42,6% и 44,9%.</w:t>
      </w:r>
    </w:p>
    <w:p w:rsidR="0081142B" w:rsidRDefault="0081142B" w:rsidP="001D339A">
      <w:pPr>
        <w:pStyle w:val="SingleTxtGR"/>
        <w:spacing w:line="234" w:lineRule="atLeast"/>
      </w:pPr>
      <w:r>
        <w:t>44.</w:t>
      </w:r>
      <w:r>
        <w:tab/>
        <w:t xml:space="preserve">Из числа зарегистрированных в органах по трудоустройству населения в 2017 году женщины составляли 30%, в 2015 году этот показатель составлял 29%. От общей численности зарегистрированных женщин в 2017 году их трудоустроено 89,2%, в 2015 году − </w:t>
      </w:r>
      <w:r>
        <w:rPr>
          <w:lang w:val="tk-TM"/>
        </w:rPr>
        <w:t>89,3</w:t>
      </w:r>
      <w:r>
        <w:t xml:space="preserve">%. </w:t>
      </w:r>
    </w:p>
    <w:p w:rsidR="0081142B" w:rsidRDefault="0081142B" w:rsidP="001D339A">
      <w:pPr>
        <w:pStyle w:val="SingleTxtGR"/>
        <w:spacing w:line="234" w:lineRule="atLeast"/>
      </w:pPr>
      <w:r>
        <w:t>45.</w:t>
      </w:r>
      <w:r>
        <w:tab/>
        <w:t>Законом Туркменистана «Об образовании» гражданам Туркменистана гарантируется возможность получения образования независимо от пола.</w:t>
      </w:r>
    </w:p>
    <w:p w:rsidR="0081142B" w:rsidRDefault="0081142B" w:rsidP="001D339A">
      <w:pPr>
        <w:pStyle w:val="SingleTxtGR"/>
        <w:spacing w:line="234" w:lineRule="atLeast"/>
      </w:pPr>
      <w:r>
        <w:t>46.</w:t>
      </w:r>
      <w:r>
        <w:tab/>
        <w:t>Общие требования к приёму граждан Туркменистана в образовательные учреждения одинаковы как для лиц мужского, так и для лиц женского пола и регулируются Законом «Об образовании» и типовыми положениями об образовательных учреждениях соответствующих типов (общеобразовательных и профессиональных), принятых в 2014 году.</w:t>
      </w:r>
    </w:p>
    <w:p w:rsidR="0081142B" w:rsidRDefault="0081142B" w:rsidP="001D339A">
      <w:pPr>
        <w:pStyle w:val="SingleTxtGR"/>
        <w:spacing w:line="234" w:lineRule="atLeast"/>
      </w:pPr>
      <w:r>
        <w:t>47.</w:t>
      </w:r>
      <w:r>
        <w:tab/>
        <w:t xml:space="preserve">Как общее среднее, так и профессиональное образование доступно для лиц женского и мужского пола. </w:t>
      </w:r>
    </w:p>
    <w:p w:rsidR="0081142B" w:rsidRDefault="0081142B" w:rsidP="001D339A">
      <w:pPr>
        <w:pStyle w:val="SingleTxtGR"/>
        <w:spacing w:line="234" w:lineRule="atLeast"/>
      </w:pPr>
      <w:r>
        <w:t>Пропорция женщин среди студентов в высшем профессиональном образовании составляет в 2013/14 учебном году − 34,1%, в 2014/15 учебном году − 35,1%, в 2015/16 учебном году − 35,5%, в 2016/17 учебном году − 36,1%, в 2017/18 учебном году − 37,2%, т.е. ежегодно возрастает.</w:t>
      </w:r>
    </w:p>
    <w:p w:rsidR="0081142B" w:rsidRDefault="0081142B" w:rsidP="0081142B">
      <w:pPr>
        <w:pStyle w:val="H23GR"/>
      </w:pPr>
      <w:r>
        <w:tab/>
      </w:r>
      <w:r>
        <w:tab/>
        <w:t>Пункт 8</w:t>
      </w:r>
    </w:p>
    <w:p w:rsidR="0081142B" w:rsidRDefault="0081142B" w:rsidP="0081142B">
      <w:pPr>
        <w:pStyle w:val="SingleTxtGR"/>
      </w:pPr>
      <w:r>
        <w:t>48.</w:t>
      </w:r>
      <w:r>
        <w:tab/>
        <w:t xml:space="preserve">22 января 2015 года в стране принят и успешно реализуется и «Национальный план действий по обеспечению гендерного равенства в Туркменистане на 2015−2020 годы» (далее − НПД). НПД представляет собой комплексный документ, определяющий стратегические цели по продвижению гендерного равенства в целях создания необходимых условий для дальнейшего расширения участия женщин в общественно-политической, социально-экономической и культурно-гуманитарной жизни нашей страны. </w:t>
      </w:r>
    </w:p>
    <w:p w:rsidR="0081142B" w:rsidRDefault="0081142B" w:rsidP="0081142B">
      <w:pPr>
        <w:pStyle w:val="SingleTxtGR"/>
      </w:pPr>
      <w:r>
        <w:t>49.</w:t>
      </w:r>
      <w:r>
        <w:tab/>
        <w:t xml:space="preserve">В НПД определены конкретные задачи, а также ответственные за их разработку и выполнение соответствующие структуры, в том, что касается продвижения гендерного равенства в различных аспектах жизни женщин. </w:t>
      </w:r>
    </w:p>
    <w:p w:rsidR="0081142B" w:rsidRDefault="0081142B" w:rsidP="0081142B">
      <w:pPr>
        <w:pStyle w:val="SingleTxtGR"/>
      </w:pPr>
      <w:r>
        <w:t>50.</w:t>
      </w:r>
      <w:r>
        <w:tab/>
        <w:t xml:space="preserve">Национальный План действий состоит из 14 основных задач и более 60 мероприятий. </w:t>
      </w:r>
    </w:p>
    <w:p w:rsidR="0081142B" w:rsidRDefault="0081142B" w:rsidP="0081142B">
      <w:pPr>
        <w:pStyle w:val="SingleTxtGR"/>
      </w:pPr>
      <w:r>
        <w:t>Координацию реализации НПД осуществляет Межведомственная комиссия по обеспечению выполнения международных обязательств Туркменистана в области прав человека и международного гуманитарного права.</w:t>
      </w:r>
    </w:p>
    <w:p w:rsidR="0081142B" w:rsidRDefault="0081142B" w:rsidP="0081142B">
      <w:pPr>
        <w:pStyle w:val="SingleTxtGR"/>
      </w:pPr>
      <w:r>
        <w:t>Финансирование мероприятий Национального плана осуществляется в пределах средств, предусмотренных в государственном бюджете.</w:t>
      </w:r>
    </w:p>
    <w:p w:rsidR="0081142B" w:rsidRDefault="0081142B" w:rsidP="0081142B">
      <w:pPr>
        <w:pStyle w:val="HChGR"/>
      </w:pPr>
      <w:r>
        <w:tab/>
      </w:r>
      <w:r>
        <w:rPr>
          <w:lang w:val="en-US"/>
        </w:rPr>
        <w:t>III</w:t>
      </w:r>
      <w:r>
        <w:t xml:space="preserve">. </w:t>
      </w:r>
      <w:r>
        <w:tab/>
        <w:t xml:space="preserve">Вопросы, касающиеся конкретных положений Пакта (статьи 6−15) </w:t>
      </w:r>
    </w:p>
    <w:p w:rsidR="0081142B" w:rsidRDefault="0081142B" w:rsidP="0081142B">
      <w:pPr>
        <w:pStyle w:val="H1GR"/>
      </w:pPr>
      <w:r>
        <w:tab/>
      </w:r>
      <w:r>
        <w:tab/>
        <w:t>Право на труд (статья 6)</w:t>
      </w:r>
    </w:p>
    <w:p w:rsidR="0081142B" w:rsidRDefault="0081142B" w:rsidP="0081142B">
      <w:pPr>
        <w:pStyle w:val="H23GR"/>
      </w:pPr>
      <w:r>
        <w:tab/>
      </w:r>
      <w:r>
        <w:tab/>
        <w:t>Пункт 9</w:t>
      </w:r>
    </w:p>
    <w:p w:rsidR="0081142B" w:rsidRDefault="0081142B" w:rsidP="0081142B">
      <w:pPr>
        <w:pStyle w:val="SingleTxtGR"/>
      </w:pPr>
      <w:r>
        <w:t>51.</w:t>
      </w:r>
      <w:r w:rsidRPr="0060267F">
        <w:t xml:space="preserve"> </w:t>
      </w:r>
      <w:r>
        <w:tab/>
      </w:r>
      <w:proofErr w:type="gramStart"/>
      <w:r>
        <w:t>В</w:t>
      </w:r>
      <w:proofErr w:type="gramEnd"/>
      <w:r>
        <w:t xml:space="preserve"> соответствии со статьей 6 Трудового кодекса Туркменистана каждому гражданину принадлежит исключительное право распоряжаться своими способностями к производительному и творческому труду и осуществлять любую деятельность, не запрещённую законодательством Туркменистана.</w:t>
      </w:r>
    </w:p>
    <w:p w:rsidR="0081142B" w:rsidRDefault="0081142B" w:rsidP="0081142B">
      <w:pPr>
        <w:pStyle w:val="SingleTxtGR"/>
      </w:pPr>
      <w:r>
        <w:t>52.</w:t>
      </w:r>
      <w:r>
        <w:tab/>
        <w:t>Государственными гарантиями в сфере занятости населения согласно Закону Туркменистана «О занятости населения» являются свободный выбор по своему усмотрению профессии, рода занятий и места работы, создание здоровых и безопасных условий труда, обеспечение каждому равенства прав и возможностей в получении профессии, работы и вознаграждения, соответствующего количеству и качеству труда, в продвижении по службе; правовая защита от любых форм дискриминации, необоснованного отказа в приёме на работу, незаконного увольнения и прекращения трудового договора.</w:t>
      </w:r>
    </w:p>
    <w:p w:rsidR="0081142B" w:rsidRDefault="0081142B" w:rsidP="0081142B">
      <w:pPr>
        <w:pStyle w:val="SingleTxtGR"/>
      </w:pPr>
      <w:r>
        <w:t>53.</w:t>
      </w:r>
      <w:r>
        <w:tab/>
        <w:t>Таким образом, система регистрации по месту жительства не является препятствием в доступе к занятости.</w:t>
      </w:r>
    </w:p>
    <w:p w:rsidR="0081142B" w:rsidRDefault="0081142B" w:rsidP="0081142B">
      <w:pPr>
        <w:pStyle w:val="SingleTxtGR"/>
      </w:pPr>
      <w:r>
        <w:t>54.</w:t>
      </w:r>
      <w:r>
        <w:tab/>
        <w:t>При этом</w:t>
      </w:r>
      <w:r>
        <w:rPr>
          <w:lang w:val="tk-TM"/>
        </w:rPr>
        <w:t xml:space="preserve"> </w:t>
      </w:r>
      <w:r>
        <w:t>в целях регулирования трудовых отношений, удовлетворения спроса работодателей на рабочую силу в г. Ашхабаде и улучшения трудоустройства населения постановлением Президента Туркменистана от 13 февраля 2016 года утвержден Порядок регистрации физических лиц, въезжающих в г. Ашхабад для осуществления трудовой деятельности, в соответствии с которым гражданам Туркменистана, а также проживающим в Туркменистане иностранным гражданам и лицам без гражданства, приезжающим в г. Ашхабад для осуществления трудовой деятельности и не имеющих прописки или не взятых на учёт в г. Ашхабаде, разрешается</w:t>
      </w:r>
      <w:r>
        <w:rPr>
          <w:lang w:val="tk-TM"/>
        </w:rPr>
        <w:t xml:space="preserve"> их</w:t>
      </w:r>
      <w:r>
        <w:t xml:space="preserve"> трудоустройство (ведение ими самостоятельной работы) после оформления в Министерстве труда и социальной защиты населения Туркменистана разрешения на ведение трудовой деятельности в г. Ашхабаде. </w:t>
      </w:r>
    </w:p>
    <w:p w:rsidR="0081142B" w:rsidRDefault="0081142B" w:rsidP="001D339A">
      <w:pPr>
        <w:pStyle w:val="SingleTxtGR"/>
        <w:pageBreakBefore/>
      </w:pPr>
      <w:r>
        <w:t>55.</w:t>
      </w:r>
      <w:r>
        <w:tab/>
        <w:t>Указанный порядок оформления разрешения предусмотрен в целях создания для данных лиц со стороны работодателей благоприятных условий для осуществления трудовой деятельности, обеспечения их соответствующими жилищными условиями в г. Ашхабаде.</w:t>
      </w:r>
    </w:p>
    <w:p w:rsidR="0081142B" w:rsidRDefault="0081142B" w:rsidP="0081142B">
      <w:pPr>
        <w:pStyle w:val="H23GR"/>
      </w:pPr>
      <w:r>
        <w:tab/>
      </w:r>
      <w:r>
        <w:tab/>
        <w:t>Пункт 10</w:t>
      </w:r>
    </w:p>
    <w:p w:rsidR="0081142B" w:rsidRDefault="0081142B" w:rsidP="0081142B">
      <w:pPr>
        <w:pStyle w:val="SingleTxtGR"/>
        <w:keepLines/>
      </w:pPr>
      <w:r>
        <w:t>56.</w:t>
      </w:r>
      <w:r w:rsidRPr="0060267F">
        <w:t xml:space="preserve"> </w:t>
      </w:r>
      <w:r>
        <w:tab/>
      </w:r>
      <w:proofErr w:type="gramStart"/>
      <w:r>
        <w:t>В</w:t>
      </w:r>
      <w:proofErr w:type="gramEnd"/>
      <w:r>
        <w:t xml:space="preserve"> целях создания широких возможностей и условий для реализации конституционных прав граждан на труд, повышения уровня обеспеченности достойной работой населения и развития производительных сил страны Президентом Туркменистана </w:t>
      </w:r>
      <w:r>
        <w:rPr>
          <w:lang w:val="tk-TM"/>
        </w:rPr>
        <w:t xml:space="preserve">в мае 2015 года </w:t>
      </w:r>
      <w:r>
        <w:t xml:space="preserve">принято постановление по утверждению Программы совершенствования сферы трудовой занятости и создания новых рабочих мест в Туркменистане на 2015−2020 годы и Плана мероприятий по реализации данной программы. </w:t>
      </w:r>
    </w:p>
    <w:p w:rsidR="0081142B" w:rsidRDefault="0081142B" w:rsidP="0081142B">
      <w:pPr>
        <w:pStyle w:val="SingleTxtGR"/>
      </w:pPr>
      <w:r>
        <w:t>57.</w:t>
      </w:r>
      <w:r w:rsidRPr="0060267F">
        <w:t xml:space="preserve"> </w:t>
      </w:r>
      <w:r>
        <w:tab/>
        <w:t>В 2017 году в органах по трудоустройству населения зарегистрировано 74 тыс. чел., в 2015 году этот показатель составлял 80,3 тыс. чел. Удельный вес трудоустроенных граждан в 2017 году составлял 92%, в 2015 году − 92,2%. Информацию о трудоустройстве женщин см. пункт 7.</w:t>
      </w:r>
    </w:p>
    <w:p w:rsidR="0081142B" w:rsidRDefault="0081142B" w:rsidP="0081142B">
      <w:pPr>
        <w:pStyle w:val="SingleTxtGR"/>
      </w:pPr>
      <w:r>
        <w:t>58.</w:t>
      </w:r>
      <w:r>
        <w:tab/>
        <w:t xml:space="preserve">Незначительное уменьшение численности граждан, обращающихся в органы по трудоустройству и трудоустраиваемых ими, свидетельствует о создании в государстве благоприятных условий для осуществления гражданами самостоятельной трудовой деятельности, в частности, их активное участие в малом и среднем бизнесе. </w:t>
      </w:r>
    </w:p>
    <w:p w:rsidR="0081142B" w:rsidRDefault="0081142B" w:rsidP="0081142B">
      <w:pPr>
        <w:pStyle w:val="SingleTxtGR"/>
      </w:pPr>
      <w:r>
        <w:t>59.</w:t>
      </w:r>
      <w:r>
        <w:tab/>
        <w:t>Так, в 2015 году доля занятых в негосударственном секторе экономики составляла 75,6% от всех занятых в экономике страны, в 2016 году – 75,8%. В 2015 году занятые в частном секторе составляли 61,6% от занятых в негосударственном секторе, в 2016 году этот показатель составил 62,7%.</w:t>
      </w:r>
    </w:p>
    <w:p w:rsidR="0081142B" w:rsidRDefault="0081142B" w:rsidP="0081142B">
      <w:pPr>
        <w:pStyle w:val="SingleTxtGR"/>
      </w:pPr>
      <w:r>
        <w:t>60.</w:t>
      </w:r>
      <w:r>
        <w:tab/>
        <w:t>Удельный вес индивидуальных предпринимателей без образования юридического лица в общей численности занятых в экономике составляет около 27%.</w:t>
      </w:r>
    </w:p>
    <w:p w:rsidR="0081142B" w:rsidRDefault="0081142B" w:rsidP="0081142B">
      <w:pPr>
        <w:pStyle w:val="SingleTxtGR"/>
      </w:pPr>
      <w:r>
        <w:t>61.</w:t>
      </w:r>
      <w:r>
        <w:tab/>
        <w:t>Статистические данные по занятости детей представлены в информации пункта 14 настоящего отчёта.</w:t>
      </w:r>
    </w:p>
    <w:p w:rsidR="0081142B" w:rsidRDefault="0081142B" w:rsidP="0081142B">
      <w:pPr>
        <w:pStyle w:val="SingleTxtGR"/>
      </w:pPr>
      <w:r>
        <w:t>62.</w:t>
      </w:r>
      <w:r>
        <w:tab/>
        <w:t>Статистика по труду и занятости не предусматривает сбор данных по национальному признаку граждан, так как все граждане, проживающие в Туркменистане, в том числе этнические меньшинства имеют право на равное участие в трудовой деятельности. Конституционный принцип равенства прав и свобод человека и гражданина независимо от национальности закреплен в Трудовом кодексе Туркменистана, Кодексе Туркменистана «О социальной защите населения», Законе Туркменистана «О занятости населения» и в других нормативных правовых актах Туркменистана.</w:t>
      </w:r>
    </w:p>
    <w:p w:rsidR="0081142B" w:rsidRDefault="0081142B" w:rsidP="0081142B">
      <w:pPr>
        <w:pStyle w:val="H23GR"/>
      </w:pPr>
      <w:r>
        <w:tab/>
      </w:r>
      <w:r>
        <w:tab/>
        <w:t>Пункт 11</w:t>
      </w:r>
    </w:p>
    <w:p w:rsidR="0081142B" w:rsidRDefault="0081142B" w:rsidP="0081142B">
      <w:pPr>
        <w:pStyle w:val="SingleTxtGR"/>
      </w:pPr>
      <w:r>
        <w:t>63.</w:t>
      </w:r>
      <w:r>
        <w:tab/>
        <w:t>В соответствии с Законом Туркменистана «О занятости населения» каждому гражданину государством гарантируется, в частности, свободный выбор по своему усмотрению профессии, рода занятий и места работы, и правовая защита от любых форм дискриминации.</w:t>
      </w:r>
    </w:p>
    <w:p w:rsidR="0081142B" w:rsidRDefault="0081142B" w:rsidP="0081142B">
      <w:pPr>
        <w:pStyle w:val="SingleTxtGR"/>
      </w:pPr>
      <w:r>
        <w:t>64.</w:t>
      </w:r>
      <w:r w:rsidRPr="0060267F">
        <w:t xml:space="preserve"> </w:t>
      </w:r>
      <w:r>
        <w:tab/>
      </w:r>
      <w:proofErr w:type="gramStart"/>
      <w:r>
        <w:t>В</w:t>
      </w:r>
      <w:proofErr w:type="gramEnd"/>
      <w:r>
        <w:t xml:space="preserve"> целях повышения жизненного уровня лиц с инвалидностью, обеспечения их полного права на осуществление трудовой деятельности и создания соответствующих условий для их труда в октябре 2016 года Постановлением Президента Туркменистана</w:t>
      </w:r>
      <w:r>
        <w:rPr>
          <w:lang w:val="tk-TM"/>
        </w:rPr>
        <w:t xml:space="preserve"> </w:t>
      </w:r>
      <w:r>
        <w:t xml:space="preserve">утвержден План мероприятий по обеспечению полной реализации прав в области труда и занятости лиц с инвалидностью в Туркменистане на 2017−2020 годы. </w:t>
      </w:r>
    </w:p>
    <w:p w:rsidR="0081142B" w:rsidRDefault="0081142B" w:rsidP="0081142B">
      <w:pPr>
        <w:pStyle w:val="SingleTxtGR"/>
      </w:pPr>
      <w:r>
        <w:t>65.</w:t>
      </w:r>
      <w:r>
        <w:tab/>
        <w:t>По данным статистического обследования численность работающих лиц с инвалидностью в 2016 году составляла 0,5% от общей численности работающих на крупных и средних предприятиях, в 2015 году этот показатель составлял 0,47%.</w:t>
      </w:r>
    </w:p>
    <w:p w:rsidR="0081142B" w:rsidRDefault="0081142B" w:rsidP="0081142B">
      <w:pPr>
        <w:pStyle w:val="SingleTxtGR"/>
      </w:pPr>
      <w:r>
        <w:t>66.</w:t>
      </w:r>
      <w:r>
        <w:tab/>
        <w:t>По данным Пенсионного фонда Туркменистана численность работающих лиц с инвалидностью по состоянию на 1 января 2018 года составила 5,9% от общего числа лиц с инвалидностью, на 1 января 2017 года этот показатель составлял 5,8%.</w:t>
      </w:r>
    </w:p>
    <w:p w:rsidR="0081142B" w:rsidRDefault="0081142B" w:rsidP="001D339A">
      <w:pPr>
        <w:pStyle w:val="SingleTxtGR"/>
        <w:spacing w:line="234" w:lineRule="atLeast"/>
      </w:pPr>
      <w:r>
        <w:t>67.</w:t>
      </w:r>
      <w:r>
        <w:tab/>
      </w:r>
      <w:r>
        <w:rPr>
          <w:lang w:val="tk-TM"/>
        </w:rPr>
        <w:t xml:space="preserve">Согласно указанного выше Плана </w:t>
      </w:r>
      <w:r>
        <w:t xml:space="preserve">мероприятий </w:t>
      </w:r>
      <w:r>
        <w:rPr>
          <w:lang w:val="tk-TM"/>
        </w:rPr>
        <w:t xml:space="preserve">при выявлении на ранних стадиях заболеваний, приводящих к инвалидности, предусмотрено </w:t>
      </w:r>
      <w:r>
        <w:t>проведение работы</w:t>
      </w:r>
      <w:r>
        <w:rPr>
          <w:lang w:val="tk-TM"/>
        </w:rPr>
        <w:t xml:space="preserve"> по предотвращению таких заболеваний, а также расширение комплекса мероприятий, направленных на восстановление трудоспособности лиц с инвалидностью</w:t>
      </w:r>
      <w:r>
        <w:t xml:space="preserve">. </w:t>
      </w:r>
    </w:p>
    <w:p w:rsidR="0081142B" w:rsidRDefault="0081142B" w:rsidP="001D339A">
      <w:pPr>
        <w:pStyle w:val="SingleTxtGR"/>
        <w:spacing w:line="234" w:lineRule="atLeast"/>
      </w:pPr>
      <w:r>
        <w:t>68.</w:t>
      </w:r>
      <w:r>
        <w:tab/>
        <w:t xml:space="preserve">Разработан проект Закона Туркменистана «О государственных закупках товаров, производимых предприятиями общественных объединений инвалидов». </w:t>
      </w:r>
      <w:r>
        <w:rPr>
          <w:lang w:val="tk-TM"/>
        </w:rPr>
        <w:t>Одновременно, предусмотрено создание лицам с инвалидностью условий для полноценного участия в малом и среднем бизнесе.</w:t>
      </w:r>
      <w:r>
        <w:t xml:space="preserve"> Регламентирован Порядок профессиональной подготовки лиц с инвалидностью в соответствии с индивидуальной программой их реабилитации. </w:t>
      </w:r>
    </w:p>
    <w:p w:rsidR="0081142B" w:rsidRDefault="0081142B" w:rsidP="001D339A">
      <w:pPr>
        <w:pStyle w:val="SingleTxtGR"/>
        <w:spacing w:line="234" w:lineRule="atLeast"/>
      </w:pPr>
      <w:r>
        <w:t>69.</w:t>
      </w:r>
      <w:r>
        <w:tab/>
      </w:r>
      <w:r>
        <w:rPr>
          <w:lang w:val="tk-TM"/>
        </w:rPr>
        <w:t>Совместно с Министерством автомобильного транспорта Туркменистана</w:t>
      </w:r>
      <w:r>
        <w:t xml:space="preserve"> ведется работа по введению услуг «социального такси». С Министерством образования Туркменистана рассматривается вопрос о введении в перечень подготавливаемых специалистов средних и высших профессиональных учебных заведений нашей страны специальности «социальный работник».</w:t>
      </w:r>
    </w:p>
    <w:p w:rsidR="0081142B" w:rsidRDefault="0081142B" w:rsidP="001D339A">
      <w:pPr>
        <w:pStyle w:val="SingleTxtGR"/>
        <w:spacing w:line="234" w:lineRule="atLeast"/>
      </w:pPr>
      <w:r>
        <w:t>70.</w:t>
      </w:r>
      <w:r>
        <w:tab/>
        <w:t xml:space="preserve">В Туркменистане ежегодно вводятся объекты, в том числе социального назначения, соответствующие международным стандартам по доступу уязвимых групп населения к социальной инфраструктуре. </w:t>
      </w:r>
    </w:p>
    <w:p w:rsidR="0081142B" w:rsidRDefault="0081142B" w:rsidP="001D339A">
      <w:pPr>
        <w:pStyle w:val="SingleTxtGR"/>
        <w:spacing w:line="234" w:lineRule="atLeast"/>
      </w:pPr>
      <w:r>
        <w:t>71.</w:t>
      </w:r>
      <w:r w:rsidRPr="0060267F">
        <w:t xml:space="preserve"> </w:t>
      </w:r>
      <w:r>
        <w:tab/>
      </w:r>
      <w:proofErr w:type="gramStart"/>
      <w:r>
        <w:t>В</w:t>
      </w:r>
      <w:proofErr w:type="gramEnd"/>
      <w:r>
        <w:t xml:space="preserve"> январе 2017 года принято Постановлением Президента Туркменистана о строительстве в </w:t>
      </w:r>
      <w:proofErr w:type="spellStart"/>
      <w:r>
        <w:t>велаятах</w:t>
      </w:r>
      <w:proofErr w:type="spellEnd"/>
      <w:r>
        <w:t xml:space="preserve"> и городе Ашхабаде жилых домов для людей с ограниченными возможностями и других людей, особо нуждающихся в социальной поддержке, с предоставлением жилых помещений на бесплатной основе.</w:t>
      </w:r>
    </w:p>
    <w:p w:rsidR="0081142B" w:rsidRDefault="0081142B" w:rsidP="001D339A">
      <w:pPr>
        <w:pStyle w:val="SingleTxtGR"/>
        <w:spacing w:line="234" w:lineRule="atLeast"/>
      </w:pPr>
      <w:r>
        <w:t>72.</w:t>
      </w:r>
      <w:r>
        <w:tab/>
        <w:t>Для обслуживания пассажиров на городском общественном транспорте приобретены комфортабельные автобусы, учитывающие фактор доступности для уязвимых групп населения.</w:t>
      </w:r>
    </w:p>
    <w:p w:rsidR="0081142B" w:rsidRDefault="0081142B" w:rsidP="0081142B">
      <w:pPr>
        <w:pStyle w:val="H1GR"/>
      </w:pPr>
      <w:r>
        <w:tab/>
      </w:r>
      <w:r>
        <w:tab/>
        <w:t>Право на справедливые и благоприятные условия труда (статья 7)</w:t>
      </w:r>
    </w:p>
    <w:p w:rsidR="0081142B" w:rsidRDefault="0081142B" w:rsidP="0081142B">
      <w:pPr>
        <w:pStyle w:val="H23GR"/>
      </w:pPr>
      <w:r>
        <w:tab/>
      </w:r>
      <w:r>
        <w:tab/>
        <w:t>Пункт 12</w:t>
      </w:r>
    </w:p>
    <w:p w:rsidR="0081142B" w:rsidRDefault="0081142B" w:rsidP="001D339A">
      <w:pPr>
        <w:pStyle w:val="SingleTxtGR"/>
        <w:spacing w:line="234" w:lineRule="atLeast"/>
      </w:pPr>
      <w:r>
        <w:t>73.</w:t>
      </w:r>
      <w:r>
        <w:tab/>
        <w:t>Согласно статье 49 Конституции Туркменистана лица, работающие по найму, имеют право на вознаграждение, соответствующее количеству и качеству труда. Размер этого вознаграждения не может быть менее размера минимальной заработной платы, установленного государством. Этой конституционной норме соответствуют отдельные статьи Трудового кодекса Туркменистана.</w:t>
      </w:r>
    </w:p>
    <w:p w:rsidR="0081142B" w:rsidRDefault="0081142B" w:rsidP="001D339A">
      <w:pPr>
        <w:pStyle w:val="SingleTxtGR"/>
        <w:spacing w:line="234" w:lineRule="atLeast"/>
      </w:pPr>
      <w:r>
        <w:t>74.</w:t>
      </w:r>
      <w:r>
        <w:tab/>
        <w:t xml:space="preserve">Принцип равной оплаты за труд равной ценности является не формальным, а применяется в социально-правовой практике, т.е. размер и виды вознаграждения за труд определяются на основе объективной оценки выполняемой работы вне зависимости от принадлежности работников к тому или иному полу. Практическими мерами реализации данного принципа являются: система квалификации работ и их оплата с учетом объективной оценки; применение различных форм оплаты труда, поощрений, вознаграждений и </w:t>
      </w:r>
      <w:proofErr w:type="gramStart"/>
      <w:r>
        <w:t>других дополнительных выплат</w:t>
      </w:r>
      <w:proofErr w:type="gramEnd"/>
      <w:r>
        <w:t xml:space="preserve"> и льгот; недопущение ситуации, при которой при выполнении работы равной ценности применялась иная система </w:t>
      </w:r>
    </w:p>
    <w:p w:rsidR="0081142B" w:rsidRDefault="0081142B" w:rsidP="001D339A">
      <w:pPr>
        <w:pStyle w:val="SingleTxtGR"/>
        <w:spacing w:line="234" w:lineRule="atLeast"/>
      </w:pPr>
      <w:r>
        <w:t>75.</w:t>
      </w:r>
      <w:r>
        <w:tab/>
        <w:t xml:space="preserve">По официальным данным государственной статистики отмечается достаточно высокий уровень заработной платы женщин в отраслях экономики Туркменистана. Если в 2015 году в целом по экономике Туркменистана заработная плата женщин была на 13% ниже зарплаты мужчин, то в 2016 году этот показатель составил 12%, а в 2017 году – 10,6%. </w:t>
      </w:r>
    </w:p>
    <w:p w:rsidR="0081142B" w:rsidRDefault="0081142B" w:rsidP="001D339A">
      <w:pPr>
        <w:pStyle w:val="SingleTxtGR"/>
        <w:spacing w:line="234" w:lineRule="atLeast"/>
      </w:pPr>
      <w:r>
        <w:t>76.</w:t>
      </w:r>
      <w:r>
        <w:tab/>
        <w:t xml:space="preserve">Определенные различия в среднем уровне заработной платы мужчин и женщин в отдельных отраслях экономики во многом обусловлены как количеством отработанного времени, так и спецификой работы в особых условиях труда. </w:t>
      </w:r>
    </w:p>
    <w:p w:rsidR="0081142B" w:rsidRDefault="0081142B" w:rsidP="001D339A">
      <w:pPr>
        <w:pStyle w:val="SingleTxtGR"/>
        <w:spacing w:line="234" w:lineRule="atLeast"/>
      </w:pPr>
      <w:r>
        <w:t>77.</w:t>
      </w:r>
      <w:r>
        <w:tab/>
        <w:t>Так, заработная плата женщин в горнодобывающей промышленности и разработке карьеров, в транспортной деятельности и хранении грузов, деятельности по ремонту автомобилей и двигателей, в строительстве от 13 до 26% ниже зарплаты мужчин.</w:t>
      </w:r>
    </w:p>
    <w:p w:rsidR="0081142B" w:rsidRDefault="0081142B" w:rsidP="0081142B">
      <w:pPr>
        <w:pStyle w:val="SingleTxtGR"/>
      </w:pPr>
      <w:r>
        <w:t>78.</w:t>
      </w:r>
      <w:r>
        <w:tab/>
        <w:t xml:space="preserve">Принимая во внимание особые условия труда и непрерывный процесс производства в указанных отраслях, в них преимущественно заняты мужчины. Работа в указанных условиях соответственно предусматривает установление различных доплат и надбавок к тарифным ставкам (окладам). </w:t>
      </w:r>
    </w:p>
    <w:p w:rsidR="0081142B" w:rsidRDefault="0081142B" w:rsidP="0081142B">
      <w:pPr>
        <w:pStyle w:val="SingleTxtGR"/>
      </w:pPr>
      <w:r>
        <w:t>79.</w:t>
      </w:r>
      <w:r>
        <w:tab/>
        <w:t xml:space="preserve">Наибольший удельный вес занятых женщин сосредоточен в таких видах экономической деятельности как обрабатывающая промышленность (лёгкая, пищевая), сельское, лесное хозяйство и рыболовство (без учета арендаторов и фермеров), здравоохранение и социальное обслуживание населения, образование, искусство, информация и связь, гостиничный бизнес и другие, в которых заработная плата женщин лишь на 5−10% ниже зарплаты мужчин. </w:t>
      </w:r>
    </w:p>
    <w:p w:rsidR="0081142B" w:rsidRDefault="0081142B" w:rsidP="0081142B">
      <w:pPr>
        <w:pStyle w:val="SingleTxtGR"/>
      </w:pPr>
      <w:r>
        <w:t>80.</w:t>
      </w:r>
      <w:r w:rsidRPr="0060267F">
        <w:t xml:space="preserve"> </w:t>
      </w:r>
      <w:r>
        <w:tab/>
      </w:r>
      <w:proofErr w:type="gramStart"/>
      <w:r>
        <w:t>С</w:t>
      </w:r>
      <w:proofErr w:type="gramEnd"/>
      <w:r>
        <w:t xml:space="preserve"> учетом внесенных изменений в трудовое законодательство Туркменистана допускается привлечение женщин, имеющих детей в возрасте до трёх лет (ребенка-инвалида − до восемнадцати лет), к работам в ночное время, к сверхурочным работам и работе в выходные, нерабочие праздничные и памятные дни, к работам, выполняемым вахтовым методом, с их согласия. На практике женщины активно пользуются правом отказаться от привлечения к указанным видам работ. </w:t>
      </w:r>
    </w:p>
    <w:p w:rsidR="0081142B" w:rsidRDefault="0081142B" w:rsidP="0081142B">
      <w:pPr>
        <w:pStyle w:val="SingleTxtGR"/>
      </w:pPr>
      <w:r>
        <w:t>81.</w:t>
      </w:r>
      <w:r>
        <w:tab/>
        <w:t>Для совмещения трудовой деятельности с семейными обязанностями женщины чаще мужчин прибегают к «гибкому» графику работы: режим неполного рабочего дня (недели), временные работы и др.</w:t>
      </w:r>
    </w:p>
    <w:p w:rsidR="0081142B" w:rsidRDefault="0081142B" w:rsidP="0081142B">
      <w:pPr>
        <w:pStyle w:val="SingleTxtGR"/>
      </w:pPr>
      <w:r>
        <w:t>Указанное в определённой степени влияет на размер заработной платы женщин.</w:t>
      </w:r>
    </w:p>
    <w:p w:rsidR="0081142B" w:rsidRDefault="0081142B" w:rsidP="0081142B">
      <w:pPr>
        <w:pStyle w:val="SingleTxtGR"/>
      </w:pPr>
      <w:r>
        <w:t>82.</w:t>
      </w:r>
      <w:r>
        <w:tab/>
        <w:t>Женщины в различных секторах экономики занимают отличные от мужчин позиции. Однако при занятии женщин равноценным с мужчинами трудом действует принцип равного</w:t>
      </w:r>
      <w:r>
        <w:rPr>
          <w:i/>
        </w:rPr>
        <w:t xml:space="preserve"> </w:t>
      </w:r>
      <w:r>
        <w:t>вознаграждения за труд равной ценности.</w:t>
      </w:r>
    </w:p>
    <w:p w:rsidR="0081142B" w:rsidRPr="00E51DD6" w:rsidRDefault="0081142B" w:rsidP="0081142B">
      <w:pPr>
        <w:pStyle w:val="H23GR"/>
        <w:rPr>
          <w:b w:val="0"/>
        </w:rPr>
      </w:pPr>
      <w:r>
        <w:tab/>
      </w:r>
      <w:r>
        <w:tab/>
        <w:t xml:space="preserve">Средняя заработная плата работников крупных и средних предприятий по видам экономической деятельности и гендерному признаку в 2017 году </w:t>
      </w:r>
      <w:r w:rsidRPr="00E51DD6">
        <w:rPr>
          <w:b w:val="0"/>
          <w:i/>
        </w:rPr>
        <w:t xml:space="preserve">(по результатам единовременного </w:t>
      </w:r>
      <w:proofErr w:type="gramStart"/>
      <w:r w:rsidRPr="00E51DD6">
        <w:rPr>
          <w:b w:val="0"/>
          <w:i/>
        </w:rPr>
        <w:t>обследования)</w:t>
      </w:r>
      <w:r w:rsidRPr="00E51DD6">
        <w:rPr>
          <w:b w:val="0"/>
        </w:rPr>
        <w:t>*</w:t>
      </w:r>
      <w:proofErr w:type="gramEnd"/>
    </w:p>
    <w:tbl>
      <w:tblPr>
        <w:tblW w:w="7370" w:type="dxa"/>
        <w:tblInd w:w="1134" w:type="dxa"/>
        <w:tblLayout w:type="fixed"/>
        <w:tblCellMar>
          <w:left w:w="10" w:type="dxa"/>
          <w:right w:w="10" w:type="dxa"/>
        </w:tblCellMar>
        <w:tblLook w:val="0000" w:firstRow="0" w:lastRow="0" w:firstColumn="0" w:lastColumn="0" w:noHBand="0" w:noVBand="0"/>
      </w:tblPr>
      <w:tblGrid>
        <w:gridCol w:w="4820"/>
        <w:gridCol w:w="1275"/>
        <w:gridCol w:w="1275"/>
      </w:tblGrid>
      <w:tr w:rsidR="0081142B" w:rsidTr="0081142B">
        <w:trPr>
          <w:tblHeader/>
        </w:trPr>
        <w:tc>
          <w:tcPr>
            <w:tcW w:w="4820"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uppressAutoHyphens w:val="0"/>
              <w:spacing w:before="80" w:after="80" w:line="200" w:lineRule="exact"/>
              <w:rPr>
                <w:i/>
                <w:sz w:val="16"/>
                <w:lang w:eastAsia="ru-RU"/>
              </w:rPr>
            </w:pPr>
          </w:p>
        </w:tc>
        <w:tc>
          <w:tcPr>
            <w:tcW w:w="12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Мужчины</w:t>
            </w:r>
          </w:p>
        </w:tc>
        <w:tc>
          <w:tcPr>
            <w:tcW w:w="1275"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Женщины</w:t>
            </w:r>
          </w:p>
        </w:tc>
      </w:tr>
      <w:tr w:rsidR="0081142B" w:rsidTr="0081142B">
        <w:tc>
          <w:tcPr>
            <w:tcW w:w="4820"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В среднем</w:t>
            </w:r>
          </w:p>
        </w:tc>
        <w:tc>
          <w:tcPr>
            <w:tcW w:w="12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1 431,9</w:t>
            </w:r>
          </w:p>
        </w:tc>
        <w:tc>
          <w:tcPr>
            <w:tcW w:w="1275"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1 279,9</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Горнодобывающая промышленность и разработка карьеров</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1 976,7</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1 462,7</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Обрабатывающие производства</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1 282,6</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1 088,2</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Обеспечение электроэнергией, газом, паром и кондиционированным воздухом</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1 376,1</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1 221,7</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Водоснабжение, очистка, обработка отходов и получение вторичного сырья</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1 328,6</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1 262,7</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Строительство</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1 276,9</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1 112,8</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Оптовая и розничная торговля; ремонт автомобилей</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1 086,0</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864,1</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Транспортная деятельность и хранение грузов</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1 532,1</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1 158,7</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Деятельность гостиниц и ресторанов</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1 225,7</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1 138,8</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Информация и связь</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1 339,8</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1 251,2</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Финансовое посредничество и страхование</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1 638,4</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1 505,3</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Операции с недвижимым имуществом</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1 206,5</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1 178,8</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Профессиональная, научная и техническая деятельность</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1 535,9</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1 320,7</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Административная и вспомогательная деятельность</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1 232,1</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1 062,0</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Государственное управление и оборона; обязательное социальное обеспечение</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1 889,3</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1 325,1</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Образование</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1 474,3</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1 396,0</w:t>
            </w:r>
          </w:p>
        </w:tc>
      </w:tr>
      <w:tr w:rsidR="0081142B" w:rsidTr="0081142B">
        <w:tc>
          <w:tcPr>
            <w:tcW w:w="4820" w:type="dxa"/>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Здравоохранение и социальное обслуживание населения</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1 424,3</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1 270,1</w:t>
            </w:r>
          </w:p>
        </w:tc>
      </w:tr>
      <w:tr w:rsidR="0081142B" w:rsidTr="0081142B">
        <w:tc>
          <w:tcPr>
            <w:tcW w:w="4820"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Искусство, развлечения и отдых</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1 225,8</w:t>
            </w:r>
          </w:p>
        </w:tc>
        <w:tc>
          <w:tcPr>
            <w:tcW w:w="1275" w:type="dxa"/>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1 051,3</w:t>
            </w:r>
          </w:p>
        </w:tc>
      </w:tr>
      <w:tr w:rsidR="0081142B" w:rsidTr="0081142B">
        <w:tc>
          <w:tcPr>
            <w:tcW w:w="4820"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rPr>
                <w:sz w:val="18"/>
                <w:szCs w:val="18"/>
                <w:lang w:eastAsia="ru-RU"/>
              </w:rPr>
            </w:pPr>
            <w:r>
              <w:rPr>
                <w:sz w:val="18"/>
                <w:szCs w:val="18"/>
                <w:lang w:eastAsia="ru-RU"/>
              </w:rPr>
              <w:t>Прочая обслуживающая деятельность</w:t>
            </w:r>
          </w:p>
        </w:tc>
        <w:tc>
          <w:tcPr>
            <w:tcW w:w="12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1 270,0</w:t>
            </w:r>
          </w:p>
        </w:tc>
        <w:tc>
          <w:tcPr>
            <w:tcW w:w="1275"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1 057,0</w:t>
            </w:r>
          </w:p>
        </w:tc>
      </w:tr>
    </w:tbl>
    <w:p w:rsidR="0081142B" w:rsidRDefault="0081142B" w:rsidP="0081142B">
      <w:pPr>
        <w:pStyle w:val="H23GR"/>
      </w:pPr>
      <w:r>
        <w:tab/>
      </w:r>
      <w:r>
        <w:tab/>
        <w:t>Пункт 13</w:t>
      </w:r>
    </w:p>
    <w:p w:rsidR="0081142B" w:rsidRDefault="0081142B" w:rsidP="0081142B">
      <w:pPr>
        <w:pStyle w:val="SingleTxtGR"/>
      </w:pPr>
      <w:r>
        <w:t>83.</w:t>
      </w:r>
      <w:r>
        <w:tab/>
        <w:t>Государство предусматривает различные механизмы для баланса между профессиональной деятельностью и семейной жизнью, как для женщин, так и для мужчин. Так, при определённых условиях гарантии и льготы, предоставляемые женщине в связи с материнством (работа в ночное время, сверхурочные работы, работа в выходные, нерабочие праздничные и памятные дни, установление льготных режимов труда, направления в командировки и другие гарантии и льготы), распространяются на отцов, а также на лиц, их заменяющих (опекунов (попечителей)). Отпуск по уходу за ребёнком до достижения им возраста трёх лет может быть предоставлен также лицу, фактически осуществляющему уход за ребёнком, в том числе отцу ребёнка.</w:t>
      </w:r>
    </w:p>
    <w:p w:rsidR="0081142B" w:rsidRDefault="0081142B" w:rsidP="0081142B">
      <w:pPr>
        <w:pStyle w:val="SingleTxtGR"/>
      </w:pPr>
      <w:r>
        <w:t>84.</w:t>
      </w:r>
      <w:r>
        <w:tab/>
        <w:t xml:space="preserve">Как было отмечено в предыдущих докладах, Трудовым кодексом Туркменистана предусмотрены ограничения в применении труда женщин на работах с вредными и (или) опасными (особо вредными и (или) особо опасными) условиями труда, за исключением нефизических работ или работ по санитарному и бытовому обслуживанию согласно Перечню. В настоящее время указанный Перечень рассматривается совместно с Министерством здравоохранения и медицинской промышленности Туркменистана и другими компетентными органами. </w:t>
      </w:r>
    </w:p>
    <w:p w:rsidR="0081142B" w:rsidRDefault="0081142B" w:rsidP="0081142B">
      <w:pPr>
        <w:pStyle w:val="SingleTxtGR"/>
      </w:pPr>
      <w:r>
        <w:t>85.</w:t>
      </w:r>
      <w:r w:rsidRPr="0060267F">
        <w:t xml:space="preserve"> </w:t>
      </w:r>
      <w:r>
        <w:tab/>
      </w:r>
      <w:proofErr w:type="gramStart"/>
      <w:r>
        <w:t>В</w:t>
      </w:r>
      <w:proofErr w:type="gramEnd"/>
      <w:r>
        <w:t xml:space="preserve"> целях создания более благоприятных условий для осуществления женщинами трудовой деятельности предусматривается установление ограничений в применении труда в указанных условиях для отдельных категорий женщин в зависимости от их физиологического состояния. </w:t>
      </w:r>
    </w:p>
    <w:p w:rsidR="0081142B" w:rsidRDefault="0081142B" w:rsidP="0081142B">
      <w:pPr>
        <w:pStyle w:val="H23GR"/>
      </w:pPr>
      <w:r>
        <w:tab/>
      </w:r>
      <w:r>
        <w:tab/>
        <w:t>Пункт 14</w:t>
      </w:r>
    </w:p>
    <w:p w:rsidR="0081142B" w:rsidRDefault="0081142B" w:rsidP="0081142B">
      <w:pPr>
        <w:pStyle w:val="SingleTxtGR"/>
        <w:rPr>
          <w:lang w:val="tk-TM"/>
        </w:rPr>
      </w:pPr>
      <w:r>
        <w:t>86.</w:t>
      </w:r>
      <w:r w:rsidRPr="0060267F">
        <w:t xml:space="preserve"> </w:t>
      </w:r>
      <w:r>
        <w:tab/>
      </w:r>
      <w:proofErr w:type="gramStart"/>
      <w:r>
        <w:rPr>
          <w:lang w:val="tk-TM"/>
        </w:rPr>
        <w:t>В</w:t>
      </w:r>
      <w:proofErr w:type="gramEnd"/>
      <w:r>
        <w:rPr>
          <w:lang w:val="tk-TM"/>
        </w:rPr>
        <w:t xml:space="preserve"> статью 49 новой редакции Конституции Туркменистана введена норма, предусматривающая недопущение принудительного труда и наихудших форм детского труда.</w:t>
      </w:r>
    </w:p>
    <w:p w:rsidR="0081142B" w:rsidRDefault="0081142B" w:rsidP="0081142B">
      <w:pPr>
        <w:pStyle w:val="SingleTxtGR"/>
      </w:pPr>
      <w:r>
        <w:t>87.</w:t>
      </w:r>
      <w:r>
        <w:tab/>
        <w:t>В</w:t>
      </w:r>
      <w:r>
        <w:rPr>
          <w:lang w:val="tk-TM"/>
        </w:rPr>
        <w:t xml:space="preserve"> июне 2016</w:t>
      </w:r>
      <w:r>
        <w:t xml:space="preserve"> года</w:t>
      </w:r>
      <w:r>
        <w:rPr>
          <w:lang w:val="tk-TM"/>
        </w:rPr>
        <w:t xml:space="preserve"> было внесено изменение в Трудовой кодекс Туркменистана, в соответствии с которым минимальный возраст для приема на работу установлен в 18</w:t>
      </w:r>
      <w:r>
        <w:t> </w:t>
      </w:r>
      <w:r>
        <w:rPr>
          <w:lang w:val="tk-TM"/>
        </w:rPr>
        <w:t xml:space="preserve">лет, а также осуществление учащимися или студентами трудовой деятельности только с разрешения как родителей или </w:t>
      </w:r>
      <w:r>
        <w:t>органа опеки и попечительства, так</w:t>
      </w:r>
      <w:r>
        <w:rPr>
          <w:lang w:val="tk-TM"/>
        </w:rPr>
        <w:t xml:space="preserve"> и руководителей </w:t>
      </w:r>
      <w:r>
        <w:t>соответствующего образовательного учреждения</w:t>
      </w:r>
      <w:r>
        <w:rPr>
          <w:lang w:val="tk-TM"/>
        </w:rPr>
        <w:t>. Соответствующие изменения были внесены и в Кодекс Туркменистана о социальной защите населения, Законы Туркменистана «О государственных гарантиях прав ребенка» и «О</w:t>
      </w:r>
      <w:r>
        <w:t> </w:t>
      </w:r>
      <w:r>
        <w:rPr>
          <w:lang w:val="tk-TM"/>
        </w:rPr>
        <w:t>безопасности дорожного движения».</w:t>
      </w:r>
    </w:p>
    <w:p w:rsidR="0081142B" w:rsidRDefault="0081142B" w:rsidP="0081142B">
      <w:pPr>
        <w:pStyle w:val="SingleTxtGR"/>
      </w:pPr>
      <w:r>
        <w:t>88.</w:t>
      </w:r>
      <w:r>
        <w:tab/>
        <w:t>Из всех зарегистрированных в службах занятости в 2013 году дети до 18 лет составляли 1,2%, в 2014 году – 0,4%, в 2015 году − 0,3%, в 2016 году − 0,1%, а в 2017 году этот показатель составил 0,08%.</w:t>
      </w:r>
    </w:p>
    <w:p w:rsidR="0081142B" w:rsidRDefault="0081142B" w:rsidP="0081142B">
      <w:pPr>
        <w:pStyle w:val="SingleTxtGR"/>
      </w:pPr>
      <w:r>
        <w:t>89.</w:t>
      </w:r>
      <w:r>
        <w:tab/>
        <w:t xml:space="preserve">По данным ежегодного статистического обследования за 2014 год из 703 тыс. человек, занятых на крупных и средних предприятиях Туркменистана, дети в возрасте до 16 лет составляли 34 человека (0,005%), за 2015 год, соответственно, из 721 тыс. человек − 19 человек (0,003%), за 2016 год – из 705 тыс. человек – 12 человек (0,002%) составляли лица до 16 лет. </w:t>
      </w:r>
    </w:p>
    <w:p w:rsidR="0081142B" w:rsidRDefault="0081142B" w:rsidP="0081142B">
      <w:pPr>
        <w:pStyle w:val="SingleTxtGR"/>
      </w:pPr>
      <w:r>
        <w:t>90.</w:t>
      </w:r>
      <w:r>
        <w:tab/>
        <w:t xml:space="preserve">Правительством Туркменистана приняты национальные меры в целях недопущения детского труда, в частности, в хлопковом секторе. </w:t>
      </w:r>
    </w:p>
    <w:p w:rsidR="0081142B" w:rsidRDefault="0081142B" w:rsidP="0081142B">
      <w:pPr>
        <w:pStyle w:val="SingleTxtGR"/>
      </w:pPr>
      <w:r>
        <w:t>91.</w:t>
      </w:r>
      <w:r w:rsidRPr="0060267F">
        <w:t xml:space="preserve"> </w:t>
      </w:r>
      <w:r>
        <w:tab/>
      </w:r>
      <w:proofErr w:type="gramStart"/>
      <w:r>
        <w:t>В</w:t>
      </w:r>
      <w:proofErr w:type="gramEnd"/>
      <w:r>
        <w:t xml:space="preserve"> вопросах недопущения использования принудительного труда, Туркменистан привержен к конструктивному диалогу с авторитетными международными организациями, о чем свидетельствует визит в Туркменистан в декабре 2015 года помощника Генерального директора МОТ, и директора Регионального бюро МОТ для стран Восточной Европы и Центральной Азии. В ходе визита был проведен ряд встреч в министерствах и ведомствах и общественных объединений, где обсуждались вопросы о реализации ратифицированных Туркменистаном основополагающих Конвенций МОТ.</w:t>
      </w:r>
    </w:p>
    <w:p w:rsidR="0081142B" w:rsidRDefault="0081142B" w:rsidP="001D339A">
      <w:pPr>
        <w:pStyle w:val="SingleTxtGR"/>
        <w:pageBreakBefore/>
      </w:pPr>
      <w:r>
        <w:t>92.</w:t>
      </w:r>
      <w:r w:rsidRPr="0060267F">
        <w:t xml:space="preserve"> </w:t>
      </w:r>
      <w:r>
        <w:tab/>
      </w:r>
      <w:proofErr w:type="gramStart"/>
      <w:r>
        <w:t>В</w:t>
      </w:r>
      <w:proofErr w:type="gramEnd"/>
      <w:r>
        <w:t xml:space="preserve"> феврале 2016 года состоялась официальная встреча Генерального директора МОТ с руководством МИД Туркменистана. В марте 2016 года в Ашхабаде состоялся круглый стол с участием эксперта по международным трудовым стандартам Московского регионального офиса МОТ по вопросам применения международных трудовых стандартов МОТ.</w:t>
      </w:r>
    </w:p>
    <w:p w:rsidR="0081142B" w:rsidRDefault="0081142B" w:rsidP="0081142B">
      <w:pPr>
        <w:pStyle w:val="SingleTxtGR"/>
      </w:pPr>
      <w:r>
        <w:t>93.</w:t>
      </w:r>
      <w:r>
        <w:tab/>
        <w:t xml:space="preserve">По приглашению Правительства Туркменистана в сентябре 2016 года в качестве технического содействия состоялся рабочий визит в Туркменистан представителей МОТ во главе с руководителем отдела по применению положений Конвенции об использовании детского и принудительного труда Департамента МОТ по международным стандартам труда, главного специалиста по международным трудовым нормам и трудовому праву Бюро МОТ для стран Восточной Европы и Центральной Азии и специалиста МОТ по детскому труду и образованию. </w:t>
      </w:r>
    </w:p>
    <w:p w:rsidR="0081142B" w:rsidRDefault="0081142B" w:rsidP="0081142B">
      <w:pPr>
        <w:pStyle w:val="SingleTxtGR"/>
      </w:pPr>
      <w:r>
        <w:t>94.</w:t>
      </w:r>
      <w:r>
        <w:tab/>
        <w:t>Туркменистан стал одной из первых стран в мире, начавших консультации по адаптации Целей Устойчивого Развития (ЦУР), принятых в 2015 году.</w:t>
      </w:r>
    </w:p>
    <w:p w:rsidR="0081142B" w:rsidRDefault="0081142B" w:rsidP="0081142B">
      <w:pPr>
        <w:pStyle w:val="SingleTxtGR"/>
      </w:pPr>
      <w:r>
        <w:t>95.</w:t>
      </w:r>
      <w:r w:rsidRPr="0060267F">
        <w:t xml:space="preserve"> </w:t>
      </w:r>
      <w:r>
        <w:tab/>
      </w:r>
      <w:proofErr w:type="gramStart"/>
      <w:r>
        <w:t>В</w:t>
      </w:r>
      <w:proofErr w:type="gramEnd"/>
      <w:r>
        <w:t xml:space="preserve"> ходе консультаций были определены те Задачи и Индикаторы в рамках ЦУР, которые охватывают приоритетные направления развития для Правительства Туркменистана. </w:t>
      </w:r>
    </w:p>
    <w:p w:rsidR="0081142B" w:rsidRDefault="0081142B" w:rsidP="0081142B">
      <w:pPr>
        <w:pStyle w:val="SingleTxtGR"/>
      </w:pPr>
      <w:r>
        <w:t>96.</w:t>
      </w:r>
      <w:r>
        <w:tab/>
        <w:t xml:space="preserve">Разработаны задачи и мероприятия по выполнению Цели 8 «Содействие поступательному, всеохватному и устойчивому экономическому росту, полной и производительной занятости и достойной работе для всех», в частности, задачи 8.7 «О принятии срочных и эффективных мер для того, чтобы искоренить принудительный труд, покончить с современным рабством и торговлей людьми и обеспечить запрет и ликвидацию наихудших форм детского труда, включая вербовку и использование детей-солдат, а к 2025 году покончить с детским трудом во всех его формах». Мероприятия и соответствующие индикаторы предусматривают в том числе принятие превентивных мер по предотвращению принудительного труда, современного рабства и торговли людьми. Задачи и индикаторы по ЦУР включены в Национальные программы социально-экономического развития Туркменистана, а также в другие национальные программы, планы действий и отраслевые программы развития. </w:t>
      </w:r>
    </w:p>
    <w:p w:rsidR="0081142B" w:rsidRDefault="0081142B" w:rsidP="0081142B">
      <w:pPr>
        <w:pStyle w:val="SingleTxtGR"/>
      </w:pPr>
      <w:r>
        <w:t>97.</w:t>
      </w:r>
      <w:r>
        <w:tab/>
        <w:t xml:space="preserve">В Проект Национального плана действий в интересах детей на 2018−2022 годы включены мероприятия по осуществлению превентивных мер по </w:t>
      </w:r>
      <w:r>
        <w:rPr>
          <w:iCs/>
        </w:rPr>
        <w:t>запрещению и искоренению наихудших форм детского труда</w:t>
      </w:r>
      <w:r>
        <w:t xml:space="preserve">, повышению информированности, проведению специальных обследований и других мероприятий в контексте данной тематики. </w:t>
      </w:r>
    </w:p>
    <w:p w:rsidR="0081142B" w:rsidRDefault="0081142B" w:rsidP="0081142B">
      <w:pPr>
        <w:pStyle w:val="H1GR"/>
      </w:pPr>
      <w:r>
        <w:tab/>
      </w:r>
      <w:r>
        <w:tab/>
        <w:t>Права профсоюзов (статья 8)</w:t>
      </w:r>
    </w:p>
    <w:p w:rsidR="0081142B" w:rsidRDefault="0081142B" w:rsidP="0081142B">
      <w:pPr>
        <w:pStyle w:val="H23GR"/>
      </w:pPr>
      <w:r>
        <w:tab/>
      </w:r>
      <w:r>
        <w:tab/>
        <w:t>Пункт 15</w:t>
      </w:r>
    </w:p>
    <w:p w:rsidR="0081142B" w:rsidRDefault="0081142B" w:rsidP="0081142B">
      <w:pPr>
        <w:pStyle w:val="SingleTxtGR"/>
      </w:pPr>
      <w:r>
        <w:t>98.</w:t>
      </w:r>
      <w:r>
        <w:tab/>
        <w:t xml:space="preserve">Вступление в члены профсоюзов, порядок и принципы создания профсоюзных организаций регулируется Конституцией Туркменистана, Законом Туркменистана «О правах профсоюзов, гарантиях их деятельности» (09.11.2013 года), а также положениями Устава профессиональных союзов Туркменистана. </w:t>
      </w:r>
    </w:p>
    <w:p w:rsidR="0081142B" w:rsidRDefault="0081142B" w:rsidP="0081142B">
      <w:pPr>
        <w:pStyle w:val="SingleTxtGR"/>
      </w:pPr>
      <w:r>
        <w:t>99.</w:t>
      </w:r>
      <w:r>
        <w:tab/>
        <w:t>По вступлению в члены профсоюзов Устав устанавливает минимальные требования. В частности, согласно ст. 7 Устава, членом профсоюза может быть гражданин Туркменистана, признающий Устав профсоюзов и выполняющий его требования, а также состоящий на учёте в первичной профсоюзной организации и уплачивающий членские взносы. Для создания первичной профсоюзной организации установлено минимальное число − 5 человек.</w:t>
      </w:r>
    </w:p>
    <w:p w:rsidR="0081142B" w:rsidRDefault="0081142B" w:rsidP="0081142B">
      <w:pPr>
        <w:pStyle w:val="SingleTxtGR"/>
      </w:pPr>
      <w:r>
        <w:t>100.</w:t>
      </w:r>
      <w:r>
        <w:tab/>
        <w:t>Таким образом, право на образование и вступление в профсоюз является добровольным, каждый вправе свободно вступать или воздерживаться от вступления в него, принимать участие в деятельности профсоюза и беспрепятственно выходить из членства. В настоящее время (по состоянию на 1 января 2018 года) членами профсоюза являются 1 138 тыс. человек.</w:t>
      </w:r>
    </w:p>
    <w:p w:rsidR="0081142B" w:rsidRDefault="0081142B" w:rsidP="0081142B">
      <w:pPr>
        <w:pStyle w:val="SingleTxtGR"/>
      </w:pPr>
      <w:r>
        <w:t>101.</w:t>
      </w:r>
      <w:r w:rsidRPr="0060267F">
        <w:t xml:space="preserve"> </w:t>
      </w:r>
      <w:r>
        <w:tab/>
      </w:r>
      <w:proofErr w:type="gramStart"/>
      <w:r>
        <w:t>В</w:t>
      </w:r>
      <w:proofErr w:type="gramEnd"/>
      <w:r>
        <w:t xml:space="preserve"> соответствии со ст. 19 Устава Национальный центр профсоюзов Туркменистана является руководящим органом профессиональных союзов Туркменистана, действующим между его съездами, созываемыми через каждые 5 (пять) лет. Национальный центр профсоюзов объединяет профсоюзное движение Туркменистана и координирует деятельность профсоюзных новообразований.</w:t>
      </w:r>
    </w:p>
    <w:p w:rsidR="0081142B" w:rsidRDefault="0081142B" w:rsidP="0081142B">
      <w:pPr>
        <w:pStyle w:val="SingleTxtGR"/>
      </w:pPr>
      <w:r>
        <w:t>102.</w:t>
      </w:r>
      <w:r>
        <w:tab/>
        <w:t>В Туркменистане действуют 14 профсоюзных образований, созданных по отраслевому принципу: Профсоюз работников АПК, Профсоюз работников авиации и связи, Профсоюз работников автомобильного транспорта и дорожного хозяйства, Профсоюз работников государственных учреждений, Профсоюз работников железнодорожников, Профсоюз работников здравоохранения, Профсоюз работников коммунального хозяйства, Профсоюз работников культуры, спорта, туризма, общественных организаций, Профсоюз работников науки и образования, Профсоюз работников нефтегазового комплекса, Профсоюз работников строительства и промышленности, Профсоюз работников текстильной промышленности, Профсоюз работников торговли и предпринимателей, Профсоюз работников энергетики.</w:t>
      </w:r>
    </w:p>
    <w:p w:rsidR="0081142B" w:rsidRDefault="0081142B" w:rsidP="0081142B">
      <w:pPr>
        <w:pStyle w:val="SingleTxtGR"/>
      </w:pPr>
      <w:r>
        <w:t>103.</w:t>
      </w:r>
      <w:r>
        <w:tab/>
        <w:t>Отраслевые профсоюзные образования возглавляются Председателями Советов. Правовой основой является Положение об отраслевых профсоюзных организациях. В соответствии с Положением, Председатели Советов избираются профсоюзной конференцией сроком на 5 (пять) лет. Отраслевые профсоюзные организации имеют своё членство, штат сотрудников (специалистов). По состоянию на 1 января 2018 года профсоюз работников авиации и связи – 20,9 тыс. членов, Профсоюз работников науки и образования – 192,9 тыс. чел. и т.д. Самый многочисленной отраслевой профсоюзной организаций сегодня является профсоюз работников АПК, который насчитывает 487,8 тыс. членов.</w:t>
      </w:r>
    </w:p>
    <w:p w:rsidR="0081142B" w:rsidRDefault="0081142B" w:rsidP="0081142B">
      <w:pPr>
        <w:pStyle w:val="SingleTxtGR"/>
      </w:pPr>
      <w:r>
        <w:t>104.</w:t>
      </w:r>
      <w:r>
        <w:tab/>
        <w:t xml:space="preserve">Свобода собраний, митингов, демонстраций в порядке, установленном законодательством, гарантируется статьёй 43 Конституции. </w:t>
      </w:r>
    </w:p>
    <w:p w:rsidR="0081142B" w:rsidRDefault="0081142B" w:rsidP="0081142B">
      <w:pPr>
        <w:pStyle w:val="SingleTxtGR"/>
      </w:pPr>
      <w:r>
        <w:t>105.</w:t>
      </w:r>
      <w:r>
        <w:tab/>
        <w:t xml:space="preserve">В Туркменистане отсутствует законодательство относительно права на забастовку. За весь период независимости Туркменистана не имелось ни одного случая проведения забастовок. Забастовка – это одна из мер разрешения коллективного трудового спора и выполнения работодателем определенных требований работников. Механизм регулирования коллективных трудовых споров предусмотрен отдельной главой 2 Раздела </w:t>
      </w:r>
      <w:r>
        <w:rPr>
          <w:lang w:val="en-GB"/>
        </w:rPr>
        <w:t>XVI</w:t>
      </w:r>
      <w:r>
        <w:t xml:space="preserve"> Трудового кодекса Туркменистана. </w:t>
      </w:r>
    </w:p>
    <w:p w:rsidR="0081142B" w:rsidRDefault="0081142B" w:rsidP="0081142B">
      <w:pPr>
        <w:pStyle w:val="H1GR"/>
      </w:pPr>
      <w:r>
        <w:tab/>
      </w:r>
      <w:r>
        <w:tab/>
        <w:t>Право на социальное обеспечение (статья 9)</w:t>
      </w:r>
    </w:p>
    <w:p w:rsidR="0081142B" w:rsidRDefault="0081142B" w:rsidP="0081142B">
      <w:pPr>
        <w:pStyle w:val="H23GR"/>
      </w:pPr>
      <w:r>
        <w:tab/>
      </w:r>
      <w:r>
        <w:tab/>
        <w:t>Пункт 16</w:t>
      </w:r>
    </w:p>
    <w:p w:rsidR="0081142B" w:rsidRDefault="0081142B" w:rsidP="0081142B">
      <w:pPr>
        <w:pStyle w:val="SingleTxtGR"/>
      </w:pPr>
      <w:r>
        <w:t>106.</w:t>
      </w:r>
      <w:r>
        <w:tab/>
        <w:t>В соответствии с размерами потребительской корзины по отдельным категориям населения ежегодно Указом Президента Туркменистана утверждается минимальный размер заработной платы, который является ориентиром для установления тарифных ставок и должностных окладов работников предприятий, организаций и учреждений независимо от их организационно-правовой формы и формы собственности. Данным Указом устанавливаются также базовые величины для исчисления размеров государственных пособий и минимального размера пенсии.</w:t>
      </w:r>
    </w:p>
    <w:p w:rsidR="0081142B" w:rsidRDefault="0081142B" w:rsidP="0081142B">
      <w:pPr>
        <w:pStyle w:val="SingleTxtGR"/>
      </w:pPr>
      <w:r>
        <w:t>107.</w:t>
      </w:r>
      <w:r>
        <w:tab/>
        <w:t xml:space="preserve">Законом Туркменистана «О занятости населения» предусмотрена разработка Порядка признания лица безработным, его регистрации и снятия с учёта, утверждаемого Кабинетом Министров Туркменистана. </w:t>
      </w:r>
      <w:r>
        <w:rPr>
          <w:lang w:val="tk-TM"/>
        </w:rPr>
        <w:t xml:space="preserve">При признании лица, ищущего работу, безработным гарантируется </w:t>
      </w:r>
      <w:r>
        <w:t>обеспечение его пособием по безработице</w:t>
      </w:r>
      <w:r>
        <w:rPr>
          <w:lang w:val="tk-TM"/>
        </w:rPr>
        <w:t>. В</w:t>
      </w:r>
      <w:r>
        <w:t xml:space="preserve"> целях реализации указанной гарантии предусмотрено создание Государственного фонда содействия занятости, порядок образования и использования средств которого утверждается Кабинетом Министров Туркменистана. Проекты нормативных правовых актов по данному вопросу, в том числе о порядке назначения и размере пособия по безработице в настоящее время находятся на рассмотрении в компетентных органах. </w:t>
      </w:r>
    </w:p>
    <w:p w:rsidR="0081142B" w:rsidRDefault="0081142B" w:rsidP="001D339A">
      <w:pPr>
        <w:pStyle w:val="SingleTxtGR"/>
        <w:pageBreakBefore/>
      </w:pPr>
      <w:r>
        <w:t>108.</w:t>
      </w:r>
      <w:r>
        <w:tab/>
        <w:t>Следует отметить эффективность мер, предпринимаемых в Туркменистане в плане роста реальных доходов населения. На протяжении последних лет высокий показатель в этом направлении обеспечивается за счет последовательного (ежегодного) повышения размеров заработной платы, пенсий, государственных пособий и стипендий, эффективной ценовой политики государства, поддержки частной инициативы, а также комплекса дополнительных социальных льгот. При этом доведение до минимума индекса потребительских цен обуславливает положительную динамику роста номинальных и реальных доходов населения.</w:t>
      </w:r>
    </w:p>
    <w:p w:rsidR="0081142B" w:rsidRDefault="0081142B" w:rsidP="0081142B">
      <w:pPr>
        <w:pStyle w:val="H1GR"/>
      </w:pPr>
      <w:r>
        <w:tab/>
      </w:r>
      <w:r>
        <w:tab/>
        <w:t>Защита семьи, матерей и детей (статья 10)</w:t>
      </w:r>
    </w:p>
    <w:p w:rsidR="0081142B" w:rsidRDefault="0081142B" w:rsidP="0081142B">
      <w:pPr>
        <w:pStyle w:val="H23GR"/>
      </w:pPr>
      <w:r>
        <w:tab/>
      </w:r>
      <w:r>
        <w:tab/>
        <w:t>Пункт 17</w:t>
      </w:r>
    </w:p>
    <w:p w:rsidR="0081142B" w:rsidRDefault="0081142B" w:rsidP="0081142B">
      <w:pPr>
        <w:pStyle w:val="SingleTxtGR"/>
      </w:pPr>
      <w:r>
        <w:t>109.</w:t>
      </w:r>
      <w:r>
        <w:tab/>
        <w:t>В соответствии с Законом Туркменистана «</w:t>
      </w:r>
      <w:r>
        <w:rPr>
          <w:lang w:val="tk-TM"/>
        </w:rPr>
        <w:t>О государственных гарантиях обеспечения равных прав и равных возможностей женщин и мужчин</w:t>
      </w:r>
      <w:r>
        <w:t>»</w:t>
      </w:r>
      <w:r>
        <w:rPr>
          <w:lang w:val="tk-TM"/>
        </w:rPr>
        <w:t xml:space="preserve"> </w:t>
      </w:r>
      <w:r>
        <w:t>государство гарантирует обеспечение равных прав женщин и мужчин на защиту от посягательств сексуального характера, их похищения и торговли ими (ст. 24). Лица, совершившие такие действия несут уголовную ответственность, предусмотренную Уголовным кодексом Туркменистана. Эта законодательная норма является основанием для совершенствования национального законодательства, отражающего указанные вопросы, а также для дальнейшей законотворческой работы в предотвращении насилия в отношении женщин в любых её формах.</w:t>
      </w:r>
    </w:p>
    <w:p w:rsidR="0081142B" w:rsidRDefault="0081142B" w:rsidP="0081142B">
      <w:pPr>
        <w:pStyle w:val="SingleTxtGR"/>
      </w:pPr>
      <w:r>
        <w:t>110.</w:t>
      </w:r>
      <w:r>
        <w:tab/>
        <w:t>В Туркменистане нет специального закона о насилии в отношении женщин и законодательством не предусмотрен состав такого преступления, как «домашнее насилие». Однако, в Уголовном кодексе Туркменистана криминализированы противоправные действия, совершаемые в быту. Диспозиции соответствующих норм предусматривают ответственность за противоправные деяния, направленные на унижение чести и достоинства личности, жестокое обращение, причинение различного рода телесных повреждений, в том числе в отношении женщин.</w:t>
      </w:r>
    </w:p>
    <w:p w:rsidR="0081142B" w:rsidRDefault="0081142B" w:rsidP="0081142B">
      <w:pPr>
        <w:pStyle w:val="SingleTxtGR"/>
      </w:pPr>
      <w:r>
        <w:t>111.</w:t>
      </w:r>
      <w:r>
        <w:tab/>
        <w:t xml:space="preserve">Одной из задач Национального Плана Действий по гендерному равенству в Туркменистане на 2015−2020 годы является анализ законодательства Туркменистана на предмет возможного принятия </w:t>
      </w:r>
      <w:proofErr w:type="gramStart"/>
      <w:r>
        <w:t>законодательства</w:t>
      </w:r>
      <w:proofErr w:type="gramEnd"/>
      <w:r>
        <w:t xml:space="preserve"> криминализирующего насилие, проведение обследования о распространении, причинах и последствиях всех форм насилия в отношении женщин, включая домашнее насилие. В партнерстве с Представительством ЮНФПА в Туркменистане с участием международного эксперта проведены практические семинары по определению методологии проведения обследования, ознакомлению с законодательством зарубежных стран в области домашнего насилия и практики его применения посредством ознакомительных визитов.</w:t>
      </w:r>
    </w:p>
    <w:p w:rsidR="0081142B" w:rsidRDefault="0081142B" w:rsidP="0081142B">
      <w:pPr>
        <w:pStyle w:val="SingleTxtGR"/>
      </w:pPr>
      <w:r>
        <w:t>112.</w:t>
      </w:r>
      <w:r w:rsidRPr="0060267F">
        <w:t xml:space="preserve"> </w:t>
      </w:r>
      <w:r>
        <w:tab/>
      </w:r>
      <w:proofErr w:type="gramStart"/>
      <w:r>
        <w:t>В</w:t>
      </w:r>
      <w:proofErr w:type="gramEnd"/>
      <w:r>
        <w:t xml:space="preserve"> рамках изучения вопроса по профилактике гендерного насилия, Межведомственная комиссия по обеспечению выполнения международных обязательств Туркменистана в области прав человека и международного гуманитарного права и ее Рабочая группа были ознакомлены с концепцией межведомственном реагировании на гендерное насилие при участии международного эксперта ЮНФПА из Румынии.</w:t>
      </w:r>
    </w:p>
    <w:p w:rsidR="0081142B" w:rsidRDefault="0081142B" w:rsidP="0081142B">
      <w:pPr>
        <w:pStyle w:val="SingleTxtGR"/>
      </w:pPr>
      <w:r>
        <w:t>113.</w:t>
      </w:r>
      <w:r>
        <w:tab/>
        <w:t>В настоящее время разработана Анкета-вопросник для проведения обследования о распространенности насилия против женщин и его коренных причин. Государственным комитетом Туркменистана по статистике проводится подготовительная работа по проведению выборки на основании предоставленных Министерством здравоохранения и медицинской промышленности Туркменистана количества врачебных семейных участков; проведению листинга отобранных домашних хозяйств для проведения обследования.</w:t>
      </w:r>
    </w:p>
    <w:p w:rsidR="0081142B" w:rsidRDefault="0081142B" w:rsidP="0081142B">
      <w:pPr>
        <w:pStyle w:val="SingleTxtGR"/>
      </w:pPr>
      <w:r>
        <w:t>114.</w:t>
      </w:r>
      <w:r>
        <w:tab/>
        <w:t>На основании результатов проведенного обследования будут разработаны предложения по внесению изменений и дополнений в действующее национальное законодательство или обоснован вопрос о целесообразности разработки законопроекта в области домашнего насилия.</w:t>
      </w:r>
    </w:p>
    <w:p w:rsidR="0081142B" w:rsidRDefault="0081142B" w:rsidP="0081142B">
      <w:pPr>
        <w:pStyle w:val="H1GR"/>
        <w:rPr>
          <w:lang w:val="tk-TM"/>
        </w:rPr>
      </w:pPr>
      <w:r>
        <w:rPr>
          <w:lang w:val="tk-TM"/>
        </w:rPr>
        <w:tab/>
      </w:r>
      <w:r>
        <w:rPr>
          <w:lang w:val="tk-TM"/>
        </w:rPr>
        <w:tab/>
        <w:t>Право на достаточный жизненный уровень (статья 11)</w:t>
      </w:r>
    </w:p>
    <w:p w:rsidR="0081142B" w:rsidRDefault="0081142B" w:rsidP="0081142B">
      <w:pPr>
        <w:pStyle w:val="H23GR"/>
      </w:pPr>
      <w:r>
        <w:tab/>
      </w:r>
      <w:r>
        <w:tab/>
        <w:t>Пункт 19</w:t>
      </w:r>
    </w:p>
    <w:p w:rsidR="0081142B" w:rsidRDefault="0081142B" w:rsidP="001D339A">
      <w:pPr>
        <w:pStyle w:val="SingleTxtGR"/>
        <w:spacing w:line="234" w:lineRule="atLeast"/>
      </w:pPr>
      <w:r>
        <w:t>115.</w:t>
      </w:r>
      <w:r>
        <w:tab/>
        <w:t>Во всех Национальных программах социально-экономического развития Туркменистана, в других национальных программах, планах действий и отраслевых программах развития, законодательных и нормативных правовых актах предусматривается стратегические мероприятия, не допускающие снижение жизненного уровня населения, в том числе через эффективные меры социального обеспечения и социальной защиты.</w:t>
      </w:r>
    </w:p>
    <w:p w:rsidR="0081142B" w:rsidRDefault="0081142B" w:rsidP="001D339A">
      <w:pPr>
        <w:pStyle w:val="SingleTxtGR"/>
        <w:spacing w:line="234" w:lineRule="atLeast"/>
      </w:pPr>
      <w:r>
        <w:t>116.</w:t>
      </w:r>
      <w:r>
        <w:tab/>
        <w:t xml:space="preserve">Свидетельством эффективности мер, предпринимаемых в этом направлении, является тот факт, что Туркменистан − страна с доходом на душу населения выше среднего. </w:t>
      </w:r>
    </w:p>
    <w:p w:rsidR="0081142B" w:rsidRDefault="0081142B" w:rsidP="0081142B">
      <w:pPr>
        <w:pStyle w:val="H23GR"/>
      </w:pPr>
      <w:r>
        <w:tab/>
      </w:r>
      <w:r>
        <w:tab/>
        <w:t>Пункт 20</w:t>
      </w:r>
    </w:p>
    <w:p w:rsidR="0081142B" w:rsidRDefault="0081142B" w:rsidP="001D339A">
      <w:pPr>
        <w:pStyle w:val="SingleTxtGR"/>
        <w:spacing w:line="234" w:lineRule="atLeast"/>
      </w:pPr>
      <w:r>
        <w:rPr>
          <w:bCs/>
        </w:rPr>
        <w:t>117.</w:t>
      </w:r>
      <w:r>
        <w:rPr>
          <w:bCs/>
        </w:rPr>
        <w:tab/>
        <w:t xml:space="preserve">Усилия, предпринятые в рамках </w:t>
      </w:r>
      <w:r>
        <w:t>Генеральной программы по обеспечению чистой питьевой водой населенных пунктов Туркменистана до 2020 года</w:t>
      </w:r>
      <w:r>
        <w:rPr>
          <w:bCs/>
        </w:rPr>
        <w:t>, позволили улучшить доступ к питьевой воде. Так п</w:t>
      </w:r>
      <w:r>
        <w:t>роцентная доля членов домохозяйств, использующих улучшенные источники питьевой воды увеличилось с 70,8% (</w:t>
      </w:r>
      <w:r>
        <w:rPr>
          <w:lang w:val="en-GB"/>
        </w:rPr>
        <w:t>MICS</w:t>
      </w:r>
      <w:r>
        <w:t>-3, 2006 год) до 82,8% (</w:t>
      </w:r>
      <w:r>
        <w:rPr>
          <w:lang w:val="en-GB"/>
        </w:rPr>
        <w:t>MICS</w:t>
      </w:r>
      <w:r>
        <w:t xml:space="preserve">-5, 2015−2016 годы). </w:t>
      </w:r>
      <w:r>
        <w:rPr>
          <w:bCs/>
        </w:rPr>
        <w:t>В городских районах доступ к ней является практически всеобщим − 97,8%, в сельской местности 73,2%.</w:t>
      </w:r>
    </w:p>
    <w:p w:rsidR="0081142B" w:rsidRDefault="0081142B" w:rsidP="0081142B">
      <w:pPr>
        <w:pStyle w:val="H23GR"/>
      </w:pPr>
      <w:r>
        <w:tab/>
      </w:r>
      <w:r>
        <w:tab/>
      </w:r>
      <w:proofErr w:type="spellStart"/>
      <w:r>
        <w:rPr>
          <w:lang w:val="en-GB"/>
        </w:rPr>
        <w:t>Показатели</w:t>
      </w:r>
      <w:proofErr w:type="spellEnd"/>
      <w:r>
        <w:rPr>
          <w:lang w:val="en-GB"/>
        </w:rPr>
        <w:t xml:space="preserve"> </w:t>
      </w:r>
      <w:proofErr w:type="spellStart"/>
      <w:r>
        <w:rPr>
          <w:lang w:val="en-GB"/>
        </w:rPr>
        <w:t>по</w:t>
      </w:r>
      <w:proofErr w:type="spellEnd"/>
      <w:r>
        <w:rPr>
          <w:lang w:val="en-GB"/>
        </w:rPr>
        <w:t xml:space="preserve"> </w:t>
      </w:r>
      <w:proofErr w:type="spellStart"/>
      <w:r>
        <w:rPr>
          <w:lang w:val="en-GB"/>
        </w:rPr>
        <w:t>очищенной</w:t>
      </w:r>
      <w:proofErr w:type="spellEnd"/>
      <w:r>
        <w:rPr>
          <w:lang w:val="en-GB"/>
        </w:rPr>
        <w:t xml:space="preserve"> </w:t>
      </w:r>
      <w:proofErr w:type="spellStart"/>
      <w:r>
        <w:rPr>
          <w:lang w:val="en-GB"/>
        </w:rPr>
        <w:t>питьевой</w:t>
      </w:r>
      <w:proofErr w:type="spellEnd"/>
      <w:r>
        <w:rPr>
          <w:lang w:val="en-GB"/>
        </w:rPr>
        <w:t xml:space="preserve"> </w:t>
      </w:r>
      <w:proofErr w:type="spellStart"/>
      <w:r>
        <w:rPr>
          <w:lang w:val="en-GB"/>
        </w:rPr>
        <w:t>воде</w:t>
      </w:r>
      <w:proofErr w:type="spellEnd"/>
    </w:p>
    <w:tbl>
      <w:tblPr>
        <w:tblW w:w="7370" w:type="dxa"/>
        <w:tblInd w:w="1134" w:type="dxa"/>
        <w:tblLayout w:type="fixed"/>
        <w:tblCellMar>
          <w:left w:w="10" w:type="dxa"/>
          <w:right w:w="10" w:type="dxa"/>
        </w:tblCellMar>
        <w:tblLook w:val="0000" w:firstRow="0" w:lastRow="0" w:firstColumn="0" w:lastColumn="0" w:noHBand="0" w:noVBand="0"/>
      </w:tblPr>
      <w:tblGrid>
        <w:gridCol w:w="3969"/>
        <w:gridCol w:w="851"/>
        <w:gridCol w:w="850"/>
        <w:gridCol w:w="851"/>
        <w:gridCol w:w="849"/>
      </w:tblGrid>
      <w:tr w:rsidR="0081142B" w:rsidTr="0081142B">
        <w:trPr>
          <w:tblHeader/>
        </w:trPr>
        <w:tc>
          <w:tcPr>
            <w:tcW w:w="3969"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rPr>
                <w:i/>
                <w:sz w:val="16"/>
                <w:lang w:eastAsia="ru-RU"/>
              </w:rPr>
            </w:pPr>
            <w:r>
              <w:rPr>
                <w:i/>
                <w:sz w:val="16"/>
                <w:lang w:eastAsia="ru-RU"/>
              </w:rPr>
              <w:t>Наименование показателей</w:t>
            </w:r>
          </w:p>
        </w:tc>
        <w:tc>
          <w:tcPr>
            <w:tcW w:w="851"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Единица измерения</w:t>
            </w:r>
          </w:p>
        </w:tc>
        <w:tc>
          <w:tcPr>
            <w:tcW w:w="850" w:type="dxa"/>
            <w:vMerge w:val="restart"/>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Всего</w:t>
            </w:r>
          </w:p>
        </w:tc>
        <w:tc>
          <w:tcPr>
            <w:tcW w:w="1700" w:type="dxa"/>
            <w:gridSpan w:val="2"/>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center"/>
              <w:rPr>
                <w:i/>
                <w:sz w:val="16"/>
                <w:lang w:eastAsia="ru-RU"/>
              </w:rPr>
            </w:pPr>
            <w:r>
              <w:rPr>
                <w:i/>
                <w:sz w:val="16"/>
                <w:lang w:eastAsia="ru-RU"/>
              </w:rPr>
              <w:t>в том числе:</w:t>
            </w:r>
          </w:p>
        </w:tc>
      </w:tr>
      <w:tr w:rsidR="0081142B" w:rsidTr="0081142B">
        <w:trPr>
          <w:trHeight w:hRule="exact" w:val="113"/>
          <w:tblHeader/>
        </w:trPr>
        <w:tc>
          <w:tcPr>
            <w:tcW w:w="3969"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rPr>
                <w:i/>
                <w:sz w:val="16"/>
                <w:lang w:eastAsia="ru-RU"/>
              </w:rPr>
            </w:pPr>
          </w:p>
        </w:tc>
        <w:tc>
          <w:tcPr>
            <w:tcW w:w="851"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p>
        </w:tc>
        <w:tc>
          <w:tcPr>
            <w:tcW w:w="850"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p>
        </w:tc>
        <w:tc>
          <w:tcPr>
            <w:tcW w:w="1700" w:type="dxa"/>
            <w:gridSpan w:val="2"/>
            <w:tcBorders>
              <w:top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p>
        </w:tc>
      </w:tr>
      <w:tr w:rsidR="0081142B" w:rsidTr="0081142B">
        <w:trPr>
          <w:tblHeader/>
        </w:trPr>
        <w:tc>
          <w:tcPr>
            <w:tcW w:w="3969"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rPr>
                <w:i/>
                <w:sz w:val="16"/>
                <w:lang w:eastAsia="ru-RU"/>
              </w:rPr>
            </w:pPr>
          </w:p>
        </w:tc>
        <w:tc>
          <w:tcPr>
            <w:tcW w:w="851"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p>
        </w:tc>
        <w:tc>
          <w:tcPr>
            <w:tcW w:w="850" w:type="dxa"/>
            <w:vMerge/>
            <w:tcBorders>
              <w:top w:val="single" w:sz="4" w:space="0" w:color="000000"/>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p>
        </w:tc>
        <w:tc>
          <w:tcPr>
            <w:tcW w:w="851" w:type="dxa"/>
            <w:tcBorders>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город</w:t>
            </w:r>
          </w:p>
        </w:tc>
        <w:tc>
          <w:tcPr>
            <w:tcW w:w="849" w:type="dxa"/>
            <w:tcBorders>
              <w:bottom w:val="single" w:sz="4"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село</w:t>
            </w:r>
          </w:p>
        </w:tc>
      </w:tr>
      <w:tr w:rsidR="0081142B" w:rsidTr="0081142B">
        <w:trPr>
          <w:tblHeader/>
        </w:trPr>
        <w:tc>
          <w:tcPr>
            <w:tcW w:w="396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rPr>
                <w:i/>
                <w:sz w:val="16"/>
                <w:lang w:eastAsia="ru-RU"/>
              </w:rPr>
            </w:pPr>
            <w:r>
              <w:rPr>
                <w:i/>
                <w:sz w:val="16"/>
                <w:lang w:eastAsia="ru-RU"/>
              </w:rPr>
              <w:t>A</w:t>
            </w:r>
          </w:p>
        </w:tc>
        <w:tc>
          <w:tcPr>
            <w:tcW w:w="85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Б</w:t>
            </w:r>
          </w:p>
        </w:tc>
        <w:tc>
          <w:tcPr>
            <w:tcW w:w="850"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1</w:t>
            </w:r>
          </w:p>
        </w:tc>
        <w:tc>
          <w:tcPr>
            <w:tcW w:w="851"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2</w:t>
            </w:r>
          </w:p>
        </w:tc>
        <w:tc>
          <w:tcPr>
            <w:tcW w:w="849" w:type="dxa"/>
            <w:tcBorders>
              <w:top w:val="single" w:sz="4" w:space="0" w:color="000000"/>
              <w:bottom w:val="single" w:sz="12" w:space="0" w:color="000000"/>
            </w:tcBorders>
            <w:shd w:val="clear" w:color="auto" w:fill="auto"/>
            <w:tcMar>
              <w:top w:w="0" w:type="dxa"/>
              <w:left w:w="28" w:type="dxa"/>
              <w:bottom w:w="0" w:type="dxa"/>
              <w:right w:w="28" w:type="dxa"/>
            </w:tcMar>
            <w:vAlign w:val="bottom"/>
          </w:tcPr>
          <w:p w:rsidR="0081142B" w:rsidRDefault="0081142B" w:rsidP="0081142B">
            <w:pPr>
              <w:suppressAutoHyphens w:val="0"/>
              <w:spacing w:before="80" w:after="80" w:line="200" w:lineRule="exact"/>
              <w:jc w:val="right"/>
              <w:rPr>
                <w:i/>
                <w:sz w:val="16"/>
                <w:lang w:eastAsia="ru-RU"/>
              </w:rPr>
            </w:pPr>
            <w:r>
              <w:rPr>
                <w:i/>
                <w:sz w:val="16"/>
                <w:lang w:eastAsia="ru-RU"/>
              </w:rPr>
              <w:t>3</w:t>
            </w:r>
          </w:p>
        </w:tc>
      </w:tr>
      <w:tr w:rsidR="0081142B" w:rsidTr="0081142B">
        <w:tc>
          <w:tcPr>
            <w:tcW w:w="3969" w:type="dxa"/>
            <w:tcBorders>
              <w:top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spacing w:before="40" w:after="40" w:line="220" w:lineRule="atLeast"/>
              <w:rPr>
                <w:sz w:val="18"/>
                <w:szCs w:val="18"/>
                <w:lang w:eastAsia="ru-RU"/>
              </w:rPr>
            </w:pPr>
            <w:r w:rsidRPr="008978CF">
              <w:rPr>
                <w:sz w:val="18"/>
                <w:szCs w:val="18"/>
                <w:lang w:eastAsia="ru-RU"/>
              </w:rPr>
              <w:t>Объём воды, пропущенной через очистные сооружения</w:t>
            </w:r>
          </w:p>
        </w:tc>
        <w:tc>
          <w:tcPr>
            <w:tcW w:w="851"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pPr>
            <w:r>
              <w:rPr>
                <w:sz w:val="18"/>
                <w:szCs w:val="18"/>
                <w:lang w:eastAsia="ru-RU"/>
              </w:rPr>
              <w:t>тыс. м</w:t>
            </w:r>
            <w:r>
              <w:rPr>
                <w:sz w:val="18"/>
                <w:szCs w:val="18"/>
                <w:vertAlign w:val="superscript"/>
                <w:lang w:eastAsia="ru-RU"/>
              </w:rPr>
              <w:t>3</w:t>
            </w:r>
          </w:p>
        </w:tc>
        <w:tc>
          <w:tcPr>
            <w:tcW w:w="850"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399696,5</w:t>
            </w:r>
          </w:p>
        </w:tc>
        <w:tc>
          <w:tcPr>
            <w:tcW w:w="851"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362887,1</w:t>
            </w:r>
          </w:p>
        </w:tc>
        <w:tc>
          <w:tcPr>
            <w:tcW w:w="849" w:type="dxa"/>
            <w:tcBorders>
              <w:top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36809,4</w:t>
            </w:r>
          </w:p>
        </w:tc>
      </w:tr>
      <w:tr w:rsidR="0081142B" w:rsidTr="0081142B">
        <w:tc>
          <w:tcPr>
            <w:tcW w:w="3969" w:type="dxa"/>
            <w:tcBorders>
              <w:bottom w:val="single" w:sz="12" w:space="0" w:color="000000"/>
            </w:tcBorders>
            <w:shd w:val="clear" w:color="auto" w:fill="auto"/>
            <w:tcMar>
              <w:top w:w="0" w:type="dxa"/>
              <w:left w:w="28" w:type="dxa"/>
              <w:bottom w:w="0" w:type="dxa"/>
              <w:right w:w="28" w:type="dxa"/>
            </w:tcMar>
            <w:vAlign w:val="bottom"/>
          </w:tcPr>
          <w:p w:rsidR="0081142B" w:rsidRPr="008978CF" w:rsidRDefault="0081142B" w:rsidP="0081142B">
            <w:pPr>
              <w:tabs>
                <w:tab w:val="left" w:pos="284"/>
              </w:tabs>
              <w:spacing w:before="40" w:after="40" w:line="220" w:lineRule="atLeast"/>
              <w:rPr>
                <w:sz w:val="18"/>
                <w:szCs w:val="18"/>
                <w:lang w:eastAsia="ru-RU"/>
              </w:rPr>
            </w:pPr>
            <w:r w:rsidRPr="008978CF">
              <w:rPr>
                <w:sz w:val="18"/>
                <w:szCs w:val="18"/>
                <w:lang w:eastAsia="ru-RU"/>
              </w:rPr>
              <w:tab/>
              <w:t>из неё, нормативно-очищенная питьевая вода</w:t>
            </w:r>
          </w:p>
        </w:tc>
        <w:tc>
          <w:tcPr>
            <w:tcW w:w="851"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pPr>
            <w:r>
              <w:rPr>
                <w:sz w:val="18"/>
                <w:szCs w:val="18"/>
                <w:lang w:eastAsia="ru-RU"/>
              </w:rPr>
              <w:t>тыс. м</w:t>
            </w:r>
            <w:r>
              <w:rPr>
                <w:sz w:val="18"/>
                <w:szCs w:val="18"/>
                <w:vertAlign w:val="superscript"/>
                <w:lang w:eastAsia="ru-RU"/>
              </w:rPr>
              <w:t>3</w:t>
            </w:r>
          </w:p>
        </w:tc>
        <w:tc>
          <w:tcPr>
            <w:tcW w:w="850"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355946,5</w:t>
            </w:r>
          </w:p>
        </w:tc>
        <w:tc>
          <w:tcPr>
            <w:tcW w:w="851"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346265,0</w:t>
            </w:r>
          </w:p>
        </w:tc>
        <w:tc>
          <w:tcPr>
            <w:tcW w:w="849" w:type="dxa"/>
            <w:tcBorders>
              <w:bottom w:val="single" w:sz="12" w:space="0" w:color="000000"/>
            </w:tcBorders>
            <w:shd w:val="clear" w:color="auto" w:fill="auto"/>
            <w:tcMar>
              <w:top w:w="0" w:type="dxa"/>
              <w:left w:w="28" w:type="dxa"/>
              <w:bottom w:w="0" w:type="dxa"/>
              <w:right w:w="28" w:type="dxa"/>
            </w:tcMar>
            <w:vAlign w:val="bottom"/>
          </w:tcPr>
          <w:p w:rsidR="0081142B" w:rsidRDefault="0081142B" w:rsidP="0081142B">
            <w:pPr>
              <w:spacing w:before="40" w:after="40" w:line="220" w:lineRule="atLeast"/>
              <w:jc w:val="right"/>
              <w:rPr>
                <w:sz w:val="18"/>
                <w:szCs w:val="18"/>
                <w:lang w:eastAsia="ru-RU"/>
              </w:rPr>
            </w:pPr>
            <w:r>
              <w:rPr>
                <w:sz w:val="18"/>
                <w:szCs w:val="18"/>
                <w:lang w:eastAsia="ru-RU"/>
              </w:rPr>
              <w:t>9681,5</w:t>
            </w:r>
          </w:p>
        </w:tc>
      </w:tr>
    </w:tbl>
    <w:p w:rsidR="0081142B" w:rsidRDefault="0081142B" w:rsidP="001D339A">
      <w:pPr>
        <w:pStyle w:val="SingleTxtGR"/>
        <w:spacing w:before="240" w:line="234" w:lineRule="atLeast"/>
      </w:pPr>
      <w:r>
        <w:t>118.</w:t>
      </w:r>
      <w:r>
        <w:tab/>
        <w:t xml:space="preserve">Государственная санитарно-эпидемиологическая служба Министерства здравоохранения и медицинской промышленности Туркменистана руководствуясь Санитарным Кодексом Туркменистана, осуществляет постоянный санитарно-эпидемиологический надзор за качеством воды хозяйственно-питьевым водоснабжения согласно ГОСТ. </w:t>
      </w:r>
    </w:p>
    <w:p w:rsidR="0081142B" w:rsidRDefault="0081142B" w:rsidP="001D339A">
      <w:pPr>
        <w:pStyle w:val="SingleTxtGR"/>
        <w:spacing w:line="234" w:lineRule="atLeast"/>
      </w:pPr>
      <w:r>
        <w:t>119.</w:t>
      </w:r>
      <w:r w:rsidRPr="0060267F">
        <w:t xml:space="preserve"> </w:t>
      </w:r>
      <w:r>
        <w:tab/>
      </w:r>
      <w:proofErr w:type="gramStart"/>
      <w:r>
        <w:t>В</w:t>
      </w:r>
      <w:proofErr w:type="gramEnd"/>
      <w:r>
        <w:t xml:space="preserve"> аттестованных лабораториях 78-ми подведомственных учреждений ГСЭС, расположенных во всех регионах, исследуются пробы питьевой воды на соответствие требованиям государственного стандарта по микробиологическим, химическим и органолептическим показателям. </w:t>
      </w:r>
    </w:p>
    <w:p w:rsidR="0081142B" w:rsidRDefault="0081142B" w:rsidP="001D339A">
      <w:pPr>
        <w:pStyle w:val="SingleTxtGR"/>
        <w:spacing w:line="234" w:lineRule="atLeast"/>
      </w:pPr>
      <w:r>
        <w:t>120.</w:t>
      </w:r>
      <w:r>
        <w:tab/>
        <w:t>Процентная доля населения, которая, имеет доступ к улучшенной санитарии стабильно высокий и составляет 99% (</w:t>
      </w:r>
      <w:r>
        <w:rPr>
          <w:lang w:val="en-GB"/>
        </w:rPr>
        <w:t>MICS</w:t>
      </w:r>
      <w:r>
        <w:t>-5, 2015−2016 годы).</w:t>
      </w:r>
    </w:p>
    <w:p w:rsidR="0081142B" w:rsidRDefault="0081142B" w:rsidP="001D339A">
      <w:pPr>
        <w:pStyle w:val="SingleTxtGR"/>
        <w:spacing w:line="234" w:lineRule="atLeast"/>
      </w:pPr>
      <w:r>
        <w:t>121.</w:t>
      </w:r>
      <w:r>
        <w:tab/>
        <w:t xml:space="preserve">Проводится широкий комплекс мер по контролю и профилактике инфекционных заболеваний. Осуществляется систематический учет больных кишечными инфекциями, вирусными гепатитами А и Е, среди уязвимых групп населения проводится вакцинация против гепатита А. </w:t>
      </w:r>
    </w:p>
    <w:p w:rsidR="0081142B" w:rsidRDefault="0081142B" w:rsidP="001D339A">
      <w:pPr>
        <w:pStyle w:val="SingleTxtGR"/>
        <w:spacing w:line="234" w:lineRule="atLeast"/>
      </w:pPr>
      <w:r>
        <w:t>122.</w:t>
      </w:r>
      <w:r>
        <w:tab/>
        <w:t>За период 2010−2017 годы заболеваемость гепатитом А снизилась на 27%, дизентерией – на 9%, брюшным тифом до единичных случаев, ликвидирован полиомиелит.</w:t>
      </w:r>
    </w:p>
    <w:p w:rsidR="0081142B" w:rsidRDefault="0081142B" w:rsidP="001D339A">
      <w:pPr>
        <w:pStyle w:val="SingleTxtGR"/>
        <w:spacing w:line="234" w:lineRule="atLeast"/>
      </w:pPr>
      <w:r>
        <w:t>123.</w:t>
      </w:r>
      <w:r>
        <w:tab/>
        <w:t xml:space="preserve">В 2015−2016 годах Туркменистан провел кластерное обследование по многим показателя 5 раунда. В вопросники данного обследования были включены вопросы по использованию улучшенных источников воды и доступ к улучшенной санитарии. Информацию по использованию улучшенных источников воды и доступ к улучшенной санитарии можно найти в Итоговом отчете на сайте ЮНИСЕФ </w:t>
      </w:r>
      <w:r>
        <w:rPr>
          <w:lang w:val="en-US"/>
        </w:rPr>
        <w:t>www</w:t>
      </w:r>
      <w:r>
        <w:t>.</w:t>
      </w:r>
      <w:r>
        <w:rPr>
          <w:lang w:val="en-GB"/>
        </w:rPr>
        <w:t>mics</w:t>
      </w:r>
      <w:r>
        <w:t>.</w:t>
      </w:r>
      <w:proofErr w:type="spellStart"/>
      <w:r>
        <w:rPr>
          <w:lang w:val="en-GB"/>
        </w:rPr>
        <w:t>unicef</w:t>
      </w:r>
      <w:proofErr w:type="spellEnd"/>
      <w:r>
        <w:t>.</w:t>
      </w:r>
      <w:r>
        <w:rPr>
          <w:lang w:val="en-GB"/>
        </w:rPr>
        <w:t>org</w:t>
      </w:r>
      <w:r>
        <w:t>/</w:t>
      </w:r>
      <w:r>
        <w:rPr>
          <w:lang w:val="en-US"/>
        </w:rPr>
        <w:t>surveys</w:t>
      </w:r>
      <w:r>
        <w:t>.</w:t>
      </w:r>
    </w:p>
    <w:p w:rsidR="0081142B" w:rsidRDefault="0081142B" w:rsidP="0081142B">
      <w:pPr>
        <w:pStyle w:val="H23GR"/>
      </w:pPr>
      <w:r>
        <w:tab/>
      </w:r>
      <w:r>
        <w:tab/>
        <w:t>Пункт 21</w:t>
      </w:r>
    </w:p>
    <w:p w:rsidR="0081142B" w:rsidRDefault="0081142B" w:rsidP="0081142B">
      <w:pPr>
        <w:pStyle w:val="SingleTxtGR"/>
      </w:pPr>
      <w:r>
        <w:t>124.</w:t>
      </w:r>
      <w:r>
        <w:tab/>
      </w:r>
      <w:r w:rsidRPr="001D339A">
        <w:t xml:space="preserve">Жилищный кодекс Туркменистана предусматривает порядок </w:t>
      </w:r>
      <w:r w:rsidRPr="001D339A">
        <w:rPr>
          <w:bCs/>
        </w:rPr>
        <w:t>прекращения права собственности на жилое помещение</w:t>
      </w:r>
      <w:r w:rsidRPr="001D339A">
        <w:t xml:space="preserve"> в случаях</w:t>
      </w:r>
      <w:bookmarkStart w:id="0" w:name="sub1000000593"/>
      <w:r w:rsidRPr="001D339A">
        <w:t xml:space="preserve"> </w:t>
      </w:r>
      <w:hyperlink r:id="rId8" w:history="1">
        <w:r w:rsidRPr="001D339A">
          <w:rPr>
            <w:rStyle w:val="a7"/>
            <w:color w:val="auto"/>
          </w:rPr>
          <w:t>изъятия земельного участка</w:t>
        </w:r>
      </w:hyperlink>
      <w:bookmarkEnd w:id="0"/>
      <w:r w:rsidRPr="001D339A">
        <w:t xml:space="preserve">, на котором расположен дом, для государственных или общественных нужд. При таком сносе собственнику, проживающему совместно с ним членам его семьи, а также иным лицам, постоянно проживавшим в этих помещениях до сноса жилого помещения по выбору собственника взамен предоставляется в частную собственность другое равноценное благоустроенное жилое помещение или выплачивается компенсация в размере </w:t>
      </w:r>
      <w:bookmarkStart w:id="1" w:name="sub1000040157"/>
      <w:r w:rsidRPr="001D339A">
        <w:fldChar w:fldCharType="begin"/>
      </w:r>
      <w:r w:rsidRPr="001D339A">
        <w:instrText xml:space="preserve"> HYPERLINK  "jl:1020914.20010 " </w:instrText>
      </w:r>
      <w:r w:rsidRPr="001D339A">
        <w:fldChar w:fldCharType="separate"/>
      </w:r>
      <w:r w:rsidRPr="001D339A">
        <w:rPr>
          <w:rStyle w:val="a7"/>
          <w:color w:val="auto"/>
        </w:rPr>
        <w:t>стоимости сносимого жил</w:t>
      </w:r>
      <w:r w:rsidRPr="001D339A">
        <w:rPr>
          <w:rStyle w:val="a7"/>
          <w:color w:val="auto"/>
        </w:rPr>
        <w:fldChar w:fldCharType="end"/>
      </w:r>
      <w:bookmarkEnd w:id="1"/>
      <w:r w:rsidRPr="001D339A">
        <w:t xml:space="preserve">ого </w:t>
      </w:r>
      <w:r>
        <w:t>помещения, его вспомогательных хозяйственных построек, иных сооружений и насаждений. При этом, собственнику в пределах установленной нормы может быть предоставлен земельный участок для строительства и обслуживания индивидуального жилого помещения на нём с оплатой стоимости сносимого жилого помещения, его вспомогательных хозяйственных построек, иных сооружений и насаждений. При этом для строительства в частную собственность индивидуального жилого помещения предоставляется временное жилое помещение на условиях договора найма на срок не более 3 лет.</w:t>
      </w:r>
    </w:p>
    <w:p w:rsidR="0081142B" w:rsidRDefault="0081142B" w:rsidP="0081142B">
      <w:pPr>
        <w:pStyle w:val="H1GR"/>
      </w:pPr>
      <w:r>
        <w:tab/>
      </w:r>
      <w:r>
        <w:tab/>
        <w:t>Право на физическое и психическое здоровье (статья 12)</w:t>
      </w:r>
    </w:p>
    <w:p w:rsidR="0081142B" w:rsidRDefault="0081142B" w:rsidP="0081142B">
      <w:pPr>
        <w:pStyle w:val="H23GR"/>
      </w:pPr>
      <w:r>
        <w:tab/>
      </w:r>
      <w:r>
        <w:tab/>
        <w:t>Пункт 22</w:t>
      </w:r>
    </w:p>
    <w:p w:rsidR="0081142B" w:rsidRDefault="0081142B" w:rsidP="0081142B">
      <w:pPr>
        <w:pStyle w:val="SingleTxtGR"/>
      </w:pPr>
      <w:r>
        <w:t>125.</w:t>
      </w:r>
      <w:r>
        <w:tab/>
        <w:t xml:space="preserve">Медицинские услуги на первичном уровне предоставляют 31 городские дома здоровья, 918 сельских центров и 607 </w:t>
      </w:r>
      <w:proofErr w:type="gramStart"/>
      <w:r>
        <w:t>сельских домов здоровья</w:t>
      </w:r>
      <w:proofErr w:type="gramEnd"/>
      <w:r>
        <w:t xml:space="preserve"> входящих в состав </w:t>
      </w:r>
      <w:proofErr w:type="spellStart"/>
      <w:r>
        <w:t>этрапских</w:t>
      </w:r>
      <w:proofErr w:type="spellEnd"/>
      <w:r>
        <w:t xml:space="preserve"> больниц. Сеть дневных стационаров домов здоровья, позволяет определенный объем медицинских услуг, выполняемых в госпиталях, перевести на амбулаторный уровень. Ежегодно </w:t>
      </w:r>
      <w:r>
        <w:rPr>
          <w:bCs/>
        </w:rPr>
        <w:t xml:space="preserve">в дневных стационарах </w:t>
      </w:r>
      <w:r>
        <w:t>получают</w:t>
      </w:r>
      <w:r>
        <w:rPr>
          <w:bCs/>
        </w:rPr>
        <w:t xml:space="preserve"> лечение более 41 тысячи </w:t>
      </w:r>
      <w:r>
        <w:t>больных</w:t>
      </w:r>
      <w:r>
        <w:rPr>
          <w:bCs/>
        </w:rPr>
        <w:t xml:space="preserve">. </w:t>
      </w:r>
    </w:p>
    <w:p w:rsidR="0081142B" w:rsidRDefault="0081142B" w:rsidP="0081142B">
      <w:pPr>
        <w:pStyle w:val="SingleTxtGR"/>
      </w:pPr>
      <w:r>
        <w:t>126.</w:t>
      </w:r>
      <w:r>
        <w:tab/>
        <w:t>Эффективность предоставления медицинской помощи возрастает как за счет семейной службы, так и за счет оптимизации стационарной помощи.</w:t>
      </w:r>
    </w:p>
    <w:p w:rsidR="0081142B" w:rsidRDefault="0081142B" w:rsidP="0081142B">
      <w:pPr>
        <w:pStyle w:val="SingleTxtGR"/>
      </w:pPr>
      <w:r>
        <w:t>127.</w:t>
      </w:r>
      <w:r>
        <w:tab/>
        <w:t>Для системного оказания высоко технологичной медицинской помощи в соответствии с международными стандартами качества в столице действуют медицинские комплексы с общим управлением и рядом узкоспециализированных клиник. Дирекция международных медицинских центров объединяет несколько центров − диагностический, кардиологии, внутренних болезней, болезней головы и шеи, стоматологии, офтальмологии, неврологии, хирургии и эндокринологии и перинатальный центр «</w:t>
      </w:r>
      <w:proofErr w:type="spellStart"/>
      <w:r>
        <w:t>Эне</w:t>
      </w:r>
      <w:proofErr w:type="spellEnd"/>
      <w:r>
        <w:t xml:space="preserve"> </w:t>
      </w:r>
      <w:proofErr w:type="spellStart"/>
      <w:r>
        <w:t>мяхри</w:t>
      </w:r>
      <w:proofErr w:type="spellEnd"/>
      <w:r>
        <w:t>».</w:t>
      </w:r>
    </w:p>
    <w:p w:rsidR="0081142B" w:rsidRDefault="0081142B" w:rsidP="0081142B">
      <w:pPr>
        <w:pStyle w:val="SingleTxtGR"/>
      </w:pPr>
      <w:r>
        <w:t>128.</w:t>
      </w:r>
      <w:r>
        <w:tab/>
        <w:t>Дирекция центров инфекционных болезней объединяет центры профилактики туберкулеза, кожно-венерологический, инфекционный, профилактики СПИДа, крови и централизованную лабораторию.</w:t>
      </w:r>
    </w:p>
    <w:p w:rsidR="0081142B" w:rsidRDefault="0081142B" w:rsidP="0081142B">
      <w:pPr>
        <w:pStyle w:val="SingleTxtGR"/>
      </w:pPr>
      <w:r>
        <w:t>129.</w:t>
      </w:r>
      <w:r>
        <w:tab/>
        <w:t xml:space="preserve">Специализированные клиники г. Ашхабада и аналогичные госпитали в </w:t>
      </w:r>
      <w:proofErr w:type="spellStart"/>
      <w:r>
        <w:t>велаятах</w:t>
      </w:r>
      <w:proofErr w:type="spellEnd"/>
      <w:r>
        <w:t xml:space="preserve">, такие как диагностические; неотложной скорой помощи; онкологии; охраны здоровья матери и ребенка; перинатальные центры </w:t>
      </w:r>
      <w:proofErr w:type="spellStart"/>
      <w:r>
        <w:t>Эне</w:t>
      </w:r>
      <w:proofErr w:type="spellEnd"/>
      <w:r>
        <w:t xml:space="preserve"> </w:t>
      </w:r>
      <w:proofErr w:type="spellStart"/>
      <w:r>
        <w:t>Мяхри</w:t>
      </w:r>
      <w:proofErr w:type="spellEnd"/>
      <w:r>
        <w:t xml:space="preserve">, создают сети </w:t>
      </w:r>
      <w:proofErr w:type="gramStart"/>
      <w:r>
        <w:t>медицинских учреждений</w:t>
      </w:r>
      <w:proofErr w:type="gramEnd"/>
      <w:r>
        <w:t xml:space="preserve"> работающих по одному из направлений. Специализированные клиники и центры координируют работу соответствующих служб в регионах. </w:t>
      </w:r>
    </w:p>
    <w:p w:rsidR="0081142B" w:rsidRDefault="0081142B" w:rsidP="0081142B">
      <w:pPr>
        <w:pStyle w:val="SingleTxtGR"/>
      </w:pPr>
      <w:r>
        <w:t>130.</w:t>
      </w:r>
      <w:r w:rsidRPr="0060267F">
        <w:t xml:space="preserve"> </w:t>
      </w:r>
      <w:r>
        <w:tab/>
      </w:r>
      <w:proofErr w:type="gramStart"/>
      <w:r>
        <w:t>В</w:t>
      </w:r>
      <w:proofErr w:type="gramEnd"/>
      <w:r>
        <w:t xml:space="preserve"> учреждения здравоохранения за период 2010−2017 годы было поставлено около 30 тысяч единиц инновационного оборудования известных мировых производителей.</w:t>
      </w:r>
    </w:p>
    <w:p w:rsidR="0081142B" w:rsidRDefault="0081142B" w:rsidP="0081142B">
      <w:pPr>
        <w:pStyle w:val="SingleTxtGR"/>
      </w:pPr>
      <w:r>
        <w:t>131.</w:t>
      </w:r>
      <w:r>
        <w:tab/>
        <w:t>За период 2010−2017 годы увеличилось число больниц до 120, за счет открытия высокотехнологических центров. Выросло число госпитальных коек с 20</w:t>
      </w:r>
      <w:r>
        <w:rPr>
          <w:lang w:val="en-GB"/>
        </w:rPr>
        <w:t> </w:t>
      </w:r>
      <w:r>
        <w:t>636 до 22</w:t>
      </w:r>
      <w:r>
        <w:rPr>
          <w:lang w:val="en-GB"/>
        </w:rPr>
        <w:t> </w:t>
      </w:r>
      <w:r>
        <w:t xml:space="preserve">574. Проведенная рационализация коечного фонда, полное обследование больного на </w:t>
      </w:r>
      <w:proofErr w:type="gramStart"/>
      <w:r>
        <w:t>до госпитальном этапе</w:t>
      </w:r>
      <w:proofErr w:type="gramEnd"/>
      <w:r>
        <w:t xml:space="preserve"> позволило уменьшить длительность пребывания больного в стационаре с 15,4 дней до </w:t>
      </w:r>
      <w:r>
        <w:rPr>
          <w:lang w:val="tk-TM"/>
        </w:rPr>
        <w:t>6</w:t>
      </w:r>
      <w:r>
        <w:t>,</w:t>
      </w:r>
      <w:r>
        <w:rPr>
          <w:lang w:val="tk-TM"/>
        </w:rPr>
        <w:t>4</w:t>
      </w:r>
      <w:r>
        <w:t xml:space="preserve">. </w:t>
      </w:r>
    </w:p>
    <w:p w:rsidR="0081142B" w:rsidRDefault="0081142B" w:rsidP="001D339A">
      <w:pPr>
        <w:pStyle w:val="SingleTxtGR"/>
        <w:pageBreakBefore/>
      </w:pPr>
      <w:r>
        <w:t>132.</w:t>
      </w:r>
      <w:r>
        <w:tab/>
        <w:t xml:space="preserve">Для оказания населению скорой и неотложной помощи в период 2009−2017 годов закуплено на средства гос. бюджета 579 единиц спец. автомашин «Скорой помощи», оснащенных средствами связи, мобильными терминалами с </w:t>
      </w:r>
      <w:r>
        <w:rPr>
          <w:lang w:val="en-GB"/>
        </w:rPr>
        <w:t>GPS</w:t>
      </w:r>
      <w:r>
        <w:t xml:space="preserve">-навигацией, и аппаратурой. </w:t>
      </w:r>
    </w:p>
    <w:p w:rsidR="0081142B" w:rsidRDefault="0081142B" w:rsidP="0081142B">
      <w:pPr>
        <w:pStyle w:val="SingleTxtGR"/>
      </w:pPr>
      <w:r>
        <w:t>Центр экстремальной медицины оснастили специальным вертолетом марки «</w:t>
      </w:r>
      <w:r>
        <w:rPr>
          <w:lang w:val="en-US"/>
        </w:rPr>
        <w:t>Super</w:t>
      </w:r>
      <w:r>
        <w:t xml:space="preserve"> </w:t>
      </w:r>
      <w:r>
        <w:rPr>
          <w:lang w:val="en-US"/>
        </w:rPr>
        <w:t>Puma</w:t>
      </w:r>
      <w:r>
        <w:t xml:space="preserve"> </w:t>
      </w:r>
      <w:r>
        <w:rPr>
          <w:lang w:val="en-US"/>
        </w:rPr>
        <w:t>AS</w:t>
      </w:r>
      <w:r>
        <w:t xml:space="preserve"> 332 </w:t>
      </w:r>
      <w:r>
        <w:rPr>
          <w:lang w:val="en-US"/>
        </w:rPr>
        <w:t>L</w:t>
      </w:r>
      <w:r>
        <w:t xml:space="preserve">2». </w:t>
      </w:r>
    </w:p>
    <w:p w:rsidR="0081142B" w:rsidRDefault="0081142B" w:rsidP="0081142B">
      <w:pPr>
        <w:pStyle w:val="SingleTxtGR"/>
      </w:pPr>
      <w:r>
        <w:t>133.</w:t>
      </w:r>
      <w:r w:rsidRPr="0060267F">
        <w:t xml:space="preserve"> </w:t>
      </w:r>
      <w:r>
        <w:tab/>
      </w:r>
      <w:proofErr w:type="gramStart"/>
      <w:r>
        <w:t>В</w:t>
      </w:r>
      <w:proofErr w:type="gramEnd"/>
      <w:r>
        <w:t xml:space="preserve"> рамках реализации Государственной Программы по развитию медицинской промышленности</w:t>
      </w:r>
      <w:r>
        <w:rPr>
          <w:b/>
        </w:rPr>
        <w:t xml:space="preserve"> </w:t>
      </w:r>
      <w:r>
        <w:t>Туркменистана на 2011−2017 годы введены в строй 6 новых предприятий, производящих готовые лекарственные средства и изделия медицинского назначения,</w:t>
      </w:r>
      <w:r>
        <w:rPr>
          <w:lang w:val="sq-AL"/>
        </w:rPr>
        <w:t xml:space="preserve"> </w:t>
      </w:r>
      <w:r>
        <w:t>большинство из которых</w:t>
      </w:r>
      <w:r>
        <w:rPr>
          <w:lang w:val="sq-AL"/>
        </w:rPr>
        <w:t xml:space="preserve"> входит в </w:t>
      </w:r>
      <w:r>
        <w:t>перечень лекарств реализуемых населению по льготным рецептам</w:t>
      </w:r>
      <w:r>
        <w:rPr>
          <w:lang w:val="sq-AL"/>
        </w:rPr>
        <w:t xml:space="preserve">. </w:t>
      </w:r>
    </w:p>
    <w:p w:rsidR="0081142B" w:rsidRDefault="0081142B" w:rsidP="0081142B">
      <w:pPr>
        <w:pStyle w:val="SingleTxtGR"/>
      </w:pPr>
      <w:r>
        <w:t>134.</w:t>
      </w:r>
      <w:r>
        <w:tab/>
        <w:t>Важное направление государственной политики − организация санаторно-курортного лечения и отдыха граждан. В соответствии с государственной программой на модернизацию материально-технической базы санаторно-курортных учреждений государство инвестировало более 200 миллионов долларов. Число санаторных мест в период 2010−2017 годы увеличилось на 37% (с 2391 до 3266), выросло число ежегодно оздоровленных граждан на 45% (с 61 696 до 89</w:t>
      </w:r>
      <w:r>
        <w:rPr>
          <w:lang w:val="en-GB"/>
        </w:rPr>
        <w:t> </w:t>
      </w:r>
      <w:r>
        <w:t>198).</w:t>
      </w:r>
    </w:p>
    <w:p w:rsidR="0081142B" w:rsidRDefault="0081142B" w:rsidP="0081142B">
      <w:pPr>
        <w:pStyle w:val="SingleTxtGR"/>
      </w:pPr>
      <w:r>
        <w:t>135.</w:t>
      </w:r>
      <w:r>
        <w:tab/>
        <w:t>Показатели охвата услугами здравоохранения:</w:t>
      </w:r>
      <w:r>
        <w:rPr>
          <w:b/>
        </w:rPr>
        <w:t xml:space="preserve"> </w:t>
      </w:r>
      <w:r>
        <w:t>охват иммунизацией для профилактики распространенных детских инфекций остается в среднем стабильно высоким и составляет более 95% (2010−2017 годы). В рамках Национальной программы по иммунизации с 2016 года проводится вакцинация детей против вируса папилломы человека, охват составил 98,8%.</w:t>
      </w:r>
    </w:p>
    <w:p w:rsidR="0081142B" w:rsidRDefault="0081142B" w:rsidP="0081142B">
      <w:pPr>
        <w:pStyle w:val="SingleTxtGR"/>
      </w:pPr>
      <w:r>
        <w:t>136.</w:t>
      </w:r>
      <w:r>
        <w:tab/>
        <w:t>Доля деторождений при квалифицированном родовспоможении составила 99,9%; охват дородовым обслуживанием (по меньшей мере одно посещение) 99,9% (</w:t>
      </w:r>
      <w:r>
        <w:rPr>
          <w:lang w:val="en-GB"/>
        </w:rPr>
        <w:t>MICS</w:t>
      </w:r>
      <w:r>
        <w:t>-5, 2015−2016 годы).</w:t>
      </w:r>
    </w:p>
    <w:p w:rsidR="0081142B" w:rsidRDefault="0081142B" w:rsidP="0081142B">
      <w:pPr>
        <w:pStyle w:val="SingleTxtGR"/>
      </w:pPr>
      <w:r>
        <w:t>137.</w:t>
      </w:r>
      <w:r>
        <w:tab/>
        <w:t xml:space="preserve">Правительство Туркменистана проводит твердую политику в отношении контроля за распространением наркотиков и профилактики наркомании. Ведется комплексная работа в тесном сотрудничестве с правоохранительными органами, учреждениями образования, здравоохранения, общественными организациями, СМИ. </w:t>
      </w:r>
    </w:p>
    <w:p w:rsidR="0081142B" w:rsidRDefault="0081142B" w:rsidP="0081142B">
      <w:pPr>
        <w:pStyle w:val="SingleTxtGR"/>
      </w:pPr>
      <w:r>
        <w:rPr>
          <w:bCs/>
        </w:rPr>
        <w:t>138.</w:t>
      </w:r>
      <w:r w:rsidRPr="0060267F">
        <w:t xml:space="preserve"> </w:t>
      </w:r>
      <w:r>
        <w:tab/>
      </w:r>
      <w:r>
        <w:rPr>
          <w:bCs/>
        </w:rPr>
        <w:t xml:space="preserve">В 2017 году обновлен Закон Туркменистана «О наркотических средствах, психотропных веществах, </w:t>
      </w:r>
      <w:proofErr w:type="spellStart"/>
      <w:r>
        <w:rPr>
          <w:bCs/>
        </w:rPr>
        <w:t>прекурсорах</w:t>
      </w:r>
      <w:proofErr w:type="spellEnd"/>
      <w:r>
        <w:rPr>
          <w:bCs/>
        </w:rPr>
        <w:t xml:space="preserve"> и противодействии их незаконному обороту</w:t>
      </w:r>
      <w:r>
        <w:t>». В настоящее время реализуется шестой национальный рабочий план по широкому внедрению принципов здорового образа жизни и обеспечению безопасности здорового общества на 2016−2020 годы.</w:t>
      </w:r>
    </w:p>
    <w:p w:rsidR="0081142B" w:rsidRDefault="0081142B" w:rsidP="0081142B">
      <w:pPr>
        <w:pStyle w:val="SingleTxtGR"/>
      </w:pPr>
      <w:r>
        <w:t>139.</w:t>
      </w:r>
      <w:r>
        <w:tab/>
        <w:t xml:space="preserve">Особое внимание направлено на защиту и укрепление здоровья молодежи, на воспитание у нее негативного отношения к любым вредным привычкам. В стране повышается престиж здорового образа жизни. </w:t>
      </w:r>
    </w:p>
    <w:p w:rsidR="0081142B" w:rsidRDefault="0081142B" w:rsidP="0081142B">
      <w:pPr>
        <w:pStyle w:val="SingleTxtGR"/>
      </w:pPr>
      <w:r>
        <w:t>140.</w:t>
      </w:r>
      <w:r>
        <w:tab/>
        <w:t>Правительство Туркменистана сотрудничает с Управлением Организации Объединенных Наций по наркотикам и преступности (</w:t>
      </w:r>
      <w:r>
        <w:rPr>
          <w:lang w:val="en-GB"/>
        </w:rPr>
        <w:t>UNODC</w:t>
      </w:r>
      <w:r>
        <w:t>) в рамках подписанного Меморандума о взаимопонимании по вопросам сотрудничества в области контроля за распространением наркотиков в Центрально Азиатском регионе.</w:t>
      </w:r>
    </w:p>
    <w:p w:rsidR="0081142B" w:rsidRDefault="0081142B" w:rsidP="0081142B">
      <w:pPr>
        <w:pStyle w:val="SingleTxtGR"/>
      </w:pPr>
      <w:r>
        <w:t>141.</w:t>
      </w:r>
      <w:r w:rsidRPr="0060267F">
        <w:t xml:space="preserve"> </w:t>
      </w:r>
      <w:r>
        <w:tab/>
      </w:r>
      <w:proofErr w:type="gramStart"/>
      <w:r>
        <w:t>В</w:t>
      </w:r>
      <w:proofErr w:type="gramEnd"/>
      <w:r>
        <w:t xml:space="preserve"> рамках сотрудничества с Программой по предотвращению распространения наркотиков в Центральной Азии (</w:t>
      </w:r>
      <w:r>
        <w:rPr>
          <w:lang w:val="en-GB"/>
        </w:rPr>
        <w:t>CADAP</w:t>
      </w:r>
      <w:r>
        <w:t xml:space="preserve">) проводятся обучающие учебные семинары по профилактике и лечению зависимостей от </w:t>
      </w:r>
      <w:proofErr w:type="spellStart"/>
      <w:r>
        <w:t>психоактивных</w:t>
      </w:r>
      <w:proofErr w:type="spellEnd"/>
      <w:r>
        <w:t xml:space="preserve"> веществ. При содействии программы СА</w:t>
      </w:r>
      <w:r>
        <w:rPr>
          <w:lang w:val="tk-TM"/>
        </w:rPr>
        <w:t xml:space="preserve">DAP и ЮНИСЕФ </w:t>
      </w:r>
      <w:r>
        <w:t xml:space="preserve">разработана пилотная программа по профилактике рискованных форм поведения и </w:t>
      </w:r>
      <w:r>
        <w:rPr>
          <w:bCs/>
        </w:rPr>
        <w:t xml:space="preserve">по профилактике </w:t>
      </w:r>
      <w:proofErr w:type="spellStart"/>
      <w:r>
        <w:rPr>
          <w:bCs/>
        </w:rPr>
        <w:t>наркопотребления</w:t>
      </w:r>
      <w:proofErr w:type="spellEnd"/>
      <w:r>
        <w:rPr>
          <w:bCs/>
        </w:rPr>
        <w:t xml:space="preserve"> среди молодежи в Туркменистане</w:t>
      </w:r>
      <w:r>
        <w:t xml:space="preserve">. </w:t>
      </w:r>
    </w:p>
    <w:p w:rsidR="0081142B" w:rsidRDefault="0081142B" w:rsidP="0081142B">
      <w:pPr>
        <w:pStyle w:val="H23GR"/>
      </w:pPr>
      <w:r>
        <w:tab/>
      </w:r>
      <w:r>
        <w:tab/>
        <w:t>Пункты 23−24</w:t>
      </w:r>
    </w:p>
    <w:p w:rsidR="0081142B" w:rsidRDefault="0081142B" w:rsidP="0081142B">
      <w:pPr>
        <w:pStyle w:val="SingleTxtGR"/>
      </w:pPr>
      <w:r>
        <w:t>142.</w:t>
      </w:r>
      <w:r>
        <w:tab/>
        <w:t xml:space="preserve">Служба репродуктивного здоровья (РЗ) включает в себя центры охраны РЗ женщин, мужчин и подростков. Услуги оказываются на 3 уровнях: обученными семейными врачами сельских центров здоровья, специалистами 104 кабинетов РЗ, 6 региональных центров и Национального центра РЗ. Население обеспечивается услугами по планированию семьи, контрацептивными средствами, им предоставляются консультации и информационные материалы по репродуктивному здоровью. </w:t>
      </w:r>
      <w:r>
        <w:rPr>
          <w:bCs/>
        </w:rPr>
        <w:t>10 наименований средств контрацепции включены в список жизненно необходимых медикаментов.</w:t>
      </w:r>
    </w:p>
    <w:p w:rsidR="0081142B" w:rsidRDefault="0081142B" w:rsidP="0081142B">
      <w:pPr>
        <w:pStyle w:val="SingleTxtGR"/>
      </w:pPr>
      <w:r>
        <w:t>143.</w:t>
      </w:r>
      <w:r>
        <w:tab/>
        <w:t>Согласно Меморандума о взаимопонимании между правительством Туркменистана и ЮНФПА (2013 год) страна с 2017 года полностью перешла к государственным закупкам современных контрацептивных средств.</w:t>
      </w:r>
    </w:p>
    <w:p w:rsidR="0081142B" w:rsidRDefault="0081142B" w:rsidP="0081142B">
      <w:pPr>
        <w:pStyle w:val="SingleTxtGR"/>
      </w:pPr>
      <w:r>
        <w:t>144.</w:t>
      </w:r>
      <w:r>
        <w:tab/>
        <w:t xml:space="preserve">Специалисты службы РЗ в целях продвижения репродуктивных прав женщин, а также повышения их информированности об имеющихся услугах репродуктивного здоровья, проводят различные кампании, тренинги, и семинары совместно молодежной и женской организациями, при содействии ЮНФПА. </w:t>
      </w:r>
    </w:p>
    <w:p w:rsidR="0081142B" w:rsidRDefault="0081142B" w:rsidP="0081142B">
      <w:pPr>
        <w:pStyle w:val="SingleTxtGR"/>
      </w:pPr>
      <w:r>
        <w:t>145.</w:t>
      </w:r>
      <w:r>
        <w:tab/>
        <w:t>Информационная система управления «</w:t>
      </w:r>
      <w:r>
        <w:rPr>
          <w:lang w:val="en-GB"/>
        </w:rPr>
        <w:t>CH</w:t>
      </w:r>
      <w:r>
        <w:t>А</w:t>
      </w:r>
      <w:r>
        <w:rPr>
          <w:lang w:val="en-GB"/>
        </w:rPr>
        <w:t>NNEL</w:t>
      </w:r>
      <w:r>
        <w:t>» позволяет Национальному Центру РЗ проводить мониторинг своевременного использования методов и видов средств контрацепции, учитывать необходимый достаточный уровень их запасов</w:t>
      </w:r>
      <w:r>
        <w:rPr>
          <w:bCs/>
        </w:rPr>
        <w:t xml:space="preserve"> по всей стране</w:t>
      </w:r>
      <w:r>
        <w:t>, составлять годовые заявки и распределять по регионам</w:t>
      </w:r>
      <w:r>
        <w:rPr>
          <w:bCs/>
        </w:rPr>
        <w:t>.</w:t>
      </w:r>
      <w:r>
        <w:t xml:space="preserve"> Этой системой оснащены 83% пункта обслуживания по планированию семьи.</w:t>
      </w:r>
    </w:p>
    <w:p w:rsidR="0081142B" w:rsidRDefault="0081142B" w:rsidP="0081142B">
      <w:pPr>
        <w:pStyle w:val="SingleTxtGR"/>
        <w:rPr>
          <w:bCs/>
          <w:iCs/>
        </w:rPr>
      </w:pPr>
      <w:r>
        <w:rPr>
          <w:bCs/>
          <w:iCs/>
        </w:rPr>
        <w:t>146.</w:t>
      </w:r>
      <w:r>
        <w:rPr>
          <w:bCs/>
          <w:iCs/>
        </w:rPr>
        <w:tab/>
        <w:t xml:space="preserve">Контрацептивные средства в Туркменистане используются не для контроля за рождаемостью, а с целью оздоровления, включая РЗ женщин группы риска. Охват женщин фертильного возраста различными видами контрацепции составил в 2010 году 35%; а в 2017 году 24%. </w:t>
      </w:r>
    </w:p>
    <w:p w:rsidR="0081142B" w:rsidRDefault="0081142B" w:rsidP="0081142B">
      <w:pPr>
        <w:pStyle w:val="SingleTxtGR"/>
      </w:pPr>
      <w:r>
        <w:t>147.</w:t>
      </w:r>
      <w:r>
        <w:tab/>
        <w:t xml:space="preserve">Для улучшения здоровья будущих матерей с 2013 года внедрен новый </w:t>
      </w:r>
      <w:r>
        <w:rPr>
          <w:iCs/>
        </w:rPr>
        <w:t xml:space="preserve">инструмент по оценки качества оказания услуг в области планирования семьи, определены группы риска, </w:t>
      </w:r>
      <w:r>
        <w:t>введена новая отраслевая отчетная форма и</w:t>
      </w:r>
      <w:r>
        <w:rPr>
          <w:iCs/>
        </w:rPr>
        <w:t xml:space="preserve"> </w:t>
      </w:r>
      <w:r>
        <w:t xml:space="preserve">индикатор, определяющий уровень охвата женщин высокого риска контрацепцией. Введен медицинский паспорт репродуктивного здоровья матери. </w:t>
      </w:r>
      <w:r>
        <w:rPr>
          <w:bCs/>
          <w:iCs/>
        </w:rPr>
        <w:t xml:space="preserve">Активная работа кабинетов РЗ по оздоровлению женщин, по обоснованному </w:t>
      </w:r>
      <w:r>
        <w:t xml:space="preserve">использованию контрацептивных средств, а также </w:t>
      </w:r>
      <w:r>
        <w:rPr>
          <w:bCs/>
          <w:iCs/>
        </w:rPr>
        <w:t xml:space="preserve">ростом рождаемости позволила повысить охват женщин группы риска контрацепцией с 21% (2013 год) до 71,4% (2017 год). </w:t>
      </w:r>
    </w:p>
    <w:p w:rsidR="0081142B" w:rsidRDefault="0081142B" w:rsidP="0081142B">
      <w:pPr>
        <w:pStyle w:val="SingleTxtGR"/>
      </w:pPr>
      <w:r>
        <w:t>148.</w:t>
      </w:r>
      <w:r>
        <w:tab/>
        <w:t xml:space="preserve">За последние пять лет (2013−2017 годы) частота абортов снизилась на 14%, этот показатель в возрастной группе − до 20 лет снизился в 2 раза, в возрастной группе 35 лет и старше − на 30%. </w:t>
      </w:r>
    </w:p>
    <w:p w:rsidR="0081142B" w:rsidRDefault="0081142B" w:rsidP="0081142B">
      <w:pPr>
        <w:pStyle w:val="SingleTxtGR"/>
      </w:pPr>
      <w:r>
        <w:t>149.</w:t>
      </w:r>
      <w:r>
        <w:tab/>
        <w:t xml:space="preserve">Вопросы, связанные с репродуктивным здоровьем молодых людей, были освещены в исследовании «Потребность молодежи к подростковым службам репродуктивного здоровья», проведенным </w:t>
      </w:r>
      <w:proofErr w:type="spellStart"/>
      <w:r>
        <w:t>МЗиМПТ</w:t>
      </w:r>
      <w:proofErr w:type="spellEnd"/>
      <w:r>
        <w:t xml:space="preserve"> и ЮНФПА в 2008 году. Был выявлен достаточно высокий уровень знаний подростков о контрацептивных средствах, в то же время знания о средствах защиты от ВИЧ/СПИД и БППП были недостаточны. </w:t>
      </w:r>
    </w:p>
    <w:p w:rsidR="0081142B" w:rsidRDefault="0081142B" w:rsidP="0081142B">
      <w:pPr>
        <w:pStyle w:val="SingleTxtGR"/>
      </w:pPr>
      <w:r>
        <w:t>150.</w:t>
      </w:r>
      <w:r>
        <w:tab/>
        <w:t>Исследование по оценке наличия и доступности (по средствам) противозачаточных средств в учреждениях репродуктивного здоровья и аптечной сети (2013 год) показало, что современные методы контрацепции в целом доступны в государственных и частных учреждениях здравоохранения, большинство из которых имеет 3 и более методов контрацепции.</w:t>
      </w:r>
    </w:p>
    <w:p w:rsidR="0081142B" w:rsidRDefault="0081142B" w:rsidP="0081142B">
      <w:pPr>
        <w:pStyle w:val="SingleTxtGR"/>
      </w:pPr>
      <w:r>
        <w:t>151.</w:t>
      </w:r>
      <w:r>
        <w:tab/>
        <w:t>Международное выборочное обследование «Поведение детей школьного возраста в отношении здоровья» (</w:t>
      </w:r>
      <w:r>
        <w:rPr>
          <w:lang w:val="en-US"/>
        </w:rPr>
        <w:t>HBSC</w:t>
      </w:r>
      <w:r>
        <w:t>) среди детей школьного возраста 15 лет (2011 год), и среди школьников 13 и 17 лет (2013 год) включал модуль по р</w:t>
      </w:r>
      <w:r>
        <w:rPr>
          <w:bCs/>
        </w:rPr>
        <w:t xml:space="preserve">епродуктивному здоровью. </w:t>
      </w:r>
    </w:p>
    <w:p w:rsidR="0081142B" w:rsidRDefault="0081142B" w:rsidP="0081142B">
      <w:pPr>
        <w:pStyle w:val="SingleTxtGR"/>
      </w:pPr>
      <w:r>
        <w:rPr>
          <w:bCs/>
        </w:rPr>
        <w:t>152.</w:t>
      </w:r>
      <w:r>
        <w:rPr>
          <w:bCs/>
        </w:rPr>
        <w:tab/>
        <w:t>Туркменистан добился результатов по снижению материнской смертности, проводя политику по укреплению системы</w:t>
      </w:r>
      <w:r>
        <w:t xml:space="preserve"> </w:t>
      </w:r>
      <w:r>
        <w:rPr>
          <w:bCs/>
        </w:rPr>
        <w:t>здравоохранения и расширения возможностей женщин.</w:t>
      </w:r>
    </w:p>
    <w:p w:rsidR="0081142B" w:rsidRDefault="0081142B" w:rsidP="0081142B">
      <w:pPr>
        <w:pStyle w:val="SingleTxtGR"/>
      </w:pPr>
      <w:r>
        <w:rPr>
          <w:bCs/>
        </w:rPr>
        <w:t>153.</w:t>
      </w:r>
      <w:r>
        <w:rPr>
          <w:bCs/>
        </w:rPr>
        <w:tab/>
        <w:t xml:space="preserve">Снижению смертности и заболеваемости среди женщин способствовало улучшение социально-экономических условий, качества услуг в учреждениях родовспоможения, проводимая </w:t>
      </w:r>
      <w:r>
        <w:t xml:space="preserve">работа по оздоровлению женщин фертильного возраста, </w:t>
      </w:r>
      <w:r>
        <w:rPr>
          <w:bCs/>
        </w:rPr>
        <w:t>клинические вмешательства,</w:t>
      </w:r>
      <w:r>
        <w:t xml:space="preserve"> </w:t>
      </w:r>
      <w:r>
        <w:rPr>
          <w:bCs/>
        </w:rPr>
        <w:t xml:space="preserve">обновленные </w:t>
      </w:r>
      <w:r>
        <w:t>в соответствии с новейшими достижениями науки и с международными руководствами, внедрение эффективных перинатальных технологий ВОЗ по программе Безопасное материнство.</w:t>
      </w:r>
    </w:p>
    <w:p w:rsidR="0081142B" w:rsidRDefault="0081142B" w:rsidP="0081142B">
      <w:pPr>
        <w:pStyle w:val="SingleTxtGR"/>
      </w:pPr>
      <w:r>
        <w:t>154.</w:t>
      </w:r>
      <w:r>
        <w:tab/>
        <w:t>За последние 7 лет стандарты ВОЗ по оказанию медицинской помощи в акушерстве были включены в национальные клинические протоколы (более 4</w:t>
      </w:r>
      <w:r>
        <w:rPr>
          <w:lang w:val="tk-TM"/>
        </w:rPr>
        <w:t>0</w:t>
      </w:r>
      <w:r>
        <w:t>) и руководства, которые выполняются в более чем 70% роддомов по всей стране. Они внедрены в программу обучения медицинского университета. У</w:t>
      </w:r>
      <w:r>
        <w:rPr>
          <w:bCs/>
        </w:rPr>
        <w:t xml:space="preserve">лучшена инфраструктура и </w:t>
      </w:r>
      <w:r>
        <w:t>санитарно-гигиенические условия большинства медицинских учреждений;</w:t>
      </w:r>
      <w:r>
        <w:rPr>
          <w:bCs/>
        </w:rPr>
        <w:t xml:space="preserve"> </w:t>
      </w:r>
      <w:r>
        <w:t xml:space="preserve">достигнуто бесперебойное обеспечение основными лекарственными средствами; внедрены пакеты </w:t>
      </w:r>
      <w:proofErr w:type="spellStart"/>
      <w:r>
        <w:t>интра</w:t>
      </w:r>
      <w:proofErr w:type="spellEnd"/>
      <w:r>
        <w:t>- и неонатальных технологий, рекомендованных ВОЗ, что позволило повысить показатель выживаемости новорожденных весом 500−1500 грамм с 15,5% (2005 год до перехода страны на критерии регистрации живорождения и мертворождения) до 57,8% (20</w:t>
      </w:r>
      <w:r>
        <w:rPr>
          <w:lang w:val="tk-TM"/>
        </w:rPr>
        <w:t>17</w:t>
      </w:r>
      <w:r>
        <w:t xml:space="preserve"> год). Показатель раннего охвата (до 12 недель) дородовым наблюдением составляет 99%.</w:t>
      </w:r>
    </w:p>
    <w:p w:rsidR="0081142B" w:rsidRDefault="0081142B" w:rsidP="0081142B">
      <w:pPr>
        <w:pStyle w:val="SingleTxtGR"/>
      </w:pPr>
      <w:r>
        <w:t>155.</w:t>
      </w:r>
      <w:r>
        <w:tab/>
        <w:t xml:space="preserve">Результатом широкого применения эффективных перинатальных технологий привело к снижению дородовых и послеродовых кровотечений, числа поздних </w:t>
      </w:r>
      <w:proofErr w:type="spellStart"/>
      <w:r>
        <w:t>гестозов</w:t>
      </w:r>
      <w:proofErr w:type="spellEnd"/>
      <w:r>
        <w:t xml:space="preserve">. Уровень кесарево сечения, как </w:t>
      </w:r>
      <w:r>
        <w:rPr>
          <w:bCs/>
        </w:rPr>
        <w:t xml:space="preserve">резерв снижения перинатальной и материнской смертности составил </w:t>
      </w:r>
      <w:r>
        <w:t xml:space="preserve">в 2017 году 9,6%, </w:t>
      </w:r>
      <w:r>
        <w:rPr>
          <w:bCs/>
          <w:iCs/>
        </w:rPr>
        <w:t>не превысил показатели, рекомендуемые ВОЗ (15%).</w:t>
      </w:r>
      <w:r>
        <w:t xml:space="preserve"> Во многих учреждениях сократилось число радикальных вмешательств в акушерстве и использование препаратов крови, что позволило снизить затраты на лекарственные средства.</w:t>
      </w:r>
    </w:p>
    <w:p w:rsidR="0081142B" w:rsidRDefault="0081142B" w:rsidP="0081142B">
      <w:pPr>
        <w:pStyle w:val="SingleTxtGR"/>
        <w:rPr>
          <w:bCs/>
        </w:rPr>
      </w:pPr>
      <w:r>
        <w:rPr>
          <w:bCs/>
        </w:rPr>
        <w:t>156.</w:t>
      </w:r>
      <w:r>
        <w:rPr>
          <w:bCs/>
        </w:rPr>
        <w:tab/>
        <w:t xml:space="preserve">По данным МЗ и МПТ показатель материнской смертности за семь лет снизился в 1,5 раза и в 2017 году составил 4,4 на 100 тысяч живорождений. </w:t>
      </w:r>
    </w:p>
    <w:p w:rsidR="0081142B" w:rsidRDefault="0081142B" w:rsidP="0081142B">
      <w:pPr>
        <w:pStyle w:val="H23GR"/>
      </w:pPr>
      <w:r w:rsidRPr="009747C3">
        <w:tab/>
      </w:r>
      <w:r w:rsidRPr="009747C3">
        <w:tab/>
      </w:r>
      <w:proofErr w:type="spellStart"/>
      <w:r>
        <w:rPr>
          <w:lang w:val="en-GB"/>
        </w:rPr>
        <w:t>Коэффициент</w:t>
      </w:r>
      <w:proofErr w:type="spellEnd"/>
      <w:r>
        <w:rPr>
          <w:lang w:val="en-GB"/>
        </w:rPr>
        <w:t xml:space="preserve"> </w:t>
      </w:r>
      <w:proofErr w:type="spellStart"/>
      <w:r>
        <w:rPr>
          <w:lang w:val="en-GB"/>
        </w:rPr>
        <w:t>материнской</w:t>
      </w:r>
      <w:proofErr w:type="spellEnd"/>
      <w:r>
        <w:rPr>
          <w:lang w:val="en-GB"/>
        </w:rPr>
        <w:t xml:space="preserve"> </w:t>
      </w:r>
      <w:proofErr w:type="spellStart"/>
      <w:r>
        <w:rPr>
          <w:lang w:val="en-GB"/>
        </w:rPr>
        <w:t>смертности</w:t>
      </w:r>
      <w:proofErr w:type="spellEnd"/>
      <w:r>
        <w:rPr>
          <w:lang w:val="en-GB"/>
        </w:rPr>
        <w:t>, 2010−2017</w:t>
      </w:r>
      <w:r>
        <w:t xml:space="preserve"> годы</w:t>
      </w:r>
    </w:p>
    <w:tbl>
      <w:tblPr>
        <w:tblW w:w="7370" w:type="dxa"/>
        <w:tblInd w:w="1134" w:type="dxa"/>
        <w:tblLayout w:type="fixed"/>
        <w:tblCellMar>
          <w:left w:w="10" w:type="dxa"/>
          <w:right w:w="10" w:type="dxa"/>
        </w:tblCellMar>
        <w:tblLook w:val="0000" w:firstRow="0" w:lastRow="0" w:firstColumn="0" w:lastColumn="0" w:noHBand="0" w:noVBand="0"/>
      </w:tblPr>
      <w:tblGrid>
        <w:gridCol w:w="1985"/>
        <w:gridCol w:w="673"/>
        <w:gridCol w:w="673"/>
        <w:gridCol w:w="673"/>
        <w:gridCol w:w="673"/>
        <w:gridCol w:w="673"/>
        <w:gridCol w:w="673"/>
        <w:gridCol w:w="673"/>
        <w:gridCol w:w="674"/>
      </w:tblGrid>
      <w:tr w:rsidR="0081142B" w:rsidRPr="009747C3" w:rsidTr="0081142B">
        <w:tc>
          <w:tcPr>
            <w:tcW w:w="19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rPr>
                <w:i/>
                <w:sz w:val="16"/>
              </w:rPr>
            </w:pPr>
            <w:r w:rsidRPr="009747C3">
              <w:rPr>
                <w:i/>
                <w:sz w:val="16"/>
              </w:rPr>
              <w:t> </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2010</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2011</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2012</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2013</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2014</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2015</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2016</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2017</w:t>
            </w:r>
          </w:p>
        </w:tc>
      </w:tr>
      <w:tr w:rsidR="0081142B" w:rsidRPr="009747C3" w:rsidTr="0081142B">
        <w:tc>
          <w:tcPr>
            <w:tcW w:w="1985" w:type="dxa"/>
            <w:tcBorders>
              <w:top w:val="single" w:sz="12" w:space="0" w:color="auto"/>
              <w:bottom w:val="single" w:sz="12" w:space="0" w:color="000000"/>
            </w:tcBorders>
            <w:shd w:val="clear" w:color="auto" w:fill="auto"/>
            <w:tcMar>
              <w:top w:w="0" w:type="dxa"/>
              <w:left w:w="0" w:type="dxa"/>
              <w:bottom w:w="0" w:type="dxa"/>
              <w:right w:w="0" w:type="dxa"/>
            </w:tcMar>
          </w:tcPr>
          <w:p w:rsidR="0081142B" w:rsidRPr="008978CF" w:rsidRDefault="0081142B" w:rsidP="0081142B">
            <w:pPr>
              <w:spacing w:line="220" w:lineRule="atLeast"/>
              <w:rPr>
                <w:sz w:val="18"/>
                <w:szCs w:val="18"/>
              </w:rPr>
            </w:pPr>
            <w:r w:rsidRPr="008978CF">
              <w:rPr>
                <w:sz w:val="18"/>
                <w:szCs w:val="18"/>
              </w:rPr>
              <w:t>Коэффициент материнской смертности, на 100000 живорождений</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6,9</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5,9</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3,8</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3,1</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3,0</w:t>
            </w:r>
          </w:p>
        </w:tc>
        <w:tc>
          <w:tcPr>
            <w:tcW w:w="673" w:type="dxa"/>
            <w:tcBorders>
              <w:top w:val="single" w:sz="12" w:space="0" w:color="auto"/>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3,0</w:t>
            </w:r>
          </w:p>
        </w:tc>
        <w:tc>
          <w:tcPr>
            <w:tcW w:w="673"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3,6</w:t>
            </w:r>
          </w:p>
        </w:tc>
        <w:tc>
          <w:tcPr>
            <w:tcW w:w="674"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4,4</w:t>
            </w:r>
          </w:p>
        </w:tc>
      </w:tr>
    </w:tbl>
    <w:p w:rsidR="0081142B" w:rsidRDefault="0081142B" w:rsidP="0081142B">
      <w:pPr>
        <w:pStyle w:val="SingleTxtGR"/>
        <w:spacing w:before="240"/>
      </w:pPr>
      <w:r>
        <w:t>157.</w:t>
      </w:r>
      <w:r>
        <w:tab/>
        <w:t xml:space="preserve">Почти все роды проходят в родовспомогательных учреждениях и при участии квалифицированного персонала, и этот показатель остается стабильно высоким и составляет 99,9%, доля </w:t>
      </w:r>
      <w:r>
        <w:rPr>
          <w:bCs/>
          <w:iCs/>
        </w:rPr>
        <w:t xml:space="preserve">домашних родов − 0,1% от всех родов. </w:t>
      </w:r>
    </w:p>
    <w:p w:rsidR="0081142B" w:rsidRDefault="0081142B" w:rsidP="0081142B">
      <w:pPr>
        <w:pStyle w:val="H23GR"/>
      </w:pPr>
      <w:r>
        <w:tab/>
      </w:r>
      <w:r>
        <w:tab/>
        <w:t>Доля деторождений при квалифицированном родовспоможении, 2010−2017 годы, в процентах</w:t>
      </w:r>
    </w:p>
    <w:tbl>
      <w:tblPr>
        <w:tblW w:w="7370" w:type="dxa"/>
        <w:tblInd w:w="1134" w:type="dxa"/>
        <w:tblLayout w:type="fixed"/>
        <w:tblCellMar>
          <w:left w:w="10" w:type="dxa"/>
          <w:right w:w="10" w:type="dxa"/>
        </w:tblCellMar>
        <w:tblLook w:val="0000" w:firstRow="0" w:lastRow="0" w:firstColumn="0" w:lastColumn="0" w:noHBand="0" w:noVBand="0"/>
      </w:tblPr>
      <w:tblGrid>
        <w:gridCol w:w="1974"/>
        <w:gridCol w:w="674"/>
        <w:gridCol w:w="675"/>
        <w:gridCol w:w="674"/>
        <w:gridCol w:w="675"/>
        <w:gridCol w:w="674"/>
        <w:gridCol w:w="675"/>
        <w:gridCol w:w="674"/>
        <w:gridCol w:w="675"/>
      </w:tblGrid>
      <w:tr w:rsidR="0081142B" w:rsidRPr="009747C3" w:rsidTr="0081142B">
        <w:tc>
          <w:tcPr>
            <w:tcW w:w="19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8978CF" w:rsidRDefault="0081142B" w:rsidP="0081142B">
            <w:pPr>
              <w:suppressAutoHyphens w:val="0"/>
              <w:spacing w:before="80" w:after="80" w:line="200" w:lineRule="exact"/>
              <w:rPr>
                <w:i/>
                <w:sz w:val="16"/>
              </w:rPr>
            </w:pPr>
            <w:r w:rsidRPr="009747C3">
              <w:rPr>
                <w:i/>
                <w:sz w:val="16"/>
              </w:rPr>
              <w:t> </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2010</w:t>
            </w:r>
          </w:p>
        </w:tc>
        <w:tc>
          <w:tcPr>
            <w:tcW w:w="6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2011</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2012</w:t>
            </w:r>
          </w:p>
        </w:tc>
        <w:tc>
          <w:tcPr>
            <w:tcW w:w="6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2013</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2014</w:t>
            </w:r>
          </w:p>
        </w:tc>
        <w:tc>
          <w:tcPr>
            <w:tcW w:w="6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2015</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2A52D2" w:rsidRDefault="0081142B" w:rsidP="0081142B">
            <w:pPr>
              <w:suppressAutoHyphens w:val="0"/>
              <w:spacing w:before="80" w:after="80" w:line="200" w:lineRule="exact"/>
              <w:jc w:val="right"/>
              <w:rPr>
                <w:i/>
                <w:sz w:val="16"/>
              </w:rPr>
            </w:pPr>
            <w:r w:rsidRPr="002A52D2">
              <w:rPr>
                <w:i/>
                <w:sz w:val="16"/>
              </w:rPr>
              <w:t>2016</w:t>
            </w:r>
          </w:p>
        </w:tc>
        <w:tc>
          <w:tcPr>
            <w:tcW w:w="6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1142B" w:rsidRPr="009747C3" w:rsidRDefault="0081142B" w:rsidP="0081142B">
            <w:pPr>
              <w:suppressAutoHyphens w:val="0"/>
              <w:spacing w:before="80" w:after="80" w:line="200" w:lineRule="exact"/>
              <w:jc w:val="right"/>
              <w:rPr>
                <w:i/>
                <w:sz w:val="16"/>
              </w:rPr>
            </w:pPr>
            <w:r w:rsidRPr="009747C3">
              <w:rPr>
                <w:i/>
                <w:sz w:val="16"/>
              </w:rPr>
              <w:t>2017</w:t>
            </w:r>
          </w:p>
        </w:tc>
      </w:tr>
      <w:tr w:rsidR="0081142B" w:rsidRPr="009747C3" w:rsidTr="0081142B">
        <w:tc>
          <w:tcPr>
            <w:tcW w:w="1974" w:type="dxa"/>
            <w:tcBorders>
              <w:top w:val="single" w:sz="12" w:space="0" w:color="auto"/>
              <w:bottom w:val="single" w:sz="12" w:space="0" w:color="000000"/>
            </w:tcBorders>
            <w:shd w:val="clear" w:color="auto" w:fill="auto"/>
            <w:tcMar>
              <w:top w:w="0" w:type="dxa"/>
              <w:left w:w="0" w:type="dxa"/>
              <w:bottom w:w="0" w:type="dxa"/>
              <w:right w:w="0" w:type="dxa"/>
            </w:tcMar>
          </w:tcPr>
          <w:p w:rsidR="0081142B" w:rsidRPr="008978CF" w:rsidRDefault="0081142B" w:rsidP="0081142B">
            <w:pPr>
              <w:spacing w:line="220" w:lineRule="atLeast"/>
              <w:rPr>
                <w:sz w:val="18"/>
                <w:szCs w:val="18"/>
              </w:rPr>
            </w:pPr>
            <w:r w:rsidRPr="008978CF">
              <w:rPr>
                <w:sz w:val="18"/>
                <w:szCs w:val="18"/>
              </w:rPr>
              <w:t>Доля деторождений при квалифицированном родовспоможении, в</w:t>
            </w:r>
            <w:r>
              <w:rPr>
                <w:sz w:val="18"/>
                <w:szCs w:val="18"/>
              </w:rPr>
              <w:t> </w:t>
            </w:r>
            <w:r w:rsidRPr="008978CF">
              <w:rPr>
                <w:sz w:val="18"/>
                <w:szCs w:val="18"/>
              </w:rPr>
              <w:t>процентах</w:t>
            </w:r>
          </w:p>
        </w:tc>
        <w:tc>
          <w:tcPr>
            <w:tcW w:w="674"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5"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4"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5"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4"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5"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c>
          <w:tcPr>
            <w:tcW w:w="674"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100,0</w:t>
            </w:r>
          </w:p>
        </w:tc>
        <w:tc>
          <w:tcPr>
            <w:tcW w:w="675" w:type="dxa"/>
            <w:tcBorders>
              <w:top w:val="single" w:sz="12" w:space="0" w:color="auto"/>
              <w:bottom w:val="single" w:sz="12" w:space="0" w:color="000000"/>
            </w:tcBorders>
            <w:shd w:val="clear" w:color="auto" w:fill="auto"/>
            <w:tcMar>
              <w:top w:w="0" w:type="dxa"/>
              <w:left w:w="0" w:type="dxa"/>
              <w:bottom w:w="0" w:type="dxa"/>
              <w:right w:w="0" w:type="dxa"/>
            </w:tcMar>
            <w:vAlign w:val="bottom"/>
          </w:tcPr>
          <w:p w:rsidR="0081142B" w:rsidRPr="009747C3" w:rsidRDefault="0081142B" w:rsidP="0081142B">
            <w:pPr>
              <w:spacing w:line="220" w:lineRule="atLeast"/>
              <w:jc w:val="right"/>
              <w:rPr>
                <w:sz w:val="18"/>
                <w:szCs w:val="18"/>
              </w:rPr>
            </w:pPr>
            <w:r w:rsidRPr="009747C3">
              <w:rPr>
                <w:sz w:val="18"/>
                <w:szCs w:val="18"/>
              </w:rPr>
              <w:t>99,9</w:t>
            </w:r>
          </w:p>
        </w:tc>
      </w:tr>
    </w:tbl>
    <w:p w:rsidR="0081142B" w:rsidRDefault="0081142B" w:rsidP="0081142B">
      <w:pPr>
        <w:pStyle w:val="SingleTxtGR"/>
        <w:spacing w:before="240"/>
      </w:pPr>
      <w:r>
        <w:t>158.</w:t>
      </w:r>
      <w:r w:rsidRPr="0060267F">
        <w:t xml:space="preserve"> </w:t>
      </w:r>
      <w:r>
        <w:tab/>
        <w:t xml:space="preserve">С 2014 года </w:t>
      </w:r>
      <w:r>
        <w:rPr>
          <w:iCs/>
        </w:rPr>
        <w:t>проведено р</w:t>
      </w:r>
      <w:r>
        <w:t xml:space="preserve">егиональное разделение и создана 3-х уровневая перинатальная служба; перинатальные центры дополнительно оснащены </w:t>
      </w:r>
      <w:r>
        <w:rPr>
          <w:bCs/>
        </w:rPr>
        <w:t xml:space="preserve">необходимым оборудованием </w:t>
      </w:r>
      <w:r>
        <w:t xml:space="preserve">и специализированным автотранспортом; </w:t>
      </w:r>
      <w:r>
        <w:rPr>
          <w:bCs/>
        </w:rPr>
        <w:t>разработаны схемы-алгоритмы действий в срочных акушерских ситуациях для семейных врачей и акушер-гинекологов.</w:t>
      </w:r>
    </w:p>
    <w:p w:rsidR="0081142B" w:rsidRDefault="0081142B" w:rsidP="0081142B">
      <w:pPr>
        <w:pStyle w:val="SingleTxtGR"/>
      </w:pPr>
      <w:r>
        <w:t>159.</w:t>
      </w:r>
      <w:r>
        <w:tab/>
        <w:t xml:space="preserve">Внедряется методика ВОЗ анализа критических случаев в акушерстве, так в 2015 году проанализировано около 30 критических случаев в 5 пилотных </w:t>
      </w:r>
      <w:proofErr w:type="spellStart"/>
      <w:r>
        <w:t>этрапах</w:t>
      </w:r>
      <w:proofErr w:type="spellEnd"/>
      <w:r>
        <w:t xml:space="preserve">. </w:t>
      </w:r>
    </w:p>
    <w:p w:rsidR="0081142B" w:rsidRDefault="0081142B" w:rsidP="0081142B">
      <w:pPr>
        <w:pStyle w:val="SingleTxtGR"/>
      </w:pPr>
      <w:r>
        <w:t>160.</w:t>
      </w:r>
      <w:r w:rsidRPr="0060267F">
        <w:t xml:space="preserve"> </w:t>
      </w:r>
      <w:r>
        <w:tab/>
        <w:t>В 2015 году для акушер-гинекологов и статистиков проведены</w:t>
      </w:r>
      <w:r>
        <w:rPr>
          <w:lang w:val="tk-TM"/>
        </w:rPr>
        <w:t xml:space="preserve"> </w:t>
      </w:r>
      <w:r>
        <w:rPr>
          <w:bCs/>
        </w:rPr>
        <w:t>семинары по классификации предотвратимой материнской смертности</w:t>
      </w:r>
      <w:r>
        <w:rPr>
          <w:lang w:val="tk-TM"/>
        </w:rPr>
        <w:t xml:space="preserve"> </w:t>
      </w:r>
      <w:r>
        <w:t xml:space="preserve">в Ашхабаде и пяти </w:t>
      </w:r>
      <w:proofErr w:type="spellStart"/>
      <w:r>
        <w:t>велаятах</w:t>
      </w:r>
      <w:proofErr w:type="spellEnd"/>
      <w:r>
        <w:t xml:space="preserve">, охвачено 120 специалистов. </w:t>
      </w:r>
    </w:p>
    <w:p w:rsidR="0081142B" w:rsidRDefault="0081142B" w:rsidP="0081142B">
      <w:pPr>
        <w:pStyle w:val="SingleTxtGR"/>
      </w:pPr>
      <w:r>
        <w:t>161.</w:t>
      </w:r>
      <w:r>
        <w:tab/>
        <w:t xml:space="preserve">Были разработаны </w:t>
      </w:r>
      <w:r>
        <w:rPr>
          <w:lang w:val="tk-TM"/>
        </w:rPr>
        <w:t>26</w:t>
      </w:r>
      <w:r>
        <w:t xml:space="preserve"> клинических протоколов по самым востребованным темам в области ухода и реанимации новорожденных. По этим протоколам обучены </w:t>
      </w:r>
      <w:r>
        <w:rPr>
          <w:lang w:val="tk-TM"/>
        </w:rPr>
        <w:t xml:space="preserve">все </w:t>
      </w:r>
      <w:r>
        <w:t xml:space="preserve">врачи и медсестры родильных домов, с отработкой навыков в </w:t>
      </w:r>
      <w:proofErr w:type="spellStart"/>
      <w:r>
        <w:t>симуляционном</w:t>
      </w:r>
      <w:proofErr w:type="spellEnd"/>
      <w:r>
        <w:t xml:space="preserve"> центре. </w:t>
      </w:r>
      <w:r>
        <w:rPr>
          <w:bCs/>
        </w:rPr>
        <w:t xml:space="preserve">21 специалист обучен сбору данных в соответствии с Матрицей </w:t>
      </w:r>
      <w:proofErr w:type="spellStart"/>
      <w:r>
        <w:rPr>
          <w:bCs/>
        </w:rPr>
        <w:t>Бейбис</w:t>
      </w:r>
      <w:proofErr w:type="spellEnd"/>
      <w:r>
        <w:rPr>
          <w:bCs/>
        </w:rPr>
        <w:t xml:space="preserve"> и инструменту по улучшению качества услуг новорожденным. </w:t>
      </w:r>
    </w:p>
    <w:p w:rsidR="0081142B" w:rsidRDefault="0081142B" w:rsidP="0081142B">
      <w:pPr>
        <w:pStyle w:val="H23GR"/>
      </w:pPr>
      <w:r>
        <w:tab/>
      </w:r>
      <w:r>
        <w:tab/>
        <w:t>Сведения о государственных расходах на здравоохранение</w:t>
      </w:r>
    </w:p>
    <w:tbl>
      <w:tblPr>
        <w:tblW w:w="7370" w:type="dxa"/>
        <w:tblInd w:w="1134" w:type="dxa"/>
        <w:tblLayout w:type="fixed"/>
        <w:tblCellMar>
          <w:left w:w="10" w:type="dxa"/>
          <w:right w:w="10" w:type="dxa"/>
        </w:tblCellMar>
        <w:tblLook w:val="0000" w:firstRow="0" w:lastRow="0" w:firstColumn="0" w:lastColumn="0" w:noHBand="0" w:noVBand="0"/>
      </w:tblPr>
      <w:tblGrid>
        <w:gridCol w:w="3503"/>
        <w:gridCol w:w="644"/>
        <w:gridCol w:w="645"/>
        <w:gridCol w:w="644"/>
        <w:gridCol w:w="645"/>
        <w:gridCol w:w="644"/>
        <w:gridCol w:w="645"/>
      </w:tblGrid>
      <w:tr w:rsidR="0081142B" w:rsidRPr="009747C3" w:rsidTr="0081142B">
        <w:tc>
          <w:tcPr>
            <w:tcW w:w="350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rPr>
                <w:i/>
                <w:sz w:val="16"/>
              </w:rPr>
            </w:pPr>
            <w:r w:rsidRPr="009747C3">
              <w:rPr>
                <w:i/>
                <w:sz w:val="16"/>
              </w:rPr>
              <w:t>Наименование показателей</w:t>
            </w:r>
          </w:p>
        </w:tc>
        <w:tc>
          <w:tcPr>
            <w:tcW w:w="6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2011</w:t>
            </w:r>
          </w:p>
        </w:tc>
        <w:tc>
          <w:tcPr>
            <w:tcW w:w="645"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2012</w:t>
            </w:r>
          </w:p>
        </w:tc>
        <w:tc>
          <w:tcPr>
            <w:tcW w:w="6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2013</w:t>
            </w:r>
          </w:p>
        </w:tc>
        <w:tc>
          <w:tcPr>
            <w:tcW w:w="645"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2014</w:t>
            </w:r>
          </w:p>
        </w:tc>
        <w:tc>
          <w:tcPr>
            <w:tcW w:w="644"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2015</w:t>
            </w:r>
          </w:p>
        </w:tc>
        <w:tc>
          <w:tcPr>
            <w:tcW w:w="645"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keepNext/>
              <w:suppressAutoHyphens w:val="0"/>
              <w:spacing w:before="80" w:after="80" w:line="200" w:lineRule="exact"/>
              <w:jc w:val="right"/>
              <w:rPr>
                <w:i/>
                <w:sz w:val="16"/>
              </w:rPr>
            </w:pPr>
            <w:r w:rsidRPr="009747C3">
              <w:rPr>
                <w:i/>
                <w:sz w:val="16"/>
              </w:rPr>
              <w:t>2016</w:t>
            </w:r>
          </w:p>
        </w:tc>
      </w:tr>
      <w:tr w:rsidR="0081142B" w:rsidRPr="009747C3" w:rsidTr="0081142B">
        <w:tc>
          <w:tcPr>
            <w:tcW w:w="3503" w:type="dxa"/>
            <w:tcBorders>
              <w:top w:val="single" w:sz="12" w:space="0" w:color="auto"/>
            </w:tcBorders>
            <w:shd w:val="clear" w:color="auto" w:fill="auto"/>
            <w:tcMar>
              <w:top w:w="0" w:type="dxa"/>
              <w:left w:w="0" w:type="dxa"/>
              <w:bottom w:w="0" w:type="dxa"/>
              <w:right w:w="0" w:type="dxa"/>
            </w:tcMar>
          </w:tcPr>
          <w:p w:rsidR="0081142B" w:rsidRPr="008978CF" w:rsidRDefault="0081142B" w:rsidP="0081142B">
            <w:pPr>
              <w:rPr>
                <w:sz w:val="18"/>
                <w:szCs w:val="18"/>
              </w:rPr>
            </w:pPr>
            <w:r w:rsidRPr="008978CF">
              <w:rPr>
                <w:sz w:val="18"/>
                <w:szCs w:val="18"/>
              </w:rPr>
              <w:t xml:space="preserve">Процент общих расходов на здравоохранение от ВВП </w:t>
            </w:r>
          </w:p>
        </w:tc>
        <w:tc>
          <w:tcPr>
            <w:tcW w:w="644"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2,1</w:t>
            </w:r>
          </w:p>
        </w:tc>
        <w:tc>
          <w:tcPr>
            <w:tcW w:w="645"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2,2</w:t>
            </w:r>
          </w:p>
        </w:tc>
        <w:tc>
          <w:tcPr>
            <w:tcW w:w="644"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2,4</w:t>
            </w:r>
          </w:p>
        </w:tc>
        <w:tc>
          <w:tcPr>
            <w:tcW w:w="645"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2,2</w:t>
            </w:r>
          </w:p>
        </w:tc>
        <w:tc>
          <w:tcPr>
            <w:tcW w:w="644"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2,7</w:t>
            </w:r>
          </w:p>
        </w:tc>
        <w:tc>
          <w:tcPr>
            <w:tcW w:w="645" w:type="dxa"/>
            <w:tcBorders>
              <w:top w:val="single" w:sz="12" w:space="0" w:color="auto"/>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2,8</w:t>
            </w:r>
          </w:p>
        </w:tc>
      </w:tr>
      <w:tr w:rsidR="0081142B" w:rsidRPr="009747C3" w:rsidTr="0081142B">
        <w:tc>
          <w:tcPr>
            <w:tcW w:w="3503" w:type="dxa"/>
            <w:shd w:val="clear" w:color="auto" w:fill="auto"/>
            <w:tcMar>
              <w:top w:w="0" w:type="dxa"/>
              <w:left w:w="0" w:type="dxa"/>
              <w:bottom w:w="0" w:type="dxa"/>
              <w:right w:w="0" w:type="dxa"/>
            </w:tcMar>
          </w:tcPr>
          <w:p w:rsidR="0081142B" w:rsidRPr="008978CF" w:rsidRDefault="0081142B" w:rsidP="0081142B">
            <w:pPr>
              <w:rPr>
                <w:sz w:val="18"/>
                <w:szCs w:val="18"/>
              </w:rPr>
            </w:pPr>
            <w:r w:rsidRPr="008978CF">
              <w:rPr>
                <w:sz w:val="18"/>
                <w:szCs w:val="18"/>
              </w:rPr>
              <w:t xml:space="preserve">Процент расходов Государственного бюджета на здравоохранение от ВВП </w:t>
            </w:r>
          </w:p>
        </w:tc>
        <w:tc>
          <w:tcPr>
            <w:tcW w:w="644"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1,1</w:t>
            </w:r>
          </w:p>
        </w:tc>
        <w:tc>
          <w:tcPr>
            <w:tcW w:w="645"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1,0</w:t>
            </w:r>
          </w:p>
        </w:tc>
        <w:tc>
          <w:tcPr>
            <w:tcW w:w="644"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1,1</w:t>
            </w:r>
          </w:p>
        </w:tc>
        <w:tc>
          <w:tcPr>
            <w:tcW w:w="645"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1,1</w:t>
            </w:r>
          </w:p>
        </w:tc>
        <w:tc>
          <w:tcPr>
            <w:tcW w:w="644"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1,2</w:t>
            </w:r>
          </w:p>
        </w:tc>
        <w:tc>
          <w:tcPr>
            <w:tcW w:w="645" w:type="dxa"/>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1,1</w:t>
            </w:r>
          </w:p>
        </w:tc>
      </w:tr>
      <w:tr w:rsidR="0081142B" w:rsidRPr="009747C3" w:rsidTr="0081142B">
        <w:tc>
          <w:tcPr>
            <w:tcW w:w="3503" w:type="dxa"/>
            <w:tcBorders>
              <w:bottom w:val="single" w:sz="12" w:space="0" w:color="000000"/>
            </w:tcBorders>
            <w:shd w:val="clear" w:color="auto" w:fill="auto"/>
            <w:tcMar>
              <w:top w:w="0" w:type="dxa"/>
              <w:left w:w="0" w:type="dxa"/>
              <w:bottom w:w="0" w:type="dxa"/>
              <w:right w:w="0" w:type="dxa"/>
            </w:tcMar>
          </w:tcPr>
          <w:p w:rsidR="0081142B" w:rsidRPr="008978CF" w:rsidRDefault="0081142B" w:rsidP="0081142B">
            <w:pPr>
              <w:rPr>
                <w:sz w:val="18"/>
                <w:szCs w:val="18"/>
              </w:rPr>
            </w:pPr>
            <w:r w:rsidRPr="008978CF">
              <w:rPr>
                <w:sz w:val="18"/>
                <w:szCs w:val="18"/>
              </w:rPr>
              <w:t xml:space="preserve">Процент общественных расходов от всех расходов на здравоохранение </w:t>
            </w:r>
          </w:p>
        </w:tc>
        <w:tc>
          <w:tcPr>
            <w:tcW w:w="644"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72,4</w:t>
            </w:r>
          </w:p>
        </w:tc>
        <w:tc>
          <w:tcPr>
            <w:tcW w:w="645"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75,5</w:t>
            </w:r>
          </w:p>
        </w:tc>
        <w:tc>
          <w:tcPr>
            <w:tcW w:w="644"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73,3</w:t>
            </w:r>
          </w:p>
        </w:tc>
        <w:tc>
          <w:tcPr>
            <w:tcW w:w="645"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70,8</w:t>
            </w:r>
          </w:p>
        </w:tc>
        <w:tc>
          <w:tcPr>
            <w:tcW w:w="644"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72,5</w:t>
            </w:r>
          </w:p>
        </w:tc>
        <w:tc>
          <w:tcPr>
            <w:tcW w:w="645" w:type="dxa"/>
            <w:tcBorders>
              <w:bottom w:val="single" w:sz="12" w:space="0" w:color="000000"/>
            </w:tcBorders>
            <w:shd w:val="clear" w:color="auto" w:fill="auto"/>
            <w:noWrap/>
            <w:tcMar>
              <w:top w:w="0" w:type="dxa"/>
              <w:left w:w="0" w:type="dxa"/>
              <w:bottom w:w="0" w:type="dxa"/>
              <w:right w:w="0" w:type="dxa"/>
            </w:tcMar>
            <w:vAlign w:val="bottom"/>
          </w:tcPr>
          <w:p w:rsidR="0081142B" w:rsidRPr="009747C3" w:rsidRDefault="0081142B" w:rsidP="0081142B">
            <w:pPr>
              <w:jc w:val="right"/>
              <w:rPr>
                <w:sz w:val="18"/>
                <w:szCs w:val="18"/>
              </w:rPr>
            </w:pPr>
            <w:r w:rsidRPr="009747C3">
              <w:rPr>
                <w:sz w:val="18"/>
                <w:szCs w:val="18"/>
              </w:rPr>
              <w:t>69,9</w:t>
            </w:r>
          </w:p>
        </w:tc>
      </w:tr>
    </w:tbl>
    <w:p w:rsidR="0081142B" w:rsidRDefault="0081142B" w:rsidP="0081142B">
      <w:pPr>
        <w:pStyle w:val="H23GR"/>
      </w:pPr>
      <w:r>
        <w:tab/>
      </w:r>
      <w:r>
        <w:tab/>
        <w:t>Пункт 25</w:t>
      </w:r>
    </w:p>
    <w:p w:rsidR="0081142B" w:rsidRDefault="0081142B" w:rsidP="0081142B">
      <w:pPr>
        <w:pStyle w:val="SingleTxtGR"/>
      </w:pPr>
      <w:r>
        <w:t>162.</w:t>
      </w:r>
      <w:r>
        <w:tab/>
        <w:t xml:space="preserve">Основную работу по профилактике ВИЧ/СПИДа ведет </w:t>
      </w:r>
      <w:r>
        <w:rPr>
          <w:bCs/>
        </w:rPr>
        <w:t>Национальный Центр и</w:t>
      </w:r>
      <w:r>
        <w:t xml:space="preserve"> 5 </w:t>
      </w:r>
      <w:proofErr w:type="spellStart"/>
      <w:r>
        <w:t>велаятских</w:t>
      </w:r>
      <w:proofErr w:type="spellEnd"/>
      <w:r>
        <w:t xml:space="preserve"> центров </w:t>
      </w:r>
      <w:r>
        <w:rPr>
          <w:bCs/>
        </w:rPr>
        <w:t>профилактики СПИДа, а также</w:t>
      </w:r>
      <w:r>
        <w:t xml:space="preserve"> 36 специализированных диагностических лабораторий. </w:t>
      </w:r>
    </w:p>
    <w:p w:rsidR="0081142B" w:rsidRDefault="0081142B" w:rsidP="0081142B">
      <w:pPr>
        <w:pStyle w:val="SingleTxtGR"/>
        <w:rPr>
          <w:bCs/>
        </w:rPr>
      </w:pPr>
      <w:r>
        <w:rPr>
          <w:bCs/>
        </w:rPr>
        <w:t>163.</w:t>
      </w:r>
      <w:r>
        <w:rPr>
          <w:bCs/>
        </w:rPr>
        <w:tab/>
      </w:r>
      <w:proofErr w:type="gramStart"/>
      <w:r>
        <w:rPr>
          <w:bCs/>
        </w:rPr>
        <w:t>В</w:t>
      </w:r>
      <w:proofErr w:type="gramEnd"/>
      <w:r>
        <w:rPr>
          <w:bCs/>
        </w:rPr>
        <w:t xml:space="preserve"> стране проводится обязательное бесплатное тестирования на ВИЧ инфекцию доноров, реципиентов, беременных, медиков, имеющих контакт с биологическими жидкостями, больных, подлежащие оперативному лечению и с онкологическими заболеваниями, туберкулезом, гепатитами В и С, герпесом и другими инфекционными заболеваниями.</w:t>
      </w:r>
    </w:p>
    <w:p w:rsidR="0081142B" w:rsidRDefault="0081142B" w:rsidP="0081142B">
      <w:pPr>
        <w:pStyle w:val="SingleTxtGR"/>
      </w:pPr>
      <w:r>
        <w:rPr>
          <w:bCs/>
        </w:rPr>
        <w:t>164.</w:t>
      </w:r>
      <w:r>
        <w:rPr>
          <w:bCs/>
        </w:rPr>
        <w:tab/>
        <w:t xml:space="preserve">На базе Центра профилактики СПИДа при финансовой поддержке ПРООН совместно с ЮНФПА с 2007 года работает «Информационно-ресурсный центр» для женщин рискованного поведения. </w:t>
      </w:r>
      <w:r>
        <w:t xml:space="preserve">По «телефону доверия» центра население могут свободно и бесплатно получить необходимую информацию. </w:t>
      </w:r>
    </w:p>
    <w:p w:rsidR="0081142B" w:rsidRDefault="0081142B" w:rsidP="0081142B">
      <w:pPr>
        <w:pStyle w:val="SingleTxtGR"/>
        <w:rPr>
          <w:bCs/>
        </w:rPr>
      </w:pPr>
      <w:r>
        <w:rPr>
          <w:bCs/>
        </w:rPr>
        <w:t>165.</w:t>
      </w:r>
      <w:r w:rsidRPr="0060267F">
        <w:t xml:space="preserve"> </w:t>
      </w:r>
      <w:r>
        <w:tab/>
      </w:r>
      <w:r>
        <w:rPr>
          <w:bCs/>
        </w:rPr>
        <w:t xml:space="preserve">В 2010 году создан резервный запас </w:t>
      </w:r>
      <w:proofErr w:type="spellStart"/>
      <w:r>
        <w:rPr>
          <w:bCs/>
        </w:rPr>
        <w:t>антиретровиральных</w:t>
      </w:r>
      <w:proofErr w:type="spellEnd"/>
      <w:r>
        <w:rPr>
          <w:bCs/>
        </w:rPr>
        <w:t xml:space="preserve"> препаратов, который ежегодно обновляется.</w:t>
      </w:r>
    </w:p>
    <w:p w:rsidR="0081142B" w:rsidRDefault="0081142B" w:rsidP="0081142B">
      <w:pPr>
        <w:pStyle w:val="SingleTxtGR"/>
      </w:pPr>
      <w:r>
        <w:rPr>
          <w:bCs/>
        </w:rPr>
        <w:t>166.</w:t>
      </w:r>
      <w:r>
        <w:rPr>
          <w:bCs/>
        </w:rPr>
        <w:tab/>
        <w:t xml:space="preserve">Национальным Центром профилактики СПИДа проводятся </w:t>
      </w:r>
      <w:r>
        <w:rPr>
          <w:bCs/>
          <w:lang w:val="tk-TM"/>
        </w:rPr>
        <w:t xml:space="preserve">просветительские мероприятия. </w:t>
      </w:r>
      <w:r>
        <w:t xml:space="preserve">За период 2016−2017 годы осуществлено </w:t>
      </w:r>
      <w:r>
        <w:rPr>
          <w:bCs/>
          <w:lang w:val="tk-TM"/>
        </w:rPr>
        <w:t xml:space="preserve">340 выступлений на телевидении и радио; прочитано 2015 лекций; проведено 2731 бесед, 425 семинаров и 950 круглых столов, в которых приняли участие около около 445 тысяч человек. </w:t>
      </w:r>
      <w:r>
        <w:rPr>
          <w:bCs/>
        </w:rPr>
        <w:t xml:space="preserve">Повысился уровень информированности работников медицинских учреждений по вопросам ВИЧ/СПИДа, через проведение семинар-тренингов, лекций, бесед, в период 2016−2017 годы было </w:t>
      </w:r>
      <w:r>
        <w:t xml:space="preserve">охвачено около </w:t>
      </w:r>
      <w:r>
        <w:rPr>
          <w:bCs/>
        </w:rPr>
        <w:t>32 тысяч медицинских работников.</w:t>
      </w:r>
    </w:p>
    <w:p w:rsidR="0081142B" w:rsidRDefault="0081142B" w:rsidP="0081142B">
      <w:pPr>
        <w:pStyle w:val="SingleTxtGR"/>
      </w:pPr>
      <w:r>
        <w:t>167.</w:t>
      </w:r>
      <w:r>
        <w:tab/>
        <w:t xml:space="preserve">Школьники на предмете «Основы безопасности жизнедеятельности» получают знания по вопросам профилактики ВИЧ/СПИДа, ИППП, репродуктивного здоровья, здорового образа жизни. </w:t>
      </w:r>
    </w:p>
    <w:p w:rsidR="0081142B" w:rsidRDefault="0081142B" w:rsidP="0081142B">
      <w:pPr>
        <w:pStyle w:val="SingleTxtGR"/>
      </w:pPr>
      <w:r>
        <w:t>168.</w:t>
      </w:r>
      <w:r>
        <w:tab/>
        <w:t xml:space="preserve">Информационным центром здравоохранения широко проводятся мероприятия о повышении осведомленности населения, в том числе подростков, детей по вопросам ВИЧ/СПИД, о путях их передачи, защите, включая распространение информационных материалов на русском и туркменском языках среди различных групп населения. </w:t>
      </w:r>
    </w:p>
    <w:p w:rsidR="0081142B" w:rsidRDefault="0081142B" w:rsidP="0081142B">
      <w:pPr>
        <w:pStyle w:val="SingleTxtGR"/>
      </w:pPr>
      <w:r>
        <w:t>169.</w:t>
      </w:r>
      <w:r>
        <w:tab/>
        <w:t xml:space="preserve">Закупаются на средства государственного бюджета и раздаются бесплатно презервативы через службы профилактики СПИДа, </w:t>
      </w:r>
      <w:proofErr w:type="gramStart"/>
      <w:r>
        <w:t>дермато-венерологические</w:t>
      </w:r>
      <w:proofErr w:type="gramEnd"/>
      <w:r>
        <w:t xml:space="preserve"> кабинеты, женские консультации поликлиник и центры РЗ. </w:t>
      </w:r>
    </w:p>
    <w:p w:rsidR="0081142B" w:rsidRDefault="0081142B" w:rsidP="0081142B">
      <w:pPr>
        <w:pStyle w:val="SingleTxtGR"/>
      </w:pPr>
      <w:r>
        <w:t>170.</w:t>
      </w:r>
      <w:r>
        <w:tab/>
        <w:t xml:space="preserve">Ежегодно к 1 декабря проводятся информационно-образовательные акции, посвященные Всемирному дню борьбы со СПИДом. </w:t>
      </w:r>
    </w:p>
    <w:p w:rsidR="0081142B" w:rsidRDefault="0081142B" w:rsidP="0081142B">
      <w:pPr>
        <w:pStyle w:val="SingleTxtGR"/>
      </w:pPr>
      <w:r>
        <w:t>171.</w:t>
      </w:r>
      <w:r>
        <w:tab/>
        <w:t>В Туркменистане 81% опрошенных женщин, в возрасте 15–49 лет, слышали о СПИДе; около 70% женщин знают, что основным способом профилактики передачи ВИЧ является наличие только одного верного неинфицированного сексуального партнера; 61% знают, что таким способом является использование презерватива при каждом сексуальном контакте; 62% женщин знают, что человек, который выглядит здоровым, может быть инфицирован;</w:t>
      </w:r>
      <w:r>
        <w:rPr>
          <w:lang w:val="tk-TM"/>
        </w:rPr>
        <w:t xml:space="preserve"> </w:t>
      </w:r>
      <w:r>
        <w:t>около 80% женщин знают, что ВИЧ может передаваться от матери ребенку (</w:t>
      </w:r>
      <w:r>
        <w:rPr>
          <w:lang w:val="en-GB"/>
        </w:rPr>
        <w:t>MICS</w:t>
      </w:r>
      <w:r>
        <w:t>-5, 2015−2016 годы).</w:t>
      </w:r>
    </w:p>
    <w:p w:rsidR="0081142B" w:rsidRDefault="0081142B" w:rsidP="0081142B">
      <w:pPr>
        <w:pStyle w:val="H23GR"/>
      </w:pPr>
      <w:r>
        <w:tab/>
      </w:r>
      <w:r>
        <w:tab/>
        <w:t>Пункт 26</w:t>
      </w:r>
    </w:p>
    <w:p w:rsidR="0081142B" w:rsidRDefault="0081142B" w:rsidP="0081142B">
      <w:pPr>
        <w:pStyle w:val="SingleTxtGR"/>
      </w:pPr>
      <w:r>
        <w:t>172.</w:t>
      </w:r>
      <w:r>
        <w:tab/>
        <w:t xml:space="preserve">Ежегодно принимается Закон Туркменистана «О государственном бюджете» в октябре−ноябре месяце. В рамках этого закона устанавливается бюджет страны, в том числе и здравоохранения. Бюджет здравоохранения пополняется также средствами, поступающие от добровольного медицинского страхования, которые используются на закупку лекарственных средств и предметов медицинского назначения. Учреждения здравоохранения финансируются за счет средств централизованного и местного бюджета. </w:t>
      </w:r>
    </w:p>
    <w:p w:rsidR="0081142B" w:rsidRDefault="0081142B" w:rsidP="0081142B">
      <w:pPr>
        <w:pStyle w:val="SingleTxtGR"/>
      </w:pPr>
      <w:r>
        <w:t>173.</w:t>
      </w:r>
      <w:r>
        <w:tab/>
        <w:t xml:space="preserve">Государственный бюджет по отрасли здравоохранения распределяется постатейно. При производственной необходимости проводится гибкое перераспределение расходов с одной статьи на другую и с одного учреждения на другое, в пределах выделенных средств по Министерству здравоохранения и медицинской промышленности Туркменистана. </w:t>
      </w:r>
    </w:p>
    <w:p w:rsidR="0081142B" w:rsidRDefault="0081142B" w:rsidP="0081142B">
      <w:pPr>
        <w:pStyle w:val="H1GR"/>
      </w:pPr>
      <w:r>
        <w:tab/>
      </w:r>
      <w:r>
        <w:tab/>
        <w:t>Право на образование (статьи 13 и 14)</w:t>
      </w:r>
    </w:p>
    <w:p w:rsidR="0081142B" w:rsidRDefault="0081142B" w:rsidP="0081142B">
      <w:pPr>
        <w:pStyle w:val="H23GR"/>
      </w:pPr>
      <w:r>
        <w:tab/>
      </w:r>
      <w:r>
        <w:tab/>
        <w:t>Пункт 27</w:t>
      </w:r>
    </w:p>
    <w:p w:rsidR="0081142B" w:rsidRDefault="0081142B" w:rsidP="0081142B">
      <w:pPr>
        <w:pStyle w:val="SingleTxtGR"/>
      </w:pPr>
      <w:r>
        <w:t>174.</w:t>
      </w:r>
      <w:r>
        <w:tab/>
        <w:t>Представителям этнических меньшинств гарантируется право пользования своим родным языком, изучения своего родного языка. Отсутствие школ для малочисленных этнических меньшинств на их языке обучения обусловлено с затруднениями в обеспечении их педагогическими кадрами, педагогической литературой, экономически мало перспективностью и другими факторами. Обучение языкам путем осуществления разных образовательных программ вне школы не запрещается, образовательная деятельность лицензируется Министерством образования. Но за годы независимости страны не было случаев обращения с просьбой о ведении курсов по обучению какому-либо языку этнических меньшинств.</w:t>
      </w:r>
    </w:p>
    <w:p w:rsidR="0081142B" w:rsidRDefault="0081142B" w:rsidP="0081142B">
      <w:pPr>
        <w:pStyle w:val="SingleTxtGR"/>
      </w:pPr>
      <w:r>
        <w:t>175.</w:t>
      </w:r>
      <w:r>
        <w:tab/>
        <w:t>По желанию родителей Министерством образования им оказывается помощь в изучении их детьми своего родного языка, путем выделения им имеющихся в хранении учебников на языках узбекской, казахской национальностей. При изъявлении желания родителями, может быть оказана помощь в изучении родного языка путем международного сотрудничества с системами образования других государств.</w:t>
      </w:r>
    </w:p>
    <w:p w:rsidR="0081142B" w:rsidRDefault="0081142B" w:rsidP="0081142B">
      <w:pPr>
        <w:pStyle w:val="H23GR"/>
      </w:pPr>
      <w:r>
        <w:tab/>
      </w:r>
      <w:r>
        <w:tab/>
        <w:t>Пункт 28</w:t>
      </w:r>
    </w:p>
    <w:p w:rsidR="0081142B" w:rsidRDefault="0081142B" w:rsidP="0081142B">
      <w:pPr>
        <w:pStyle w:val="SingleTxtGR"/>
      </w:pPr>
      <w:r>
        <w:t>176.</w:t>
      </w:r>
      <w:r>
        <w:tab/>
        <w:t xml:space="preserve">Обучение граждан Туркменистана за пределами Туркменистана осуществляется как на основе международных соглашений, так и в частном порядке и регулируется Положением о порядке обучения граждан Туркменистана в высших и средних профессиональных учебных заведениях зарубежных государств», утвержденным Постановлением Президента Туркменистана от 19.04.2013 года. В данном положении нет ограничений для обучения за границей Туркменистана, кроме того в Туркменистане признаются дипломы высших и средних профессиональных учебных заведений зарубежных государств. В трудовом кодексе Туркменистана предусмотрены дополнительные дни отпуска для обучающихся, в том числе в зарубежных государствах. Ограничения в выезде за пределы Туркменистана установлены только Законом Туркменистана «О миграции» за существенные нарушения установленных правил, но они не обусловлены обучением за границей. </w:t>
      </w:r>
    </w:p>
    <w:p w:rsidR="0081142B" w:rsidRDefault="0081142B" w:rsidP="0081142B">
      <w:pPr>
        <w:pStyle w:val="H23GR"/>
      </w:pPr>
      <w:r>
        <w:tab/>
      </w:r>
      <w:r>
        <w:tab/>
        <w:t>Пункт 29</w:t>
      </w:r>
    </w:p>
    <w:p w:rsidR="0081142B" w:rsidRDefault="0081142B" w:rsidP="0081142B">
      <w:pPr>
        <w:pStyle w:val="SingleTxtGR"/>
      </w:pPr>
      <w:r>
        <w:t>177.</w:t>
      </w:r>
      <w:r>
        <w:tab/>
        <w:t>Приём граждан в государственные образовательные учреждения для получения профессионального образования осуществляется на конкурсной основе по заявлениям граждан. Условия конкурса обеспечивают соблюдение государственных гарантий прав граждан на образование и зачисление граждан из числа наиболее способных и подготовленных к освоению соответствующей профессиональной образовательной программы.</w:t>
      </w:r>
    </w:p>
    <w:p w:rsidR="0081142B" w:rsidRDefault="0081142B" w:rsidP="0081142B">
      <w:pPr>
        <w:pStyle w:val="SingleTxtGR"/>
      </w:pPr>
      <w:r>
        <w:t>178.</w:t>
      </w:r>
      <w:r>
        <w:tab/>
        <w:t>«Сбор неофициальной платы за поступление в высшие учебные заведения» является незаконным и в уголовном законодательстве Туркменистана предусматривается ответственность за получение должностным лицом взятки и совершения мошенничества. В стране ведется серьезная борьба против коррупции, в связи с чем в 2014 году принят Закон Туркменистана «О противодействии коррупции». В июне 2017 года была принята Государственная программа по противодействию коррупции и План ее реализации, а также создана Государственная служба Туркменистана по борьбе с экономическими преступлениями.</w:t>
      </w:r>
    </w:p>
    <w:p w:rsidR="0081142B" w:rsidRDefault="0081142B" w:rsidP="0081142B">
      <w:pPr>
        <w:pStyle w:val="SingleTxtGR"/>
      </w:pPr>
      <w:r>
        <w:t>179.</w:t>
      </w:r>
      <w:r>
        <w:tab/>
        <w:t>Министерством образования Туркменистана не ведется статистика по привлечению лиц к уголовной ответственности за вышеназванные преступления.</w:t>
      </w:r>
    </w:p>
    <w:p w:rsidR="0081142B" w:rsidRDefault="0081142B" w:rsidP="0081142B">
      <w:pPr>
        <w:pStyle w:val="H1GR"/>
      </w:pPr>
      <w:r>
        <w:tab/>
      </w:r>
      <w:r>
        <w:tab/>
        <w:t>Культурные права (статья 15)</w:t>
      </w:r>
    </w:p>
    <w:p w:rsidR="0081142B" w:rsidRDefault="0081142B" w:rsidP="0081142B">
      <w:pPr>
        <w:pStyle w:val="H23GR"/>
      </w:pPr>
      <w:r>
        <w:tab/>
      </w:r>
      <w:r>
        <w:tab/>
        <w:t>Пункт 30</w:t>
      </w:r>
    </w:p>
    <w:p w:rsidR="0081142B" w:rsidRDefault="0081142B" w:rsidP="0081142B">
      <w:pPr>
        <w:pStyle w:val="SingleTxtGR"/>
      </w:pPr>
      <w:r>
        <w:t>180.</w:t>
      </w:r>
      <w:r>
        <w:tab/>
        <w:t>Защита прав национальных меньшинств и коренных малочисленных народов − одна из задач государства, определенных Конституцией Туркменистана.</w:t>
      </w:r>
    </w:p>
    <w:p w:rsidR="0081142B" w:rsidRDefault="0081142B" w:rsidP="0081142B">
      <w:pPr>
        <w:pStyle w:val="SingleTxtGR"/>
      </w:pPr>
      <w:r>
        <w:t>181.</w:t>
      </w:r>
      <w:r>
        <w:tab/>
        <w:t xml:space="preserve">Ежегодно на высоком уровне отмечается Международный праздник </w:t>
      </w:r>
      <w:proofErr w:type="spellStart"/>
      <w:r>
        <w:t>Новруз</w:t>
      </w:r>
      <w:proofErr w:type="spellEnd"/>
      <w:r>
        <w:t>, который объединяет многие национальности, живущие в Туркменистане.</w:t>
      </w:r>
    </w:p>
    <w:p w:rsidR="0081142B" w:rsidRDefault="0081142B" w:rsidP="0081142B">
      <w:pPr>
        <w:pStyle w:val="SingleTxtGR"/>
      </w:pPr>
      <w:r>
        <w:t xml:space="preserve">Так, для участия в празднике </w:t>
      </w:r>
      <w:proofErr w:type="spellStart"/>
      <w:r>
        <w:t>Новруз</w:t>
      </w:r>
      <w:proofErr w:type="spellEnd"/>
      <w:r>
        <w:t xml:space="preserve">, который был проведен 21−22 марта 2018 года в </w:t>
      </w:r>
      <w:proofErr w:type="spellStart"/>
      <w:r>
        <w:t>Ахалской</w:t>
      </w:r>
      <w:proofErr w:type="spellEnd"/>
      <w:r>
        <w:t xml:space="preserve"> долине в Туркменистан прибыли делегации из Узбекистана, Таджикистана, Афганистана, Турции, Ирана, Республики Татарстан Российской Федерации, Кыргызстана и Казахстана.</w:t>
      </w:r>
    </w:p>
    <w:p w:rsidR="0081142B" w:rsidRDefault="0081142B" w:rsidP="0081142B">
      <w:pPr>
        <w:pStyle w:val="SingleTxtGR"/>
      </w:pPr>
      <w:r>
        <w:t>182.</w:t>
      </w:r>
      <w:r w:rsidRPr="0060267F">
        <w:t xml:space="preserve"> </w:t>
      </w:r>
      <w:r>
        <w:tab/>
        <w:t>В 2016 году был реализован проект единой электронной библиотечной системы, которая объединила 76 центральных библиотек столицы и других регионов страны. Система позволяет обслуживать более 600 тысяч читателей, а технические возможности комплекса серверов регистрировать до 11 миллионов записей хранящихся экземпляров.</w:t>
      </w:r>
    </w:p>
    <w:p w:rsidR="0081142B" w:rsidRDefault="0081142B" w:rsidP="0081142B">
      <w:pPr>
        <w:pStyle w:val="SingleTxtGR"/>
      </w:pPr>
      <w:r>
        <w:t>183.</w:t>
      </w:r>
      <w:r>
        <w:tab/>
        <w:t>Продолжается также работа по приведению национального законодательства в соответствие с международными обязательствами. В частности, 26 августа 2016 года внесены изменения и дополнения в Законы Туркменистана «О культуре» (12.03.2010 года) и «О театре и театральной деятельности» (08.11.2014 года).</w:t>
      </w:r>
    </w:p>
    <w:p w:rsidR="0081142B" w:rsidRDefault="0081142B" w:rsidP="0081142B">
      <w:pPr>
        <w:pStyle w:val="SingleTxtGR"/>
      </w:pPr>
      <w:r>
        <w:t>184.</w:t>
      </w:r>
      <w:r w:rsidRPr="0060267F">
        <w:t xml:space="preserve"> </w:t>
      </w:r>
      <w:r>
        <w:tab/>
        <w:t>В 2016 году были приняты новые Законы Туркменистана «Об охране, вывозе и ввозе движимых ценностей национального историко-культурного наследия», «О кинематографии», «О народном художественном творчестве».</w:t>
      </w:r>
    </w:p>
    <w:p w:rsidR="0081142B" w:rsidRDefault="0081142B" w:rsidP="0081142B">
      <w:pPr>
        <w:pStyle w:val="SingleTxtGR"/>
      </w:pPr>
      <w:r>
        <w:t>185.</w:t>
      </w:r>
      <w:r>
        <w:tab/>
        <w:t>Таким образом, политика в области культуры, направленная на защиту прав этнических групп, проживающих в Туркменистане, включает комплекс мер по всем направлениям: от развития системы государственного стимулирования до законодательной поддержки деятельности в данной сфере.</w:t>
      </w:r>
    </w:p>
    <w:p w:rsidR="0081142B" w:rsidRDefault="0081142B" w:rsidP="0081142B">
      <w:pPr>
        <w:pStyle w:val="SingleTxtGR"/>
      </w:pPr>
      <w:r>
        <w:t>186.</w:t>
      </w:r>
      <w:r>
        <w:tab/>
        <w:t>Свидетельством почитания и уважения к культуре, традициям и истории других народов служат, проводимые в Туркменистане праздничные концерты и культурные мероприятия, приуроченные к национальным праздникам национальных и этнических меньшинств, а также Дни культуры зарубежных стран в Туркменистане.</w:t>
      </w:r>
    </w:p>
    <w:p w:rsidR="0081142B" w:rsidRDefault="0081142B" w:rsidP="0081142B">
      <w:pPr>
        <w:pStyle w:val="SingleTxtGR"/>
      </w:pPr>
      <w:r>
        <w:t>187.</w:t>
      </w:r>
      <w:r w:rsidRPr="0060267F">
        <w:t xml:space="preserve"> </w:t>
      </w:r>
      <w:r>
        <w:tab/>
        <w:t>В 2016 году в Туркменистане прошли Дни культуры Ирана, Кыргызстана, Дни Республики Татарстан Российской Федерации. В 2017 году были проведены Дни культуры Ирана, Государства Палестины, Республики Таджикистан, Российской Федерации, Республики Узбекистан, Румынии, Турецкой Республики. А в 2018 году были проведены Дни культуры Республики Беларусь и Исламской Республики Иран. Программы этих акций включают выставки, концерты, кинопоказы и другие мероприятия, знакомившие зрителей с историей и современным развитием этих стран.</w:t>
      </w:r>
    </w:p>
    <w:p w:rsidR="0081142B" w:rsidRDefault="0081142B" w:rsidP="0081142B">
      <w:pPr>
        <w:pStyle w:val="SingleTxtGR"/>
        <w:numPr>
          <w:ilvl w:val="0"/>
          <w:numId w:val="44"/>
        </w:numPr>
        <w:autoSpaceDN w:val="0"/>
        <w:ind w:left="1701" w:hanging="207"/>
        <w:textAlignment w:val="baseline"/>
      </w:pPr>
      <w:r>
        <w:t xml:space="preserve">20−23 марта 2016 года в Ашхабаде были проведены концерты мастеров культуры и искусства Исламской Республики Иран и Исламской Республики Пакистан по случаю праздника </w:t>
      </w:r>
      <w:proofErr w:type="spellStart"/>
      <w:r>
        <w:t>Новруз</w:t>
      </w:r>
      <w:proofErr w:type="spellEnd"/>
      <w:r>
        <w:t>.</w:t>
      </w:r>
    </w:p>
    <w:p w:rsidR="0081142B" w:rsidRDefault="0081142B" w:rsidP="0081142B">
      <w:pPr>
        <w:pStyle w:val="SingleTxtGR"/>
        <w:numPr>
          <w:ilvl w:val="0"/>
          <w:numId w:val="44"/>
        </w:numPr>
        <w:autoSpaceDN w:val="0"/>
        <w:ind w:left="1701" w:hanging="207"/>
        <w:textAlignment w:val="baseline"/>
      </w:pPr>
      <w:r>
        <w:t>10−15 мая 2016 года по случаю Дня Европы проведена «Неделя Европы в Ашхабаде».</w:t>
      </w:r>
    </w:p>
    <w:p w:rsidR="0081142B" w:rsidRDefault="0081142B" w:rsidP="0081142B">
      <w:pPr>
        <w:pStyle w:val="SingleTxtGR"/>
        <w:numPr>
          <w:ilvl w:val="0"/>
          <w:numId w:val="44"/>
        </w:numPr>
        <w:autoSpaceDN w:val="0"/>
        <w:ind w:left="1701" w:hanging="207"/>
        <w:textAlignment w:val="baseline"/>
      </w:pPr>
      <w:r>
        <w:t>11 июня 2016 года по случаю Дня России в Ашхабаде состоялся концерт мастеров искусств Российской Федерации.</w:t>
      </w:r>
    </w:p>
    <w:p w:rsidR="0081142B" w:rsidRDefault="0081142B" w:rsidP="0081142B">
      <w:pPr>
        <w:pStyle w:val="SingleTxtGR"/>
        <w:numPr>
          <w:ilvl w:val="0"/>
          <w:numId w:val="44"/>
        </w:numPr>
        <w:autoSpaceDN w:val="0"/>
        <w:ind w:left="1701" w:hanging="207"/>
        <w:textAlignment w:val="baseline"/>
      </w:pPr>
      <w:r>
        <w:t xml:space="preserve">16−18 января 2017 года в Ашхабаде и </w:t>
      </w:r>
      <w:proofErr w:type="spellStart"/>
      <w:r>
        <w:t>Лебапском</w:t>
      </w:r>
      <w:proofErr w:type="spellEnd"/>
      <w:r>
        <w:t xml:space="preserve"> </w:t>
      </w:r>
      <w:proofErr w:type="spellStart"/>
      <w:r>
        <w:t>велаяте</w:t>
      </w:r>
      <w:proofErr w:type="spellEnd"/>
      <w:r>
        <w:t xml:space="preserve"> состоялись концерты ансамбля песни и танца </w:t>
      </w:r>
      <w:proofErr w:type="spellStart"/>
      <w:r>
        <w:t>Синьцзянско</w:t>
      </w:r>
      <w:proofErr w:type="spellEnd"/>
      <w:r>
        <w:t>-Уйгурской Автономной Республики Китайской Народной Республики.</w:t>
      </w:r>
    </w:p>
    <w:p w:rsidR="0081142B" w:rsidRDefault="0081142B" w:rsidP="0081142B">
      <w:pPr>
        <w:pStyle w:val="SingleTxtGR"/>
        <w:numPr>
          <w:ilvl w:val="0"/>
          <w:numId w:val="44"/>
        </w:numPr>
        <w:autoSpaceDN w:val="0"/>
        <w:ind w:left="1701" w:hanging="207"/>
        <w:textAlignment w:val="baseline"/>
      </w:pPr>
      <w:r>
        <w:t>28 января 2017 года по случаю национального праздника Республики Индия − Дня Конституции проведен концерт музыкальной группы из Индии.</w:t>
      </w:r>
    </w:p>
    <w:p w:rsidR="0081142B" w:rsidRDefault="0081142B" w:rsidP="0081142B">
      <w:pPr>
        <w:pStyle w:val="SingleTxtGR"/>
        <w:numPr>
          <w:ilvl w:val="0"/>
          <w:numId w:val="44"/>
        </w:numPr>
        <w:autoSpaceDN w:val="0"/>
        <w:ind w:left="1701" w:hanging="207"/>
        <w:textAlignment w:val="baseline"/>
      </w:pPr>
      <w:r>
        <w:t xml:space="preserve">7 марта 2017 года в г. </w:t>
      </w:r>
      <w:proofErr w:type="spellStart"/>
      <w:r>
        <w:t>Туркменабад</w:t>
      </w:r>
      <w:proofErr w:type="spellEnd"/>
      <w:r>
        <w:t xml:space="preserve"> </w:t>
      </w:r>
      <w:proofErr w:type="spellStart"/>
      <w:r>
        <w:t>Лебапского</w:t>
      </w:r>
      <w:proofErr w:type="spellEnd"/>
      <w:r>
        <w:t xml:space="preserve"> </w:t>
      </w:r>
      <w:proofErr w:type="spellStart"/>
      <w:r>
        <w:t>велаята</w:t>
      </w:r>
      <w:proofErr w:type="spellEnd"/>
      <w:r>
        <w:t xml:space="preserve"> проведен концерт мастеров искусств Республики Узбекистан.</w:t>
      </w:r>
    </w:p>
    <w:p w:rsidR="0081142B" w:rsidRDefault="0081142B" w:rsidP="0081142B">
      <w:pPr>
        <w:pStyle w:val="SingleTxtGR"/>
        <w:numPr>
          <w:ilvl w:val="0"/>
          <w:numId w:val="44"/>
        </w:numPr>
        <w:autoSpaceDN w:val="0"/>
        <w:ind w:left="1701" w:hanging="207"/>
        <w:textAlignment w:val="baseline"/>
      </w:pPr>
      <w:r>
        <w:t xml:space="preserve">25 марта 2017 года в Национальном музыкально драматическом театре Туркменистана имени </w:t>
      </w:r>
      <w:proofErr w:type="spellStart"/>
      <w:r>
        <w:t>Махтумкули</w:t>
      </w:r>
      <w:proofErr w:type="spellEnd"/>
      <w:r>
        <w:t xml:space="preserve"> состоялся концерт мастеров культуры и искусства Республики Корея.</w:t>
      </w:r>
    </w:p>
    <w:p w:rsidR="0081142B" w:rsidRDefault="0081142B" w:rsidP="0081142B">
      <w:pPr>
        <w:pStyle w:val="SingleTxtGR"/>
        <w:numPr>
          <w:ilvl w:val="0"/>
          <w:numId w:val="44"/>
        </w:numPr>
        <w:autoSpaceDN w:val="0"/>
        <w:ind w:left="1701" w:hanging="207"/>
        <w:textAlignment w:val="baseline"/>
      </w:pPr>
      <w:r>
        <w:t>12−13 мая 2017 года в Национальном драматическом театре Туркменистана имени Альп-</w:t>
      </w:r>
      <w:proofErr w:type="spellStart"/>
      <w:r>
        <w:t>Арслана</w:t>
      </w:r>
      <w:proofErr w:type="spellEnd"/>
      <w:r>
        <w:t xml:space="preserve"> показаны спектакли с участием известных российских артистов.</w:t>
      </w:r>
    </w:p>
    <w:p w:rsidR="0081142B" w:rsidRDefault="0081142B" w:rsidP="0081142B">
      <w:pPr>
        <w:pStyle w:val="SingleTxtGR"/>
        <w:numPr>
          <w:ilvl w:val="0"/>
          <w:numId w:val="44"/>
        </w:numPr>
        <w:autoSpaceDN w:val="0"/>
        <w:ind w:left="1701" w:hanging="207"/>
        <w:textAlignment w:val="baseline"/>
      </w:pPr>
      <w:r>
        <w:t>24 августа 2017 года в г. Ашхабаде, 25 августа 2017 года − в г. Туркменбаши проведены концерты фольклорной группы «</w:t>
      </w:r>
      <w:proofErr w:type="spellStart"/>
      <w:r>
        <w:t>Ачутаманаса</w:t>
      </w:r>
      <w:proofErr w:type="spellEnd"/>
      <w:r>
        <w:t>» из Индии по случаю 25-летия Независимости Республика Индия.</w:t>
      </w:r>
    </w:p>
    <w:p w:rsidR="0081142B" w:rsidRDefault="0081142B" w:rsidP="0081142B">
      <w:pPr>
        <w:pStyle w:val="SingleTxtGR"/>
      </w:pPr>
      <w:r>
        <w:t>188.</w:t>
      </w:r>
      <w:r>
        <w:tab/>
        <w:t>Ежегодно по случаю Нового года во Дворце зимних видов спорта г. Ашхабада проводятся концерты звезд зарубежной и отечественной эстрады, а в Государственном цирке Туркменистана − представления цирковых артистов из Российской Федерации.</w:t>
      </w:r>
    </w:p>
    <w:p w:rsidR="0081142B" w:rsidRDefault="0081142B" w:rsidP="0081142B">
      <w:pPr>
        <w:pStyle w:val="H23GR"/>
      </w:pPr>
      <w:r>
        <w:tab/>
      </w:r>
      <w:r>
        <w:tab/>
        <w:t>Пункт 31</w:t>
      </w:r>
    </w:p>
    <w:p w:rsidR="0081142B" w:rsidRDefault="0081142B" w:rsidP="0081142B">
      <w:pPr>
        <w:pStyle w:val="SingleTxtGR"/>
      </w:pPr>
      <w:r>
        <w:t>189.</w:t>
      </w:r>
      <w:r>
        <w:tab/>
        <w:t xml:space="preserve">В Туркменистане ведется большая работа по созданию собственной информационно-телекоммуникационной инфраструктуры, правовых, организационных, финансовых и образовательных условий для развития информационного общества. </w:t>
      </w:r>
    </w:p>
    <w:p w:rsidR="0081142B" w:rsidRDefault="0081142B" w:rsidP="0081142B">
      <w:pPr>
        <w:pStyle w:val="SingleTxtGR"/>
      </w:pPr>
      <w:r>
        <w:t>190.</w:t>
      </w:r>
      <w:r>
        <w:tab/>
        <w:t xml:space="preserve">Согласно статье 42 Конституции Туркменистана каждому человеку гарантируется свобода мысли и слова. Никто не имеет права запретить человеку свободно выражать свое мнение, а равно воспрепятствовать его распространению в соответствии с законом. </w:t>
      </w:r>
    </w:p>
    <w:p w:rsidR="0081142B" w:rsidRDefault="0081142B" w:rsidP="0081142B">
      <w:pPr>
        <w:pStyle w:val="SingleTxtGR"/>
      </w:pPr>
      <w:r>
        <w:t>191.</w:t>
      </w:r>
      <w:r w:rsidRPr="0060267F">
        <w:t xml:space="preserve"> </w:t>
      </w:r>
      <w:r>
        <w:tab/>
      </w:r>
      <w:proofErr w:type="gramStart"/>
      <w:r>
        <w:t>В</w:t>
      </w:r>
      <w:proofErr w:type="gramEnd"/>
      <w:r>
        <w:t xml:space="preserve"> декабре 2014 года принят Закон Туркменистана «О правовом регулировании развития сети Интернет и оказания интернет-услуг в Туркменистане», в котором закреплены государственные гарантии защиты в отношениях, связанных с сетью Интернет, прав и законных интересов граждан Туркменистана, государственных интересов Туркменистана (ст. 3) и обеспечение прав и свобод граждан Туркменистана на пользование сетью Интернет и доступ к размещённой в ней информации (ст. 6). Одним из приоритетных направлений государственной политики в сфере деятельности по оказанию интернет-услуг является обеспечение всеобщего и равного доступа к услугам подключения к сети Интернет путем создания и поддержки инфраструктуры государственных и негосударственных структур, предоставляющих в пользование компьютерные устройства, подключенные к сети Интернет (ст. 7).</w:t>
      </w:r>
    </w:p>
    <w:p w:rsidR="0081142B" w:rsidRDefault="0081142B" w:rsidP="0081142B">
      <w:pPr>
        <w:pStyle w:val="SingleTxtGR"/>
      </w:pPr>
      <w:r>
        <w:t>192.</w:t>
      </w:r>
      <w:r>
        <w:tab/>
        <w:t xml:space="preserve">Интернет-услуги являются доступными источниками информации для всех граждан нашей страны. В настоящее время образовательные учреждения страны оснащены современной мульти </w:t>
      </w:r>
      <w:proofErr w:type="spellStart"/>
      <w:r>
        <w:t>медийной</w:t>
      </w:r>
      <w:proofErr w:type="spellEnd"/>
      <w:r>
        <w:t xml:space="preserve"> и компьютерной техникой, в них используются интерактивные методы обучения, что позволяет молодежи получать образование мирового уровня, обогащать свой внутренний мир, расширять кругозор, знакомиться с достижениями науки. Все обучающиеся в образовательных учреждениях страны всех уровней, пользуются услугами электронных библиотек и имеют доступ к услугам глобальной сети Интернет. В столице и областях страны открыты Интернет-кафе для всеобщего пользования.</w:t>
      </w:r>
    </w:p>
    <w:p w:rsidR="0081142B" w:rsidRDefault="0081142B" w:rsidP="0081142B">
      <w:pPr>
        <w:pStyle w:val="SingleTxtGR"/>
      </w:pPr>
      <w:r>
        <w:t>193.</w:t>
      </w:r>
      <w:r>
        <w:tab/>
        <w:t xml:space="preserve">На сегодняшний день количество пользователей интернета мобильной и фиксированной сетей составляет более 2,5 млн абонентов. Внешние каналы по сравнению с 2014 года, выросли в 10 раз и увеличиваются по мере необходимости. В связи с этим увеличиваются внутренние ресурсы. В контексте выполнения рекомендаций, за последние 5 лет созданы и действуют более 15 частных интернет сайтов и порталов. </w:t>
      </w:r>
    </w:p>
    <w:p w:rsidR="0081142B" w:rsidRDefault="0081142B" w:rsidP="0081142B">
      <w:pPr>
        <w:pStyle w:val="SingleTxtGR"/>
      </w:pPr>
      <w:r>
        <w:t>194.</w:t>
      </w:r>
      <w:r>
        <w:tab/>
        <w:t>В Туркменистане нет ограничений на использование интернет сайтов, за исключением тех, которые запрещены законом, в частности, для пропаганды террористических и радикальных намерений.</w:t>
      </w:r>
    </w:p>
    <w:p w:rsidR="0081142B" w:rsidRDefault="0081142B" w:rsidP="0081142B">
      <w:pPr>
        <w:pStyle w:val="SingleTxtGR"/>
        <w:numPr>
          <w:ilvl w:val="0"/>
          <w:numId w:val="28"/>
        </w:numPr>
        <w:autoSpaceDN w:val="0"/>
        <w:ind w:left="1701" w:hanging="207"/>
        <w:textAlignment w:val="baseline"/>
      </w:pPr>
      <w:r>
        <w:t>28 апреля 2015 года Туркменистан запустил свой первый телекоммуникационный спутник связи «</w:t>
      </w:r>
      <w:r>
        <w:rPr>
          <w:lang w:val="en-GB"/>
        </w:rPr>
        <w:t>T</w:t>
      </w:r>
      <w:r>
        <w:t>ü</w:t>
      </w:r>
      <w:proofErr w:type="spellStart"/>
      <w:r>
        <w:rPr>
          <w:lang w:val="en-GB"/>
        </w:rPr>
        <w:t>rkmen</w:t>
      </w:r>
      <w:proofErr w:type="spellEnd"/>
      <w:r>
        <w:t xml:space="preserve"> Ä</w:t>
      </w:r>
      <w:proofErr w:type="spellStart"/>
      <w:r>
        <w:rPr>
          <w:lang w:val="en-GB"/>
        </w:rPr>
        <w:t>lem</w:t>
      </w:r>
      <w:proofErr w:type="spellEnd"/>
      <w:r>
        <w:t xml:space="preserve"> 52°</w:t>
      </w:r>
      <w:r>
        <w:rPr>
          <w:lang w:val="en-GB"/>
        </w:rPr>
        <w:t>E</w:t>
      </w:r>
      <w:r>
        <w:t xml:space="preserve">». </w:t>
      </w:r>
    </w:p>
    <w:p w:rsidR="0081142B" w:rsidRDefault="0081142B" w:rsidP="0081142B">
      <w:pPr>
        <w:pStyle w:val="SingleTxtGR"/>
        <w:numPr>
          <w:ilvl w:val="0"/>
          <w:numId w:val="28"/>
        </w:numPr>
        <w:autoSpaceDN w:val="0"/>
        <w:ind w:left="1701" w:hanging="207"/>
        <w:textAlignment w:val="baseline"/>
      </w:pPr>
      <w:r>
        <w:t>Зона покрытия спутника охватывает десятки государства Европы, Азии, а также страны Ближнего Востока Северной Африки.</w:t>
      </w:r>
    </w:p>
    <w:p w:rsidR="0081142B" w:rsidRDefault="0081142B" w:rsidP="0081142B">
      <w:pPr>
        <w:pStyle w:val="H23GR"/>
      </w:pPr>
      <w:r>
        <w:tab/>
      </w:r>
      <w:r>
        <w:tab/>
        <w:t>Пункт 32</w:t>
      </w:r>
    </w:p>
    <w:p w:rsidR="0081142B" w:rsidRDefault="0081142B" w:rsidP="0081142B">
      <w:pPr>
        <w:pStyle w:val="SingleTxtGR"/>
      </w:pPr>
      <w:r>
        <w:t>195.</w:t>
      </w:r>
      <w:r>
        <w:tab/>
        <w:t>Конституция Туркменистана гарантирует свободу религий и вероисповедания, их равенство перед законом. При этом религиозные организации отделены от государства, не допускается их вмешательство в государственные дела и выполнение ими государственных функций, а идеология религиозных организаций так же, как и политических партий, общественных объединений и иных структур, не может носить обязательный характер для граждан. Одновременно система образования государства отделена от религиозных организаций и носит светский характер.</w:t>
      </w:r>
    </w:p>
    <w:p w:rsidR="0081142B" w:rsidRDefault="0081142B" w:rsidP="0081142B">
      <w:pPr>
        <w:pStyle w:val="SingleTxtGR"/>
      </w:pPr>
      <w:r>
        <w:t>196.</w:t>
      </w:r>
      <w:r>
        <w:tab/>
        <w:t xml:space="preserve">26 марта 2016 года принят Закон Туркменистана «О свободе вероисповедания и религиозных организациях», который гарантирует свободу религий и вероисповедания, обеспечивает равноправие каждого человека независимо от его религиозных убеждений. При этом Туркменистан на равной основе уважает все религии, признаёт важность межконфессионального согласия, религиозной толерантности и уважения религиозных убеждений граждан, что соответствует принятым международным обязательства страны. </w:t>
      </w:r>
    </w:p>
    <w:p w:rsidR="0081142B" w:rsidRDefault="0081142B" w:rsidP="0081142B">
      <w:pPr>
        <w:pStyle w:val="SingleTxtGR"/>
      </w:pPr>
      <w:r>
        <w:t>197.</w:t>
      </w:r>
      <w:r w:rsidRPr="0060267F">
        <w:t xml:space="preserve"> </w:t>
      </w:r>
      <w:r>
        <w:tab/>
      </w:r>
      <w:proofErr w:type="gramStart"/>
      <w:r>
        <w:t>В</w:t>
      </w:r>
      <w:proofErr w:type="gramEnd"/>
      <w:r>
        <w:t xml:space="preserve"> стране проводится работа по совершенствованию межведомственной и внутриведомственной координации действий по созданию благоприятных условий для обеспечения прав на вероисповедание. Налажена практика регулярных встреч и семинаров между представителями государственных структур и религиозных организаций, в том числе незарегистрированных организаций. 19 декабря 2016 года состоялся первый круглый стол на тему «Свобода вероисповедания и религиозные организации», среди участников которого были приглашенные представители «Свидетелей Иеговы».</w:t>
      </w:r>
    </w:p>
    <w:p w:rsidR="0081142B" w:rsidRDefault="0081142B" w:rsidP="0081142B">
      <w:pPr>
        <w:pStyle w:val="SingleTxtGR"/>
      </w:pPr>
      <w:r>
        <w:t>198.</w:t>
      </w:r>
      <w:r w:rsidRPr="0060267F">
        <w:t xml:space="preserve"> </w:t>
      </w:r>
      <w:r>
        <w:tab/>
        <w:t>В 2015 году зарегистрированы 2 религиозные организации, в 2017 году − 5 религиозных организаций, в 2018 году − 1 религиозная организация.</w:t>
      </w:r>
    </w:p>
    <w:p w:rsidR="0081142B" w:rsidRDefault="0081142B" w:rsidP="0081142B">
      <w:pPr>
        <w:pStyle w:val="SingleTxtGR"/>
      </w:pPr>
      <w:r>
        <w:t xml:space="preserve">Следует подчеркнуть, что в независимости от регистрации той или иной религиозной организации, в стране создаются все условия для обеспечения реализации религиозных убеждений. Свидетельством тому является отсутствие каких-либо индивидуальных случаев преследования по религиозным убеждениям. </w:t>
      </w:r>
    </w:p>
    <w:p w:rsidR="0081142B" w:rsidRDefault="0081142B" w:rsidP="0081142B">
      <w:pPr>
        <w:pStyle w:val="SingleTxtGR"/>
      </w:pPr>
      <w:r>
        <w:t>199.</w:t>
      </w:r>
      <w:r>
        <w:tab/>
        <w:t>Религиозные меньшинства принимают активное участие в общественной жизни страны. Они проводят богослужения с пасторами, приглашенными из иностранных государств, регулярно проводят межцерковные встречи, иногда межцерковные женские встречи. Такие встречи проводятся не только в столице, но и в регионах страны.</w:t>
      </w:r>
    </w:p>
    <w:p w:rsidR="0081142B" w:rsidRPr="008978CF" w:rsidRDefault="0081142B" w:rsidP="0081142B">
      <w:pPr>
        <w:pStyle w:val="SingleTxtGR"/>
        <w:spacing w:before="240" w:after="0"/>
        <w:jc w:val="center"/>
        <w:rPr>
          <w:u w:val="single"/>
        </w:rPr>
      </w:pPr>
      <w:r>
        <w:rPr>
          <w:u w:val="single"/>
        </w:rPr>
        <w:tab/>
      </w:r>
      <w:r>
        <w:rPr>
          <w:u w:val="single"/>
        </w:rPr>
        <w:tab/>
      </w:r>
      <w:r>
        <w:rPr>
          <w:u w:val="single"/>
        </w:rPr>
        <w:tab/>
      </w:r>
    </w:p>
    <w:p w:rsidR="0081142B" w:rsidRPr="0081142B" w:rsidRDefault="0081142B" w:rsidP="0081142B">
      <w:bookmarkStart w:id="2" w:name="_GoBack"/>
      <w:bookmarkEnd w:id="2"/>
    </w:p>
    <w:sectPr w:rsidR="0081142B" w:rsidRPr="0081142B" w:rsidSect="0081142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2B" w:rsidRPr="00A312BC" w:rsidRDefault="0081142B" w:rsidP="00A312BC"/>
  </w:endnote>
  <w:endnote w:type="continuationSeparator" w:id="0">
    <w:p w:rsidR="0081142B" w:rsidRPr="00A312BC" w:rsidRDefault="0081142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2B" w:rsidRPr="0081142B" w:rsidRDefault="0081142B">
    <w:pPr>
      <w:pStyle w:val="aa"/>
    </w:pPr>
    <w:r w:rsidRPr="0081142B">
      <w:rPr>
        <w:b/>
        <w:sz w:val="18"/>
      </w:rPr>
      <w:fldChar w:fldCharType="begin"/>
    </w:r>
    <w:r w:rsidRPr="0081142B">
      <w:rPr>
        <w:b/>
        <w:sz w:val="18"/>
      </w:rPr>
      <w:instrText xml:space="preserve"> PAGE  \* MERGEFORMAT </w:instrText>
    </w:r>
    <w:r w:rsidRPr="0081142B">
      <w:rPr>
        <w:b/>
        <w:sz w:val="18"/>
      </w:rPr>
      <w:fldChar w:fldCharType="separate"/>
    </w:r>
    <w:r w:rsidR="006843A2">
      <w:rPr>
        <w:b/>
        <w:noProof/>
        <w:sz w:val="18"/>
      </w:rPr>
      <w:t>20</w:t>
    </w:r>
    <w:r w:rsidRPr="0081142B">
      <w:rPr>
        <w:b/>
        <w:sz w:val="18"/>
      </w:rPr>
      <w:fldChar w:fldCharType="end"/>
    </w:r>
    <w:r>
      <w:rPr>
        <w:b/>
        <w:sz w:val="18"/>
      </w:rPr>
      <w:tab/>
    </w:r>
    <w:r>
      <w:t>GE.18-12422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2B" w:rsidRPr="0081142B" w:rsidRDefault="0081142B" w:rsidP="0081142B">
    <w:pPr>
      <w:pStyle w:val="aa"/>
      <w:tabs>
        <w:tab w:val="clear" w:pos="9639"/>
        <w:tab w:val="right" w:pos="9638"/>
      </w:tabs>
      <w:rPr>
        <w:b/>
        <w:sz w:val="18"/>
      </w:rPr>
    </w:pPr>
    <w:r>
      <w:t>GE.18-12422</w:t>
    </w:r>
    <w:r>
      <w:tab/>
    </w:r>
    <w:r w:rsidRPr="0081142B">
      <w:rPr>
        <w:b/>
        <w:sz w:val="18"/>
      </w:rPr>
      <w:fldChar w:fldCharType="begin"/>
    </w:r>
    <w:r w:rsidRPr="0081142B">
      <w:rPr>
        <w:b/>
        <w:sz w:val="18"/>
      </w:rPr>
      <w:instrText xml:space="preserve"> PAGE  \* MERGEFORMAT </w:instrText>
    </w:r>
    <w:r w:rsidRPr="0081142B">
      <w:rPr>
        <w:b/>
        <w:sz w:val="18"/>
      </w:rPr>
      <w:fldChar w:fldCharType="separate"/>
    </w:r>
    <w:r w:rsidR="006843A2">
      <w:rPr>
        <w:b/>
        <w:noProof/>
        <w:sz w:val="18"/>
      </w:rPr>
      <w:t>19</w:t>
    </w:r>
    <w:r w:rsidRPr="008114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2B" w:rsidRPr="0081142B" w:rsidRDefault="0081142B" w:rsidP="0081142B">
    <w:pPr>
      <w:spacing w:before="120" w:line="240" w:lineRule="auto"/>
    </w:pPr>
    <w:r>
      <w:t>GE.</w:t>
    </w:r>
    <w:r>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18-12422  (R)</w:t>
    </w:r>
    <w:r w:rsidR="002A1C16">
      <w:t xml:space="preserve">  300718  300718</w:t>
    </w:r>
    <w:r>
      <w:br/>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sidRPr="0081142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12/TKM/Q/2/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Q/2/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2B" w:rsidRPr="001075E9" w:rsidRDefault="0081142B" w:rsidP="001075E9">
      <w:pPr>
        <w:tabs>
          <w:tab w:val="right" w:pos="2155"/>
        </w:tabs>
        <w:spacing w:after="80" w:line="240" w:lineRule="auto"/>
        <w:ind w:left="680"/>
        <w:rPr>
          <w:u w:val="single"/>
        </w:rPr>
      </w:pPr>
      <w:r>
        <w:rPr>
          <w:u w:val="single"/>
        </w:rPr>
        <w:tab/>
      </w:r>
    </w:p>
  </w:footnote>
  <w:footnote w:type="continuationSeparator" w:id="0">
    <w:p w:rsidR="0081142B" w:rsidRDefault="0081142B" w:rsidP="00407B78">
      <w:pPr>
        <w:tabs>
          <w:tab w:val="right" w:pos="2155"/>
        </w:tabs>
        <w:spacing w:after="80"/>
        <w:ind w:left="680"/>
        <w:rPr>
          <w:u w:val="single"/>
        </w:rPr>
      </w:pPr>
      <w:r>
        <w:rPr>
          <w:u w:val="single"/>
        </w:rPr>
        <w:tab/>
      </w:r>
    </w:p>
  </w:footnote>
  <w:footnote w:id="1">
    <w:p w:rsidR="0081142B" w:rsidRPr="00BD3F01" w:rsidRDefault="0081142B" w:rsidP="0081142B">
      <w:pPr>
        <w:pStyle w:val="af"/>
      </w:pPr>
      <w:r>
        <w:tab/>
      </w:r>
      <w:r w:rsidRPr="0081142B">
        <w:rPr>
          <w:rStyle w:val="a8"/>
          <w:sz w:val="20"/>
          <w:vertAlign w:val="baseline"/>
        </w:rPr>
        <w:t>*</w:t>
      </w:r>
      <w:r>
        <w:rPr>
          <w:sz w:val="20"/>
        </w:rPr>
        <w:tab/>
      </w:r>
      <w:r w:rsidRPr="00C173A4">
        <w:t>Настоящий документ публикуется без официального редактирования</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2B" w:rsidRPr="0081142B" w:rsidRDefault="006843A2">
    <w:pPr>
      <w:pStyle w:val="a5"/>
    </w:pPr>
    <w:r>
      <w:fldChar w:fldCharType="begin"/>
    </w:r>
    <w:r>
      <w:instrText xml:space="preserve"> TITLE  \* MERGEFORMAT </w:instrText>
    </w:r>
    <w:r>
      <w:fldChar w:fldCharType="separate"/>
    </w:r>
    <w:r>
      <w:t>E/C.12/TKM/Q/2/Add.1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2B" w:rsidRPr="0081142B" w:rsidRDefault="006843A2" w:rsidP="0081142B">
    <w:pPr>
      <w:pStyle w:val="a5"/>
      <w:jc w:val="right"/>
    </w:pPr>
    <w:r>
      <w:fldChar w:fldCharType="begin"/>
    </w:r>
    <w:r>
      <w:instrText xml:space="preserve"> TITLE  \* MERGEFORMAT </w:instrText>
    </w:r>
    <w:r>
      <w:fldChar w:fldCharType="separate"/>
    </w:r>
    <w:r>
      <w:t>E/C.12/TKM/Q/2/Add.1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4D4ED8"/>
    <w:multiLevelType w:val="multilevel"/>
    <w:tmpl w:val="D032C546"/>
    <w:styleLink w:val="WWOutlineListStyle"/>
    <w:lvl w:ilvl="0">
      <w:start w:val="1"/>
      <w:numFmt w:val="decimal"/>
      <w:lvlText w:val="%1."/>
      <w:lvlJc w:val="left"/>
      <w:pPr>
        <w:ind w:left="1134" w:firstLine="0"/>
      </w:p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13BB158C"/>
    <w:multiLevelType w:val="multilevel"/>
    <w:tmpl w:val="C1DA5022"/>
    <w:styleLink w:val="LFO20"/>
    <w:lvl w:ilvl="0">
      <w:numFmt w:val="bullet"/>
      <w:lvlText w:val="•"/>
      <w:lvlJc w:val="left"/>
      <w:pPr>
        <w:ind w:left="1701" w:hanging="170"/>
      </w:pPr>
      <w:rPr>
        <w:rFonts w:ascii="Times New Roman" w:hAnsi="Times New Roman" w:cs="Times New Roman"/>
        <w:b w:val="0"/>
        <w:i w:val="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AE13ED"/>
    <w:multiLevelType w:val="hybridMultilevel"/>
    <w:tmpl w:val="361C4BA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247C59DA"/>
    <w:multiLevelType w:val="hybridMultilevel"/>
    <w:tmpl w:val="83E0CC1C"/>
    <w:lvl w:ilvl="0" w:tplc="5496946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74F94"/>
    <w:multiLevelType w:val="multilevel"/>
    <w:tmpl w:val="4E0473C8"/>
    <w:styleLink w:val="LFO2"/>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7A50C7"/>
    <w:multiLevelType w:val="multilevel"/>
    <w:tmpl w:val="4B242BBE"/>
    <w:styleLink w:val="LFO22"/>
    <w:lvl w:ilvl="0">
      <w:start w:val="1"/>
      <w:numFmt w:val="decimal"/>
      <w:lvlText w:val="%1."/>
      <w:lvlJc w:val="left"/>
      <w:pPr>
        <w:ind w:left="1134" w:firstLine="0"/>
      </w:pPr>
      <w:rPr>
        <w:rFonts w:ascii="Times New Roman" w:hAnsi="Times New Roman"/>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051A"/>
    <w:multiLevelType w:val="multilevel"/>
    <w:tmpl w:val="E9EA5788"/>
    <w:styleLink w:val="LFO21"/>
    <w:lvl w:ilvl="0">
      <w:numFmt w:val="bullet"/>
      <w:lvlText w:val="•"/>
      <w:lvlJc w:val="left"/>
      <w:pPr>
        <w:ind w:left="2268"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55236D7"/>
    <w:multiLevelType w:val="multilevel"/>
    <w:tmpl w:val="0442DC00"/>
    <w:styleLink w:val="LFO1"/>
    <w:lvl w:ilvl="0">
      <w:numFmt w:val="bullet"/>
      <w:lvlText w:val="•"/>
      <w:lvlJc w:val="left"/>
      <w:pPr>
        <w:ind w:left="1701" w:hanging="17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15"/>
  </w:num>
  <w:num w:numId="4">
    <w:abstractNumId w:val="33"/>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6"/>
  </w:num>
  <w:num w:numId="18">
    <w:abstractNumId w:val="28"/>
  </w:num>
  <w:num w:numId="19">
    <w:abstractNumId w:val="31"/>
  </w:num>
  <w:num w:numId="20">
    <w:abstractNumId w:val="26"/>
  </w:num>
  <w:num w:numId="21">
    <w:abstractNumId w:val="28"/>
  </w:num>
  <w:num w:numId="22">
    <w:abstractNumId w:val="31"/>
  </w:num>
  <w:num w:numId="23">
    <w:abstractNumId w:val="26"/>
  </w:num>
  <w:num w:numId="24">
    <w:abstractNumId w:val="28"/>
  </w:num>
  <w:num w:numId="25">
    <w:abstractNumId w:val="31"/>
  </w:num>
  <w:num w:numId="26">
    <w:abstractNumId w:val="26"/>
  </w:num>
  <w:num w:numId="27">
    <w:abstractNumId w:val="28"/>
  </w:num>
  <w:num w:numId="28">
    <w:abstractNumId w:val="18"/>
  </w:num>
  <w:num w:numId="29">
    <w:abstractNumId w:val="20"/>
  </w:num>
  <w:num w:numId="30">
    <w:abstractNumId w:val="17"/>
  </w:num>
  <w:num w:numId="31">
    <w:abstractNumId w:val="10"/>
  </w:num>
  <w:num w:numId="32">
    <w:abstractNumId w:val="14"/>
  </w:num>
  <w:num w:numId="33">
    <w:abstractNumId w:val="22"/>
  </w:num>
  <w:num w:numId="34">
    <w:abstractNumId w:val="16"/>
  </w:num>
  <w:num w:numId="35">
    <w:abstractNumId w:val="30"/>
  </w:num>
  <w:num w:numId="36">
    <w:abstractNumId w:val="34"/>
  </w:num>
  <w:num w:numId="37">
    <w:abstractNumId w:val="11"/>
  </w:num>
  <w:num w:numId="38">
    <w:abstractNumId w:val="12"/>
  </w:num>
  <w:num w:numId="39">
    <w:abstractNumId w:val="29"/>
  </w:num>
  <w:num w:numId="40">
    <w:abstractNumId w:val="21"/>
  </w:num>
  <w:num w:numId="41">
    <w:abstractNumId w:val="13"/>
  </w:num>
  <w:num w:numId="42">
    <w:abstractNumId w:val="25"/>
  </w:num>
  <w:num w:numId="43">
    <w:abstractNumId w:val="23"/>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6D"/>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339A"/>
    <w:rsid w:val="001D5473"/>
    <w:rsid w:val="001D5C5A"/>
    <w:rsid w:val="001F3BDA"/>
    <w:rsid w:val="00203065"/>
    <w:rsid w:val="002979E2"/>
    <w:rsid w:val="002A1C16"/>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451E3"/>
    <w:rsid w:val="00681A10"/>
    <w:rsid w:val="006843A2"/>
    <w:rsid w:val="006A16E3"/>
    <w:rsid w:val="006A1ED8"/>
    <w:rsid w:val="006C2031"/>
    <w:rsid w:val="006D461A"/>
    <w:rsid w:val="006F35EE"/>
    <w:rsid w:val="007021FF"/>
    <w:rsid w:val="00712895"/>
    <w:rsid w:val="00734ACB"/>
    <w:rsid w:val="00757357"/>
    <w:rsid w:val="00792497"/>
    <w:rsid w:val="007A7831"/>
    <w:rsid w:val="00806737"/>
    <w:rsid w:val="0081142B"/>
    <w:rsid w:val="00811570"/>
    <w:rsid w:val="00825F8D"/>
    <w:rsid w:val="00834B71"/>
    <w:rsid w:val="0086445C"/>
    <w:rsid w:val="00894693"/>
    <w:rsid w:val="008A08D7"/>
    <w:rsid w:val="008B6909"/>
    <w:rsid w:val="008C30BC"/>
    <w:rsid w:val="00906890"/>
    <w:rsid w:val="00911BE4"/>
    <w:rsid w:val="00951972"/>
    <w:rsid w:val="009608F3"/>
    <w:rsid w:val="00971319"/>
    <w:rsid w:val="009A24AC"/>
    <w:rsid w:val="00A14DA8"/>
    <w:rsid w:val="00A21F00"/>
    <w:rsid w:val="00A312BC"/>
    <w:rsid w:val="00A84021"/>
    <w:rsid w:val="00A84D35"/>
    <w:rsid w:val="00A917B3"/>
    <w:rsid w:val="00AB4B51"/>
    <w:rsid w:val="00AC3430"/>
    <w:rsid w:val="00B10CC7"/>
    <w:rsid w:val="00B36DF7"/>
    <w:rsid w:val="00B539E7"/>
    <w:rsid w:val="00B62458"/>
    <w:rsid w:val="00B65C6D"/>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40F2B"/>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5C0930-1346-46BA-ACAC-3AE0824B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08"/>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811570"/>
    <w:pPr>
      <w:keepNext/>
      <w:outlineLvl w:val="1"/>
    </w:pPr>
    <w:rPr>
      <w:rFonts w:cs="Arial"/>
      <w:bCs/>
      <w:iCs/>
      <w:szCs w:val="28"/>
    </w:rPr>
  </w:style>
  <w:style w:type="paragraph" w:styleId="3">
    <w:name w:val="heading 3"/>
    <w:basedOn w:val="a"/>
    <w:next w:val="a"/>
    <w:qFormat/>
    <w:rsid w:val="00811570"/>
    <w:pPr>
      <w:keepNext/>
      <w:spacing w:before="240" w:after="60"/>
      <w:outlineLvl w:val="2"/>
    </w:pPr>
    <w:rPr>
      <w:rFonts w:ascii="Arial" w:hAnsi="Arial" w:cs="Arial"/>
      <w:b/>
      <w:bCs/>
      <w:sz w:val="26"/>
      <w:szCs w:val="26"/>
    </w:rPr>
  </w:style>
  <w:style w:type="paragraph" w:styleId="4">
    <w:name w:val="heading 4"/>
    <w:basedOn w:val="a"/>
    <w:next w:val="a"/>
    <w:qFormat/>
    <w:rsid w:val="00811570"/>
    <w:pPr>
      <w:keepNext/>
      <w:spacing w:before="240" w:after="60"/>
      <w:outlineLvl w:val="3"/>
    </w:pPr>
    <w:rPr>
      <w:b/>
      <w:bCs/>
      <w:sz w:val="28"/>
      <w:szCs w:val="28"/>
    </w:rPr>
  </w:style>
  <w:style w:type="paragraph" w:styleId="5">
    <w:name w:val="heading 5"/>
    <w:basedOn w:val="a"/>
    <w:next w:val="a"/>
    <w:qFormat/>
    <w:rsid w:val="00811570"/>
    <w:pPr>
      <w:spacing w:before="240" w:after="60"/>
      <w:outlineLvl w:val="4"/>
    </w:pPr>
    <w:rPr>
      <w:b/>
      <w:bCs/>
      <w:i/>
      <w:iCs/>
      <w:sz w:val="26"/>
      <w:szCs w:val="26"/>
    </w:rPr>
  </w:style>
  <w:style w:type="paragraph" w:styleId="6">
    <w:name w:val="heading 6"/>
    <w:basedOn w:val="a"/>
    <w:next w:val="a"/>
    <w:qFormat/>
    <w:rsid w:val="00811570"/>
    <w:pPr>
      <w:spacing w:before="240" w:after="60"/>
      <w:outlineLvl w:val="5"/>
    </w:pPr>
    <w:rPr>
      <w:b/>
      <w:bCs/>
      <w:sz w:val="22"/>
    </w:rPr>
  </w:style>
  <w:style w:type="paragraph" w:styleId="7">
    <w:name w:val="heading 7"/>
    <w:basedOn w:val="a"/>
    <w:next w:val="a"/>
    <w:qFormat/>
    <w:rsid w:val="00811570"/>
    <w:pPr>
      <w:spacing w:before="240" w:after="60"/>
      <w:outlineLvl w:val="6"/>
    </w:pPr>
    <w:rPr>
      <w:sz w:val="24"/>
      <w:szCs w:val="24"/>
    </w:rPr>
  </w:style>
  <w:style w:type="paragraph" w:styleId="8">
    <w:name w:val="heading 8"/>
    <w:basedOn w:val="a"/>
    <w:next w:val="a"/>
    <w:qFormat/>
    <w:rsid w:val="00811570"/>
    <w:pPr>
      <w:spacing w:before="240" w:after="60"/>
      <w:outlineLvl w:val="7"/>
    </w:pPr>
    <w:rPr>
      <w:i/>
      <w:iCs/>
      <w:sz w:val="24"/>
      <w:szCs w:val="24"/>
    </w:rPr>
  </w:style>
  <w:style w:type="paragraph" w:styleId="9">
    <w:name w:val="heading 9"/>
    <w:basedOn w:val="a"/>
    <w:next w:val="a"/>
    <w:qFormat/>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1253D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R">
    <w:name w:val="_Bullet 2_GR"/>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1253D8"/>
    <w:pPr>
      <w:numPr>
        <w:numId w:val="27"/>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1253D8"/>
    <w:rPr>
      <w:b/>
      <w:sz w:val="18"/>
      <w:lang w:val="en-GB" w:eastAsia="ru-RU"/>
    </w:rPr>
  </w:style>
  <w:style w:type="character" w:styleId="a7">
    <w:name w:val="Hyperlink"/>
    <w:basedOn w:val="a0"/>
    <w:unhideWhenUsed/>
    <w:rsid w:val="001253D8"/>
    <w:rPr>
      <w:color w:val="0000FF" w:themeColor="hyperlink"/>
      <w:u w:val="none"/>
    </w:rPr>
  </w:style>
  <w:style w:type="character" w:styleId="a8">
    <w:name w:val="footnote reference"/>
    <w:aliases w:val="4_GR,4_G"/>
    <w:basedOn w:val="a0"/>
    <w:qFormat/>
    <w:rsid w:val="001253D8"/>
    <w:rPr>
      <w:rFonts w:ascii="Times New Roman" w:hAnsi="Times New Roman"/>
      <w:dstrike w:val="0"/>
      <w:sz w:val="18"/>
      <w:vertAlign w:val="superscript"/>
    </w:rPr>
  </w:style>
  <w:style w:type="character" w:styleId="a9">
    <w:name w:val="endnote reference"/>
    <w:aliases w:val="1_GR,1_G"/>
    <w:basedOn w:val="a8"/>
    <w:qFormat/>
    <w:rsid w:val="001253D8"/>
    <w:rPr>
      <w:rFonts w:ascii="Times New Roman" w:hAnsi="Times New Roman"/>
      <w:dstrike w:val="0"/>
      <w:sz w:val="18"/>
      <w:vertAlign w:val="superscript"/>
    </w:rPr>
  </w:style>
  <w:style w:type="paragraph" w:styleId="aa">
    <w:name w:val="footer"/>
    <w:aliases w:val="3_GR,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R Знак,3_G Знак"/>
    <w:basedOn w:val="a0"/>
    <w:link w:val="aa"/>
    <w:rsid w:val="001253D8"/>
    <w:rPr>
      <w:sz w:val="16"/>
      <w:lang w:val="en-GB" w:eastAsia="ru-RU"/>
    </w:rPr>
  </w:style>
  <w:style w:type="character" w:styleId="ac">
    <w:name w:val="page number"/>
    <w:aliases w:val="7_GR,7_G"/>
    <w:basedOn w:val="a0"/>
    <w:qFormat/>
    <w:rsid w:val="001253D8"/>
    <w:rPr>
      <w:rFonts w:ascii="Times New Roman" w:hAnsi="Times New Roman"/>
      <w:b/>
      <w:sz w:val="18"/>
    </w:rPr>
  </w:style>
  <w:style w:type="character" w:styleId="ad">
    <w:name w:val="FollowedHyperlink"/>
    <w:basedOn w:val="a0"/>
    <w:unhideWhenUsed/>
    <w:rsid w:val="001253D8"/>
    <w:rPr>
      <w:color w:val="800080" w:themeColor="followedHyperlink"/>
      <w:u w:val="none"/>
    </w:rPr>
  </w:style>
  <w:style w:type="table" w:styleId="ae">
    <w:name w:val="Table Grid"/>
    <w:basedOn w:val="a1"/>
    <w:rsid w:val="001253D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R Знак,5_G Знак"/>
    <w:basedOn w:val="a0"/>
    <w:link w:val="af"/>
    <w:rsid w:val="001253D8"/>
    <w:rPr>
      <w:sz w:val="18"/>
      <w:lang w:val="ru-RU" w:eastAsia="ru-RU"/>
    </w:rPr>
  </w:style>
  <w:style w:type="character" w:customStyle="1" w:styleId="10">
    <w:name w:val="Заголовок 1 Знак"/>
    <w:aliases w:val="Table_GR Знак,Table_G Знак"/>
    <w:basedOn w:val="a0"/>
    <w:link w:val="1"/>
    <w:rsid w:val="001253D8"/>
    <w:rPr>
      <w:rFonts w:cs="Arial"/>
      <w:b/>
      <w:bCs/>
      <w:szCs w:val="32"/>
      <w:lang w:val="ru-RU" w:eastAsia="ru-RU"/>
    </w:rPr>
  </w:style>
  <w:style w:type="paragraph" w:styleId="af1">
    <w:name w:val="endnote text"/>
    <w:aliases w:val="2_GR,2_G"/>
    <w:basedOn w:val="af"/>
    <w:link w:val="af2"/>
    <w:qFormat/>
    <w:rsid w:val="001253D8"/>
  </w:style>
  <w:style w:type="character" w:customStyle="1" w:styleId="af2">
    <w:name w:val="Текст концевой сноски Знак"/>
    <w:aliases w:val="2_GR Знак,2_G Знак"/>
    <w:basedOn w:val="a0"/>
    <w:link w:val="af1"/>
    <w:rsid w:val="001253D8"/>
    <w:rPr>
      <w:sz w:val="18"/>
      <w:lang w:val="ru-RU" w:eastAsia="ru-RU"/>
    </w:rPr>
  </w:style>
  <w:style w:type="paragraph" w:customStyle="1" w:styleId="SingleTxtG">
    <w:name w:val="_ Single Txt_G"/>
    <w:basedOn w:val="a"/>
    <w:link w:val="SingleTxtGChar"/>
    <w:qFormat/>
    <w:rsid w:val="0081142B"/>
    <w:pPr>
      <w:spacing w:after="120"/>
      <w:ind w:left="1134" w:right="1134"/>
      <w:jc w:val="both"/>
    </w:pPr>
    <w:rPr>
      <w:rFonts w:eastAsia="Times New Roman" w:cs="Times New Roman"/>
      <w:szCs w:val="20"/>
      <w:lang w:val="en-GB"/>
    </w:rPr>
  </w:style>
  <w:style w:type="paragraph" w:customStyle="1" w:styleId="HMG">
    <w:name w:val="_ H __M_G"/>
    <w:basedOn w:val="a"/>
    <w:next w:val="a"/>
    <w:qFormat/>
    <w:rsid w:val="0081142B"/>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a"/>
    <w:next w:val="a"/>
    <w:qFormat/>
    <w:rsid w:val="0081142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MG">
    <w:name w:val="__S_M_G"/>
    <w:basedOn w:val="a"/>
    <w:next w:val="a"/>
    <w:rsid w:val="0081142B"/>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a"/>
    <w:next w:val="a"/>
    <w:rsid w:val="0081142B"/>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a"/>
    <w:next w:val="a"/>
    <w:rsid w:val="0081142B"/>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a"/>
    <w:next w:val="a"/>
    <w:rsid w:val="0081142B"/>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a"/>
    <w:qFormat/>
    <w:rsid w:val="0081142B"/>
    <w:pPr>
      <w:numPr>
        <w:numId w:val="35"/>
      </w:numPr>
      <w:spacing w:after="120"/>
      <w:ind w:right="1134"/>
      <w:jc w:val="both"/>
    </w:pPr>
    <w:rPr>
      <w:rFonts w:eastAsia="Times New Roman" w:cs="Times New Roman"/>
      <w:szCs w:val="20"/>
      <w:lang w:val="en-GB"/>
    </w:rPr>
  </w:style>
  <w:style w:type="paragraph" w:customStyle="1" w:styleId="Bullet2G">
    <w:name w:val="_Bullet 2_G"/>
    <w:basedOn w:val="a"/>
    <w:qFormat/>
    <w:rsid w:val="0081142B"/>
    <w:pPr>
      <w:numPr>
        <w:numId w:val="36"/>
      </w:numPr>
      <w:spacing w:after="120"/>
      <w:ind w:right="1134"/>
      <w:jc w:val="both"/>
    </w:pPr>
    <w:rPr>
      <w:rFonts w:eastAsia="Times New Roman" w:cs="Times New Roman"/>
      <w:szCs w:val="20"/>
      <w:lang w:val="en-GB"/>
    </w:rPr>
  </w:style>
  <w:style w:type="paragraph" w:customStyle="1" w:styleId="H1G">
    <w:name w:val="_ H_1_G"/>
    <w:basedOn w:val="a"/>
    <w:next w:val="a"/>
    <w:qFormat/>
    <w:rsid w:val="0081142B"/>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qFormat/>
    <w:rsid w:val="0081142B"/>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qFormat/>
    <w:rsid w:val="0081142B"/>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a"/>
    <w:next w:val="a"/>
    <w:qFormat/>
    <w:rsid w:val="0081142B"/>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ParNoG">
    <w:name w:val="_ParNo_G"/>
    <w:basedOn w:val="SingleTxtG"/>
    <w:qFormat/>
    <w:rsid w:val="0081142B"/>
    <w:pPr>
      <w:numPr>
        <w:numId w:val="37"/>
      </w:numPr>
      <w:kinsoku w:val="0"/>
      <w:overflowPunct w:val="0"/>
      <w:autoSpaceDE w:val="0"/>
      <w:autoSpaceDN w:val="0"/>
      <w:adjustRightInd w:val="0"/>
      <w:snapToGrid w:val="0"/>
      <w:ind w:left="1701" w:hanging="170"/>
    </w:pPr>
  </w:style>
  <w:style w:type="character" w:customStyle="1" w:styleId="SingleTxtGChar">
    <w:name w:val="_ Single Txt_G Char"/>
    <w:link w:val="SingleTxtG"/>
    <w:rsid w:val="0081142B"/>
    <w:rPr>
      <w:lang w:val="en-GB" w:eastAsia="en-US"/>
    </w:rPr>
  </w:style>
  <w:style w:type="numbering" w:customStyle="1" w:styleId="WWOutlineListStyle">
    <w:name w:val="WW_OutlineListStyle"/>
    <w:basedOn w:val="a2"/>
    <w:rsid w:val="0081142B"/>
    <w:pPr>
      <w:numPr>
        <w:numId w:val="38"/>
      </w:numPr>
    </w:pPr>
  </w:style>
  <w:style w:type="character" w:customStyle="1" w:styleId="20">
    <w:name w:val="Заголовок 2 Знак"/>
    <w:basedOn w:val="a0"/>
    <w:rsid w:val="0081142B"/>
    <w:rPr>
      <w:rFonts w:ascii="Times New Roman" w:eastAsia="Times New Roman" w:hAnsi="Times New Roman" w:cs="Times New Roman"/>
      <w:sz w:val="20"/>
      <w:szCs w:val="20"/>
      <w:lang w:val="en-GB"/>
    </w:rPr>
  </w:style>
  <w:style w:type="character" w:customStyle="1" w:styleId="30">
    <w:name w:val="Заголовок 3 Знак"/>
    <w:basedOn w:val="a0"/>
    <w:rsid w:val="0081142B"/>
    <w:rPr>
      <w:rFonts w:ascii="Times New Roman" w:eastAsia="Times New Roman" w:hAnsi="Times New Roman" w:cs="Times New Roman"/>
      <w:sz w:val="20"/>
      <w:szCs w:val="20"/>
      <w:lang w:val="en-GB"/>
    </w:rPr>
  </w:style>
  <w:style w:type="character" w:customStyle="1" w:styleId="40">
    <w:name w:val="Заголовок 4 Знак"/>
    <w:basedOn w:val="a0"/>
    <w:rsid w:val="0081142B"/>
    <w:rPr>
      <w:rFonts w:ascii="Times New Roman" w:eastAsia="Times New Roman" w:hAnsi="Times New Roman" w:cs="Times New Roman"/>
      <w:sz w:val="20"/>
      <w:szCs w:val="20"/>
      <w:lang w:val="en-GB"/>
    </w:rPr>
  </w:style>
  <w:style w:type="character" w:customStyle="1" w:styleId="50">
    <w:name w:val="Заголовок 5 Знак"/>
    <w:basedOn w:val="a0"/>
    <w:rsid w:val="0081142B"/>
    <w:rPr>
      <w:rFonts w:ascii="Times New Roman" w:eastAsia="Times New Roman" w:hAnsi="Times New Roman" w:cs="Times New Roman"/>
      <w:sz w:val="20"/>
      <w:szCs w:val="20"/>
      <w:lang w:val="en-GB"/>
    </w:rPr>
  </w:style>
  <w:style w:type="character" w:customStyle="1" w:styleId="60">
    <w:name w:val="Заголовок 6 Знак"/>
    <w:basedOn w:val="a0"/>
    <w:rsid w:val="0081142B"/>
    <w:rPr>
      <w:rFonts w:ascii="Times New Roman" w:eastAsia="Times New Roman" w:hAnsi="Times New Roman" w:cs="Times New Roman"/>
      <w:sz w:val="20"/>
      <w:szCs w:val="20"/>
      <w:lang w:val="en-GB"/>
    </w:rPr>
  </w:style>
  <w:style w:type="character" w:customStyle="1" w:styleId="70">
    <w:name w:val="Заголовок 7 Знак"/>
    <w:basedOn w:val="a0"/>
    <w:rsid w:val="0081142B"/>
    <w:rPr>
      <w:rFonts w:ascii="Times New Roman" w:eastAsia="Times New Roman" w:hAnsi="Times New Roman" w:cs="Times New Roman"/>
      <w:sz w:val="20"/>
      <w:szCs w:val="20"/>
      <w:lang w:val="en-GB"/>
    </w:rPr>
  </w:style>
  <w:style w:type="character" w:customStyle="1" w:styleId="80">
    <w:name w:val="Заголовок 8 Знак"/>
    <w:basedOn w:val="a0"/>
    <w:rsid w:val="0081142B"/>
    <w:rPr>
      <w:rFonts w:ascii="Times New Roman" w:eastAsia="Times New Roman" w:hAnsi="Times New Roman" w:cs="Times New Roman"/>
      <w:sz w:val="20"/>
      <w:szCs w:val="20"/>
      <w:lang w:val="en-GB"/>
    </w:rPr>
  </w:style>
  <w:style w:type="character" w:customStyle="1" w:styleId="90">
    <w:name w:val="Заголовок 9 Знак"/>
    <w:basedOn w:val="a0"/>
    <w:rsid w:val="0081142B"/>
    <w:rPr>
      <w:rFonts w:ascii="Times New Roman" w:eastAsia="Times New Roman" w:hAnsi="Times New Roman" w:cs="Times New Roman"/>
      <w:sz w:val="20"/>
      <w:szCs w:val="20"/>
      <w:lang w:val="en-GB"/>
    </w:rPr>
  </w:style>
  <w:style w:type="character" w:customStyle="1" w:styleId="UnresolvedMention">
    <w:name w:val="Unresolved Mention"/>
    <w:basedOn w:val="a0"/>
    <w:rsid w:val="0081142B"/>
    <w:rPr>
      <w:color w:val="808080"/>
      <w:shd w:val="clear" w:color="auto" w:fill="E6E6E6"/>
    </w:rPr>
  </w:style>
  <w:style w:type="numbering" w:customStyle="1" w:styleId="LFO1">
    <w:name w:val="LFO1"/>
    <w:basedOn w:val="a2"/>
    <w:rsid w:val="0081142B"/>
    <w:pPr>
      <w:numPr>
        <w:numId w:val="39"/>
      </w:numPr>
    </w:pPr>
  </w:style>
  <w:style w:type="numbering" w:customStyle="1" w:styleId="LFO2">
    <w:name w:val="LFO2"/>
    <w:basedOn w:val="a2"/>
    <w:rsid w:val="0081142B"/>
    <w:pPr>
      <w:numPr>
        <w:numId w:val="40"/>
      </w:numPr>
    </w:pPr>
  </w:style>
  <w:style w:type="numbering" w:customStyle="1" w:styleId="LFO20">
    <w:name w:val="LFO20"/>
    <w:basedOn w:val="a2"/>
    <w:rsid w:val="0081142B"/>
    <w:pPr>
      <w:numPr>
        <w:numId w:val="41"/>
      </w:numPr>
    </w:pPr>
  </w:style>
  <w:style w:type="numbering" w:customStyle="1" w:styleId="LFO21">
    <w:name w:val="LFO21"/>
    <w:basedOn w:val="a2"/>
    <w:rsid w:val="0081142B"/>
    <w:pPr>
      <w:numPr>
        <w:numId w:val="42"/>
      </w:numPr>
    </w:pPr>
  </w:style>
  <w:style w:type="numbering" w:customStyle="1" w:styleId="LFO22">
    <w:name w:val="LFO22"/>
    <w:basedOn w:val="a2"/>
    <w:rsid w:val="0081142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l:1040583.840000%2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28</Pages>
  <Words>10913</Words>
  <Characters>75427</Characters>
  <Application>Microsoft Office Word</Application>
  <DocSecurity>0</DocSecurity>
  <Lines>1734</Lines>
  <Paragraphs>697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E/C.12/TKM/Q/2/Add.1</vt:lpstr>
      <vt:lpstr>A/</vt:lpstr>
      <vt:lpstr>A/</vt:lpstr>
    </vt:vector>
  </TitlesOfParts>
  <Company>DCM</Company>
  <LinksUpToDate>false</LinksUpToDate>
  <CharactersWithSpaces>85947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E/C.12/TKM/Q/2/Add.1</dc:title>
  <dc:subject/>
  <dc:creator>Uliana ANTIPOVA</dc:creator>
  <cp:keywords/>
  <cp:lastModifiedBy>Generic TPSRUS2</cp:lastModifiedBy>
  <cp:revision>5</cp:revision>
  <cp:lastPrinted>2018-07-30T14:19:00Z</cp:lastPrinted>
  <dcterms:created xsi:type="dcterms:W3CDTF">2018-07-30T14:05:00Z</dcterms:created>
  <dcterms:modified xsi:type="dcterms:W3CDTF">2018-07-30T14:21:00Z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