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20024"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480" w:after="120"/>
            </w:pPr>
            <w:r>
              <w:t>Distr.</w:t>
            </w:r>
            <w:r>
              <w:br/>
              <w:t>GÉNÉRALE</w:t>
            </w:r>
          </w:p>
          <w:p w:rsidR="00000000" w:rsidRDefault="00000000">
            <w:pPr>
              <w:spacing w:after="240"/>
            </w:pPr>
            <w:r>
              <w:t>E/C.12/SMR/Q/4/Add.1</w:t>
            </w:r>
            <w:r>
              <w:br/>
              <w:t>28 septembre 2007</w:t>
            </w:r>
          </w:p>
          <w:p w:rsidR="00000000" w:rsidRDefault="00000000">
            <w:pPr>
              <w:spacing w:after="240"/>
            </w:pPr>
            <w:r>
              <w:t>FRANÇAIS</w:t>
            </w:r>
            <w:r>
              <w:br/>
              <w:t>Original: ANGLAIS</w:t>
            </w:r>
          </w:p>
        </w:tc>
      </w:tr>
    </w:tbl>
    <w:p w:rsidR="00000000" w:rsidRDefault="00000000">
      <w:pPr>
        <w:tabs>
          <w:tab w:val="left" w:pos="6240"/>
        </w:tabs>
        <w:spacing w:after="480"/>
      </w:pPr>
      <w:r>
        <w:br/>
        <w:t>COMITÉ DES DROITS ÉCONOMIQUES,</w:t>
      </w:r>
      <w:r>
        <w:br/>
        <w:t>SOCIAUX ET CULTURELS</w:t>
      </w:r>
      <w:r>
        <w:br/>
        <w:t>Trente</w:t>
      </w:r>
      <w:r>
        <w:noBreakHyphen/>
        <w:t>neuvième session</w:t>
      </w:r>
      <w:r>
        <w:br/>
        <w:t>Genève, 5</w:t>
      </w:r>
      <w:r>
        <w:noBreakHyphen/>
        <w:t>23 novembre 2007</w:t>
      </w:r>
    </w:p>
    <w:p w:rsidR="00000000" w:rsidRDefault="00000000">
      <w:pPr>
        <w:tabs>
          <w:tab w:val="left" w:pos="6240"/>
        </w:tabs>
        <w:spacing w:after="480"/>
        <w:jc w:val="center"/>
      </w:pPr>
      <w:r>
        <w:t>APPLICATION DU PACTE INTERNATIONAL RELATIF AUX DROITS</w:t>
      </w:r>
      <w:r>
        <w:br/>
        <w:t>ÉCONOMIQUES, SOCIAUX ET CULTURELS</w:t>
      </w:r>
    </w:p>
    <w:p w:rsidR="00000000" w:rsidRDefault="00000000">
      <w:pPr>
        <w:tabs>
          <w:tab w:val="left" w:pos="6240"/>
        </w:tabs>
        <w:spacing w:after="720"/>
        <w:jc w:val="center"/>
      </w:pPr>
      <w:r>
        <w:t>EXAMEN DES RAPPORTS PRÉSENTÉS PAR LES ÉTATS PARTIES EN VERTU</w:t>
      </w:r>
      <w:r>
        <w:br/>
        <w:t>DE L’ARTICLE 16 DU PACTE INTERNATIONAL RELATIF AUX DROITS ÉCONOMIQUES, SOCIAUX ET CULTURELS</w:t>
      </w:r>
    </w:p>
    <w:p w:rsidR="00000000" w:rsidRDefault="00000000">
      <w:pPr>
        <w:tabs>
          <w:tab w:val="left" w:pos="6240"/>
        </w:tabs>
        <w:ind w:left="567"/>
      </w:pPr>
      <w:r>
        <w:t>RÉPONSES DU GOUVERNEMENT DE SAINT-MARIN À LA LISTE DES POINTS À TRAITER (E/C.12/SMR/Q/4) À L’OCCASION DE L’EXAMEN DU QUATRIÈME RAPPORT PÉRIODIQUE DE SAINT</w:t>
      </w:r>
      <w:r>
        <w:noBreakHyphen/>
        <w:t>MARIN CONCERNANT LES DROITS ÉNONCÉS DANS LES ARTICLES 1 À 15 DU PACTE INTERNATIONAL RELATIF</w:t>
      </w:r>
    </w:p>
    <w:p w:rsidR="00000000" w:rsidRDefault="00000000">
      <w:pPr>
        <w:tabs>
          <w:tab w:val="left" w:pos="6240"/>
        </w:tabs>
        <w:spacing w:after="720"/>
        <w:jc w:val="center"/>
      </w:pPr>
      <w:r>
        <w:t>AUX DROITS ÉCONOMIQUES, SOCIAUX ET CULTURELS (E/C.12/SMR/4)</w:t>
      </w:r>
      <w:r>
        <w:rPr>
          <w:rStyle w:val="FootnoteReference"/>
        </w:rPr>
        <w:footnoteReference w:customMarkFollows="1" w:id="1"/>
        <w:t>*</w:t>
      </w:r>
    </w:p>
    <w:p w:rsidR="00000000" w:rsidRDefault="00000000">
      <w:pPr>
        <w:tabs>
          <w:tab w:val="left" w:pos="6240"/>
        </w:tabs>
        <w:spacing w:after="240"/>
        <w:jc w:val="right"/>
      </w:pPr>
      <w:r>
        <w:t xml:space="preserve"> [29 août 2007]</w:t>
      </w:r>
    </w:p>
    <w:p w:rsidR="00000000" w:rsidRDefault="00000000">
      <w:pPr>
        <w:ind w:left="567"/>
        <w:rPr>
          <w:b/>
          <w:bCs/>
        </w:rPr>
      </w:pPr>
      <w:r>
        <w:br w:type="page"/>
      </w:r>
      <w:r>
        <w:rPr>
          <w:b/>
          <w:bCs/>
        </w:rPr>
        <w:t>RÉPONSES DU GOUVERNEMENT DE SAINT-MARIN AUX QUESTIONS ADDITIONNELLES CONCERNANT LE QUATRIÈME RAPPORT PÉRIODIQUE SUR L’APPLICATION DU PACTE INTERNATIONAL RELATIF AUX DROITS ÉCONOMIQUES, SOCIAUX ET CULTURELS</w:t>
      </w:r>
    </w:p>
    <w:p w:rsidR="00000000" w:rsidRDefault="00000000">
      <w:pPr>
        <w:spacing w:after="240"/>
        <w:jc w:val="center"/>
        <w:rPr>
          <w:b/>
          <w:bCs/>
        </w:rPr>
      </w:pPr>
      <w:r>
        <w:rPr>
          <w:b/>
          <w:bCs/>
        </w:rPr>
        <w:t>(E/C.12/SMR/4)</w:t>
      </w:r>
    </w:p>
    <w:p w:rsidR="00000000" w:rsidRDefault="00000000">
      <w:pPr>
        <w:spacing w:after="240"/>
      </w:pPr>
      <w:r>
        <w:t>1.</w:t>
      </w:r>
      <w:r>
        <w:tab/>
        <w:t xml:space="preserve">À la suite de l’entrée en vigueur de la Loi constitutionnelle </w:t>
      </w:r>
      <w:r>
        <w:rPr>
          <w:rFonts w:eastAsia="MS Mincho"/>
        </w:rPr>
        <w:t>n</w:t>
      </w:r>
      <w:r>
        <w:rPr>
          <w:rFonts w:eastAsia="MS Mincho"/>
          <w:vertAlign w:val="superscript"/>
        </w:rPr>
        <w:t>o</w:t>
      </w:r>
      <w:r>
        <w:t xml:space="preserve"> 144 du 30 octobre 2003 (Organes du pouvoir judiciaire. Établissement, définition et fonctions), le Conseil des Douze ne remplit plus les fonctions juridictionnelles de juge d’appel suprême en matière administrative et civile. Selon le paragraphe 2 de l’article 3 de la loi </w:t>
      </w:r>
      <w:r>
        <w:rPr>
          <w:rFonts w:eastAsia="MS Mincho"/>
        </w:rPr>
        <w:t>n</w:t>
      </w:r>
      <w:r>
        <w:rPr>
          <w:rFonts w:eastAsia="MS Mincho"/>
          <w:vertAlign w:val="superscript"/>
        </w:rPr>
        <w:t>o</w:t>
      </w:r>
      <w:r>
        <w:t> 144/2003, ces fonctions sont maintenant confiées au juge d’appel suprême, qui est également chargé de statuer sur les exceptions d’incompétence dans les affaires civiles. Toutefois, le Conseil des Douze reste compétent pour rendre les décisions sur les contrats de garantie relatifs à des affaires civiles pour lesquelles l’extinction de l’instance a été déclarée. À ce sujet, il convient de préciser que la péremption est un mode d’extinction de l’instance suivant une période d’inaction coupable des parties, dont le calcul est expressément régi par la réglementation en vigueur. Si le contrat de garantie est accordé par le Conseil des Douze, le plaignant a la possibilité, moyennant le remboursement des frais, de poursuivre l’action, c’est</w:t>
      </w:r>
      <w:r>
        <w:noBreakHyphen/>
        <w:t>à</w:t>
      </w:r>
      <w:r>
        <w:noBreakHyphen/>
        <w:t>dire la procédure périmée.</w:t>
      </w:r>
    </w:p>
    <w:p w:rsidR="00000000" w:rsidRDefault="00000000">
      <w:pPr>
        <w:spacing w:after="240"/>
      </w:pPr>
      <w:r>
        <w:t>2.</w:t>
      </w:r>
      <w:r>
        <w:tab/>
        <w:t>Le rapport figurant dans le document E/C.12/SMR/4, ainsi que les réponses aux questions additionnelles, ont été rédigés par un groupe de travail composé de différents fonctionnaires de l’administration publique de Saint</w:t>
      </w:r>
      <w:r>
        <w:noBreakHyphen/>
        <w:t>Marin dont le domaine de compétence correspondait aux dispositions du Pacte international relatif aux droits économiques, sociaux et culturels et aux critères requis par les «Directives générales concernant la présentation et le contenu des rapports périodiques» (document HRI/GEN/2/Rev.3). Les ONG et la société civile n’ont pas participé à l’élaboration du rapport.</w:t>
      </w:r>
    </w:p>
    <w:p w:rsidR="00000000" w:rsidRDefault="00000000">
      <w:pPr>
        <w:spacing w:after="240"/>
      </w:pPr>
      <w:r>
        <w:t>3.</w:t>
      </w:r>
      <w:r>
        <w:tab/>
        <w:t>L’engagement de créer par une loi l’institution du Médiateur figurait dans le «Programme de gouvernement pour la vingt</w:t>
      </w:r>
      <w:r>
        <w:noBreakHyphen/>
        <w:t>sixième législature», approuvé le 17 juillet 2006 par les partis politiques formant la coalition actuelle. Le 21 mai 2007, dans un communiqué de presse, le Congrès d’État a déclaré qu’après avoir assuré avec succès pendant six mois la présidence du Conseil de l’Europe (novembre 2006</w:t>
      </w:r>
      <w:r>
        <w:noBreakHyphen/>
        <w:t>mai 2007), le Gouvernement s’était fixé notamment comme priorité dans les mois à venir d’étudier l’institution du Médiateur qui aurait pour importante fonction de veiller au respect des droits de l’homme de toute personne vivant à Saint</w:t>
      </w:r>
      <w:r>
        <w:noBreakHyphen/>
        <w:t>Marin.</w:t>
      </w:r>
    </w:p>
    <w:p w:rsidR="00000000" w:rsidRDefault="00000000">
      <w:pPr>
        <w:spacing w:after="240"/>
      </w:pPr>
      <w:r>
        <w:t>4.</w:t>
      </w:r>
      <w:r>
        <w:tab/>
        <w:t>Saint</w:t>
      </w:r>
      <w:r>
        <w:noBreakHyphen/>
        <w:t>Marin applique une politique de coopération économique visant à promouvoir et à protéger les droits de l’homme dans les pays tiers. Cette politique ne prend pas la forme de transferts directs aux pays bénéficiaires de crédits budgétaires expressément alloués à cet effet ou, plus généralement, à la coopération pour le développement, mais se fait indirectement grâce au financement volontaire, par Saint</w:t>
      </w:r>
      <w:r>
        <w:noBreakHyphen/>
        <w:t>Marin et/ou des associations internationales de bénévoles, des organisations non gouvernementales et des organes internationaux présents dans ces pays, d’activités et de projets conçus et exécutés en vue d’atteindre les mêmes objectifs.</w:t>
      </w:r>
    </w:p>
    <w:p w:rsidR="00000000" w:rsidRDefault="00000000">
      <w:pPr>
        <w:spacing w:after="240"/>
      </w:pPr>
      <w:r>
        <w:t>5.</w:t>
      </w:r>
      <w:r>
        <w:tab/>
        <w:t>Même si cela n’est pas expressément mentionné à l’article 4 de la Déclaration sur les droits des citoyens, les comportements discriminatoires à l’égard de toute personne en raison de sa race, sa langue et son origine nationale sont réputés interdits à tous égards, étant entendu que ces motifs sont inclus dans la notion de «situation personnelle» expressément mentionnée dans l’article en question. Cette interprétation est confirmée par de nombreuses mesures législatives concernant des secteurs (l’école, le travail, etc.) où les comportements discriminatoires fondés sur la race, la langue, l’origine nationale et la couleur sont expressément exclus.</w:t>
      </w:r>
    </w:p>
    <w:p w:rsidR="00000000" w:rsidRDefault="00000000">
      <w:pPr>
        <w:spacing w:after="240"/>
      </w:pPr>
      <w:r>
        <w:t>6.</w:t>
      </w:r>
      <w:r>
        <w:tab/>
        <w:t>On trouvera ci</w:t>
      </w:r>
      <w:r>
        <w:noBreakHyphen/>
        <w:t>dessous un tableau établi par le Bureau de la planification économique et Centre de traitement des données et de statistiques de la République de Saint</w:t>
      </w:r>
      <w:r>
        <w:noBreakHyphen/>
        <w:t>Marin. On notera que le terme «résidents» désigne les personnes, qu’elles soient de nationalité saint</w:t>
      </w:r>
      <w:r>
        <w:noBreakHyphen/>
        <w:t>marinaise ou étrangère, qui ont leur résidence dans la République, alors que les «titulaires de permis de séjour» sont des étrangers ayant un permis de séjour à Saint</w:t>
      </w:r>
      <w:r>
        <w:noBreakHyphen/>
        <w:t>Marin.</w:t>
      </w:r>
    </w:p>
    <w:p w:rsidR="00000000" w:rsidRDefault="00000000">
      <w:pPr>
        <w:keepNext/>
        <w:spacing w:after="240"/>
        <w:jc w:val="center"/>
      </w:pPr>
      <w:r>
        <w:t>Population par nationalité, statut et sexe au 31 décembre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5"/>
        <w:gridCol w:w="794"/>
        <w:gridCol w:w="794"/>
        <w:gridCol w:w="794"/>
        <w:gridCol w:w="794"/>
        <w:gridCol w:w="794"/>
        <w:gridCol w:w="794"/>
        <w:gridCol w:w="794"/>
        <w:gridCol w:w="794"/>
        <w:gridCol w:w="794"/>
      </w:tblGrid>
      <w:tr w:rsidR="00000000">
        <w:tblPrEx>
          <w:tblCellMar>
            <w:top w:w="0" w:type="dxa"/>
            <w:bottom w:w="0" w:type="dxa"/>
          </w:tblCellMar>
        </w:tblPrEx>
        <w:trPr>
          <w:cantSplit/>
          <w:tblHeader/>
        </w:trPr>
        <w:tc>
          <w:tcPr>
            <w:tcW w:w="2325" w:type="dxa"/>
            <w:vMerge w:val="restart"/>
            <w:tcMar>
              <w:left w:w="57" w:type="dxa"/>
              <w:right w:w="57" w:type="dxa"/>
            </w:tcMar>
            <w:vAlign w:val="center"/>
          </w:tcPr>
          <w:p w:rsidR="00000000" w:rsidRDefault="00000000">
            <w:pPr>
              <w:tabs>
                <w:tab w:val="left" w:pos="567"/>
                <w:tab w:val="left" w:pos="1134"/>
                <w:tab w:val="left" w:pos="6240"/>
              </w:tabs>
              <w:spacing w:before="60" w:after="60"/>
              <w:jc w:val="center"/>
              <w:rPr>
                <w:sz w:val="20"/>
              </w:rPr>
            </w:pPr>
          </w:p>
        </w:tc>
        <w:tc>
          <w:tcPr>
            <w:tcW w:w="2382" w:type="dxa"/>
            <w:gridSpan w:val="3"/>
            <w:tcMar>
              <w:left w:w="57" w:type="dxa"/>
              <w:right w:w="57" w:type="dxa"/>
            </w:tcMar>
            <w:vAlign w:val="center"/>
          </w:tcPr>
          <w:p w:rsidR="00000000" w:rsidRDefault="00000000">
            <w:pPr>
              <w:tabs>
                <w:tab w:val="left" w:pos="567"/>
                <w:tab w:val="left" w:pos="1134"/>
                <w:tab w:val="left" w:pos="6240"/>
              </w:tabs>
              <w:spacing w:before="60" w:after="60"/>
              <w:jc w:val="center"/>
              <w:rPr>
                <w:sz w:val="20"/>
              </w:rPr>
            </w:pPr>
            <w:r>
              <w:rPr>
                <w:sz w:val="20"/>
              </w:rPr>
              <w:t>Résidents</w:t>
            </w:r>
          </w:p>
        </w:tc>
        <w:tc>
          <w:tcPr>
            <w:tcW w:w="2382" w:type="dxa"/>
            <w:gridSpan w:val="3"/>
            <w:tcMar>
              <w:left w:w="57" w:type="dxa"/>
              <w:right w:w="57" w:type="dxa"/>
            </w:tcMar>
            <w:vAlign w:val="center"/>
          </w:tcPr>
          <w:p w:rsidR="00000000" w:rsidRDefault="00000000">
            <w:pPr>
              <w:tabs>
                <w:tab w:val="left" w:pos="567"/>
                <w:tab w:val="left" w:pos="1134"/>
                <w:tab w:val="left" w:pos="6240"/>
              </w:tabs>
              <w:spacing w:before="60" w:after="60"/>
              <w:jc w:val="center"/>
              <w:rPr>
                <w:sz w:val="20"/>
              </w:rPr>
            </w:pPr>
            <w:r>
              <w:rPr>
                <w:sz w:val="20"/>
              </w:rPr>
              <w:t>Titulaires d’un permis</w:t>
            </w:r>
            <w:r>
              <w:rPr>
                <w:sz w:val="20"/>
              </w:rPr>
              <w:br/>
              <w:t>de séjour</w:t>
            </w:r>
          </w:p>
        </w:tc>
        <w:tc>
          <w:tcPr>
            <w:tcW w:w="2382" w:type="dxa"/>
            <w:gridSpan w:val="3"/>
            <w:tcMar>
              <w:left w:w="28" w:type="dxa"/>
              <w:right w:w="28" w:type="dxa"/>
            </w:tcMar>
            <w:vAlign w:val="center"/>
          </w:tcPr>
          <w:p w:rsidR="00000000" w:rsidRDefault="00000000">
            <w:pPr>
              <w:tabs>
                <w:tab w:val="left" w:pos="567"/>
                <w:tab w:val="left" w:pos="1134"/>
                <w:tab w:val="left" w:pos="6240"/>
              </w:tabs>
              <w:spacing w:before="60" w:after="60"/>
              <w:jc w:val="center"/>
              <w:rPr>
                <w:sz w:val="18"/>
              </w:rPr>
            </w:pPr>
            <w:r>
              <w:rPr>
                <w:sz w:val="20"/>
              </w:rPr>
              <w:t>R + S</w:t>
            </w:r>
            <w:r>
              <w:rPr>
                <w:sz w:val="18"/>
              </w:rPr>
              <w:br/>
            </w:r>
            <w:r>
              <w:rPr>
                <w:sz w:val="19"/>
              </w:rPr>
              <w:t>(résidence + permis de séjour)</w:t>
            </w:r>
          </w:p>
        </w:tc>
      </w:tr>
      <w:tr w:rsidR="00000000">
        <w:tblPrEx>
          <w:tblCellMar>
            <w:top w:w="0" w:type="dxa"/>
            <w:bottom w:w="0" w:type="dxa"/>
          </w:tblCellMar>
        </w:tblPrEx>
        <w:trPr>
          <w:cantSplit/>
          <w:tblHeader/>
        </w:trPr>
        <w:tc>
          <w:tcPr>
            <w:tcW w:w="2325" w:type="dxa"/>
            <w:vMerge/>
            <w:tcMar>
              <w:left w:w="57" w:type="dxa"/>
              <w:right w:w="57" w:type="dxa"/>
            </w:tcMar>
          </w:tcPr>
          <w:p w:rsidR="00000000" w:rsidRDefault="00000000">
            <w:pPr>
              <w:tabs>
                <w:tab w:val="left" w:pos="567"/>
                <w:tab w:val="left" w:pos="1134"/>
                <w:tab w:val="left" w:pos="6240"/>
              </w:tabs>
              <w:spacing w:before="60" w:after="60"/>
              <w:jc w:val="center"/>
              <w:rPr>
                <w:sz w:val="20"/>
              </w:rPr>
            </w:pPr>
          </w:p>
        </w:tc>
        <w:tc>
          <w:tcPr>
            <w:tcW w:w="794" w:type="dxa"/>
            <w:tcMar>
              <w:left w:w="57" w:type="dxa"/>
              <w:right w:w="57" w:type="dxa"/>
            </w:tcMar>
          </w:tcPr>
          <w:p w:rsidR="00000000" w:rsidRDefault="00000000">
            <w:pPr>
              <w:spacing w:before="60" w:after="60"/>
              <w:jc w:val="center"/>
              <w:rPr>
                <w:sz w:val="20"/>
              </w:rPr>
            </w:pPr>
            <w:r>
              <w:rPr>
                <w:sz w:val="20"/>
              </w:rPr>
              <w:t>H</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F</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H/F</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H</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F</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H/F</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H</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F</w:t>
            </w:r>
          </w:p>
        </w:tc>
        <w:tc>
          <w:tcPr>
            <w:tcW w:w="794" w:type="dxa"/>
            <w:tcMar>
              <w:left w:w="57" w:type="dxa"/>
              <w:right w:w="57" w:type="dxa"/>
            </w:tcMar>
          </w:tcPr>
          <w:p w:rsidR="00000000" w:rsidRDefault="00000000">
            <w:pPr>
              <w:tabs>
                <w:tab w:val="left" w:pos="567"/>
                <w:tab w:val="left" w:pos="1134"/>
                <w:tab w:val="left" w:pos="6240"/>
              </w:tabs>
              <w:spacing w:before="60" w:after="60"/>
              <w:jc w:val="center"/>
              <w:rPr>
                <w:sz w:val="20"/>
              </w:rPr>
            </w:pPr>
            <w:r>
              <w:rPr>
                <w:sz w:val="20"/>
              </w:rPr>
              <w:t>H/F</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Saint</w:t>
            </w:r>
            <w:r>
              <w:rPr>
                <w:sz w:val="20"/>
              </w:rPr>
              <w:noBreakHyphen/>
              <w:t>Marin</w:t>
            </w:r>
          </w:p>
        </w:tc>
        <w:tc>
          <w:tcPr>
            <w:tcW w:w="794" w:type="dxa"/>
            <w:tcMar>
              <w:left w:w="57" w:type="dxa"/>
              <w:right w:w="57" w:type="dxa"/>
            </w:tcMar>
          </w:tcPr>
          <w:p w:rsidR="00000000" w:rsidRDefault="00000000">
            <w:pPr>
              <w:spacing w:before="60" w:after="60"/>
              <w:ind w:right="43"/>
              <w:jc w:val="right"/>
              <w:rPr>
                <w:sz w:val="20"/>
              </w:rPr>
            </w:pPr>
            <w:r>
              <w:rPr>
                <w:sz w:val="20"/>
              </w:rPr>
              <w:t>12 613</w:t>
            </w:r>
          </w:p>
        </w:tc>
        <w:tc>
          <w:tcPr>
            <w:tcW w:w="794" w:type="dxa"/>
            <w:tcMar>
              <w:left w:w="57" w:type="dxa"/>
              <w:right w:w="57" w:type="dxa"/>
            </w:tcMar>
          </w:tcPr>
          <w:p w:rsidR="00000000" w:rsidRDefault="00000000">
            <w:pPr>
              <w:spacing w:before="60" w:after="60"/>
              <w:ind w:right="43"/>
              <w:jc w:val="right"/>
              <w:rPr>
                <w:sz w:val="20"/>
              </w:rPr>
            </w:pPr>
            <w:r>
              <w:rPr>
                <w:sz w:val="20"/>
              </w:rPr>
              <w:t>13 819</w:t>
            </w:r>
          </w:p>
        </w:tc>
        <w:tc>
          <w:tcPr>
            <w:tcW w:w="794" w:type="dxa"/>
            <w:tcMar>
              <w:left w:w="57" w:type="dxa"/>
              <w:right w:w="57" w:type="dxa"/>
            </w:tcMar>
          </w:tcPr>
          <w:p w:rsidR="00000000" w:rsidRDefault="00000000">
            <w:pPr>
              <w:spacing w:before="60" w:after="60"/>
              <w:ind w:right="43"/>
              <w:jc w:val="right"/>
              <w:rPr>
                <w:sz w:val="20"/>
              </w:rPr>
            </w:pPr>
            <w:r>
              <w:rPr>
                <w:sz w:val="20"/>
              </w:rPr>
              <w:t>26 432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12 613</w:t>
            </w:r>
          </w:p>
        </w:tc>
        <w:tc>
          <w:tcPr>
            <w:tcW w:w="794" w:type="dxa"/>
            <w:tcMar>
              <w:left w:w="57" w:type="dxa"/>
              <w:right w:w="57" w:type="dxa"/>
            </w:tcMar>
          </w:tcPr>
          <w:p w:rsidR="00000000" w:rsidRDefault="00000000">
            <w:pPr>
              <w:spacing w:before="60" w:after="60"/>
              <w:ind w:right="43"/>
              <w:jc w:val="right"/>
              <w:rPr>
                <w:sz w:val="20"/>
              </w:rPr>
            </w:pPr>
            <w:r>
              <w:rPr>
                <w:sz w:val="20"/>
              </w:rPr>
              <w:t>13 819</w:t>
            </w:r>
          </w:p>
        </w:tc>
        <w:tc>
          <w:tcPr>
            <w:tcW w:w="794" w:type="dxa"/>
            <w:tcMar>
              <w:left w:w="57" w:type="dxa"/>
              <w:right w:w="57" w:type="dxa"/>
            </w:tcMar>
          </w:tcPr>
          <w:p w:rsidR="00000000" w:rsidRDefault="00000000">
            <w:pPr>
              <w:spacing w:before="60" w:after="60"/>
              <w:ind w:right="43"/>
              <w:jc w:val="right"/>
              <w:rPr>
                <w:sz w:val="20"/>
              </w:rPr>
            </w:pPr>
            <w:r>
              <w:rPr>
                <w:sz w:val="20"/>
              </w:rPr>
              <w:t>26 432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 xml:space="preserve">Albanie </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16</w:t>
            </w:r>
          </w:p>
        </w:tc>
        <w:tc>
          <w:tcPr>
            <w:tcW w:w="794" w:type="dxa"/>
            <w:tcMar>
              <w:left w:w="57" w:type="dxa"/>
              <w:right w:w="57" w:type="dxa"/>
            </w:tcMar>
          </w:tcPr>
          <w:p w:rsidR="00000000" w:rsidRDefault="00000000">
            <w:pPr>
              <w:spacing w:before="60" w:after="60"/>
              <w:ind w:right="43"/>
              <w:jc w:val="right"/>
              <w:rPr>
                <w:sz w:val="20"/>
              </w:rPr>
            </w:pPr>
            <w:r>
              <w:rPr>
                <w:sz w:val="20"/>
              </w:rPr>
              <w:t>25</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20</w:t>
            </w:r>
          </w:p>
        </w:tc>
        <w:tc>
          <w:tcPr>
            <w:tcW w:w="794" w:type="dxa"/>
            <w:tcMar>
              <w:left w:w="57" w:type="dxa"/>
              <w:right w:w="57" w:type="dxa"/>
            </w:tcMar>
          </w:tcPr>
          <w:p w:rsidR="00000000" w:rsidRDefault="00000000">
            <w:pPr>
              <w:spacing w:before="60" w:after="60"/>
              <w:ind w:right="43"/>
              <w:jc w:val="right"/>
              <w:rPr>
                <w:sz w:val="20"/>
              </w:rPr>
            </w:pPr>
            <w:r>
              <w:rPr>
                <w:sz w:val="20"/>
              </w:rPr>
              <w:t>18</w:t>
            </w:r>
          </w:p>
        </w:tc>
        <w:tc>
          <w:tcPr>
            <w:tcW w:w="794" w:type="dxa"/>
            <w:tcMar>
              <w:left w:w="57" w:type="dxa"/>
              <w:right w:w="57" w:type="dxa"/>
            </w:tcMar>
          </w:tcPr>
          <w:p w:rsidR="00000000" w:rsidRDefault="00000000">
            <w:pPr>
              <w:spacing w:before="60" w:after="60"/>
              <w:ind w:right="43"/>
              <w:jc w:val="right"/>
              <w:rPr>
                <w:sz w:val="20"/>
              </w:rPr>
            </w:pPr>
            <w:r>
              <w:rPr>
                <w:sz w:val="20"/>
              </w:rPr>
              <w:t>27</w:t>
            </w:r>
          </w:p>
        </w:tc>
        <w:tc>
          <w:tcPr>
            <w:tcW w:w="794" w:type="dxa"/>
            <w:tcMar>
              <w:left w:w="57" w:type="dxa"/>
              <w:right w:w="57" w:type="dxa"/>
            </w:tcMar>
          </w:tcPr>
          <w:p w:rsidR="00000000" w:rsidRDefault="00000000">
            <w:pPr>
              <w:spacing w:before="60" w:after="60"/>
              <w:ind w:right="43"/>
              <w:jc w:val="right"/>
              <w:rPr>
                <w:sz w:val="20"/>
              </w:rPr>
            </w:pPr>
            <w:r>
              <w:rPr>
                <w:sz w:val="20"/>
              </w:rPr>
              <w:t>45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Algérie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Allemagne</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Argentine</w:t>
            </w:r>
          </w:p>
        </w:tc>
        <w:tc>
          <w:tcPr>
            <w:tcW w:w="794" w:type="dxa"/>
            <w:tcMar>
              <w:left w:w="57" w:type="dxa"/>
              <w:right w:w="57" w:type="dxa"/>
            </w:tcMar>
          </w:tcPr>
          <w:p w:rsidR="00000000" w:rsidRDefault="00000000">
            <w:pPr>
              <w:spacing w:before="60" w:after="60"/>
              <w:ind w:right="43"/>
              <w:jc w:val="right"/>
              <w:rPr>
                <w:sz w:val="20"/>
              </w:rPr>
            </w:pPr>
            <w:r>
              <w:rPr>
                <w:sz w:val="20"/>
              </w:rPr>
              <w:t>39</w:t>
            </w:r>
          </w:p>
        </w:tc>
        <w:tc>
          <w:tcPr>
            <w:tcW w:w="794" w:type="dxa"/>
            <w:tcMar>
              <w:left w:w="57" w:type="dxa"/>
              <w:right w:w="57" w:type="dxa"/>
            </w:tcMar>
          </w:tcPr>
          <w:p w:rsidR="00000000" w:rsidRDefault="00000000">
            <w:pPr>
              <w:spacing w:before="60" w:after="60"/>
              <w:ind w:right="43"/>
              <w:jc w:val="right"/>
              <w:rPr>
                <w:sz w:val="20"/>
              </w:rPr>
            </w:pPr>
            <w:r>
              <w:rPr>
                <w:sz w:val="20"/>
              </w:rPr>
              <w:t>26</w:t>
            </w:r>
          </w:p>
        </w:tc>
        <w:tc>
          <w:tcPr>
            <w:tcW w:w="794" w:type="dxa"/>
            <w:tcMar>
              <w:left w:w="57" w:type="dxa"/>
              <w:right w:w="57" w:type="dxa"/>
            </w:tcMar>
          </w:tcPr>
          <w:p w:rsidR="00000000" w:rsidRDefault="00000000">
            <w:pPr>
              <w:spacing w:before="60" w:after="60"/>
              <w:ind w:right="43"/>
              <w:jc w:val="right"/>
              <w:rPr>
                <w:sz w:val="20"/>
              </w:rPr>
            </w:pPr>
            <w:r>
              <w:rPr>
                <w:sz w:val="20"/>
              </w:rPr>
              <w:t>65</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44</w:t>
            </w:r>
          </w:p>
        </w:tc>
        <w:tc>
          <w:tcPr>
            <w:tcW w:w="794" w:type="dxa"/>
            <w:tcMar>
              <w:left w:w="57" w:type="dxa"/>
              <w:right w:w="57" w:type="dxa"/>
            </w:tcMar>
          </w:tcPr>
          <w:p w:rsidR="00000000" w:rsidRDefault="00000000">
            <w:pPr>
              <w:spacing w:before="60" w:after="60"/>
              <w:ind w:right="43"/>
              <w:jc w:val="right"/>
              <w:rPr>
                <w:sz w:val="20"/>
              </w:rPr>
            </w:pPr>
            <w:r>
              <w:rPr>
                <w:sz w:val="20"/>
              </w:rPr>
              <w:t>32</w:t>
            </w:r>
          </w:p>
        </w:tc>
        <w:tc>
          <w:tcPr>
            <w:tcW w:w="794" w:type="dxa"/>
            <w:tcMar>
              <w:left w:w="57" w:type="dxa"/>
              <w:right w:w="57" w:type="dxa"/>
            </w:tcMar>
          </w:tcPr>
          <w:p w:rsidR="00000000" w:rsidRDefault="00000000">
            <w:pPr>
              <w:spacing w:before="60" w:after="60"/>
              <w:ind w:right="43"/>
              <w:jc w:val="right"/>
              <w:rPr>
                <w:sz w:val="20"/>
              </w:rPr>
            </w:pPr>
            <w:r>
              <w:rPr>
                <w:sz w:val="20"/>
              </w:rPr>
              <w:t>76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Autriche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Barbade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Bélarus</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10</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Belgique</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Bénin</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 xml:space="preserve">Bosnie-Herzégovine </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Brésil</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16</w:t>
            </w:r>
          </w:p>
        </w:tc>
        <w:tc>
          <w:tcPr>
            <w:tcW w:w="794" w:type="dxa"/>
            <w:tcMar>
              <w:left w:w="57" w:type="dxa"/>
              <w:right w:w="57" w:type="dxa"/>
            </w:tcMar>
          </w:tcPr>
          <w:p w:rsidR="00000000" w:rsidRDefault="00000000">
            <w:pPr>
              <w:spacing w:before="60" w:after="60"/>
              <w:ind w:right="43"/>
              <w:jc w:val="right"/>
              <w:rPr>
                <w:sz w:val="20"/>
              </w:rPr>
            </w:pPr>
            <w:r>
              <w:rPr>
                <w:sz w:val="20"/>
              </w:rPr>
              <w:t>19</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20</w:t>
            </w:r>
          </w:p>
        </w:tc>
        <w:tc>
          <w:tcPr>
            <w:tcW w:w="794" w:type="dxa"/>
            <w:tcMar>
              <w:left w:w="57" w:type="dxa"/>
              <w:right w:w="57" w:type="dxa"/>
            </w:tcMar>
          </w:tcPr>
          <w:p w:rsidR="00000000" w:rsidRDefault="00000000">
            <w:pPr>
              <w:spacing w:before="60" w:after="60"/>
              <w:ind w:right="43"/>
              <w:jc w:val="right"/>
              <w:rPr>
                <w:sz w:val="20"/>
              </w:rPr>
            </w:pPr>
            <w:r>
              <w:rPr>
                <w:sz w:val="20"/>
              </w:rPr>
              <w:t>26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Bulgarie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Cameroun</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Chili</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Chine</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10</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Colombie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Congo</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Côte d’Ivoire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Croatie</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16</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22</w:t>
            </w:r>
          </w:p>
        </w:tc>
        <w:tc>
          <w:tcPr>
            <w:tcW w:w="794" w:type="dxa"/>
            <w:tcMar>
              <w:left w:w="57" w:type="dxa"/>
              <w:right w:w="57" w:type="dxa"/>
            </w:tcMar>
          </w:tcPr>
          <w:p w:rsidR="00000000" w:rsidRDefault="00000000">
            <w:pPr>
              <w:spacing w:before="60" w:after="60"/>
              <w:ind w:right="43"/>
              <w:jc w:val="right"/>
              <w:rPr>
                <w:sz w:val="20"/>
              </w:rPr>
            </w:pPr>
            <w:r>
              <w:rPr>
                <w:sz w:val="20"/>
              </w:rPr>
              <w:t>18</w:t>
            </w:r>
          </w:p>
        </w:tc>
        <w:tc>
          <w:tcPr>
            <w:tcW w:w="794" w:type="dxa"/>
            <w:tcMar>
              <w:left w:w="57" w:type="dxa"/>
              <w:right w:w="57" w:type="dxa"/>
            </w:tcMar>
          </w:tcPr>
          <w:p w:rsidR="00000000" w:rsidRDefault="00000000">
            <w:pPr>
              <w:spacing w:before="60" w:after="60"/>
              <w:ind w:right="43"/>
              <w:jc w:val="right"/>
              <w:rPr>
                <w:sz w:val="20"/>
              </w:rPr>
            </w:pPr>
            <w:r>
              <w:rPr>
                <w:sz w:val="20"/>
              </w:rPr>
              <w:t>20</w:t>
            </w:r>
          </w:p>
        </w:tc>
        <w:tc>
          <w:tcPr>
            <w:tcW w:w="794" w:type="dxa"/>
            <w:tcMar>
              <w:left w:w="57" w:type="dxa"/>
              <w:right w:w="57" w:type="dxa"/>
            </w:tcMar>
          </w:tcPr>
          <w:p w:rsidR="00000000" w:rsidRDefault="00000000">
            <w:pPr>
              <w:spacing w:before="60" w:after="60"/>
              <w:ind w:right="43"/>
              <w:jc w:val="right"/>
              <w:rPr>
                <w:sz w:val="20"/>
              </w:rPr>
            </w:pPr>
            <w:r>
              <w:rPr>
                <w:sz w:val="20"/>
              </w:rPr>
              <w:t>38</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Cuba</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5"/>
              <w:jc w:val="right"/>
              <w:rPr>
                <w:sz w:val="20"/>
              </w:rPr>
            </w:pPr>
            <w:r>
              <w:rPr>
                <w:sz w:val="20"/>
              </w:rPr>
              <w:t>12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16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Égypte</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Équateur</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Érythrée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4</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Espagne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vAlign w:val="bottom"/>
          </w:tcPr>
          <w:p w:rsidR="00000000" w:rsidRDefault="00000000">
            <w:pPr>
              <w:keepNext/>
              <w:tabs>
                <w:tab w:val="left" w:pos="567"/>
                <w:tab w:val="left" w:pos="1134"/>
                <w:tab w:val="left" w:pos="6240"/>
              </w:tabs>
              <w:spacing w:before="60" w:after="60"/>
              <w:rPr>
                <w:sz w:val="20"/>
              </w:rPr>
            </w:pPr>
            <w:r>
              <w:rPr>
                <w:sz w:val="20"/>
              </w:rPr>
              <w:t>États-Unis d’Amérique</w:t>
            </w:r>
          </w:p>
        </w:tc>
        <w:tc>
          <w:tcPr>
            <w:tcW w:w="794" w:type="dxa"/>
            <w:tcMar>
              <w:left w:w="57" w:type="dxa"/>
              <w:right w:w="57" w:type="dxa"/>
            </w:tcMar>
            <w:vAlign w:val="bottom"/>
          </w:tcPr>
          <w:p w:rsidR="00000000" w:rsidRDefault="00000000">
            <w:pPr>
              <w:spacing w:before="60" w:after="60"/>
              <w:ind w:right="43"/>
              <w:jc w:val="right"/>
              <w:rPr>
                <w:sz w:val="20"/>
              </w:rPr>
            </w:pPr>
            <w:r>
              <w:rPr>
                <w:sz w:val="20"/>
              </w:rPr>
              <w:t>13</w:t>
            </w:r>
          </w:p>
        </w:tc>
        <w:tc>
          <w:tcPr>
            <w:tcW w:w="794" w:type="dxa"/>
            <w:tcMar>
              <w:left w:w="57" w:type="dxa"/>
              <w:right w:w="57" w:type="dxa"/>
            </w:tcMar>
            <w:vAlign w:val="bottom"/>
          </w:tcPr>
          <w:p w:rsidR="00000000" w:rsidRDefault="00000000">
            <w:pPr>
              <w:spacing w:before="60" w:after="60"/>
              <w:ind w:right="43"/>
              <w:jc w:val="right"/>
              <w:rPr>
                <w:sz w:val="20"/>
              </w:rPr>
            </w:pPr>
            <w:r>
              <w:rPr>
                <w:sz w:val="20"/>
              </w:rPr>
              <w:t>5</w:t>
            </w:r>
          </w:p>
        </w:tc>
        <w:tc>
          <w:tcPr>
            <w:tcW w:w="794" w:type="dxa"/>
            <w:tcMar>
              <w:left w:w="57" w:type="dxa"/>
              <w:right w:w="57" w:type="dxa"/>
            </w:tcMar>
            <w:vAlign w:val="bottom"/>
          </w:tcPr>
          <w:p w:rsidR="00000000" w:rsidRDefault="00000000">
            <w:pPr>
              <w:spacing w:before="60" w:after="60"/>
              <w:ind w:right="43"/>
              <w:jc w:val="right"/>
              <w:rPr>
                <w:sz w:val="20"/>
              </w:rPr>
            </w:pPr>
            <w:r>
              <w:rPr>
                <w:sz w:val="20"/>
              </w:rPr>
              <w:t>18</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13</w:t>
            </w:r>
          </w:p>
        </w:tc>
        <w:tc>
          <w:tcPr>
            <w:tcW w:w="794" w:type="dxa"/>
            <w:tcMar>
              <w:left w:w="57" w:type="dxa"/>
              <w:right w:w="57" w:type="dxa"/>
            </w:tcMar>
            <w:vAlign w:val="bottom"/>
          </w:tcPr>
          <w:p w:rsidR="00000000" w:rsidRDefault="00000000">
            <w:pPr>
              <w:spacing w:before="60" w:after="60"/>
              <w:ind w:right="43"/>
              <w:jc w:val="right"/>
              <w:rPr>
                <w:sz w:val="20"/>
              </w:rPr>
            </w:pPr>
            <w:r>
              <w:rPr>
                <w:sz w:val="20"/>
              </w:rPr>
              <w:t>5</w:t>
            </w:r>
          </w:p>
        </w:tc>
        <w:tc>
          <w:tcPr>
            <w:tcW w:w="794" w:type="dxa"/>
            <w:tcMar>
              <w:left w:w="57" w:type="dxa"/>
              <w:right w:w="57" w:type="dxa"/>
            </w:tcMar>
            <w:vAlign w:val="bottom"/>
          </w:tcPr>
          <w:p w:rsidR="00000000" w:rsidRDefault="00000000">
            <w:pPr>
              <w:spacing w:before="60" w:after="60"/>
              <w:ind w:right="43"/>
              <w:jc w:val="right"/>
              <w:rPr>
                <w:sz w:val="20"/>
              </w:rPr>
            </w:pPr>
            <w:r>
              <w:rPr>
                <w:sz w:val="20"/>
              </w:rPr>
              <w:t>18</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Fédération de Russie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14</w:t>
            </w:r>
          </w:p>
        </w:tc>
        <w:tc>
          <w:tcPr>
            <w:tcW w:w="794" w:type="dxa"/>
            <w:tcMar>
              <w:left w:w="57" w:type="dxa"/>
              <w:right w:w="57" w:type="dxa"/>
            </w:tcMar>
          </w:tcPr>
          <w:p w:rsidR="00000000" w:rsidRDefault="00000000">
            <w:pPr>
              <w:spacing w:before="60" w:after="60"/>
              <w:ind w:right="43"/>
              <w:jc w:val="right"/>
              <w:rPr>
                <w:sz w:val="20"/>
              </w:rPr>
            </w:pPr>
            <w:r>
              <w:rPr>
                <w:sz w:val="20"/>
              </w:rPr>
              <w:t>15</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12</w:t>
            </w:r>
          </w:p>
        </w:tc>
        <w:tc>
          <w:tcPr>
            <w:tcW w:w="794" w:type="dxa"/>
            <w:tcMar>
              <w:left w:w="57" w:type="dxa"/>
              <w:right w:w="57" w:type="dxa"/>
            </w:tcMar>
          </w:tcPr>
          <w:p w:rsidR="00000000" w:rsidRDefault="00000000">
            <w:pPr>
              <w:spacing w:before="60" w:after="60"/>
              <w:ind w:right="43"/>
              <w:jc w:val="right"/>
              <w:rPr>
                <w:sz w:val="20"/>
              </w:rPr>
            </w:pPr>
            <w:r>
              <w:rPr>
                <w:sz w:val="20"/>
              </w:rPr>
              <w:t>12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26</w:t>
            </w:r>
          </w:p>
        </w:tc>
        <w:tc>
          <w:tcPr>
            <w:tcW w:w="794" w:type="dxa"/>
            <w:tcMar>
              <w:left w:w="57" w:type="dxa"/>
              <w:right w:w="57" w:type="dxa"/>
            </w:tcMar>
          </w:tcPr>
          <w:p w:rsidR="00000000" w:rsidRDefault="00000000">
            <w:pPr>
              <w:spacing w:before="60" w:after="60"/>
              <w:ind w:right="43"/>
              <w:jc w:val="right"/>
              <w:rPr>
                <w:sz w:val="20"/>
              </w:rPr>
            </w:pPr>
            <w:r>
              <w:rPr>
                <w:sz w:val="20"/>
              </w:rPr>
              <w:t>27</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Finlande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France</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12</w:t>
            </w:r>
          </w:p>
        </w:tc>
        <w:tc>
          <w:tcPr>
            <w:tcW w:w="794" w:type="dxa"/>
            <w:tcMar>
              <w:left w:w="57" w:type="dxa"/>
              <w:right w:w="57" w:type="dxa"/>
            </w:tcMar>
          </w:tcPr>
          <w:p w:rsidR="00000000" w:rsidRDefault="00000000">
            <w:pPr>
              <w:spacing w:before="60" w:after="60"/>
              <w:ind w:right="43"/>
              <w:jc w:val="right"/>
              <w:rPr>
                <w:sz w:val="20"/>
              </w:rPr>
            </w:pPr>
            <w:r>
              <w:rPr>
                <w:sz w:val="20"/>
              </w:rPr>
              <w:t>23</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13</w:t>
            </w:r>
          </w:p>
        </w:tc>
        <w:tc>
          <w:tcPr>
            <w:tcW w:w="794" w:type="dxa"/>
            <w:tcMar>
              <w:left w:w="57" w:type="dxa"/>
              <w:right w:w="57" w:type="dxa"/>
            </w:tcMar>
          </w:tcPr>
          <w:p w:rsidR="00000000" w:rsidRDefault="00000000">
            <w:pPr>
              <w:spacing w:before="60" w:after="60"/>
              <w:ind w:right="43"/>
              <w:jc w:val="right"/>
              <w:rPr>
                <w:sz w:val="20"/>
              </w:rPr>
            </w:pPr>
            <w:r>
              <w:rPr>
                <w:sz w:val="20"/>
              </w:rPr>
              <w:t>16</w:t>
            </w:r>
          </w:p>
        </w:tc>
        <w:tc>
          <w:tcPr>
            <w:tcW w:w="794" w:type="dxa"/>
            <w:tcMar>
              <w:left w:w="57" w:type="dxa"/>
              <w:right w:w="57" w:type="dxa"/>
            </w:tcMar>
          </w:tcPr>
          <w:p w:rsidR="00000000" w:rsidRDefault="00000000">
            <w:pPr>
              <w:spacing w:before="60" w:after="60"/>
              <w:ind w:right="43"/>
              <w:jc w:val="right"/>
              <w:rPr>
                <w:sz w:val="20"/>
              </w:rPr>
            </w:pPr>
            <w:r>
              <w:rPr>
                <w:sz w:val="20"/>
              </w:rPr>
              <w:t>29</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Grèce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Guatemala</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Hollande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Hongrie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6</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Inde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Iran</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9</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Irlande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Israël</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Italie</w:t>
            </w:r>
          </w:p>
        </w:tc>
        <w:tc>
          <w:tcPr>
            <w:tcW w:w="794" w:type="dxa"/>
            <w:tcMar>
              <w:left w:w="57" w:type="dxa"/>
              <w:right w:w="57" w:type="dxa"/>
            </w:tcMar>
          </w:tcPr>
          <w:p w:rsidR="00000000" w:rsidRDefault="00000000">
            <w:pPr>
              <w:spacing w:before="60" w:after="60"/>
              <w:ind w:right="43"/>
              <w:jc w:val="right"/>
              <w:rPr>
                <w:sz w:val="20"/>
              </w:rPr>
            </w:pPr>
            <w:r>
              <w:rPr>
                <w:sz w:val="20"/>
              </w:rPr>
              <w:t>2 159</w:t>
            </w:r>
          </w:p>
        </w:tc>
        <w:tc>
          <w:tcPr>
            <w:tcW w:w="794" w:type="dxa"/>
            <w:tcMar>
              <w:left w:w="57" w:type="dxa"/>
              <w:right w:w="57" w:type="dxa"/>
            </w:tcMar>
          </w:tcPr>
          <w:p w:rsidR="00000000" w:rsidRDefault="00000000">
            <w:pPr>
              <w:spacing w:before="60" w:after="60"/>
              <w:ind w:right="43"/>
              <w:jc w:val="right"/>
              <w:rPr>
                <w:sz w:val="20"/>
              </w:rPr>
            </w:pPr>
            <w:r>
              <w:rPr>
                <w:sz w:val="20"/>
              </w:rPr>
              <w:t>1 317</w:t>
            </w:r>
          </w:p>
        </w:tc>
        <w:tc>
          <w:tcPr>
            <w:tcW w:w="794" w:type="dxa"/>
            <w:tcMar>
              <w:left w:w="57" w:type="dxa"/>
              <w:right w:w="57" w:type="dxa"/>
            </w:tcMar>
          </w:tcPr>
          <w:p w:rsidR="00000000" w:rsidRDefault="00000000">
            <w:pPr>
              <w:spacing w:before="60" w:after="60"/>
              <w:ind w:right="43"/>
              <w:jc w:val="right"/>
              <w:rPr>
                <w:sz w:val="20"/>
              </w:rPr>
            </w:pPr>
            <w:r>
              <w:rPr>
                <w:sz w:val="20"/>
              </w:rPr>
              <w:t>3 476</w:t>
            </w:r>
          </w:p>
        </w:tc>
        <w:tc>
          <w:tcPr>
            <w:tcW w:w="794" w:type="dxa"/>
            <w:tcMar>
              <w:left w:w="57" w:type="dxa"/>
              <w:right w:w="57" w:type="dxa"/>
            </w:tcMar>
          </w:tcPr>
          <w:p w:rsidR="00000000" w:rsidRDefault="00000000">
            <w:pPr>
              <w:spacing w:before="60" w:after="60"/>
              <w:ind w:right="43"/>
              <w:jc w:val="right"/>
              <w:rPr>
                <w:sz w:val="20"/>
              </w:rPr>
            </w:pPr>
            <w:r>
              <w:rPr>
                <w:sz w:val="20"/>
              </w:rPr>
              <w:t>425</w:t>
            </w:r>
          </w:p>
        </w:tc>
        <w:tc>
          <w:tcPr>
            <w:tcW w:w="794" w:type="dxa"/>
            <w:tcMar>
              <w:left w:w="57" w:type="dxa"/>
              <w:right w:w="57" w:type="dxa"/>
            </w:tcMar>
          </w:tcPr>
          <w:p w:rsidR="00000000" w:rsidRDefault="00000000">
            <w:pPr>
              <w:spacing w:before="60" w:after="60"/>
              <w:ind w:right="43"/>
              <w:jc w:val="right"/>
              <w:rPr>
                <w:sz w:val="20"/>
              </w:rPr>
            </w:pPr>
            <w:r>
              <w:rPr>
                <w:sz w:val="20"/>
              </w:rPr>
              <w:t>367</w:t>
            </w:r>
          </w:p>
        </w:tc>
        <w:tc>
          <w:tcPr>
            <w:tcW w:w="794" w:type="dxa"/>
            <w:tcMar>
              <w:left w:w="57" w:type="dxa"/>
              <w:right w:w="57" w:type="dxa"/>
            </w:tcMar>
          </w:tcPr>
          <w:p w:rsidR="00000000" w:rsidRDefault="00000000">
            <w:pPr>
              <w:spacing w:before="60" w:after="60"/>
              <w:ind w:right="43"/>
              <w:jc w:val="right"/>
              <w:rPr>
                <w:sz w:val="20"/>
              </w:rPr>
            </w:pPr>
            <w:r>
              <w:rPr>
                <w:sz w:val="20"/>
              </w:rPr>
              <w:t>792</w:t>
            </w:r>
          </w:p>
        </w:tc>
        <w:tc>
          <w:tcPr>
            <w:tcW w:w="794" w:type="dxa"/>
            <w:tcMar>
              <w:left w:w="57" w:type="dxa"/>
              <w:right w:w="57" w:type="dxa"/>
            </w:tcMar>
          </w:tcPr>
          <w:p w:rsidR="00000000" w:rsidRDefault="00000000">
            <w:pPr>
              <w:spacing w:before="60" w:after="60"/>
              <w:ind w:right="43"/>
              <w:jc w:val="right"/>
              <w:rPr>
                <w:sz w:val="20"/>
              </w:rPr>
            </w:pPr>
            <w:r>
              <w:rPr>
                <w:sz w:val="20"/>
              </w:rPr>
              <w:t>2 584</w:t>
            </w:r>
          </w:p>
        </w:tc>
        <w:tc>
          <w:tcPr>
            <w:tcW w:w="794" w:type="dxa"/>
            <w:tcMar>
              <w:left w:w="57" w:type="dxa"/>
              <w:right w:w="57" w:type="dxa"/>
            </w:tcMar>
          </w:tcPr>
          <w:p w:rsidR="00000000" w:rsidRDefault="00000000">
            <w:pPr>
              <w:spacing w:before="60" w:after="60"/>
              <w:ind w:right="43"/>
              <w:jc w:val="right"/>
              <w:rPr>
                <w:sz w:val="20"/>
              </w:rPr>
            </w:pPr>
            <w:r>
              <w:rPr>
                <w:sz w:val="20"/>
              </w:rPr>
              <w:t>1 684</w:t>
            </w:r>
          </w:p>
        </w:tc>
        <w:tc>
          <w:tcPr>
            <w:tcW w:w="794" w:type="dxa"/>
            <w:tcMar>
              <w:left w:w="57" w:type="dxa"/>
              <w:right w:w="57" w:type="dxa"/>
            </w:tcMar>
          </w:tcPr>
          <w:p w:rsidR="00000000" w:rsidRDefault="00000000">
            <w:pPr>
              <w:spacing w:before="60" w:after="60"/>
              <w:ind w:right="43"/>
              <w:jc w:val="right"/>
              <w:rPr>
                <w:sz w:val="20"/>
              </w:rPr>
            </w:pPr>
            <w:r>
              <w:rPr>
                <w:sz w:val="20"/>
              </w:rPr>
              <w:t>4 268</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japon</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Jordanie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rFonts w:eastAsia="MS Mincho"/>
                <w:sz w:val="20"/>
              </w:rPr>
              <w:t>Kirghizistan</w:t>
            </w:r>
            <w:r>
              <w:rPr>
                <w:sz w:val="20"/>
              </w:rPr>
              <w:t xml:space="preserve"> </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Lettonie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Liban</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Lituanie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Luxembourg</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Macédoine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Madagascar</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tabs>
                <w:tab w:val="left" w:pos="567"/>
                <w:tab w:val="left" w:pos="1134"/>
                <w:tab w:val="left" w:pos="6240"/>
              </w:tabs>
              <w:spacing w:before="60" w:after="60"/>
              <w:rPr>
                <w:sz w:val="20"/>
              </w:rPr>
            </w:pPr>
            <w:r>
              <w:rPr>
                <w:sz w:val="20"/>
              </w:rPr>
              <w:t xml:space="preserve">Maroc </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3"/>
              <w:jc w:val="right"/>
              <w:rPr>
                <w:sz w:val="20"/>
              </w:rPr>
            </w:pPr>
            <w:r>
              <w:rPr>
                <w:sz w:val="20"/>
              </w:rPr>
              <w:t>7</w:t>
            </w:r>
          </w:p>
        </w:tc>
        <w:tc>
          <w:tcPr>
            <w:tcW w:w="794" w:type="dxa"/>
            <w:tcMar>
              <w:left w:w="57" w:type="dxa"/>
              <w:right w:w="57" w:type="dxa"/>
            </w:tcMar>
          </w:tcPr>
          <w:p w:rsidR="00000000" w:rsidRDefault="00000000">
            <w:pPr>
              <w:spacing w:before="60" w:after="60"/>
              <w:ind w:right="43"/>
              <w:jc w:val="right"/>
              <w:rPr>
                <w:sz w:val="20"/>
              </w:rPr>
            </w:pPr>
            <w:r>
              <w:rPr>
                <w:sz w:val="20"/>
              </w:rPr>
              <w:t>14</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Mauritanie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Mexique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6</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 xml:space="preserve">Moldova </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26</w:t>
            </w:r>
          </w:p>
        </w:tc>
        <w:tc>
          <w:tcPr>
            <w:tcW w:w="794" w:type="dxa"/>
            <w:tcMar>
              <w:left w:w="57" w:type="dxa"/>
              <w:right w:w="57" w:type="dxa"/>
            </w:tcMar>
          </w:tcPr>
          <w:p w:rsidR="00000000" w:rsidRDefault="00000000">
            <w:pPr>
              <w:spacing w:before="60" w:after="60"/>
              <w:ind w:right="43"/>
              <w:jc w:val="right"/>
              <w:rPr>
                <w:sz w:val="20"/>
              </w:rPr>
            </w:pPr>
            <w:r>
              <w:rPr>
                <w:sz w:val="20"/>
              </w:rPr>
              <w:t>30</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28</w:t>
            </w:r>
          </w:p>
        </w:tc>
        <w:tc>
          <w:tcPr>
            <w:tcW w:w="794" w:type="dxa"/>
            <w:tcMar>
              <w:left w:w="57" w:type="dxa"/>
              <w:right w:w="57" w:type="dxa"/>
            </w:tcMar>
          </w:tcPr>
          <w:p w:rsidR="00000000" w:rsidRDefault="00000000">
            <w:pPr>
              <w:spacing w:before="60" w:after="60"/>
              <w:ind w:right="43"/>
              <w:jc w:val="right"/>
              <w:rPr>
                <w:sz w:val="20"/>
              </w:rPr>
            </w:pPr>
            <w:r>
              <w:rPr>
                <w:sz w:val="20"/>
              </w:rPr>
              <w:t>32</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Nigéria</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Norvège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Panama</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Pérou</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3</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Pologne</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18</w:t>
            </w:r>
          </w:p>
        </w:tc>
        <w:tc>
          <w:tcPr>
            <w:tcW w:w="794" w:type="dxa"/>
            <w:tcMar>
              <w:left w:w="57" w:type="dxa"/>
              <w:right w:w="57" w:type="dxa"/>
            </w:tcMar>
          </w:tcPr>
          <w:p w:rsidR="00000000" w:rsidRDefault="00000000">
            <w:pPr>
              <w:spacing w:before="60" w:after="60"/>
              <w:ind w:right="43"/>
              <w:jc w:val="right"/>
              <w:rPr>
                <w:sz w:val="20"/>
              </w:rPr>
            </w:pPr>
            <w:r>
              <w:rPr>
                <w:sz w:val="20"/>
              </w:rPr>
              <w:t>21</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11</w:t>
            </w:r>
          </w:p>
        </w:tc>
        <w:tc>
          <w:tcPr>
            <w:tcW w:w="794" w:type="dxa"/>
            <w:tcMar>
              <w:left w:w="57" w:type="dxa"/>
              <w:right w:w="57" w:type="dxa"/>
            </w:tcMar>
          </w:tcPr>
          <w:p w:rsidR="00000000" w:rsidRDefault="00000000">
            <w:pPr>
              <w:spacing w:before="60" w:after="60"/>
              <w:ind w:right="43"/>
              <w:jc w:val="right"/>
              <w:rPr>
                <w:sz w:val="20"/>
              </w:rPr>
            </w:pPr>
            <w:r>
              <w:rPr>
                <w:sz w:val="20"/>
              </w:rPr>
              <w:t>16</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29</w:t>
            </w:r>
          </w:p>
        </w:tc>
        <w:tc>
          <w:tcPr>
            <w:tcW w:w="794" w:type="dxa"/>
            <w:tcMar>
              <w:left w:w="57" w:type="dxa"/>
              <w:right w:w="57" w:type="dxa"/>
            </w:tcMar>
          </w:tcPr>
          <w:p w:rsidR="00000000" w:rsidRDefault="00000000">
            <w:pPr>
              <w:spacing w:before="60" w:after="60"/>
              <w:ind w:right="43"/>
              <w:jc w:val="right"/>
              <w:rPr>
                <w:sz w:val="20"/>
              </w:rPr>
            </w:pPr>
            <w:r>
              <w:rPr>
                <w:sz w:val="20"/>
              </w:rPr>
              <w:t>37</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Portugal</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r>
      <w:tr w:rsidR="00000000">
        <w:tblPrEx>
          <w:tblCellMar>
            <w:top w:w="0" w:type="dxa"/>
            <w:bottom w:w="0" w:type="dxa"/>
          </w:tblCellMar>
        </w:tblPrEx>
        <w:tc>
          <w:tcPr>
            <w:tcW w:w="2325" w:type="dxa"/>
            <w:tcMar>
              <w:left w:w="57" w:type="dxa"/>
              <w:right w:w="57" w:type="dxa"/>
            </w:tcMar>
            <w:vAlign w:val="bottom"/>
          </w:tcPr>
          <w:p w:rsidR="00000000" w:rsidRDefault="00000000">
            <w:pPr>
              <w:spacing w:before="60" w:after="60"/>
              <w:rPr>
                <w:sz w:val="20"/>
              </w:rPr>
            </w:pPr>
            <w:r>
              <w:rPr>
                <w:sz w:val="20"/>
              </w:rPr>
              <w:t>République dominicaine</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4</w:t>
            </w:r>
          </w:p>
        </w:tc>
        <w:tc>
          <w:tcPr>
            <w:tcW w:w="794" w:type="dxa"/>
            <w:tcMar>
              <w:left w:w="57" w:type="dxa"/>
              <w:right w:w="57" w:type="dxa"/>
            </w:tcMar>
            <w:vAlign w:val="bottom"/>
          </w:tcPr>
          <w:p w:rsidR="00000000" w:rsidRDefault="00000000">
            <w:pPr>
              <w:spacing w:before="60" w:after="60"/>
              <w:ind w:right="43"/>
              <w:jc w:val="right"/>
              <w:rPr>
                <w:sz w:val="20"/>
              </w:rPr>
            </w:pPr>
            <w:r>
              <w:rPr>
                <w:sz w:val="20"/>
              </w:rPr>
              <w:t>4</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3</w:t>
            </w:r>
          </w:p>
        </w:tc>
        <w:tc>
          <w:tcPr>
            <w:tcW w:w="794" w:type="dxa"/>
            <w:tcMar>
              <w:left w:w="57" w:type="dxa"/>
              <w:right w:w="57" w:type="dxa"/>
            </w:tcMar>
            <w:vAlign w:val="bottom"/>
          </w:tcPr>
          <w:p w:rsidR="00000000" w:rsidRDefault="00000000">
            <w:pPr>
              <w:spacing w:before="60" w:after="60"/>
              <w:ind w:right="43"/>
              <w:jc w:val="right"/>
              <w:rPr>
                <w:sz w:val="20"/>
              </w:rPr>
            </w:pPr>
            <w:r>
              <w:rPr>
                <w:sz w:val="20"/>
              </w:rPr>
              <w:t>3</w:t>
            </w:r>
          </w:p>
        </w:tc>
        <w:tc>
          <w:tcPr>
            <w:tcW w:w="794" w:type="dxa"/>
            <w:tcMar>
              <w:left w:w="57" w:type="dxa"/>
              <w:right w:w="57" w:type="dxa"/>
            </w:tcMar>
            <w:vAlign w:val="bottom"/>
          </w:tcPr>
          <w:p w:rsidR="00000000" w:rsidRDefault="00000000">
            <w:pPr>
              <w:spacing w:before="60" w:after="60"/>
              <w:ind w:right="43"/>
              <w:jc w:val="right"/>
              <w:rPr>
                <w:sz w:val="20"/>
              </w:rPr>
            </w:pPr>
            <w:r>
              <w:rPr>
                <w:sz w:val="20"/>
              </w:rPr>
              <w:t>-</w:t>
            </w:r>
          </w:p>
        </w:tc>
        <w:tc>
          <w:tcPr>
            <w:tcW w:w="794" w:type="dxa"/>
            <w:tcMar>
              <w:left w:w="57" w:type="dxa"/>
              <w:right w:w="57" w:type="dxa"/>
            </w:tcMar>
            <w:vAlign w:val="bottom"/>
          </w:tcPr>
          <w:p w:rsidR="00000000" w:rsidRDefault="00000000">
            <w:pPr>
              <w:spacing w:before="60" w:after="60"/>
              <w:ind w:right="43"/>
              <w:jc w:val="right"/>
              <w:rPr>
                <w:sz w:val="20"/>
              </w:rPr>
            </w:pPr>
            <w:r>
              <w:rPr>
                <w:sz w:val="20"/>
              </w:rPr>
              <w:t>7</w:t>
            </w:r>
          </w:p>
        </w:tc>
        <w:tc>
          <w:tcPr>
            <w:tcW w:w="794" w:type="dxa"/>
            <w:tcMar>
              <w:left w:w="57" w:type="dxa"/>
              <w:right w:w="57" w:type="dxa"/>
            </w:tcMar>
            <w:vAlign w:val="bottom"/>
          </w:tcPr>
          <w:p w:rsidR="00000000" w:rsidRDefault="00000000">
            <w:pPr>
              <w:spacing w:before="60" w:after="60"/>
              <w:ind w:right="43"/>
              <w:jc w:val="right"/>
              <w:rPr>
                <w:sz w:val="20"/>
              </w:rPr>
            </w:pPr>
            <w:r>
              <w:rPr>
                <w:sz w:val="20"/>
              </w:rPr>
              <w:t>7</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République tchèque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Roumanie</w:t>
            </w:r>
          </w:p>
        </w:tc>
        <w:tc>
          <w:tcPr>
            <w:tcW w:w="794" w:type="dxa"/>
            <w:tcMar>
              <w:left w:w="57" w:type="dxa"/>
              <w:right w:w="57" w:type="dxa"/>
            </w:tcMar>
          </w:tcPr>
          <w:p w:rsidR="00000000" w:rsidRDefault="00000000">
            <w:pPr>
              <w:spacing w:before="60" w:after="60"/>
              <w:ind w:right="43"/>
              <w:jc w:val="right"/>
              <w:rPr>
                <w:sz w:val="20"/>
              </w:rPr>
            </w:pPr>
            <w:r>
              <w:rPr>
                <w:sz w:val="20"/>
              </w:rPr>
              <w:t>10</w:t>
            </w:r>
          </w:p>
        </w:tc>
        <w:tc>
          <w:tcPr>
            <w:tcW w:w="794" w:type="dxa"/>
            <w:tcMar>
              <w:left w:w="57" w:type="dxa"/>
              <w:right w:w="57" w:type="dxa"/>
            </w:tcMar>
          </w:tcPr>
          <w:p w:rsidR="00000000" w:rsidRDefault="00000000">
            <w:pPr>
              <w:spacing w:before="60" w:after="60"/>
              <w:ind w:right="43"/>
              <w:jc w:val="right"/>
              <w:rPr>
                <w:sz w:val="20"/>
              </w:rPr>
            </w:pPr>
            <w:r>
              <w:rPr>
                <w:sz w:val="20"/>
              </w:rPr>
              <w:t>63</w:t>
            </w:r>
          </w:p>
        </w:tc>
        <w:tc>
          <w:tcPr>
            <w:tcW w:w="794" w:type="dxa"/>
            <w:tcMar>
              <w:left w:w="57" w:type="dxa"/>
              <w:right w:w="57" w:type="dxa"/>
            </w:tcMar>
          </w:tcPr>
          <w:p w:rsidR="00000000" w:rsidRDefault="00000000">
            <w:pPr>
              <w:spacing w:before="60" w:after="60"/>
              <w:ind w:right="43"/>
              <w:jc w:val="right"/>
              <w:rPr>
                <w:sz w:val="20"/>
              </w:rPr>
            </w:pPr>
            <w:r>
              <w:rPr>
                <w:sz w:val="20"/>
              </w:rPr>
              <w:t>73</w:t>
            </w:r>
          </w:p>
        </w:tc>
        <w:tc>
          <w:tcPr>
            <w:tcW w:w="794" w:type="dxa"/>
            <w:tcMar>
              <w:left w:w="57" w:type="dxa"/>
              <w:right w:w="57" w:type="dxa"/>
            </w:tcMar>
          </w:tcPr>
          <w:p w:rsidR="00000000" w:rsidRDefault="00000000">
            <w:pPr>
              <w:spacing w:before="60" w:after="60"/>
              <w:ind w:right="43"/>
              <w:jc w:val="right"/>
              <w:rPr>
                <w:sz w:val="20"/>
              </w:rPr>
            </w:pPr>
            <w:r>
              <w:rPr>
                <w:sz w:val="20"/>
              </w:rPr>
              <w:t>34</w:t>
            </w:r>
          </w:p>
        </w:tc>
        <w:tc>
          <w:tcPr>
            <w:tcW w:w="794" w:type="dxa"/>
            <w:tcMar>
              <w:left w:w="57" w:type="dxa"/>
              <w:right w:w="57" w:type="dxa"/>
            </w:tcMar>
          </w:tcPr>
          <w:p w:rsidR="00000000" w:rsidRDefault="00000000">
            <w:pPr>
              <w:spacing w:before="60" w:after="60"/>
              <w:ind w:right="43"/>
              <w:jc w:val="right"/>
              <w:rPr>
                <w:sz w:val="20"/>
              </w:rPr>
            </w:pPr>
            <w:r>
              <w:rPr>
                <w:sz w:val="20"/>
              </w:rPr>
              <w:t>73</w:t>
            </w:r>
          </w:p>
        </w:tc>
        <w:tc>
          <w:tcPr>
            <w:tcW w:w="794" w:type="dxa"/>
            <w:tcMar>
              <w:left w:w="57" w:type="dxa"/>
              <w:right w:w="57" w:type="dxa"/>
            </w:tcMar>
          </w:tcPr>
          <w:p w:rsidR="00000000" w:rsidRDefault="00000000">
            <w:pPr>
              <w:spacing w:before="60" w:after="60"/>
              <w:ind w:right="43"/>
              <w:jc w:val="right"/>
              <w:rPr>
                <w:sz w:val="20"/>
              </w:rPr>
            </w:pPr>
            <w:r>
              <w:rPr>
                <w:sz w:val="20"/>
              </w:rPr>
              <w:t>107</w:t>
            </w:r>
          </w:p>
        </w:tc>
        <w:tc>
          <w:tcPr>
            <w:tcW w:w="794" w:type="dxa"/>
            <w:tcMar>
              <w:left w:w="57" w:type="dxa"/>
              <w:right w:w="57" w:type="dxa"/>
            </w:tcMar>
          </w:tcPr>
          <w:p w:rsidR="00000000" w:rsidRDefault="00000000">
            <w:pPr>
              <w:spacing w:before="60" w:after="60"/>
              <w:ind w:right="43"/>
              <w:jc w:val="right"/>
              <w:rPr>
                <w:sz w:val="20"/>
              </w:rPr>
            </w:pPr>
            <w:r>
              <w:rPr>
                <w:sz w:val="20"/>
              </w:rPr>
              <w:t>44</w:t>
            </w:r>
          </w:p>
        </w:tc>
        <w:tc>
          <w:tcPr>
            <w:tcW w:w="794" w:type="dxa"/>
            <w:tcMar>
              <w:left w:w="57" w:type="dxa"/>
              <w:right w:w="57" w:type="dxa"/>
            </w:tcMar>
          </w:tcPr>
          <w:p w:rsidR="00000000" w:rsidRDefault="00000000">
            <w:pPr>
              <w:spacing w:before="60" w:after="60"/>
              <w:ind w:right="43"/>
              <w:jc w:val="right"/>
              <w:rPr>
                <w:sz w:val="20"/>
              </w:rPr>
            </w:pPr>
            <w:r>
              <w:rPr>
                <w:sz w:val="20"/>
              </w:rPr>
              <w:t>136</w:t>
            </w:r>
          </w:p>
        </w:tc>
        <w:tc>
          <w:tcPr>
            <w:tcW w:w="794" w:type="dxa"/>
            <w:tcMar>
              <w:left w:w="57" w:type="dxa"/>
              <w:right w:w="57" w:type="dxa"/>
            </w:tcMar>
          </w:tcPr>
          <w:p w:rsidR="00000000" w:rsidRDefault="00000000">
            <w:pPr>
              <w:spacing w:before="60" w:after="60"/>
              <w:ind w:right="43"/>
              <w:jc w:val="right"/>
              <w:rPr>
                <w:sz w:val="20"/>
              </w:rPr>
            </w:pPr>
            <w:r>
              <w:rPr>
                <w:sz w:val="20"/>
              </w:rPr>
              <w:t>180</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Royaume-Uni</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Sénégal</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Serbie</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4</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Slovaquie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9</w:t>
            </w:r>
          </w:p>
        </w:tc>
        <w:tc>
          <w:tcPr>
            <w:tcW w:w="794" w:type="dxa"/>
            <w:tcMar>
              <w:left w:w="57" w:type="dxa"/>
              <w:right w:w="57" w:type="dxa"/>
            </w:tcMar>
          </w:tcPr>
          <w:p w:rsidR="00000000" w:rsidRDefault="00000000">
            <w:pPr>
              <w:spacing w:before="60" w:after="60"/>
              <w:ind w:right="43"/>
              <w:jc w:val="right"/>
              <w:rPr>
                <w:sz w:val="20"/>
              </w:rPr>
            </w:pPr>
            <w:r>
              <w:rPr>
                <w:sz w:val="20"/>
              </w:rPr>
              <w:t>10</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Slovénie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Somalie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Suède</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Suisse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Thaïlande</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Tunisie</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3</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Turquie</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4</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Ukraine</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34</w:t>
            </w:r>
          </w:p>
        </w:tc>
        <w:tc>
          <w:tcPr>
            <w:tcW w:w="794" w:type="dxa"/>
            <w:tcMar>
              <w:left w:w="57" w:type="dxa"/>
              <w:right w:w="57" w:type="dxa"/>
            </w:tcMar>
          </w:tcPr>
          <w:p w:rsidR="00000000" w:rsidRDefault="00000000">
            <w:pPr>
              <w:spacing w:before="60" w:after="60"/>
              <w:ind w:right="43"/>
              <w:jc w:val="right"/>
              <w:rPr>
                <w:sz w:val="20"/>
              </w:rPr>
            </w:pPr>
            <w:r>
              <w:rPr>
                <w:sz w:val="20"/>
              </w:rPr>
              <w:t>36</w:t>
            </w:r>
          </w:p>
        </w:tc>
        <w:tc>
          <w:tcPr>
            <w:tcW w:w="794" w:type="dxa"/>
            <w:tcMar>
              <w:left w:w="57" w:type="dxa"/>
              <w:right w:w="57" w:type="dxa"/>
            </w:tcMar>
          </w:tcPr>
          <w:p w:rsidR="00000000" w:rsidRDefault="00000000">
            <w:pPr>
              <w:spacing w:before="60" w:after="60"/>
              <w:ind w:right="43"/>
              <w:jc w:val="right"/>
              <w:rPr>
                <w:sz w:val="20"/>
              </w:rPr>
            </w:pPr>
            <w:r>
              <w:rPr>
                <w:sz w:val="20"/>
              </w:rPr>
              <w:t>6</w:t>
            </w:r>
          </w:p>
        </w:tc>
        <w:tc>
          <w:tcPr>
            <w:tcW w:w="794" w:type="dxa"/>
            <w:tcMar>
              <w:left w:w="57" w:type="dxa"/>
              <w:right w:w="57" w:type="dxa"/>
            </w:tcMar>
          </w:tcPr>
          <w:p w:rsidR="00000000" w:rsidRDefault="00000000">
            <w:pPr>
              <w:spacing w:before="60" w:after="60"/>
              <w:ind w:right="43"/>
              <w:jc w:val="right"/>
              <w:rPr>
                <w:sz w:val="20"/>
              </w:rPr>
            </w:pPr>
            <w:r>
              <w:rPr>
                <w:sz w:val="20"/>
              </w:rPr>
              <w:t>154</w:t>
            </w:r>
          </w:p>
        </w:tc>
        <w:tc>
          <w:tcPr>
            <w:tcW w:w="794" w:type="dxa"/>
            <w:tcMar>
              <w:left w:w="57" w:type="dxa"/>
              <w:right w:w="57" w:type="dxa"/>
            </w:tcMar>
          </w:tcPr>
          <w:p w:rsidR="00000000" w:rsidRDefault="00000000">
            <w:pPr>
              <w:spacing w:before="60" w:after="60"/>
              <w:ind w:right="43"/>
              <w:jc w:val="right"/>
              <w:rPr>
                <w:sz w:val="20"/>
              </w:rPr>
            </w:pPr>
            <w:r>
              <w:rPr>
                <w:sz w:val="20"/>
              </w:rPr>
              <w:t>160</w:t>
            </w:r>
          </w:p>
        </w:tc>
        <w:tc>
          <w:tcPr>
            <w:tcW w:w="794" w:type="dxa"/>
            <w:tcMar>
              <w:left w:w="57" w:type="dxa"/>
              <w:right w:w="57" w:type="dxa"/>
            </w:tcMar>
          </w:tcPr>
          <w:p w:rsidR="00000000" w:rsidRDefault="00000000">
            <w:pPr>
              <w:spacing w:before="60" w:after="60"/>
              <w:ind w:right="43"/>
              <w:jc w:val="right"/>
              <w:rPr>
                <w:sz w:val="20"/>
              </w:rPr>
            </w:pPr>
            <w:r>
              <w:rPr>
                <w:sz w:val="20"/>
              </w:rPr>
              <w:t>8</w:t>
            </w:r>
          </w:p>
        </w:tc>
        <w:tc>
          <w:tcPr>
            <w:tcW w:w="794" w:type="dxa"/>
            <w:tcMar>
              <w:left w:w="57" w:type="dxa"/>
              <w:right w:w="57" w:type="dxa"/>
            </w:tcMar>
          </w:tcPr>
          <w:p w:rsidR="00000000" w:rsidRDefault="00000000">
            <w:pPr>
              <w:spacing w:before="60" w:after="60"/>
              <w:ind w:right="43"/>
              <w:jc w:val="right"/>
              <w:rPr>
                <w:sz w:val="20"/>
              </w:rPr>
            </w:pPr>
            <w:r>
              <w:rPr>
                <w:sz w:val="20"/>
              </w:rPr>
              <w:t>188</w:t>
            </w:r>
          </w:p>
        </w:tc>
        <w:tc>
          <w:tcPr>
            <w:tcW w:w="794" w:type="dxa"/>
            <w:tcMar>
              <w:left w:w="57" w:type="dxa"/>
              <w:right w:w="57" w:type="dxa"/>
            </w:tcMar>
          </w:tcPr>
          <w:p w:rsidR="00000000" w:rsidRDefault="00000000">
            <w:pPr>
              <w:spacing w:before="60" w:after="60"/>
              <w:ind w:right="43"/>
              <w:jc w:val="right"/>
              <w:rPr>
                <w:sz w:val="20"/>
              </w:rPr>
            </w:pPr>
            <w:r>
              <w:rPr>
                <w:sz w:val="20"/>
              </w:rPr>
              <w:t>196</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Viet Nam</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2</w:t>
            </w:r>
          </w:p>
        </w:tc>
        <w:tc>
          <w:tcPr>
            <w:tcW w:w="794" w:type="dxa"/>
            <w:tcMar>
              <w:left w:w="57" w:type="dxa"/>
              <w:right w:w="57" w:type="dxa"/>
            </w:tcMar>
          </w:tcPr>
          <w:p w:rsidR="00000000" w:rsidRDefault="00000000">
            <w:pPr>
              <w:spacing w:before="60" w:after="60"/>
              <w:ind w:right="43"/>
              <w:jc w:val="right"/>
              <w:rPr>
                <w:sz w:val="20"/>
              </w:rPr>
            </w:pPr>
            <w:r>
              <w:rPr>
                <w:sz w:val="20"/>
              </w:rPr>
              <w:t>3</w:t>
            </w:r>
          </w:p>
        </w:tc>
        <w:tc>
          <w:tcPr>
            <w:tcW w:w="794" w:type="dxa"/>
            <w:tcMar>
              <w:left w:w="57" w:type="dxa"/>
              <w:right w:w="57" w:type="dxa"/>
            </w:tcMar>
          </w:tcPr>
          <w:p w:rsidR="00000000" w:rsidRDefault="00000000">
            <w:pPr>
              <w:spacing w:before="60" w:after="60"/>
              <w:ind w:right="43"/>
              <w:jc w:val="right"/>
              <w:rPr>
                <w:sz w:val="20"/>
              </w:rPr>
            </w:pPr>
            <w:r>
              <w:rPr>
                <w:sz w:val="20"/>
              </w:rPr>
              <w:t>5</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 xml:space="preserve">Zambie </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Autre nationalité</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1</w:t>
            </w:r>
          </w:p>
        </w:tc>
        <w:tc>
          <w:tcPr>
            <w:tcW w:w="794" w:type="dxa"/>
            <w:tcMar>
              <w:left w:w="57" w:type="dxa"/>
              <w:right w:w="57" w:type="dxa"/>
            </w:tcMar>
          </w:tcPr>
          <w:p w:rsidR="00000000" w:rsidRDefault="00000000">
            <w:pPr>
              <w:spacing w:before="60" w:after="60"/>
              <w:ind w:right="43"/>
              <w:jc w:val="right"/>
              <w:rPr>
                <w:sz w:val="20"/>
              </w:rPr>
            </w:pPr>
            <w:r>
              <w:rPr>
                <w:sz w:val="20"/>
              </w:rPr>
              <w:t>-</w:t>
            </w:r>
          </w:p>
        </w:tc>
        <w:tc>
          <w:tcPr>
            <w:tcW w:w="794" w:type="dxa"/>
            <w:tcMar>
              <w:left w:w="57" w:type="dxa"/>
              <w:right w:w="57" w:type="dxa"/>
            </w:tcMar>
          </w:tcPr>
          <w:p w:rsidR="00000000" w:rsidRDefault="00000000">
            <w:pPr>
              <w:spacing w:before="60" w:after="60"/>
              <w:ind w:right="43"/>
              <w:jc w:val="right"/>
              <w:rPr>
                <w:sz w:val="20"/>
              </w:rPr>
            </w:pPr>
            <w:r>
              <w:rPr>
                <w:sz w:val="20"/>
              </w:rPr>
              <w:t>1</w:t>
            </w:r>
          </w:p>
        </w:tc>
      </w:tr>
      <w:tr w:rsidR="00000000">
        <w:tblPrEx>
          <w:tblCellMar>
            <w:top w:w="0" w:type="dxa"/>
            <w:bottom w:w="0" w:type="dxa"/>
          </w:tblCellMar>
        </w:tblPrEx>
        <w:tc>
          <w:tcPr>
            <w:tcW w:w="2325" w:type="dxa"/>
            <w:tcMar>
              <w:left w:w="57" w:type="dxa"/>
              <w:right w:w="57" w:type="dxa"/>
            </w:tcMar>
          </w:tcPr>
          <w:p w:rsidR="00000000" w:rsidRDefault="00000000">
            <w:pPr>
              <w:spacing w:before="60" w:after="60"/>
              <w:rPr>
                <w:sz w:val="20"/>
              </w:rPr>
            </w:pPr>
            <w:r>
              <w:rPr>
                <w:sz w:val="20"/>
              </w:rPr>
              <w:t xml:space="preserve">Total </w:t>
            </w:r>
          </w:p>
        </w:tc>
        <w:tc>
          <w:tcPr>
            <w:tcW w:w="794" w:type="dxa"/>
            <w:tcMar>
              <w:left w:w="57" w:type="dxa"/>
              <w:right w:w="57" w:type="dxa"/>
            </w:tcMar>
          </w:tcPr>
          <w:p w:rsidR="00000000" w:rsidRDefault="00000000">
            <w:pPr>
              <w:spacing w:before="60" w:after="60"/>
              <w:ind w:right="43"/>
              <w:jc w:val="right"/>
              <w:rPr>
                <w:sz w:val="20"/>
              </w:rPr>
            </w:pPr>
            <w:r>
              <w:rPr>
                <w:sz w:val="20"/>
              </w:rPr>
              <w:t>14 924</w:t>
            </w:r>
          </w:p>
        </w:tc>
        <w:tc>
          <w:tcPr>
            <w:tcW w:w="794" w:type="dxa"/>
            <w:tcMar>
              <w:left w:w="57" w:type="dxa"/>
              <w:right w:w="57" w:type="dxa"/>
            </w:tcMar>
          </w:tcPr>
          <w:p w:rsidR="00000000" w:rsidRDefault="00000000">
            <w:pPr>
              <w:spacing w:before="60" w:after="60"/>
              <w:ind w:right="43"/>
              <w:jc w:val="right"/>
              <w:rPr>
                <w:sz w:val="20"/>
              </w:rPr>
            </w:pPr>
            <w:r>
              <w:rPr>
                <w:sz w:val="20"/>
              </w:rPr>
              <w:t>15 444</w:t>
            </w:r>
          </w:p>
        </w:tc>
        <w:tc>
          <w:tcPr>
            <w:tcW w:w="794" w:type="dxa"/>
            <w:tcMar>
              <w:left w:w="57" w:type="dxa"/>
              <w:right w:w="57" w:type="dxa"/>
            </w:tcMar>
          </w:tcPr>
          <w:p w:rsidR="00000000" w:rsidRDefault="00000000">
            <w:pPr>
              <w:spacing w:before="60" w:after="60"/>
              <w:ind w:right="43"/>
              <w:jc w:val="right"/>
              <w:rPr>
                <w:sz w:val="20"/>
              </w:rPr>
            </w:pPr>
            <w:r>
              <w:rPr>
                <w:sz w:val="20"/>
              </w:rPr>
              <w:t>30 368</w:t>
            </w:r>
          </w:p>
        </w:tc>
        <w:tc>
          <w:tcPr>
            <w:tcW w:w="794" w:type="dxa"/>
            <w:tcMar>
              <w:left w:w="57" w:type="dxa"/>
              <w:right w:w="57" w:type="dxa"/>
            </w:tcMar>
          </w:tcPr>
          <w:p w:rsidR="00000000" w:rsidRDefault="00000000">
            <w:pPr>
              <w:spacing w:before="60" w:after="60"/>
              <w:ind w:right="43"/>
              <w:jc w:val="right"/>
              <w:rPr>
                <w:sz w:val="20"/>
              </w:rPr>
            </w:pPr>
            <w:r>
              <w:rPr>
                <w:sz w:val="20"/>
              </w:rPr>
              <w:t>529</w:t>
            </w:r>
          </w:p>
        </w:tc>
        <w:tc>
          <w:tcPr>
            <w:tcW w:w="794" w:type="dxa"/>
            <w:tcMar>
              <w:left w:w="57" w:type="dxa"/>
              <w:right w:w="57" w:type="dxa"/>
            </w:tcMar>
          </w:tcPr>
          <w:p w:rsidR="00000000" w:rsidRDefault="00000000">
            <w:pPr>
              <w:spacing w:before="60" w:after="60"/>
              <w:ind w:right="43"/>
              <w:jc w:val="right"/>
              <w:rPr>
                <w:sz w:val="20"/>
              </w:rPr>
            </w:pPr>
            <w:r>
              <w:rPr>
                <w:sz w:val="20"/>
              </w:rPr>
              <w:t>717</w:t>
            </w:r>
          </w:p>
        </w:tc>
        <w:tc>
          <w:tcPr>
            <w:tcW w:w="794" w:type="dxa"/>
            <w:tcMar>
              <w:left w:w="57" w:type="dxa"/>
              <w:right w:w="57" w:type="dxa"/>
            </w:tcMar>
          </w:tcPr>
          <w:p w:rsidR="00000000" w:rsidRDefault="00000000">
            <w:pPr>
              <w:spacing w:before="60" w:after="60"/>
              <w:ind w:right="43"/>
              <w:jc w:val="right"/>
              <w:rPr>
                <w:sz w:val="20"/>
              </w:rPr>
            </w:pPr>
            <w:r>
              <w:rPr>
                <w:sz w:val="20"/>
              </w:rPr>
              <w:t>1 246</w:t>
            </w:r>
          </w:p>
        </w:tc>
        <w:tc>
          <w:tcPr>
            <w:tcW w:w="794" w:type="dxa"/>
            <w:tcMar>
              <w:left w:w="57" w:type="dxa"/>
              <w:right w:w="57" w:type="dxa"/>
            </w:tcMar>
          </w:tcPr>
          <w:p w:rsidR="00000000" w:rsidRDefault="00000000">
            <w:pPr>
              <w:spacing w:before="60" w:after="60"/>
              <w:ind w:right="43"/>
              <w:jc w:val="right"/>
              <w:rPr>
                <w:sz w:val="20"/>
              </w:rPr>
            </w:pPr>
            <w:r>
              <w:rPr>
                <w:sz w:val="20"/>
              </w:rPr>
              <w:t>15 453</w:t>
            </w:r>
          </w:p>
        </w:tc>
        <w:tc>
          <w:tcPr>
            <w:tcW w:w="794" w:type="dxa"/>
            <w:tcMar>
              <w:left w:w="57" w:type="dxa"/>
              <w:right w:w="57" w:type="dxa"/>
            </w:tcMar>
          </w:tcPr>
          <w:p w:rsidR="00000000" w:rsidRDefault="00000000">
            <w:pPr>
              <w:spacing w:before="60" w:after="60"/>
              <w:ind w:right="43"/>
              <w:jc w:val="right"/>
              <w:rPr>
                <w:sz w:val="20"/>
              </w:rPr>
            </w:pPr>
            <w:r>
              <w:rPr>
                <w:sz w:val="20"/>
              </w:rPr>
              <w:t>16 161</w:t>
            </w:r>
          </w:p>
        </w:tc>
        <w:tc>
          <w:tcPr>
            <w:tcW w:w="794" w:type="dxa"/>
            <w:tcMar>
              <w:left w:w="57" w:type="dxa"/>
              <w:right w:w="57" w:type="dxa"/>
            </w:tcMar>
          </w:tcPr>
          <w:p w:rsidR="00000000" w:rsidRDefault="00000000">
            <w:pPr>
              <w:spacing w:before="60" w:after="60"/>
              <w:ind w:right="43"/>
              <w:jc w:val="right"/>
              <w:rPr>
                <w:sz w:val="20"/>
              </w:rPr>
            </w:pPr>
            <w:r>
              <w:rPr>
                <w:sz w:val="20"/>
              </w:rPr>
              <w:t>31 614</w:t>
            </w:r>
          </w:p>
        </w:tc>
      </w:tr>
    </w:tbl>
    <w:p w:rsidR="00000000" w:rsidRDefault="00000000">
      <w:pPr>
        <w:spacing w:before="240" w:after="240"/>
      </w:pPr>
      <w:r>
        <w:t>7.</w:t>
      </w:r>
      <w:r>
        <w:tab/>
        <w:t>Jusqu’à maintenant, la présence de communautés étrangères, que l’on peut encore considérer comme peu nombreuses, à l’exception de la communauté italienne, n’a pas causé de sérieux problèmes sur le plan de l’intégration et n’a pas donné lieu à une réflexion approfondie sur leur droit légitime d’exprimer leur propre identité culturelle. On ne saurait nier que Saint</w:t>
      </w:r>
      <w:r>
        <w:noBreakHyphen/>
        <w:t>Marin, comme les régions italiennes qui l’entourent, reste caractérisé par certains préjugés et des attitudes stéréotypées à l’égard de certains groupes de personnes qui n’ont pas la nationalité saint</w:t>
      </w:r>
      <w:r>
        <w:noBreakHyphen/>
        <w:t>marinaise; mais cela n’a jamais dégénéré en mouvements ouvertement racistes ou xénophobes. Au contraire, à Saint-Marin, de nombreuses initiatives ont été prises par des institutions et des associations afin de sensibiliser la population à quelques problèmes importants tels que la discrimination et l’intolérance, et afin de renforcer la cohésion sociale. Les immigrants aussi peuvent faire partie d’associations culturelles qui, de par la loi, sont membres du Conseil des coopératives et associations culturelles. Le Conseil est un organisme social et culturel local coordonné par le Secrétariat d’État à l’éducation, à la culture, à l’université et aux affaires sociales, organisme public central chargé de renforcer et promouvoir la politique culturelle.</w:t>
      </w:r>
    </w:p>
    <w:p w:rsidR="00000000" w:rsidRDefault="00000000">
      <w:pPr>
        <w:spacing w:after="240"/>
      </w:pPr>
      <w:r>
        <w:t>8.</w:t>
      </w:r>
      <w:r>
        <w:tab/>
        <w:t xml:space="preserve">Le Conseil apporte son soutien sous forme de contributions financières accordées chaque année sur demande et en proposant l’utilisation gratuite des structures et services publics afin de promouvoir les activités culturelles (par exemple, gratuité du courrier, de l’affichage, de l’impression et de la reliure de documents d’information). Un service d’information créé pour aider les travailleurs et les employeurs à accomplir les formalités administratives fonctionne déjà dans les syndicats. Ce service s’occupe en particulier de fournir une aide à domicile, essentiellement aux personnes âgées et aux malades. </w:t>
      </w:r>
    </w:p>
    <w:p w:rsidR="00000000" w:rsidRDefault="00000000">
      <w:pPr>
        <w:spacing w:after="240"/>
      </w:pPr>
      <w:r>
        <w:t>9.</w:t>
      </w:r>
      <w:r>
        <w:tab/>
        <w:t>Enfin, un groupe de femmes bénévoles a fondé une association nommée «Le amiche di Ruth» (Les amies de Ruth) qui s’adresse à celles que l’on appelle les «badanti», c’est-à-dire les femmes employées comme auxiliaires auprès des personnes âgées ou des personnes non autonomes ou comme femmes de ménage; ce sont principalement des étrangères. Cette association organise différents cours (langues, informatique, cuisine, etc.) pour les étrangères vivant à Saint-Marin. Son objectif est non seulement de faciliter leur intégration dans la société et la culture locales mais aussi de créer des liens plus étroits avec des personnes de culture différente et d’encourager les échanges culturels en vue d’un enrichissement mutuel. Afin de promouvoir les différentes cultures et traditions religieuses, le diocèse de Saint-Marin Montefeltro a invité les chrétiens de différentes confessions à participer à la liturgie de rite byzantin qui a été célébrée pour la première fois dans la basilique le 20 janvier 2006.</w:t>
      </w:r>
    </w:p>
    <w:p w:rsidR="00000000" w:rsidRDefault="00000000">
      <w:pPr>
        <w:spacing w:after="240"/>
      </w:pPr>
      <w:r>
        <w:t>10.</w:t>
      </w:r>
      <w:r>
        <w:tab/>
        <w:t>En ce qui concerne l’importance attachée à la «cohésion sociale», Saint-Marin a soutenu l’organisation d’une conférence intitulée «Migrations et développement» en novembre 2006, à la veille de prendre la présidence du Comité des ministres du Conseil de l’Europe. Cette initiative, qui émanait du Musée de l’émigrant − Centre d’études permanent sur l’émigration</w:t>
      </w:r>
      <w:r>
        <w:rPr>
          <w:rStyle w:val="FootnoteReference"/>
        </w:rPr>
        <w:footnoteReference w:id="2"/>
      </w:r>
      <w:r>
        <w:t> − et parrainée par le Secrétaire général du Conseil de l’Europe, illustrait le lien évident entre les flux migratoires et les sociétés plurielles, et avait pour but de contribuer à l’analyse de ce thème dans le cadre plus vaste d’un dialogue interculturel tout en s’efforçant de proposer des solutions spécifiques.</w:t>
      </w:r>
    </w:p>
    <w:p w:rsidR="00000000" w:rsidRDefault="00000000">
      <w:pPr>
        <w:spacing w:after="240"/>
      </w:pPr>
      <w:r>
        <w:t>11.</w:t>
      </w:r>
      <w:r>
        <w:tab/>
        <w:t>La première mesure législative prise par la République de Saint-Marin pour que l’égalité des chances entre l’homme et la femme soit une réalité a été de reconnaître en 1953 le droit pour les femmes d’administrer librement leurs propres biens; ces mesures sont encore en train d’évoluer aujourd’hui. Les lois traitant plus particulièrement de la possibilité pour les femmes de prendre part à la vie publique sont les suivantes:</w:t>
      </w:r>
    </w:p>
    <w:p w:rsidR="00000000" w:rsidRDefault="00000000">
      <w:pPr>
        <w:spacing w:after="240"/>
        <w:ind w:left="567"/>
      </w:pPr>
      <w:r>
        <w:t>Loi n</w:t>
      </w:r>
      <w:r>
        <w:rPr>
          <w:vertAlign w:val="superscript"/>
        </w:rPr>
        <w:t>o</w:t>
      </w:r>
      <w:r>
        <w:t xml:space="preserve"> 35 du 22 septembre 1953 sur la liberté d’aliéner des biens; </w:t>
      </w:r>
    </w:p>
    <w:p w:rsidR="00000000" w:rsidRDefault="00000000">
      <w:pPr>
        <w:spacing w:after="240"/>
        <w:ind w:left="567"/>
      </w:pPr>
      <w:r>
        <w:t>Loi n</w:t>
      </w:r>
      <w:r>
        <w:rPr>
          <w:vertAlign w:val="superscript"/>
        </w:rPr>
        <w:t>o</w:t>
      </w:r>
      <w:r>
        <w:t xml:space="preserve"> 36 du 22 septembre 1953 sur l’égalité des droits concernant les biens et la succession;</w:t>
      </w:r>
    </w:p>
    <w:p w:rsidR="00000000" w:rsidRDefault="00000000">
      <w:pPr>
        <w:spacing w:after="240"/>
        <w:ind w:left="567"/>
      </w:pPr>
      <w:r>
        <w:t>Loi n</w:t>
      </w:r>
      <w:r>
        <w:rPr>
          <w:vertAlign w:val="superscript"/>
        </w:rPr>
        <w:t>o</w:t>
      </w:r>
      <w:r>
        <w:t xml:space="preserve"> 17 du 29 avril 1959 sur le droit de vote des femmes; </w:t>
      </w:r>
    </w:p>
    <w:p w:rsidR="00000000" w:rsidRDefault="00000000">
      <w:pPr>
        <w:spacing w:after="240"/>
        <w:ind w:left="567"/>
      </w:pPr>
      <w:r>
        <w:t>Loi n</w:t>
      </w:r>
      <w:r>
        <w:rPr>
          <w:vertAlign w:val="superscript"/>
        </w:rPr>
        <w:t>o</w:t>
      </w:r>
      <w:r>
        <w:t xml:space="preserve"> 7 du 17 février 1961 sur l’égalité de rémunération des femmes et des hommes; </w:t>
      </w:r>
    </w:p>
    <w:p w:rsidR="00000000" w:rsidRDefault="00000000">
      <w:pPr>
        <w:spacing w:after="240"/>
        <w:ind w:left="567"/>
      </w:pPr>
      <w:r>
        <w:t>Loi n</w:t>
      </w:r>
      <w:r>
        <w:rPr>
          <w:vertAlign w:val="superscript"/>
        </w:rPr>
        <w:t>o</w:t>
      </w:r>
      <w:r>
        <w:t xml:space="preserve"> 29 du 10 septembre 1973 sur le droit pour les femmes d’être élues et nommées à des fonctions publiques;</w:t>
      </w:r>
    </w:p>
    <w:p w:rsidR="00000000" w:rsidRDefault="00000000">
      <w:pPr>
        <w:spacing w:after="240"/>
        <w:ind w:left="567"/>
      </w:pPr>
      <w:r>
        <w:t>Loi n</w:t>
      </w:r>
      <w:r>
        <w:rPr>
          <w:vertAlign w:val="superscript"/>
        </w:rPr>
        <w:t>o</w:t>
      </w:r>
      <w:r>
        <w:t xml:space="preserve"> 6 du 1</w:t>
      </w:r>
      <w:r>
        <w:rPr>
          <w:vertAlign w:val="superscript"/>
        </w:rPr>
        <w:t>er</w:t>
      </w:r>
      <w:r>
        <w:t xml:space="preserve"> mars 1979 sur les incitations à offrir aux femmes des emplois à durée indéterminée; </w:t>
      </w:r>
    </w:p>
    <w:p w:rsidR="00000000" w:rsidRDefault="00000000">
      <w:pPr>
        <w:spacing w:after="240"/>
        <w:ind w:left="567"/>
      </w:pPr>
      <w:r>
        <w:t>Loi n</w:t>
      </w:r>
      <w:r>
        <w:rPr>
          <w:vertAlign w:val="superscript"/>
        </w:rPr>
        <w:t>o</w:t>
      </w:r>
      <w:r>
        <w:t xml:space="preserve"> 40 du 25 mai 1981 sur l’interdiction de la discrimination au travail;</w:t>
      </w:r>
    </w:p>
    <w:p w:rsidR="00000000" w:rsidRDefault="00000000">
      <w:pPr>
        <w:spacing w:after="240"/>
        <w:ind w:left="567"/>
      </w:pPr>
      <w:r>
        <w:t>Loi n</w:t>
      </w:r>
      <w:r>
        <w:rPr>
          <w:vertAlign w:val="superscript"/>
        </w:rPr>
        <w:t>o</w:t>
      </w:r>
      <w:r>
        <w:t xml:space="preserve"> 134 du 24 novembre 1997 sur le soutien aux jeunes femmes chefs d’entreprise;</w:t>
      </w:r>
    </w:p>
    <w:p w:rsidR="00000000" w:rsidRDefault="00000000">
      <w:pPr>
        <w:spacing w:after="240"/>
        <w:ind w:left="567"/>
      </w:pPr>
      <w:r>
        <w:t>Loi n</w:t>
      </w:r>
      <w:r>
        <w:rPr>
          <w:vertAlign w:val="superscript"/>
        </w:rPr>
        <w:t>o</w:t>
      </w:r>
      <w:r>
        <w:t xml:space="preserve"> 26 du 24 février 2004 sur la création de la Commission pour l’égalité des chances.</w:t>
      </w:r>
    </w:p>
    <w:p w:rsidR="00000000" w:rsidRDefault="00000000">
      <w:pPr>
        <w:spacing w:after="240"/>
      </w:pPr>
      <w:r>
        <w:t>L’émancipation économique des femmes a préparé le terrain à leur accès aux institutions de la démocratie représentative et l’a probablement favorisé. En ce qui concerne la transmission de la nationalité, la loi n</w:t>
      </w:r>
      <w:r>
        <w:rPr>
          <w:vertAlign w:val="superscript"/>
        </w:rPr>
        <w:t>o</w:t>
      </w:r>
      <w:r>
        <w:t xml:space="preserve"> 84 du 17 juin 2004 reconnaît aux deux parents le droit de transmettre leur nationalité à leurs enfants.</w:t>
      </w:r>
    </w:p>
    <w:p w:rsidR="00000000" w:rsidRDefault="00000000">
      <w:pPr>
        <w:spacing w:after="240"/>
      </w:pPr>
      <w:r>
        <w:t>12.</w:t>
      </w:r>
      <w:r>
        <w:tab/>
        <w:t>L’Inspection du travail, créée par la loi n</w:t>
      </w:r>
      <w:r>
        <w:rPr>
          <w:vertAlign w:val="superscript"/>
        </w:rPr>
        <w:t>o</w:t>
      </w:r>
      <w:r>
        <w:t xml:space="preserve"> 42 du 22 décembre 1955, est la section du Bureau du travail chargée d’assurer le respect de la législation du travail par toutes les entreprises et, en règle générale, partout où un travail salarié ou indépendant est accompli. Elle contrôle la durée du travail, autorise les heures supplémentaires et le travail le dimanche ou les jours fériés. C’est aussi l’Inspection du travail qui accorde et délivre les permis de travail pour des périodes ne dépassant pas quinze jours à des entreprises non résidentes, autorise le transfert d’employés d’entreprises étrangères dans des entreprises de Saint-Marin, vérifie la légalité des contrats fondés sur des projets. En outre, elle diffuse des informations à la population et aux entreprises concernant la législation du travail. Les questions particulières telles que l’hygiène et la sécurité sur le lieu de travail (qui relèvent du Service de la salubrité de l’environnement) ainsi que le paiement des impôts et cotisations (inspection de l’Institut de la sécurité sociale) ne sont pas de sa compétence. D’autres organes d’inspection et de supervision de l’administration publique, ainsi que l’armée et la police, peuvent d’ailleurs remplir la même fonction. L’Inspection du travail a compétence à l’égard des secteurs bancaire, financier, commercial et industriel ainsi que des services, du logement privé et public, de l’agriculture, de l’artisanat, etc.</w:t>
      </w:r>
    </w:p>
    <w:p w:rsidR="00000000" w:rsidRDefault="00000000">
      <w:pPr>
        <w:spacing w:after="240"/>
      </w:pPr>
      <w:r>
        <w:t>13.</w:t>
      </w:r>
      <w:r>
        <w:tab/>
        <w:t xml:space="preserve">L’Inspection du travail est pleinement autonome et peut faire appel, au besoin, à la coopération de la police et de la gendarmerie, ainsi qu’à d’autres organes d’inspection, notamment le Service de la salubrité de l’environnement et l’Inspection de l’Institut de la sécurité sociale. De plus, pour assurer un contrôle et une supervision plus efficaces, la loi </w:t>
      </w:r>
      <w:r>
        <w:rPr>
          <w:rFonts w:eastAsia="MS Mincho"/>
        </w:rPr>
        <w:t>n</w:t>
      </w:r>
      <w:r>
        <w:rPr>
          <w:rFonts w:eastAsia="MS Mincho"/>
          <w:vertAlign w:val="superscript"/>
        </w:rPr>
        <w:t>o</w:t>
      </w:r>
      <w:r>
        <w:t xml:space="preserve"> 131/2005 fait obligation à l’Inspection du travail de prendre régulièrement des mesures spéciales en coordination avec la police et d’autres organismes d’inspection. Saint-Marin n’a pas encore envisagé la possibilité d’adhérer à la Convention </w:t>
      </w:r>
      <w:r>
        <w:rPr>
          <w:rFonts w:eastAsia="MS Mincho"/>
        </w:rPr>
        <w:t>n</w:t>
      </w:r>
      <w:r>
        <w:rPr>
          <w:rFonts w:eastAsia="MS Mincho"/>
          <w:vertAlign w:val="superscript"/>
        </w:rPr>
        <w:t>o</w:t>
      </w:r>
      <w:r>
        <w:t> 81 de l’OIT.</w:t>
      </w:r>
    </w:p>
    <w:p w:rsidR="00000000" w:rsidRDefault="00000000">
      <w:pPr>
        <w:spacing w:after="240"/>
      </w:pPr>
      <w:r>
        <w:t>14.</w:t>
      </w:r>
      <w:r>
        <w:tab/>
        <w:t>Depuis quelques mois, la Commission pour l’égalité des chances examine les questions faisant l’objet de la campagne paneuropéenne pour combattre la violence contre les femmes. La Commission a rencontré la personne responsable de cette campagne et a recueilli de manière informelle des témoignages auprès de personnes intervenant dans ce secteur et de personnes victimes de violence domestique. La Commission a défendu activement la réforme de la loi électorale afin d’obtenir une meilleure représentation des femmes au Parlement (Grand Conseil). Néanmoins, la plupart des partis d’obédience catholique et une minorité de l’aile réformiste n’ont pas soutenu cette initiative.</w:t>
      </w:r>
    </w:p>
    <w:p w:rsidR="00000000" w:rsidRDefault="00000000">
      <w:pPr>
        <w:spacing w:after="240"/>
      </w:pPr>
      <w:r>
        <w:t>15.</w:t>
      </w:r>
      <w:r>
        <w:tab/>
        <w:t>La Commission a demandé aux Secrétariats d’État à la santé, à la justice et à l’éducation de participer à une analyse de l’ensemble de la législation de Saint-Marin afin de repérer tous les domaines où la discrimination persiste. Après cette analyse, un projet de loi visant à éliminer toutes les formes de discrimination qui auront été détectées sera rédigé. La seule plainte déposée auprès de la Commission depuis le 21 novembre 2006 (date de mise en place de la présente législature) concerne la question des allocations familiales et du congé de maternité. Cette plainte, déposée par une mère saint-marinaise, a été examinée par la Commission dans le cadre de l’évaluation de la législation qui doit aboutir à un projet de loi organique contre toutes les formes de discrimination.</w:t>
      </w:r>
    </w:p>
    <w:p w:rsidR="00000000" w:rsidRDefault="00000000">
      <w:pPr>
        <w:spacing w:after="240"/>
      </w:pPr>
      <w:r>
        <w:t>16.</w:t>
      </w:r>
      <w:r>
        <w:tab/>
        <w:t xml:space="preserve">Comme cela a déjà été mentionné au paragraphe 125 du rapport, la loi n’impose pas de restrictions à l’exercice du droit de grève: à l’exception de la loi </w:t>
      </w:r>
      <w:r>
        <w:rPr>
          <w:rFonts w:eastAsia="MS Mincho"/>
        </w:rPr>
        <w:t>n</w:t>
      </w:r>
      <w:r>
        <w:rPr>
          <w:rFonts w:eastAsia="MS Mincho"/>
          <w:vertAlign w:val="superscript"/>
        </w:rPr>
        <w:t>o</w:t>
      </w:r>
      <w:r>
        <w:rPr>
          <w:rFonts w:eastAsia="MS Mincho"/>
        </w:rPr>
        <w:t> </w:t>
      </w:r>
      <w:r>
        <w:t>46 du 22 février 2006, qui modifie l’article 240 du Code pénal, les grèves sont gérées par les partenaires sociaux et les travailleurs sans aucune restriction légale ni réglementation spécifique, de manière à assurer les services de base, par exemple dans le secteur de la santé.</w:t>
      </w:r>
    </w:p>
    <w:p w:rsidR="00000000" w:rsidRDefault="00000000">
      <w:pPr>
        <w:spacing w:after="240"/>
      </w:pPr>
      <w:r>
        <w:t>17.</w:t>
      </w:r>
      <w:r>
        <w:tab/>
        <w:t>On peut se faire une idée de la fréquence des grèves à Saint</w:t>
      </w:r>
      <w:r>
        <w:noBreakHyphen/>
        <w:t>Marin et des secteurs les plus touchés d’après le tableau ci</w:t>
      </w:r>
      <w:r>
        <w:noBreakHyphen/>
        <w:t>dessous, établi par le Bureau de la planification économique et Centre de traitement des données et de statistiques de la République de Saint</w:t>
      </w:r>
      <w:r>
        <w:noBreakHyphen/>
        <w:t>Marin: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1"/>
        <w:gridCol w:w="1943"/>
        <w:gridCol w:w="733"/>
        <w:gridCol w:w="733"/>
        <w:gridCol w:w="733"/>
        <w:gridCol w:w="733"/>
        <w:gridCol w:w="733"/>
        <w:gridCol w:w="733"/>
        <w:gridCol w:w="734"/>
      </w:tblGrid>
      <w:tr w:rsidR="00000000">
        <w:tblPrEx>
          <w:tblCellMar>
            <w:top w:w="0" w:type="dxa"/>
            <w:bottom w:w="0" w:type="dxa"/>
          </w:tblCellMar>
        </w:tblPrEx>
        <w:trPr>
          <w:tblHeader/>
        </w:trPr>
        <w:tc>
          <w:tcPr>
            <w:tcW w:w="2421" w:type="dxa"/>
            <w:tcBorders>
              <w:bottom w:val="single" w:sz="4" w:space="0" w:color="auto"/>
              <w:right w:val="nil"/>
            </w:tcBorders>
            <w:noWrap/>
          </w:tcPr>
          <w:p w:rsidR="00000000" w:rsidRDefault="00000000">
            <w:pPr>
              <w:spacing w:before="60" w:after="60"/>
              <w:rPr>
                <w:b/>
                <w:bCs/>
                <w:sz w:val="18"/>
              </w:rPr>
            </w:pPr>
          </w:p>
        </w:tc>
        <w:tc>
          <w:tcPr>
            <w:tcW w:w="1943" w:type="dxa"/>
            <w:tcBorders>
              <w:left w:val="nil"/>
              <w:bottom w:val="single" w:sz="4" w:space="0" w:color="auto"/>
            </w:tcBorders>
            <w:noWrap/>
            <w:vAlign w:val="center"/>
          </w:tcPr>
          <w:p w:rsidR="00000000" w:rsidRDefault="00000000">
            <w:pPr>
              <w:spacing w:before="60" w:after="60"/>
              <w:jc w:val="center"/>
              <w:rPr>
                <w:sz w:val="18"/>
              </w:rPr>
            </w:pP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2000</w:t>
            </w: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2001</w:t>
            </w: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2002</w:t>
            </w: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2003</w:t>
            </w: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2004</w:t>
            </w:r>
          </w:p>
        </w:tc>
        <w:tc>
          <w:tcPr>
            <w:tcW w:w="733" w:type="dxa"/>
            <w:tcBorders>
              <w:bottom w:val="single" w:sz="4" w:space="0" w:color="auto"/>
            </w:tcBorders>
            <w:noWrap/>
            <w:vAlign w:val="center"/>
          </w:tcPr>
          <w:p w:rsidR="00000000" w:rsidRDefault="00000000">
            <w:pPr>
              <w:spacing w:before="60" w:after="60"/>
              <w:jc w:val="center"/>
              <w:rPr>
                <w:sz w:val="18"/>
              </w:rPr>
            </w:pPr>
            <w:r>
              <w:rPr>
                <w:sz w:val="18"/>
              </w:rPr>
              <w:t>2005</w:t>
            </w:r>
          </w:p>
        </w:tc>
        <w:tc>
          <w:tcPr>
            <w:tcW w:w="734" w:type="dxa"/>
            <w:tcBorders>
              <w:bottom w:val="single" w:sz="4" w:space="0" w:color="auto"/>
            </w:tcBorders>
            <w:noWrap/>
            <w:vAlign w:val="center"/>
          </w:tcPr>
          <w:p w:rsidR="00000000" w:rsidRDefault="00000000">
            <w:pPr>
              <w:spacing w:before="60" w:after="60"/>
              <w:jc w:val="center"/>
              <w:rPr>
                <w:sz w:val="18"/>
              </w:rPr>
            </w:pPr>
            <w:r>
              <w:rPr>
                <w:sz w:val="18"/>
              </w:rPr>
              <w:t>2006</w:t>
            </w:r>
          </w:p>
        </w:tc>
      </w:tr>
      <w:tr w:rsidR="00000000">
        <w:tblPrEx>
          <w:tblCellMar>
            <w:top w:w="0" w:type="dxa"/>
            <w:bottom w:w="0" w:type="dxa"/>
          </w:tblCellMar>
        </w:tblPrEx>
        <w:tc>
          <w:tcPr>
            <w:tcW w:w="2421" w:type="dxa"/>
            <w:tcBorders>
              <w:bottom w:val="single" w:sz="4" w:space="0" w:color="auto"/>
              <w:right w:val="nil"/>
            </w:tcBorders>
            <w:noWrap/>
          </w:tcPr>
          <w:p w:rsidR="00000000" w:rsidRDefault="00000000">
            <w:pPr>
              <w:spacing w:before="60" w:after="60"/>
              <w:rPr>
                <w:b/>
                <w:bCs/>
                <w:sz w:val="18"/>
              </w:rPr>
            </w:pPr>
            <w:r>
              <w:rPr>
                <w:b/>
                <w:bCs/>
                <w:sz w:val="18"/>
              </w:rPr>
              <w:t>Tableau 11/b.10</w:t>
            </w:r>
            <w:r>
              <w:rPr>
                <w:b/>
                <w:bCs/>
                <w:sz w:val="18"/>
              </w:rPr>
              <w:br/>
              <w:t>Conflits du travail</w:t>
            </w:r>
          </w:p>
        </w:tc>
        <w:tc>
          <w:tcPr>
            <w:tcW w:w="194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3" w:type="dxa"/>
            <w:tcBorders>
              <w:left w:val="nil"/>
              <w:right w:val="nil"/>
            </w:tcBorders>
            <w:noWrap/>
            <w:vAlign w:val="center"/>
          </w:tcPr>
          <w:p w:rsidR="00000000" w:rsidRDefault="00000000">
            <w:pPr>
              <w:spacing w:before="60" w:after="60"/>
              <w:jc w:val="center"/>
              <w:rPr>
                <w:sz w:val="18"/>
              </w:rPr>
            </w:pPr>
          </w:p>
        </w:tc>
        <w:tc>
          <w:tcPr>
            <w:tcW w:w="734" w:type="dxa"/>
            <w:tcBorders>
              <w:left w:val="nil"/>
            </w:tcBorders>
            <w:noWrap/>
            <w:vAlign w:val="center"/>
          </w:tcPr>
          <w:p w:rsidR="00000000" w:rsidRDefault="00000000">
            <w:pPr>
              <w:spacing w:before="60" w:after="60"/>
              <w:jc w:val="center"/>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Conflits impliquant:</w:t>
            </w:r>
          </w:p>
        </w:tc>
        <w:tc>
          <w:tcPr>
            <w:tcW w:w="1943" w:type="dxa"/>
            <w:noWrap/>
          </w:tcPr>
          <w:p w:rsidR="00000000" w:rsidRDefault="00000000">
            <w:pPr>
              <w:spacing w:before="60" w:after="60"/>
              <w:rPr>
                <w:sz w:val="18"/>
              </w:rPr>
            </w:pPr>
            <w:r>
              <w:rPr>
                <w:sz w:val="18"/>
              </w:rPr>
              <w:t>Une société</w:t>
            </w:r>
          </w:p>
        </w:tc>
        <w:tc>
          <w:tcPr>
            <w:tcW w:w="733" w:type="dxa"/>
            <w:noWrap/>
            <w:vAlign w:val="bottom"/>
          </w:tcPr>
          <w:p w:rsidR="00000000" w:rsidRDefault="00000000">
            <w:pPr>
              <w:spacing w:before="60" w:after="60"/>
              <w:jc w:val="right"/>
              <w:rPr>
                <w:sz w:val="18"/>
              </w:rPr>
            </w:pPr>
            <w:r>
              <w:rPr>
                <w:sz w:val="18"/>
              </w:rPr>
              <w:t>6</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5</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catégorie</w:t>
            </w:r>
          </w:p>
        </w:tc>
        <w:tc>
          <w:tcPr>
            <w:tcW w:w="733" w:type="dxa"/>
            <w:noWrap/>
            <w:vAlign w:val="bottom"/>
          </w:tcPr>
          <w:p w:rsidR="00000000" w:rsidRDefault="00000000">
            <w:pPr>
              <w:spacing w:before="60" w:after="60"/>
              <w:jc w:val="right"/>
              <w:rPr>
                <w:sz w:val="18"/>
              </w:rPr>
            </w:pPr>
            <w:r>
              <w:rPr>
                <w:sz w:val="18"/>
              </w:rPr>
              <w:t>3</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8</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Plusieurs catégories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5</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b/>
                <w:bCs/>
                <w:sz w:val="18"/>
              </w:rPr>
            </w:pPr>
            <w:r>
              <w:rPr>
                <w:b/>
                <w:bCs/>
                <w:sz w:val="18"/>
              </w:rPr>
              <w:t>Total</w:t>
            </w:r>
          </w:p>
        </w:tc>
        <w:tc>
          <w:tcPr>
            <w:tcW w:w="733" w:type="dxa"/>
            <w:noWrap/>
            <w:vAlign w:val="bottom"/>
          </w:tcPr>
          <w:p w:rsidR="00000000" w:rsidRDefault="00000000">
            <w:pPr>
              <w:spacing w:before="60" w:after="60"/>
              <w:jc w:val="right"/>
              <w:rPr>
                <w:b/>
                <w:bCs/>
                <w:sz w:val="18"/>
              </w:rPr>
            </w:pPr>
            <w:r>
              <w:rPr>
                <w:b/>
                <w:bCs/>
                <w:sz w:val="18"/>
              </w:rPr>
              <w:t>9</w:t>
            </w:r>
          </w:p>
        </w:tc>
        <w:tc>
          <w:tcPr>
            <w:tcW w:w="733" w:type="dxa"/>
            <w:noWrap/>
            <w:vAlign w:val="bottom"/>
          </w:tcPr>
          <w:p w:rsidR="00000000" w:rsidRDefault="00000000">
            <w:pPr>
              <w:spacing w:before="60" w:after="60"/>
              <w:jc w:val="right"/>
              <w:rPr>
                <w:b/>
                <w:bCs/>
                <w:sz w:val="18"/>
              </w:rPr>
            </w:pPr>
            <w:r>
              <w:rPr>
                <w:b/>
                <w:bCs/>
                <w:sz w:val="18"/>
              </w:rPr>
              <w:t>2</w:t>
            </w:r>
          </w:p>
        </w:tc>
        <w:tc>
          <w:tcPr>
            <w:tcW w:w="733" w:type="dxa"/>
            <w:noWrap/>
            <w:vAlign w:val="bottom"/>
          </w:tcPr>
          <w:p w:rsidR="00000000" w:rsidRDefault="00000000">
            <w:pPr>
              <w:spacing w:before="60" w:after="60"/>
              <w:jc w:val="right"/>
              <w:rPr>
                <w:b/>
                <w:bCs/>
                <w:sz w:val="18"/>
              </w:rPr>
            </w:pPr>
            <w:r>
              <w:rPr>
                <w:b/>
                <w:bCs/>
                <w:sz w:val="18"/>
              </w:rPr>
              <w:t>13</w:t>
            </w:r>
          </w:p>
        </w:tc>
        <w:tc>
          <w:tcPr>
            <w:tcW w:w="733" w:type="dxa"/>
            <w:noWrap/>
            <w:vAlign w:val="bottom"/>
          </w:tcPr>
          <w:p w:rsidR="00000000" w:rsidRDefault="00000000">
            <w:pPr>
              <w:spacing w:before="60" w:after="60"/>
              <w:jc w:val="right"/>
              <w:rPr>
                <w:b/>
                <w:bCs/>
                <w:sz w:val="18"/>
              </w:rPr>
            </w:pPr>
            <w:r>
              <w:rPr>
                <w:b/>
                <w:bCs/>
                <w:sz w:val="18"/>
              </w:rPr>
              <w:t>7</w:t>
            </w:r>
          </w:p>
        </w:tc>
        <w:tc>
          <w:tcPr>
            <w:tcW w:w="733" w:type="dxa"/>
            <w:noWrap/>
            <w:vAlign w:val="bottom"/>
          </w:tcPr>
          <w:p w:rsidR="00000000" w:rsidRDefault="00000000">
            <w:pPr>
              <w:spacing w:before="60" w:after="60"/>
              <w:jc w:val="right"/>
              <w:rPr>
                <w:b/>
                <w:bCs/>
                <w:sz w:val="18"/>
              </w:rPr>
            </w:pPr>
            <w:r>
              <w:rPr>
                <w:b/>
                <w:bCs/>
                <w:sz w:val="18"/>
              </w:rPr>
              <w:t>1</w:t>
            </w:r>
          </w:p>
        </w:tc>
        <w:tc>
          <w:tcPr>
            <w:tcW w:w="733" w:type="dxa"/>
            <w:noWrap/>
            <w:vAlign w:val="bottom"/>
          </w:tcPr>
          <w:p w:rsidR="00000000" w:rsidRDefault="00000000">
            <w:pPr>
              <w:spacing w:before="60" w:after="60"/>
              <w:jc w:val="right"/>
              <w:rPr>
                <w:b/>
                <w:bCs/>
                <w:sz w:val="18"/>
              </w:rPr>
            </w:pPr>
            <w:r>
              <w:rPr>
                <w:b/>
                <w:bCs/>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keepNext/>
              <w:spacing w:before="60" w:after="60"/>
              <w:rPr>
                <w:sz w:val="18"/>
              </w:rPr>
            </w:pPr>
            <w:r>
              <w:rPr>
                <w:sz w:val="18"/>
              </w:rPr>
              <w:t>Travailleurs participant à des conflits impliquant:</w:t>
            </w:r>
          </w:p>
        </w:tc>
        <w:tc>
          <w:tcPr>
            <w:tcW w:w="1943" w:type="dxa"/>
            <w:noWrap/>
          </w:tcPr>
          <w:p w:rsidR="00000000" w:rsidRDefault="00000000">
            <w:pPr>
              <w:spacing w:before="60" w:after="60"/>
              <w:rPr>
                <w:sz w:val="18"/>
              </w:rPr>
            </w:pPr>
            <w:r>
              <w:rPr>
                <w:sz w:val="18"/>
              </w:rPr>
              <w:t>Une société</w:t>
            </w:r>
          </w:p>
        </w:tc>
        <w:tc>
          <w:tcPr>
            <w:tcW w:w="733" w:type="dxa"/>
            <w:noWrap/>
            <w:vAlign w:val="bottom"/>
          </w:tcPr>
          <w:p w:rsidR="00000000" w:rsidRDefault="00000000">
            <w:pPr>
              <w:spacing w:before="60" w:after="60"/>
              <w:jc w:val="right"/>
              <w:rPr>
                <w:sz w:val="18"/>
              </w:rPr>
            </w:pPr>
            <w:r>
              <w:rPr>
                <w:sz w:val="18"/>
              </w:rPr>
              <w:t>374</w:t>
            </w:r>
          </w:p>
        </w:tc>
        <w:tc>
          <w:tcPr>
            <w:tcW w:w="733" w:type="dxa"/>
            <w:noWrap/>
            <w:vAlign w:val="bottom"/>
          </w:tcPr>
          <w:p w:rsidR="00000000" w:rsidRDefault="00000000">
            <w:pPr>
              <w:spacing w:before="60" w:after="60"/>
              <w:jc w:val="right"/>
              <w:rPr>
                <w:sz w:val="18"/>
              </w:rPr>
            </w:pPr>
            <w:r>
              <w:rPr>
                <w:sz w:val="18"/>
              </w:rPr>
              <w:t>15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133</w:t>
            </w:r>
          </w:p>
        </w:tc>
        <w:tc>
          <w:tcPr>
            <w:tcW w:w="733" w:type="dxa"/>
            <w:noWrap/>
            <w:vAlign w:val="bottom"/>
          </w:tcPr>
          <w:p w:rsidR="00000000" w:rsidRDefault="00000000">
            <w:pPr>
              <w:spacing w:before="60" w:after="60"/>
              <w:jc w:val="right"/>
              <w:rPr>
                <w:sz w:val="18"/>
              </w:rPr>
            </w:pPr>
            <w:r>
              <w:rPr>
                <w:sz w:val="18"/>
              </w:rPr>
              <w:t>70</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catégorie</w:t>
            </w:r>
          </w:p>
        </w:tc>
        <w:tc>
          <w:tcPr>
            <w:tcW w:w="733" w:type="dxa"/>
            <w:noWrap/>
            <w:vAlign w:val="bottom"/>
          </w:tcPr>
          <w:p w:rsidR="00000000" w:rsidRDefault="00000000">
            <w:pPr>
              <w:spacing w:before="60" w:after="60"/>
              <w:jc w:val="right"/>
              <w:rPr>
                <w:sz w:val="18"/>
              </w:rPr>
            </w:pPr>
            <w:r>
              <w:rPr>
                <w:sz w:val="18"/>
              </w:rPr>
              <w:t>2 800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45 300</w:t>
            </w:r>
          </w:p>
        </w:tc>
        <w:tc>
          <w:tcPr>
            <w:tcW w:w="733" w:type="dxa"/>
            <w:noWrap/>
            <w:vAlign w:val="bottom"/>
          </w:tcPr>
          <w:p w:rsidR="00000000" w:rsidRDefault="00000000">
            <w:pPr>
              <w:spacing w:before="60" w:after="60"/>
              <w:jc w:val="right"/>
              <w:rPr>
                <w:sz w:val="18"/>
              </w:rPr>
            </w:pPr>
            <w:r>
              <w:rPr>
                <w:sz w:val="18"/>
              </w:rPr>
              <w:t>15</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Plusieurs catégories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5 000</w:t>
            </w:r>
          </w:p>
        </w:tc>
        <w:tc>
          <w:tcPr>
            <w:tcW w:w="733" w:type="dxa"/>
            <w:noWrap/>
            <w:vAlign w:val="bottom"/>
          </w:tcPr>
          <w:p w:rsidR="00000000" w:rsidRDefault="00000000">
            <w:pPr>
              <w:spacing w:before="60" w:after="60"/>
              <w:jc w:val="right"/>
              <w:rPr>
                <w:sz w:val="18"/>
              </w:rPr>
            </w:pPr>
            <w:r>
              <w:rPr>
                <w:sz w:val="18"/>
              </w:rPr>
              <w:t>26 000</w:t>
            </w:r>
          </w:p>
        </w:tc>
        <w:tc>
          <w:tcPr>
            <w:tcW w:w="733" w:type="dxa"/>
            <w:noWrap/>
            <w:vAlign w:val="bottom"/>
          </w:tcPr>
          <w:p w:rsidR="00000000" w:rsidRDefault="00000000">
            <w:pPr>
              <w:spacing w:before="60" w:after="60"/>
              <w:jc w:val="right"/>
              <w:rPr>
                <w:sz w:val="18"/>
              </w:rPr>
            </w:pPr>
            <w:r>
              <w:rPr>
                <w:sz w:val="18"/>
              </w:rPr>
              <w:t>2 000</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b/>
                <w:bCs/>
                <w:sz w:val="18"/>
              </w:rPr>
            </w:pPr>
            <w:r>
              <w:rPr>
                <w:b/>
                <w:bCs/>
                <w:sz w:val="18"/>
              </w:rPr>
              <w:t>Total</w:t>
            </w:r>
          </w:p>
        </w:tc>
        <w:tc>
          <w:tcPr>
            <w:tcW w:w="733" w:type="dxa"/>
            <w:noWrap/>
            <w:vAlign w:val="bottom"/>
          </w:tcPr>
          <w:p w:rsidR="00000000" w:rsidRDefault="00000000">
            <w:pPr>
              <w:spacing w:before="60" w:after="60"/>
              <w:jc w:val="right"/>
              <w:rPr>
                <w:b/>
                <w:bCs/>
                <w:sz w:val="18"/>
              </w:rPr>
            </w:pPr>
            <w:r>
              <w:rPr>
                <w:b/>
                <w:bCs/>
                <w:sz w:val="18"/>
              </w:rPr>
              <w:t>3 174</w:t>
            </w:r>
          </w:p>
        </w:tc>
        <w:tc>
          <w:tcPr>
            <w:tcW w:w="733" w:type="dxa"/>
            <w:noWrap/>
            <w:vAlign w:val="bottom"/>
          </w:tcPr>
          <w:p w:rsidR="00000000" w:rsidRDefault="00000000">
            <w:pPr>
              <w:spacing w:before="60" w:after="60"/>
              <w:jc w:val="right"/>
              <w:rPr>
                <w:b/>
                <w:bCs/>
                <w:sz w:val="18"/>
              </w:rPr>
            </w:pPr>
            <w:r>
              <w:rPr>
                <w:b/>
                <w:bCs/>
                <w:sz w:val="18"/>
              </w:rPr>
              <w:t>5 015</w:t>
            </w:r>
          </w:p>
        </w:tc>
        <w:tc>
          <w:tcPr>
            <w:tcW w:w="733" w:type="dxa"/>
            <w:noWrap/>
            <w:vAlign w:val="bottom"/>
          </w:tcPr>
          <w:p w:rsidR="00000000" w:rsidRDefault="00000000">
            <w:pPr>
              <w:spacing w:before="60" w:after="60"/>
              <w:jc w:val="right"/>
              <w:rPr>
                <w:b/>
                <w:bCs/>
                <w:sz w:val="18"/>
              </w:rPr>
            </w:pPr>
            <w:r>
              <w:rPr>
                <w:b/>
                <w:bCs/>
                <w:sz w:val="18"/>
              </w:rPr>
              <w:t>71 300</w:t>
            </w:r>
          </w:p>
        </w:tc>
        <w:tc>
          <w:tcPr>
            <w:tcW w:w="733" w:type="dxa"/>
            <w:noWrap/>
            <w:vAlign w:val="bottom"/>
          </w:tcPr>
          <w:p w:rsidR="00000000" w:rsidRDefault="00000000">
            <w:pPr>
              <w:spacing w:before="60" w:after="60"/>
              <w:jc w:val="right"/>
              <w:rPr>
                <w:b/>
                <w:bCs/>
                <w:sz w:val="18"/>
              </w:rPr>
            </w:pPr>
            <w:r>
              <w:rPr>
                <w:b/>
                <w:bCs/>
                <w:sz w:val="18"/>
              </w:rPr>
              <w:t>2 148</w:t>
            </w:r>
          </w:p>
        </w:tc>
        <w:tc>
          <w:tcPr>
            <w:tcW w:w="733" w:type="dxa"/>
            <w:noWrap/>
            <w:vAlign w:val="bottom"/>
          </w:tcPr>
          <w:p w:rsidR="00000000" w:rsidRDefault="00000000">
            <w:pPr>
              <w:spacing w:before="60" w:after="60"/>
              <w:jc w:val="right"/>
              <w:rPr>
                <w:b/>
                <w:bCs/>
                <w:sz w:val="18"/>
              </w:rPr>
            </w:pPr>
            <w:r>
              <w:rPr>
                <w:b/>
                <w:bCs/>
                <w:sz w:val="18"/>
              </w:rPr>
              <w:t>70</w:t>
            </w:r>
          </w:p>
        </w:tc>
        <w:tc>
          <w:tcPr>
            <w:tcW w:w="733" w:type="dxa"/>
            <w:noWrap/>
            <w:vAlign w:val="bottom"/>
          </w:tcPr>
          <w:p w:rsidR="00000000" w:rsidRDefault="00000000">
            <w:pPr>
              <w:spacing w:before="60" w:after="60"/>
              <w:jc w:val="right"/>
              <w:rPr>
                <w:b/>
                <w:bCs/>
                <w:sz w:val="18"/>
              </w:rPr>
            </w:pPr>
            <w:r>
              <w:rPr>
                <w:b/>
                <w:bCs/>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Heures de travail perdues en raison de conflits impliquant:</w:t>
            </w:r>
          </w:p>
        </w:tc>
        <w:tc>
          <w:tcPr>
            <w:tcW w:w="1943" w:type="dxa"/>
            <w:noWrap/>
          </w:tcPr>
          <w:p w:rsidR="00000000" w:rsidRDefault="00000000">
            <w:pPr>
              <w:spacing w:before="60" w:after="60"/>
              <w:rPr>
                <w:sz w:val="18"/>
              </w:rPr>
            </w:pPr>
            <w:r>
              <w:rPr>
                <w:sz w:val="18"/>
              </w:rPr>
              <w:t>Une société</w:t>
            </w:r>
          </w:p>
        </w:tc>
        <w:tc>
          <w:tcPr>
            <w:tcW w:w="733" w:type="dxa"/>
            <w:noWrap/>
            <w:vAlign w:val="bottom"/>
          </w:tcPr>
          <w:p w:rsidR="00000000" w:rsidRDefault="00000000">
            <w:pPr>
              <w:spacing w:before="60" w:after="60"/>
              <w:jc w:val="right"/>
              <w:rPr>
                <w:sz w:val="18"/>
              </w:rPr>
            </w:pPr>
            <w:r>
              <w:rPr>
                <w:sz w:val="18"/>
              </w:rPr>
              <w:t>7 468</w:t>
            </w:r>
          </w:p>
        </w:tc>
        <w:tc>
          <w:tcPr>
            <w:tcW w:w="733" w:type="dxa"/>
            <w:noWrap/>
            <w:vAlign w:val="bottom"/>
          </w:tcPr>
          <w:p w:rsidR="00000000" w:rsidRDefault="00000000">
            <w:pPr>
              <w:spacing w:before="60" w:after="60"/>
              <w:jc w:val="right"/>
              <w:rPr>
                <w:sz w:val="18"/>
              </w:rPr>
            </w:pPr>
            <w:r>
              <w:rPr>
                <w:sz w:val="18"/>
              </w:rPr>
              <w:t>45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1 230</w:t>
            </w:r>
          </w:p>
        </w:tc>
        <w:tc>
          <w:tcPr>
            <w:tcW w:w="733" w:type="dxa"/>
            <w:noWrap/>
            <w:vAlign w:val="bottom"/>
          </w:tcPr>
          <w:p w:rsidR="00000000" w:rsidRDefault="00000000">
            <w:pPr>
              <w:spacing w:before="60" w:after="60"/>
              <w:jc w:val="right"/>
              <w:rPr>
                <w:sz w:val="18"/>
              </w:rPr>
            </w:pPr>
            <w:r>
              <w:rPr>
                <w:sz w:val="18"/>
              </w:rPr>
              <w:t>3 500</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catégorie</w:t>
            </w:r>
          </w:p>
        </w:tc>
        <w:tc>
          <w:tcPr>
            <w:tcW w:w="733" w:type="dxa"/>
            <w:noWrap/>
            <w:vAlign w:val="bottom"/>
          </w:tcPr>
          <w:p w:rsidR="00000000" w:rsidRDefault="00000000">
            <w:pPr>
              <w:spacing w:before="60" w:after="60"/>
              <w:jc w:val="right"/>
              <w:rPr>
                <w:sz w:val="18"/>
              </w:rPr>
            </w:pPr>
            <w:r>
              <w:rPr>
                <w:sz w:val="18"/>
              </w:rPr>
              <w:t>24 200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332 520</w:t>
            </w:r>
          </w:p>
        </w:tc>
        <w:tc>
          <w:tcPr>
            <w:tcW w:w="733" w:type="dxa"/>
            <w:noWrap/>
            <w:vAlign w:val="bottom"/>
          </w:tcPr>
          <w:p w:rsidR="00000000" w:rsidRDefault="00000000">
            <w:pPr>
              <w:spacing w:before="60" w:after="60"/>
              <w:jc w:val="right"/>
              <w:rPr>
                <w:sz w:val="18"/>
              </w:rPr>
            </w:pPr>
            <w:r>
              <w:rPr>
                <w:sz w:val="18"/>
              </w:rPr>
              <w:t>113</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24 000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Plusieurs catégories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20 000</w:t>
            </w:r>
          </w:p>
        </w:tc>
        <w:tc>
          <w:tcPr>
            <w:tcW w:w="733" w:type="dxa"/>
            <w:noWrap/>
            <w:vAlign w:val="bottom"/>
          </w:tcPr>
          <w:p w:rsidR="00000000" w:rsidRDefault="00000000">
            <w:pPr>
              <w:spacing w:before="60" w:after="60"/>
              <w:jc w:val="right"/>
              <w:rPr>
                <w:sz w:val="18"/>
              </w:rPr>
            </w:pPr>
            <w:r>
              <w:rPr>
                <w:sz w:val="18"/>
              </w:rPr>
              <w:t>122 000</w:t>
            </w:r>
          </w:p>
        </w:tc>
        <w:tc>
          <w:tcPr>
            <w:tcW w:w="733" w:type="dxa"/>
            <w:noWrap/>
            <w:vAlign w:val="bottom"/>
          </w:tcPr>
          <w:p w:rsidR="00000000" w:rsidRDefault="00000000">
            <w:pPr>
              <w:spacing w:before="60" w:after="60"/>
              <w:jc w:val="right"/>
              <w:rPr>
                <w:sz w:val="18"/>
              </w:rPr>
            </w:pPr>
            <w:r>
              <w:rPr>
                <w:sz w:val="18"/>
              </w:rPr>
              <w:t>6 000</w:t>
            </w:r>
          </w:p>
        </w:tc>
        <w:tc>
          <w:tcPr>
            <w:tcW w:w="733" w:type="dxa"/>
            <w:noWrap/>
            <w:vAlign w:val="bottom"/>
          </w:tcPr>
          <w:p w:rsidR="00000000" w:rsidRDefault="00000000">
            <w:pPr>
              <w:spacing w:before="60" w:after="60"/>
              <w:jc w:val="right"/>
              <w:rPr>
                <w:sz w:val="18"/>
              </w:rPr>
            </w:pPr>
            <w:r>
              <w:rPr>
                <w:sz w:val="18"/>
              </w:rPr>
              <w:t>0</w:t>
            </w:r>
          </w:p>
        </w:tc>
        <w:tc>
          <w:tcPr>
            <w:tcW w:w="733" w:type="dxa"/>
            <w:noWrap/>
            <w:vAlign w:val="bottom"/>
          </w:tcPr>
          <w:p w:rsidR="00000000" w:rsidRDefault="00000000">
            <w:pPr>
              <w:spacing w:before="60" w:after="60"/>
              <w:jc w:val="right"/>
              <w:rPr>
                <w:sz w:val="18"/>
              </w:rPr>
            </w:pPr>
            <w:r>
              <w:rPr>
                <w:sz w:val="18"/>
              </w:rPr>
              <w:t>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tcBorders>
              <w:bottom w:val="single" w:sz="4" w:space="0" w:color="auto"/>
            </w:tcBorders>
            <w:noWrap/>
          </w:tcPr>
          <w:p w:rsidR="00000000" w:rsidRDefault="00000000">
            <w:pPr>
              <w:spacing w:before="60" w:after="60"/>
              <w:rPr>
                <w:b/>
                <w:bCs/>
                <w:sz w:val="18"/>
              </w:rPr>
            </w:pPr>
            <w:r>
              <w:rPr>
                <w:b/>
                <w:bCs/>
                <w:sz w:val="18"/>
              </w:rPr>
              <w:t>Total</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31 688</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20 045</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454 520</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7 343</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3 500</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24 000</w:t>
            </w:r>
          </w:p>
        </w:tc>
        <w:tc>
          <w:tcPr>
            <w:tcW w:w="734" w:type="dxa"/>
            <w:tcBorders>
              <w:bottom w:val="single" w:sz="4" w:space="0" w:color="auto"/>
            </w:tcBorders>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single" w:sz="4" w:space="0" w:color="auto"/>
              <w:right w:val="nil"/>
            </w:tcBorders>
            <w:noWrap/>
          </w:tcPr>
          <w:p w:rsidR="00000000" w:rsidRDefault="00000000">
            <w:pPr>
              <w:keepNext/>
              <w:spacing w:before="60" w:after="60"/>
              <w:rPr>
                <w:b/>
                <w:bCs/>
                <w:sz w:val="18"/>
              </w:rPr>
            </w:pPr>
            <w:r>
              <w:rPr>
                <w:b/>
                <w:bCs/>
                <w:sz w:val="18"/>
              </w:rPr>
              <w:t>Tableau 11/b.11</w:t>
            </w:r>
            <w:r>
              <w:rPr>
                <w:b/>
                <w:bCs/>
                <w:sz w:val="18"/>
              </w:rPr>
              <w:br/>
              <w:t>Conflits du travail</w:t>
            </w:r>
            <w:r>
              <w:rPr>
                <w:b/>
                <w:bCs/>
                <w:sz w:val="18"/>
              </w:rPr>
              <w:br/>
              <w:t>classés par cause</w:t>
            </w:r>
          </w:p>
        </w:tc>
        <w:tc>
          <w:tcPr>
            <w:tcW w:w="1943" w:type="dxa"/>
            <w:tcBorders>
              <w:left w:val="nil"/>
              <w:right w:val="nil"/>
            </w:tcBorders>
            <w:noWrap/>
          </w:tcPr>
          <w:p w:rsidR="00000000" w:rsidRDefault="00000000">
            <w:pPr>
              <w:spacing w:before="60" w:after="60"/>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4" w:type="dxa"/>
            <w:tcBorders>
              <w:left w:val="nil"/>
            </w:tcBorders>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Nombre de cas concernant:</w:t>
            </w:r>
          </w:p>
        </w:tc>
        <w:tc>
          <w:tcPr>
            <w:tcW w:w="1943" w:type="dxa"/>
            <w:noWrap/>
          </w:tcPr>
          <w:p w:rsidR="00000000" w:rsidRDefault="00000000">
            <w:pPr>
              <w:spacing w:before="60" w:after="60"/>
              <w:rPr>
                <w:sz w:val="18"/>
              </w:rPr>
            </w:pPr>
            <w:r>
              <w:rPr>
                <w:sz w:val="18"/>
              </w:rPr>
              <w:t>Des licenciements</w:t>
            </w:r>
          </w:p>
        </w:tc>
        <w:tc>
          <w:tcPr>
            <w:tcW w:w="733" w:type="dxa"/>
            <w:noWrap/>
            <w:vAlign w:val="bottom"/>
          </w:tcPr>
          <w:p w:rsidR="00000000" w:rsidRDefault="00000000">
            <w:pPr>
              <w:spacing w:before="60" w:after="60"/>
              <w:jc w:val="right"/>
              <w:rPr>
                <w:sz w:val="18"/>
              </w:rPr>
            </w:pPr>
            <w:r>
              <w:rPr>
                <w:sz w:val="18"/>
              </w:rPr>
              <w:t>2</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Le renouvellement du contrat de travail</w:t>
            </w:r>
          </w:p>
        </w:tc>
        <w:tc>
          <w:tcPr>
            <w:tcW w:w="733" w:type="dxa"/>
            <w:noWrap/>
            <w:vAlign w:val="bottom"/>
          </w:tcPr>
          <w:p w:rsidR="00000000" w:rsidRDefault="00000000">
            <w:pPr>
              <w:spacing w:before="60" w:after="60"/>
              <w:jc w:val="right"/>
              <w:rPr>
                <w:sz w:val="18"/>
              </w:rPr>
            </w:pPr>
            <w:r>
              <w:rPr>
                <w:sz w:val="18"/>
              </w:rPr>
              <w:t>6</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12</w:t>
            </w:r>
          </w:p>
        </w:tc>
        <w:tc>
          <w:tcPr>
            <w:tcW w:w="733" w:type="dxa"/>
            <w:noWrap/>
            <w:vAlign w:val="bottom"/>
          </w:tcPr>
          <w:p w:rsidR="00000000" w:rsidRDefault="00000000">
            <w:pPr>
              <w:spacing w:before="60" w:after="60"/>
              <w:jc w:val="right"/>
              <w:rPr>
                <w:sz w:val="18"/>
              </w:rPr>
            </w:pPr>
            <w:r>
              <w:rPr>
                <w:sz w:val="18"/>
              </w:rPr>
              <w:t>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La suspension de travailleurs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revendication économique</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Autres causes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2</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b/>
                <w:bCs/>
                <w:sz w:val="18"/>
              </w:rPr>
            </w:pPr>
            <w:r>
              <w:rPr>
                <w:b/>
                <w:bCs/>
                <w:sz w:val="18"/>
              </w:rPr>
              <w:t>Total</w:t>
            </w:r>
          </w:p>
        </w:tc>
        <w:tc>
          <w:tcPr>
            <w:tcW w:w="733" w:type="dxa"/>
            <w:noWrap/>
            <w:vAlign w:val="bottom"/>
          </w:tcPr>
          <w:p w:rsidR="00000000" w:rsidRDefault="00000000">
            <w:pPr>
              <w:spacing w:before="60" w:after="60"/>
              <w:jc w:val="right"/>
              <w:rPr>
                <w:b/>
                <w:bCs/>
                <w:sz w:val="18"/>
              </w:rPr>
            </w:pPr>
            <w:r>
              <w:rPr>
                <w:b/>
                <w:bCs/>
                <w:sz w:val="18"/>
              </w:rPr>
              <w:t>9</w:t>
            </w:r>
          </w:p>
        </w:tc>
        <w:tc>
          <w:tcPr>
            <w:tcW w:w="733" w:type="dxa"/>
            <w:noWrap/>
            <w:vAlign w:val="bottom"/>
          </w:tcPr>
          <w:p w:rsidR="00000000" w:rsidRDefault="00000000">
            <w:pPr>
              <w:spacing w:before="60" w:after="60"/>
              <w:jc w:val="right"/>
              <w:rPr>
                <w:b/>
                <w:bCs/>
                <w:sz w:val="18"/>
              </w:rPr>
            </w:pPr>
            <w:r>
              <w:rPr>
                <w:b/>
                <w:bCs/>
                <w:sz w:val="18"/>
              </w:rPr>
              <w:t>2</w:t>
            </w:r>
          </w:p>
        </w:tc>
        <w:tc>
          <w:tcPr>
            <w:tcW w:w="733" w:type="dxa"/>
            <w:noWrap/>
            <w:vAlign w:val="bottom"/>
          </w:tcPr>
          <w:p w:rsidR="00000000" w:rsidRDefault="00000000">
            <w:pPr>
              <w:spacing w:before="60" w:after="60"/>
              <w:jc w:val="right"/>
              <w:rPr>
                <w:b/>
                <w:bCs/>
                <w:sz w:val="18"/>
              </w:rPr>
            </w:pPr>
            <w:r>
              <w:rPr>
                <w:b/>
                <w:bCs/>
                <w:sz w:val="18"/>
              </w:rPr>
              <w:t>13</w:t>
            </w:r>
          </w:p>
        </w:tc>
        <w:tc>
          <w:tcPr>
            <w:tcW w:w="733" w:type="dxa"/>
            <w:noWrap/>
            <w:vAlign w:val="bottom"/>
          </w:tcPr>
          <w:p w:rsidR="00000000" w:rsidRDefault="00000000">
            <w:pPr>
              <w:spacing w:before="60" w:after="60"/>
              <w:jc w:val="right"/>
              <w:rPr>
                <w:b/>
                <w:bCs/>
                <w:sz w:val="18"/>
              </w:rPr>
            </w:pPr>
            <w:r>
              <w:rPr>
                <w:b/>
                <w:bCs/>
                <w:sz w:val="18"/>
              </w:rPr>
              <w:t>7</w:t>
            </w:r>
          </w:p>
        </w:tc>
        <w:tc>
          <w:tcPr>
            <w:tcW w:w="733" w:type="dxa"/>
            <w:noWrap/>
            <w:vAlign w:val="bottom"/>
          </w:tcPr>
          <w:p w:rsidR="00000000" w:rsidRDefault="00000000">
            <w:pPr>
              <w:spacing w:before="60" w:after="60"/>
              <w:jc w:val="right"/>
              <w:rPr>
                <w:b/>
                <w:bCs/>
                <w:sz w:val="18"/>
              </w:rPr>
            </w:pPr>
            <w:r>
              <w:rPr>
                <w:b/>
                <w:bCs/>
                <w:sz w:val="18"/>
              </w:rPr>
              <w:t>1</w:t>
            </w:r>
          </w:p>
        </w:tc>
        <w:tc>
          <w:tcPr>
            <w:tcW w:w="733" w:type="dxa"/>
            <w:noWrap/>
            <w:vAlign w:val="bottom"/>
          </w:tcPr>
          <w:p w:rsidR="00000000" w:rsidRDefault="00000000">
            <w:pPr>
              <w:spacing w:before="60" w:after="60"/>
              <w:jc w:val="right"/>
              <w:rPr>
                <w:b/>
                <w:bCs/>
                <w:sz w:val="18"/>
              </w:rPr>
            </w:pPr>
            <w:r>
              <w:rPr>
                <w:b/>
                <w:bCs/>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Travailleurs impliqués dans des conflits concernant:</w:t>
            </w:r>
          </w:p>
        </w:tc>
        <w:tc>
          <w:tcPr>
            <w:tcW w:w="1943" w:type="dxa"/>
            <w:noWrap/>
          </w:tcPr>
          <w:p w:rsidR="00000000" w:rsidRDefault="00000000">
            <w:pPr>
              <w:spacing w:before="60" w:after="60"/>
              <w:rPr>
                <w:sz w:val="18"/>
              </w:rPr>
            </w:pPr>
            <w:r>
              <w:rPr>
                <w:sz w:val="18"/>
              </w:rPr>
              <w:t>Des licenciements</w:t>
            </w:r>
          </w:p>
        </w:tc>
        <w:tc>
          <w:tcPr>
            <w:tcW w:w="733" w:type="dxa"/>
            <w:noWrap/>
            <w:vAlign w:val="bottom"/>
          </w:tcPr>
          <w:p w:rsidR="00000000" w:rsidRDefault="00000000">
            <w:pPr>
              <w:spacing w:before="60" w:after="60"/>
              <w:jc w:val="right"/>
              <w:rPr>
                <w:sz w:val="18"/>
              </w:rPr>
            </w:pPr>
            <w:r>
              <w:rPr>
                <w:sz w:val="18"/>
              </w:rPr>
              <w:t>104</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Le renouvellement du contrat de travail</w:t>
            </w:r>
          </w:p>
        </w:tc>
        <w:tc>
          <w:tcPr>
            <w:tcW w:w="733" w:type="dxa"/>
            <w:noWrap/>
            <w:vAlign w:val="bottom"/>
          </w:tcPr>
          <w:p w:rsidR="00000000" w:rsidRDefault="00000000">
            <w:pPr>
              <w:spacing w:before="60" w:after="60"/>
              <w:jc w:val="right"/>
              <w:rPr>
                <w:sz w:val="18"/>
              </w:rPr>
            </w:pPr>
            <w:r>
              <w:rPr>
                <w:sz w:val="18"/>
              </w:rPr>
              <w:t>3 040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67 300</w:t>
            </w:r>
          </w:p>
        </w:tc>
        <w:tc>
          <w:tcPr>
            <w:tcW w:w="733" w:type="dxa"/>
            <w:noWrap/>
            <w:vAlign w:val="bottom"/>
          </w:tcPr>
          <w:p w:rsidR="00000000" w:rsidRDefault="00000000">
            <w:pPr>
              <w:spacing w:before="60" w:after="60"/>
              <w:jc w:val="right"/>
              <w:rPr>
                <w:sz w:val="18"/>
              </w:rPr>
            </w:pPr>
            <w:r>
              <w:rPr>
                <w:sz w:val="18"/>
              </w:rPr>
              <w:t>78</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La suspension de travailleurs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revendication économique</w:t>
            </w:r>
          </w:p>
        </w:tc>
        <w:tc>
          <w:tcPr>
            <w:tcW w:w="733" w:type="dxa"/>
            <w:noWrap/>
            <w:vAlign w:val="bottom"/>
          </w:tcPr>
          <w:p w:rsidR="00000000" w:rsidRDefault="00000000">
            <w:pPr>
              <w:spacing w:before="60" w:after="60"/>
              <w:jc w:val="right"/>
              <w:rPr>
                <w:sz w:val="18"/>
              </w:rPr>
            </w:pPr>
            <w:r>
              <w:rPr>
                <w:sz w:val="18"/>
              </w:rPr>
              <w:t>30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Autres causes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5 000</w:t>
            </w:r>
          </w:p>
        </w:tc>
        <w:tc>
          <w:tcPr>
            <w:tcW w:w="733" w:type="dxa"/>
            <w:noWrap/>
            <w:vAlign w:val="bottom"/>
          </w:tcPr>
          <w:p w:rsidR="00000000" w:rsidRDefault="00000000">
            <w:pPr>
              <w:spacing w:before="60" w:after="60"/>
              <w:jc w:val="right"/>
              <w:rPr>
                <w:sz w:val="18"/>
              </w:rPr>
            </w:pPr>
            <w:r>
              <w:rPr>
                <w:sz w:val="18"/>
              </w:rPr>
              <w:t>4 000</w:t>
            </w:r>
          </w:p>
        </w:tc>
        <w:tc>
          <w:tcPr>
            <w:tcW w:w="733" w:type="dxa"/>
            <w:noWrap/>
            <w:vAlign w:val="bottom"/>
          </w:tcPr>
          <w:p w:rsidR="00000000" w:rsidRDefault="00000000">
            <w:pPr>
              <w:spacing w:before="60" w:after="60"/>
              <w:jc w:val="right"/>
              <w:rPr>
                <w:sz w:val="18"/>
              </w:rPr>
            </w:pPr>
            <w:r>
              <w:rPr>
                <w:sz w:val="18"/>
              </w:rPr>
              <w:t>2 070</w:t>
            </w:r>
          </w:p>
        </w:tc>
        <w:tc>
          <w:tcPr>
            <w:tcW w:w="733" w:type="dxa"/>
            <w:noWrap/>
            <w:vAlign w:val="bottom"/>
          </w:tcPr>
          <w:p w:rsidR="00000000" w:rsidRDefault="00000000">
            <w:pPr>
              <w:spacing w:before="60" w:after="60"/>
              <w:jc w:val="right"/>
              <w:rPr>
                <w:sz w:val="18"/>
              </w:rPr>
            </w:pPr>
            <w:r>
              <w:rPr>
                <w:sz w:val="18"/>
              </w:rPr>
              <w:t>70</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b/>
                <w:bCs/>
                <w:sz w:val="18"/>
              </w:rPr>
            </w:pPr>
            <w:r>
              <w:rPr>
                <w:b/>
                <w:bCs/>
                <w:sz w:val="18"/>
              </w:rPr>
              <w:t>Total</w:t>
            </w:r>
          </w:p>
        </w:tc>
        <w:tc>
          <w:tcPr>
            <w:tcW w:w="733" w:type="dxa"/>
            <w:noWrap/>
            <w:vAlign w:val="bottom"/>
          </w:tcPr>
          <w:p w:rsidR="00000000" w:rsidRDefault="00000000">
            <w:pPr>
              <w:spacing w:before="60" w:after="60"/>
              <w:jc w:val="right"/>
              <w:rPr>
                <w:b/>
                <w:bCs/>
                <w:sz w:val="18"/>
              </w:rPr>
            </w:pPr>
            <w:r>
              <w:rPr>
                <w:b/>
                <w:bCs/>
                <w:sz w:val="18"/>
              </w:rPr>
              <w:t>3 174</w:t>
            </w:r>
          </w:p>
        </w:tc>
        <w:tc>
          <w:tcPr>
            <w:tcW w:w="733" w:type="dxa"/>
            <w:noWrap/>
            <w:vAlign w:val="bottom"/>
          </w:tcPr>
          <w:p w:rsidR="00000000" w:rsidRDefault="00000000">
            <w:pPr>
              <w:spacing w:before="60" w:after="60"/>
              <w:jc w:val="right"/>
              <w:rPr>
                <w:b/>
                <w:bCs/>
                <w:sz w:val="18"/>
              </w:rPr>
            </w:pPr>
            <w:r>
              <w:rPr>
                <w:b/>
                <w:bCs/>
                <w:sz w:val="18"/>
              </w:rPr>
              <w:t>5 015</w:t>
            </w:r>
          </w:p>
        </w:tc>
        <w:tc>
          <w:tcPr>
            <w:tcW w:w="733" w:type="dxa"/>
            <w:noWrap/>
            <w:vAlign w:val="bottom"/>
          </w:tcPr>
          <w:p w:rsidR="00000000" w:rsidRDefault="00000000">
            <w:pPr>
              <w:spacing w:before="60" w:after="60"/>
              <w:jc w:val="right"/>
              <w:rPr>
                <w:b/>
                <w:bCs/>
                <w:sz w:val="18"/>
              </w:rPr>
            </w:pPr>
            <w:r>
              <w:rPr>
                <w:b/>
                <w:bCs/>
                <w:sz w:val="18"/>
              </w:rPr>
              <w:t>71 300</w:t>
            </w:r>
          </w:p>
        </w:tc>
        <w:tc>
          <w:tcPr>
            <w:tcW w:w="733" w:type="dxa"/>
            <w:noWrap/>
            <w:vAlign w:val="bottom"/>
          </w:tcPr>
          <w:p w:rsidR="00000000" w:rsidRDefault="00000000">
            <w:pPr>
              <w:spacing w:before="60" w:after="60"/>
              <w:jc w:val="right"/>
              <w:rPr>
                <w:b/>
                <w:bCs/>
                <w:sz w:val="18"/>
              </w:rPr>
            </w:pPr>
            <w:r>
              <w:rPr>
                <w:b/>
                <w:bCs/>
                <w:sz w:val="18"/>
              </w:rPr>
              <w:t>2 148</w:t>
            </w:r>
          </w:p>
        </w:tc>
        <w:tc>
          <w:tcPr>
            <w:tcW w:w="733" w:type="dxa"/>
            <w:noWrap/>
            <w:vAlign w:val="bottom"/>
          </w:tcPr>
          <w:p w:rsidR="00000000" w:rsidRDefault="00000000">
            <w:pPr>
              <w:spacing w:before="60" w:after="60"/>
              <w:jc w:val="right"/>
              <w:rPr>
                <w:b/>
                <w:bCs/>
                <w:sz w:val="18"/>
              </w:rPr>
            </w:pPr>
            <w:r>
              <w:rPr>
                <w:b/>
                <w:bCs/>
                <w:sz w:val="18"/>
              </w:rPr>
              <w:t>70</w:t>
            </w:r>
          </w:p>
        </w:tc>
        <w:tc>
          <w:tcPr>
            <w:tcW w:w="733" w:type="dxa"/>
            <w:noWrap/>
            <w:vAlign w:val="bottom"/>
          </w:tcPr>
          <w:p w:rsidR="00000000" w:rsidRDefault="00000000">
            <w:pPr>
              <w:spacing w:before="60" w:after="60"/>
              <w:jc w:val="right"/>
              <w:rPr>
                <w:b/>
                <w:bCs/>
                <w:sz w:val="18"/>
              </w:rPr>
            </w:pPr>
            <w:r>
              <w:rPr>
                <w:b/>
                <w:bCs/>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Heures de travail perdues en raison de conflits concernant:</w:t>
            </w:r>
          </w:p>
        </w:tc>
        <w:tc>
          <w:tcPr>
            <w:tcW w:w="1943" w:type="dxa"/>
            <w:noWrap/>
          </w:tcPr>
          <w:p w:rsidR="00000000" w:rsidRDefault="00000000">
            <w:pPr>
              <w:spacing w:before="60" w:after="60"/>
              <w:rPr>
                <w:sz w:val="18"/>
              </w:rPr>
            </w:pPr>
            <w:r>
              <w:rPr>
                <w:sz w:val="18"/>
              </w:rPr>
              <w:t>Des licenciements</w:t>
            </w:r>
          </w:p>
        </w:tc>
        <w:tc>
          <w:tcPr>
            <w:tcW w:w="733" w:type="dxa"/>
            <w:noWrap/>
            <w:vAlign w:val="bottom"/>
          </w:tcPr>
          <w:p w:rsidR="00000000" w:rsidRDefault="00000000">
            <w:pPr>
              <w:spacing w:before="60" w:after="60"/>
              <w:jc w:val="right"/>
              <w:rPr>
                <w:sz w:val="18"/>
              </w:rPr>
            </w:pPr>
            <w:r>
              <w:rPr>
                <w:sz w:val="18"/>
              </w:rPr>
              <w:t>680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Le renouvellement du contrat de travail</w:t>
            </w:r>
          </w:p>
        </w:tc>
        <w:tc>
          <w:tcPr>
            <w:tcW w:w="733" w:type="dxa"/>
            <w:noWrap/>
            <w:vAlign w:val="bottom"/>
          </w:tcPr>
          <w:p w:rsidR="00000000" w:rsidRDefault="00000000">
            <w:pPr>
              <w:spacing w:before="60" w:after="60"/>
              <w:jc w:val="right"/>
              <w:rPr>
                <w:sz w:val="18"/>
              </w:rPr>
            </w:pPr>
            <w:r>
              <w:rPr>
                <w:sz w:val="18"/>
              </w:rPr>
              <w:t>26 488</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442 520</w:t>
            </w:r>
          </w:p>
        </w:tc>
        <w:tc>
          <w:tcPr>
            <w:tcW w:w="733" w:type="dxa"/>
            <w:noWrap/>
            <w:vAlign w:val="bottom"/>
          </w:tcPr>
          <w:p w:rsidR="00000000" w:rsidRDefault="00000000">
            <w:pPr>
              <w:spacing w:before="60" w:after="60"/>
              <w:jc w:val="right"/>
              <w:rPr>
                <w:sz w:val="18"/>
              </w:rPr>
            </w:pPr>
            <w:r>
              <w:rPr>
                <w:sz w:val="18"/>
              </w:rPr>
              <w:t>293</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La suspension de travailleurs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Une revendication économique</w:t>
            </w:r>
          </w:p>
        </w:tc>
        <w:tc>
          <w:tcPr>
            <w:tcW w:w="733" w:type="dxa"/>
            <w:noWrap/>
            <w:vAlign w:val="bottom"/>
          </w:tcPr>
          <w:p w:rsidR="00000000" w:rsidRDefault="00000000">
            <w:pPr>
              <w:spacing w:before="60" w:after="60"/>
              <w:jc w:val="right"/>
              <w:rPr>
                <w:sz w:val="18"/>
              </w:rPr>
            </w:pPr>
            <w:r>
              <w:rPr>
                <w:sz w:val="18"/>
              </w:rPr>
              <w:t>4 500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Autres causes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20 000</w:t>
            </w:r>
          </w:p>
        </w:tc>
        <w:tc>
          <w:tcPr>
            <w:tcW w:w="733" w:type="dxa"/>
            <w:noWrap/>
            <w:vAlign w:val="bottom"/>
          </w:tcPr>
          <w:p w:rsidR="00000000" w:rsidRDefault="00000000">
            <w:pPr>
              <w:spacing w:before="60" w:after="60"/>
              <w:jc w:val="right"/>
              <w:rPr>
                <w:sz w:val="18"/>
              </w:rPr>
            </w:pPr>
            <w:r>
              <w:rPr>
                <w:sz w:val="18"/>
              </w:rPr>
              <w:t>12 000</w:t>
            </w:r>
          </w:p>
        </w:tc>
        <w:tc>
          <w:tcPr>
            <w:tcW w:w="733" w:type="dxa"/>
            <w:noWrap/>
            <w:vAlign w:val="bottom"/>
          </w:tcPr>
          <w:p w:rsidR="00000000" w:rsidRDefault="00000000">
            <w:pPr>
              <w:spacing w:before="60" w:after="60"/>
              <w:jc w:val="right"/>
              <w:rPr>
                <w:sz w:val="18"/>
              </w:rPr>
            </w:pPr>
            <w:r>
              <w:rPr>
                <w:sz w:val="18"/>
              </w:rPr>
              <w:t>7 050</w:t>
            </w:r>
          </w:p>
        </w:tc>
        <w:tc>
          <w:tcPr>
            <w:tcW w:w="733" w:type="dxa"/>
            <w:noWrap/>
            <w:vAlign w:val="bottom"/>
          </w:tcPr>
          <w:p w:rsidR="00000000" w:rsidRDefault="00000000">
            <w:pPr>
              <w:spacing w:before="60" w:after="60"/>
              <w:jc w:val="right"/>
              <w:rPr>
                <w:sz w:val="18"/>
              </w:rPr>
            </w:pPr>
            <w:r>
              <w:rPr>
                <w:sz w:val="18"/>
              </w:rPr>
              <w:t>3 500</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tcBorders>
              <w:bottom w:val="single" w:sz="4" w:space="0" w:color="auto"/>
            </w:tcBorders>
            <w:noWrap/>
          </w:tcPr>
          <w:p w:rsidR="00000000" w:rsidRDefault="00000000">
            <w:pPr>
              <w:spacing w:before="60" w:after="60"/>
              <w:rPr>
                <w:b/>
                <w:bCs/>
                <w:sz w:val="18"/>
              </w:rPr>
            </w:pPr>
            <w:r>
              <w:rPr>
                <w:b/>
                <w:bCs/>
                <w:sz w:val="18"/>
              </w:rPr>
              <w:t>Total</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31 668</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20 045</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454 520</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7 343</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3 500</w:t>
            </w:r>
          </w:p>
        </w:tc>
        <w:tc>
          <w:tcPr>
            <w:tcW w:w="733" w:type="dxa"/>
            <w:tcBorders>
              <w:bottom w:val="single" w:sz="4" w:space="0" w:color="auto"/>
            </w:tcBorders>
            <w:noWrap/>
            <w:vAlign w:val="bottom"/>
          </w:tcPr>
          <w:p w:rsidR="00000000" w:rsidRDefault="00000000">
            <w:pPr>
              <w:spacing w:before="60" w:after="60"/>
              <w:jc w:val="right"/>
              <w:rPr>
                <w:b/>
                <w:bCs/>
                <w:sz w:val="18"/>
              </w:rPr>
            </w:pPr>
            <w:r>
              <w:rPr>
                <w:b/>
                <w:bCs/>
                <w:sz w:val="18"/>
              </w:rPr>
              <w:t>24 000</w:t>
            </w:r>
          </w:p>
        </w:tc>
        <w:tc>
          <w:tcPr>
            <w:tcW w:w="734" w:type="dxa"/>
            <w:tcBorders>
              <w:bottom w:val="single" w:sz="4" w:space="0" w:color="auto"/>
            </w:tcBorders>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right w:val="nil"/>
            </w:tcBorders>
            <w:noWrap/>
          </w:tcPr>
          <w:p w:rsidR="00000000" w:rsidRDefault="00000000">
            <w:pPr>
              <w:keepNext/>
              <w:spacing w:before="60" w:after="60"/>
              <w:rPr>
                <w:b/>
                <w:bCs/>
                <w:sz w:val="18"/>
              </w:rPr>
            </w:pPr>
            <w:r>
              <w:rPr>
                <w:b/>
                <w:bCs/>
                <w:sz w:val="18"/>
              </w:rPr>
              <w:t>Tableau 11/b.12</w:t>
            </w:r>
            <w:r>
              <w:rPr>
                <w:b/>
                <w:bCs/>
                <w:sz w:val="18"/>
              </w:rPr>
              <w:br/>
              <w:t>Conflits du travail</w:t>
            </w:r>
            <w:r>
              <w:rPr>
                <w:b/>
                <w:bCs/>
                <w:sz w:val="18"/>
              </w:rPr>
              <w:br/>
              <w:t>par secteur d’activité économique</w:t>
            </w:r>
          </w:p>
        </w:tc>
        <w:tc>
          <w:tcPr>
            <w:tcW w:w="1943" w:type="dxa"/>
            <w:tcBorders>
              <w:left w:val="nil"/>
              <w:right w:val="nil"/>
            </w:tcBorders>
            <w:noWrap/>
          </w:tcPr>
          <w:p w:rsidR="00000000" w:rsidRDefault="00000000">
            <w:pPr>
              <w:spacing w:before="60" w:after="60"/>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3" w:type="dxa"/>
            <w:tcBorders>
              <w:left w:val="nil"/>
              <w:right w:val="nil"/>
            </w:tcBorders>
            <w:noWrap/>
            <w:vAlign w:val="bottom"/>
          </w:tcPr>
          <w:p w:rsidR="00000000" w:rsidRDefault="00000000">
            <w:pPr>
              <w:spacing w:before="60" w:after="60"/>
              <w:jc w:val="right"/>
              <w:rPr>
                <w:sz w:val="18"/>
              </w:rPr>
            </w:pPr>
          </w:p>
        </w:tc>
        <w:tc>
          <w:tcPr>
            <w:tcW w:w="734" w:type="dxa"/>
            <w:tcBorders>
              <w:left w:val="nil"/>
            </w:tcBorders>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single" w:sz="4" w:space="0" w:color="auto"/>
            </w:tcBorders>
            <w:noWrap/>
          </w:tcPr>
          <w:p w:rsidR="00000000" w:rsidRDefault="00000000">
            <w:pPr>
              <w:spacing w:before="60" w:after="60"/>
              <w:rPr>
                <w:sz w:val="18"/>
              </w:rPr>
            </w:pPr>
            <w:r>
              <w:rPr>
                <w:sz w:val="18"/>
              </w:rPr>
              <w:t xml:space="preserve">Industries manufacturières: </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Toutes catégories</w:t>
            </w: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40 000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300 000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 xml:space="preserve">Industrie textile </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3</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18</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135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Industrie mécanique</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r>
              <w:rPr>
                <w:sz w:val="18"/>
              </w:rPr>
              <w:t>2</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r>
              <w:rPr>
                <w:sz w:val="18"/>
              </w:rPr>
              <w:t>104</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115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r>
              <w:rPr>
                <w:sz w:val="18"/>
              </w:rPr>
              <w:t>680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1 095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Industrie chimique et fabrication de dérivés du pétrole et du charbon</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r>
              <w:rPr>
                <w:sz w:val="18"/>
              </w:rPr>
              <w:t>30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r>
              <w:rPr>
                <w:sz w:val="18"/>
              </w:rPr>
              <w:t>4 500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Industries polygraphiques, édition et industries assimilées</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70</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3 500</w:t>
            </w: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Industries du bâtiment et installation d’usines</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r>
              <w:rPr>
                <w:sz w:val="18"/>
              </w:rPr>
              <w:t>2</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r>
              <w:rPr>
                <w:sz w:val="18"/>
              </w:rPr>
              <w:t>1 300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r>
              <w:rPr>
                <w:sz w:val="18"/>
              </w:rPr>
              <w:t>18 200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Commerce</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r>
              <w:rPr>
                <w:sz w:val="18"/>
              </w:rPr>
              <w:t>1 500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r>
              <w:rPr>
                <w:sz w:val="18"/>
              </w:rPr>
              <w:t>6 000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Crédit et assurance</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r>
              <w:rPr>
                <w:sz w:val="18"/>
              </w:rPr>
              <w:t>3</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r>
              <w:rPr>
                <w:sz w:val="18"/>
              </w:rPr>
              <w:t>240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r>
              <w:rPr>
                <w:sz w:val="18"/>
              </w:rPr>
              <w:t>2 288</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Administration publique</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3</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15</w:t>
            </w:r>
          </w:p>
        </w:tc>
        <w:tc>
          <w:tcPr>
            <w:tcW w:w="733" w:type="dxa"/>
            <w:noWrap/>
            <w:vAlign w:val="bottom"/>
          </w:tcPr>
          <w:p w:rsidR="00000000" w:rsidRDefault="00000000">
            <w:pPr>
              <w:spacing w:before="60" w:after="60"/>
              <w:jc w:val="right"/>
              <w:rPr>
                <w:sz w:val="18"/>
              </w:rPr>
            </w:pPr>
            <w:r>
              <w:rPr>
                <w:sz w:val="18"/>
              </w:rPr>
              <w:t>5 300</w:t>
            </w:r>
          </w:p>
        </w:tc>
        <w:tc>
          <w:tcPr>
            <w:tcW w:w="733" w:type="dxa"/>
            <w:noWrap/>
            <w:vAlign w:val="bottom"/>
          </w:tcPr>
          <w:p w:rsidR="00000000" w:rsidRDefault="00000000">
            <w:pPr>
              <w:spacing w:before="60" w:after="60"/>
              <w:jc w:val="right"/>
              <w:rPr>
                <w:sz w:val="18"/>
              </w:rPr>
            </w:pPr>
            <w:r>
              <w:rPr>
                <w:sz w:val="18"/>
              </w:rPr>
              <w:t>15</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45</w:t>
            </w:r>
          </w:p>
        </w:tc>
        <w:tc>
          <w:tcPr>
            <w:tcW w:w="733" w:type="dxa"/>
            <w:noWrap/>
            <w:vAlign w:val="bottom"/>
          </w:tcPr>
          <w:p w:rsidR="00000000" w:rsidRDefault="00000000">
            <w:pPr>
              <w:spacing w:before="60" w:after="60"/>
              <w:jc w:val="right"/>
              <w:rPr>
                <w:sz w:val="18"/>
              </w:rPr>
            </w:pPr>
            <w:r>
              <w:rPr>
                <w:sz w:val="18"/>
              </w:rPr>
              <w:t>32 520</w:t>
            </w:r>
          </w:p>
        </w:tc>
        <w:tc>
          <w:tcPr>
            <w:tcW w:w="733" w:type="dxa"/>
            <w:noWrap/>
            <w:vAlign w:val="bottom"/>
          </w:tcPr>
          <w:p w:rsidR="00000000" w:rsidRDefault="00000000">
            <w:pPr>
              <w:spacing w:before="60" w:after="60"/>
              <w:jc w:val="right"/>
              <w:rPr>
                <w:sz w:val="18"/>
              </w:rPr>
            </w:pPr>
            <w:r>
              <w:rPr>
                <w:sz w:val="18"/>
              </w:rPr>
              <w:t>113</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Tous les secteurs</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r>
              <w:rPr>
                <w:sz w:val="18"/>
              </w:rPr>
              <w:t>4</w:t>
            </w: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5 000</w:t>
            </w:r>
          </w:p>
        </w:tc>
        <w:tc>
          <w:tcPr>
            <w:tcW w:w="733" w:type="dxa"/>
            <w:noWrap/>
            <w:vAlign w:val="bottom"/>
          </w:tcPr>
          <w:p w:rsidR="00000000" w:rsidRDefault="00000000">
            <w:pPr>
              <w:spacing w:before="60" w:after="60"/>
              <w:jc w:val="right"/>
              <w:rPr>
                <w:sz w:val="18"/>
              </w:rPr>
            </w:pPr>
            <w:r>
              <w:rPr>
                <w:sz w:val="18"/>
              </w:rPr>
              <w:t>20 000</w:t>
            </w:r>
          </w:p>
        </w:tc>
        <w:tc>
          <w:tcPr>
            <w:tcW w:w="733" w:type="dxa"/>
            <w:noWrap/>
            <w:vAlign w:val="bottom"/>
          </w:tcPr>
          <w:p w:rsidR="00000000" w:rsidRDefault="00000000">
            <w:pPr>
              <w:spacing w:before="60" w:after="60"/>
              <w:jc w:val="right"/>
              <w:rPr>
                <w:sz w:val="18"/>
              </w:rPr>
            </w:pPr>
            <w:r>
              <w:rPr>
                <w:sz w:val="18"/>
              </w:rPr>
              <w:t>2 000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single" w:sz="4" w:space="0" w:color="auto"/>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20 000</w:t>
            </w:r>
          </w:p>
        </w:tc>
        <w:tc>
          <w:tcPr>
            <w:tcW w:w="733" w:type="dxa"/>
            <w:noWrap/>
            <w:vAlign w:val="bottom"/>
          </w:tcPr>
          <w:p w:rsidR="00000000" w:rsidRDefault="00000000">
            <w:pPr>
              <w:spacing w:before="60" w:after="60"/>
              <w:jc w:val="right"/>
              <w:rPr>
                <w:sz w:val="18"/>
              </w:rPr>
            </w:pPr>
            <w:r>
              <w:rPr>
                <w:sz w:val="18"/>
              </w:rPr>
              <w:t>104 000</w:t>
            </w:r>
          </w:p>
        </w:tc>
        <w:tc>
          <w:tcPr>
            <w:tcW w:w="733" w:type="dxa"/>
            <w:noWrap/>
            <w:vAlign w:val="bottom"/>
          </w:tcPr>
          <w:p w:rsidR="00000000" w:rsidRDefault="00000000">
            <w:pPr>
              <w:spacing w:before="60" w:after="60"/>
              <w:jc w:val="right"/>
              <w:rPr>
                <w:sz w:val="18"/>
              </w:rPr>
            </w:pPr>
            <w:r>
              <w:rPr>
                <w:sz w:val="18"/>
              </w:rPr>
              <w:t>6 000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bottom w:val="nil"/>
            </w:tcBorders>
            <w:noWrap/>
          </w:tcPr>
          <w:p w:rsidR="00000000" w:rsidRDefault="00000000">
            <w:pPr>
              <w:spacing w:before="60" w:after="60"/>
              <w:rPr>
                <w:sz w:val="18"/>
              </w:rPr>
            </w:pPr>
            <w:r>
              <w:rPr>
                <w:sz w:val="18"/>
              </w:rPr>
              <w:t>Toutes les catégories</w:t>
            </w:r>
          </w:p>
        </w:tc>
        <w:tc>
          <w:tcPr>
            <w:tcW w:w="1943" w:type="dxa"/>
            <w:noWrap/>
          </w:tcPr>
          <w:p w:rsidR="00000000" w:rsidRDefault="00000000">
            <w:pPr>
              <w:spacing w:before="60" w:after="60"/>
              <w:rPr>
                <w:sz w:val="18"/>
              </w:rPr>
            </w:pPr>
            <w:r>
              <w:rPr>
                <w:sz w:val="18"/>
              </w:rPr>
              <w:t>Nombre de cas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bottom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Travailleurs impliqués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6 000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tcBorders>
              <w:top w:val="nil"/>
            </w:tcBorders>
            <w:noWrap/>
          </w:tcPr>
          <w:p w:rsidR="00000000" w:rsidRDefault="00000000">
            <w:pPr>
              <w:spacing w:before="60" w:after="60"/>
              <w:rPr>
                <w:sz w:val="18"/>
              </w:rPr>
            </w:pPr>
          </w:p>
        </w:tc>
        <w:tc>
          <w:tcPr>
            <w:tcW w:w="1943" w:type="dxa"/>
            <w:noWrap/>
          </w:tcPr>
          <w:p w:rsidR="00000000" w:rsidRDefault="00000000">
            <w:pPr>
              <w:spacing w:before="60" w:after="60"/>
              <w:rPr>
                <w:sz w:val="18"/>
              </w:rPr>
            </w:pPr>
            <w:r>
              <w:rPr>
                <w:sz w:val="18"/>
              </w:rPr>
              <w:t>Heures de travail perdues</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r>
              <w:rPr>
                <w:sz w:val="18"/>
              </w:rPr>
              <w:t>18 000</w:t>
            </w: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3" w:type="dxa"/>
            <w:noWrap/>
            <w:vAlign w:val="bottom"/>
          </w:tcPr>
          <w:p w:rsidR="00000000" w:rsidRDefault="00000000">
            <w:pPr>
              <w:spacing w:before="60" w:after="60"/>
              <w:jc w:val="right"/>
              <w:rPr>
                <w:sz w:val="18"/>
              </w:rPr>
            </w:pP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noWrap/>
          </w:tcPr>
          <w:p w:rsidR="00000000" w:rsidRDefault="00000000">
            <w:pPr>
              <w:spacing w:before="60" w:after="60"/>
              <w:rPr>
                <w:b/>
                <w:bCs/>
                <w:sz w:val="18"/>
              </w:rPr>
            </w:pPr>
            <w:r>
              <w:rPr>
                <w:b/>
                <w:bCs/>
                <w:sz w:val="18"/>
              </w:rPr>
              <w:t>Nombre total de conflits</w:t>
            </w:r>
          </w:p>
        </w:tc>
        <w:tc>
          <w:tcPr>
            <w:tcW w:w="1943" w:type="dxa"/>
            <w:noWrap/>
          </w:tcPr>
          <w:p w:rsidR="00000000" w:rsidRDefault="00000000">
            <w:pPr>
              <w:spacing w:before="60" w:after="60"/>
              <w:rPr>
                <w:sz w:val="18"/>
              </w:rPr>
            </w:pPr>
          </w:p>
        </w:tc>
        <w:tc>
          <w:tcPr>
            <w:tcW w:w="733" w:type="dxa"/>
            <w:noWrap/>
            <w:vAlign w:val="bottom"/>
          </w:tcPr>
          <w:p w:rsidR="00000000" w:rsidRDefault="00000000">
            <w:pPr>
              <w:spacing w:before="60" w:after="60"/>
              <w:jc w:val="right"/>
              <w:rPr>
                <w:b/>
                <w:bCs/>
                <w:sz w:val="18"/>
              </w:rPr>
            </w:pPr>
            <w:r>
              <w:rPr>
                <w:b/>
                <w:bCs/>
                <w:sz w:val="18"/>
              </w:rPr>
              <w:t>9</w:t>
            </w:r>
          </w:p>
        </w:tc>
        <w:tc>
          <w:tcPr>
            <w:tcW w:w="733" w:type="dxa"/>
            <w:noWrap/>
            <w:vAlign w:val="bottom"/>
          </w:tcPr>
          <w:p w:rsidR="00000000" w:rsidRDefault="00000000">
            <w:pPr>
              <w:spacing w:before="60" w:after="60"/>
              <w:jc w:val="right"/>
              <w:rPr>
                <w:b/>
                <w:bCs/>
                <w:sz w:val="18"/>
              </w:rPr>
            </w:pPr>
            <w:r>
              <w:rPr>
                <w:b/>
                <w:bCs/>
                <w:sz w:val="18"/>
              </w:rPr>
              <w:t>2</w:t>
            </w:r>
          </w:p>
        </w:tc>
        <w:tc>
          <w:tcPr>
            <w:tcW w:w="733" w:type="dxa"/>
            <w:noWrap/>
            <w:vAlign w:val="bottom"/>
          </w:tcPr>
          <w:p w:rsidR="00000000" w:rsidRDefault="00000000">
            <w:pPr>
              <w:spacing w:before="60" w:after="60"/>
              <w:jc w:val="right"/>
              <w:rPr>
                <w:b/>
                <w:bCs/>
                <w:sz w:val="18"/>
              </w:rPr>
            </w:pPr>
            <w:r>
              <w:rPr>
                <w:b/>
                <w:bCs/>
                <w:sz w:val="18"/>
              </w:rPr>
              <w:t>13</w:t>
            </w:r>
          </w:p>
        </w:tc>
        <w:tc>
          <w:tcPr>
            <w:tcW w:w="733" w:type="dxa"/>
            <w:noWrap/>
            <w:vAlign w:val="bottom"/>
          </w:tcPr>
          <w:p w:rsidR="00000000" w:rsidRDefault="00000000">
            <w:pPr>
              <w:spacing w:before="60" w:after="60"/>
              <w:jc w:val="right"/>
              <w:rPr>
                <w:b/>
                <w:bCs/>
                <w:sz w:val="18"/>
              </w:rPr>
            </w:pPr>
            <w:r>
              <w:rPr>
                <w:b/>
                <w:bCs/>
                <w:sz w:val="18"/>
              </w:rPr>
              <w:t>7</w:t>
            </w:r>
          </w:p>
        </w:tc>
        <w:tc>
          <w:tcPr>
            <w:tcW w:w="733" w:type="dxa"/>
            <w:noWrap/>
            <w:vAlign w:val="bottom"/>
          </w:tcPr>
          <w:p w:rsidR="00000000" w:rsidRDefault="00000000">
            <w:pPr>
              <w:spacing w:before="60" w:after="60"/>
              <w:jc w:val="right"/>
              <w:rPr>
                <w:b/>
                <w:bCs/>
                <w:sz w:val="18"/>
              </w:rPr>
            </w:pPr>
            <w:r>
              <w:rPr>
                <w:b/>
                <w:bCs/>
                <w:sz w:val="18"/>
              </w:rPr>
              <w:t>1</w:t>
            </w:r>
          </w:p>
        </w:tc>
        <w:tc>
          <w:tcPr>
            <w:tcW w:w="733" w:type="dxa"/>
            <w:noWrap/>
            <w:vAlign w:val="bottom"/>
          </w:tcPr>
          <w:p w:rsidR="00000000" w:rsidRDefault="00000000">
            <w:pPr>
              <w:spacing w:before="60" w:after="60"/>
              <w:jc w:val="right"/>
              <w:rPr>
                <w:b/>
                <w:bCs/>
                <w:sz w:val="18"/>
              </w:rPr>
            </w:pPr>
            <w:r>
              <w:rPr>
                <w:b/>
                <w:bCs/>
                <w:sz w:val="18"/>
              </w:rPr>
              <w:t>2</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noWrap/>
          </w:tcPr>
          <w:p w:rsidR="00000000" w:rsidRDefault="00000000">
            <w:pPr>
              <w:spacing w:before="60" w:after="60"/>
              <w:rPr>
                <w:b/>
                <w:bCs/>
                <w:sz w:val="18"/>
              </w:rPr>
            </w:pPr>
            <w:r>
              <w:rPr>
                <w:b/>
                <w:bCs/>
                <w:sz w:val="18"/>
              </w:rPr>
              <w:t>Nombre total de travailleurs impliqués</w:t>
            </w:r>
          </w:p>
        </w:tc>
        <w:tc>
          <w:tcPr>
            <w:tcW w:w="1943" w:type="dxa"/>
            <w:noWrap/>
          </w:tcPr>
          <w:p w:rsidR="00000000" w:rsidRDefault="00000000">
            <w:pPr>
              <w:spacing w:before="60" w:after="60"/>
              <w:rPr>
                <w:sz w:val="18"/>
              </w:rPr>
            </w:pPr>
          </w:p>
        </w:tc>
        <w:tc>
          <w:tcPr>
            <w:tcW w:w="733" w:type="dxa"/>
            <w:noWrap/>
            <w:vAlign w:val="bottom"/>
          </w:tcPr>
          <w:p w:rsidR="00000000" w:rsidRDefault="00000000">
            <w:pPr>
              <w:spacing w:before="60" w:after="60"/>
              <w:jc w:val="right"/>
              <w:rPr>
                <w:b/>
                <w:bCs/>
                <w:sz w:val="18"/>
              </w:rPr>
            </w:pPr>
            <w:r>
              <w:rPr>
                <w:b/>
                <w:bCs/>
                <w:sz w:val="18"/>
              </w:rPr>
              <w:t>3 174</w:t>
            </w:r>
          </w:p>
        </w:tc>
        <w:tc>
          <w:tcPr>
            <w:tcW w:w="733" w:type="dxa"/>
            <w:noWrap/>
            <w:vAlign w:val="bottom"/>
          </w:tcPr>
          <w:p w:rsidR="00000000" w:rsidRDefault="00000000">
            <w:pPr>
              <w:spacing w:before="60" w:after="60"/>
              <w:jc w:val="right"/>
              <w:rPr>
                <w:b/>
                <w:bCs/>
                <w:sz w:val="18"/>
              </w:rPr>
            </w:pPr>
            <w:r>
              <w:rPr>
                <w:b/>
                <w:bCs/>
                <w:sz w:val="18"/>
              </w:rPr>
              <w:t>5 015</w:t>
            </w:r>
          </w:p>
        </w:tc>
        <w:tc>
          <w:tcPr>
            <w:tcW w:w="733" w:type="dxa"/>
            <w:noWrap/>
            <w:vAlign w:val="bottom"/>
          </w:tcPr>
          <w:p w:rsidR="00000000" w:rsidRDefault="00000000">
            <w:pPr>
              <w:spacing w:before="60" w:after="60"/>
              <w:jc w:val="right"/>
              <w:rPr>
                <w:b/>
                <w:bCs/>
                <w:sz w:val="18"/>
              </w:rPr>
            </w:pPr>
            <w:r>
              <w:rPr>
                <w:b/>
                <w:bCs/>
                <w:sz w:val="18"/>
              </w:rPr>
              <w:t>71 300</w:t>
            </w:r>
          </w:p>
        </w:tc>
        <w:tc>
          <w:tcPr>
            <w:tcW w:w="733" w:type="dxa"/>
            <w:noWrap/>
            <w:vAlign w:val="bottom"/>
          </w:tcPr>
          <w:p w:rsidR="00000000" w:rsidRDefault="00000000">
            <w:pPr>
              <w:spacing w:before="60" w:after="60"/>
              <w:jc w:val="right"/>
              <w:rPr>
                <w:b/>
                <w:bCs/>
                <w:sz w:val="18"/>
              </w:rPr>
            </w:pPr>
            <w:r>
              <w:rPr>
                <w:b/>
                <w:bCs/>
                <w:sz w:val="18"/>
              </w:rPr>
              <w:t>2 148</w:t>
            </w:r>
          </w:p>
        </w:tc>
        <w:tc>
          <w:tcPr>
            <w:tcW w:w="733" w:type="dxa"/>
            <w:noWrap/>
            <w:vAlign w:val="bottom"/>
          </w:tcPr>
          <w:p w:rsidR="00000000" w:rsidRDefault="00000000">
            <w:pPr>
              <w:spacing w:before="60" w:after="60"/>
              <w:jc w:val="right"/>
              <w:rPr>
                <w:b/>
                <w:bCs/>
                <w:sz w:val="18"/>
              </w:rPr>
            </w:pPr>
            <w:r>
              <w:rPr>
                <w:b/>
                <w:bCs/>
                <w:sz w:val="18"/>
              </w:rPr>
              <w:t>70</w:t>
            </w:r>
          </w:p>
        </w:tc>
        <w:tc>
          <w:tcPr>
            <w:tcW w:w="733" w:type="dxa"/>
            <w:noWrap/>
            <w:vAlign w:val="bottom"/>
          </w:tcPr>
          <w:p w:rsidR="00000000" w:rsidRDefault="00000000">
            <w:pPr>
              <w:spacing w:before="60" w:after="60"/>
              <w:jc w:val="right"/>
              <w:rPr>
                <w:b/>
                <w:bCs/>
                <w:sz w:val="18"/>
              </w:rPr>
            </w:pPr>
            <w:r>
              <w:rPr>
                <w:b/>
                <w:bCs/>
                <w:sz w:val="18"/>
              </w:rPr>
              <w:t>4 000</w:t>
            </w:r>
          </w:p>
        </w:tc>
        <w:tc>
          <w:tcPr>
            <w:tcW w:w="734" w:type="dxa"/>
            <w:noWrap/>
            <w:vAlign w:val="bottom"/>
          </w:tcPr>
          <w:p w:rsidR="00000000" w:rsidRDefault="00000000">
            <w:pPr>
              <w:spacing w:before="60" w:after="60"/>
              <w:jc w:val="right"/>
              <w:rPr>
                <w:sz w:val="18"/>
              </w:rPr>
            </w:pPr>
          </w:p>
        </w:tc>
      </w:tr>
      <w:tr w:rsidR="00000000">
        <w:tblPrEx>
          <w:tblCellMar>
            <w:top w:w="0" w:type="dxa"/>
            <w:bottom w:w="0" w:type="dxa"/>
          </w:tblCellMar>
        </w:tblPrEx>
        <w:tc>
          <w:tcPr>
            <w:tcW w:w="2421" w:type="dxa"/>
            <w:noWrap/>
          </w:tcPr>
          <w:p w:rsidR="00000000" w:rsidRDefault="00000000">
            <w:pPr>
              <w:spacing w:before="60" w:after="60"/>
              <w:rPr>
                <w:b/>
                <w:bCs/>
                <w:sz w:val="18"/>
              </w:rPr>
            </w:pPr>
            <w:r>
              <w:rPr>
                <w:b/>
                <w:bCs/>
                <w:sz w:val="18"/>
              </w:rPr>
              <w:t>Nombre total d’heures de travail perdues</w:t>
            </w:r>
          </w:p>
        </w:tc>
        <w:tc>
          <w:tcPr>
            <w:tcW w:w="1943" w:type="dxa"/>
            <w:noWrap/>
          </w:tcPr>
          <w:p w:rsidR="00000000" w:rsidRDefault="00000000">
            <w:pPr>
              <w:spacing w:before="60" w:after="60"/>
              <w:rPr>
                <w:sz w:val="18"/>
              </w:rPr>
            </w:pPr>
          </w:p>
        </w:tc>
        <w:tc>
          <w:tcPr>
            <w:tcW w:w="733" w:type="dxa"/>
            <w:noWrap/>
            <w:vAlign w:val="bottom"/>
          </w:tcPr>
          <w:p w:rsidR="00000000" w:rsidRDefault="00000000">
            <w:pPr>
              <w:spacing w:before="60" w:after="60"/>
              <w:jc w:val="right"/>
              <w:rPr>
                <w:b/>
                <w:bCs/>
                <w:sz w:val="18"/>
              </w:rPr>
            </w:pPr>
            <w:r>
              <w:rPr>
                <w:b/>
                <w:bCs/>
                <w:sz w:val="18"/>
              </w:rPr>
              <w:t>31 668</w:t>
            </w:r>
          </w:p>
        </w:tc>
        <w:tc>
          <w:tcPr>
            <w:tcW w:w="733" w:type="dxa"/>
            <w:noWrap/>
            <w:vAlign w:val="bottom"/>
          </w:tcPr>
          <w:p w:rsidR="00000000" w:rsidRDefault="00000000">
            <w:pPr>
              <w:spacing w:before="60" w:after="60"/>
              <w:jc w:val="right"/>
              <w:rPr>
                <w:b/>
                <w:bCs/>
                <w:sz w:val="18"/>
              </w:rPr>
            </w:pPr>
            <w:r>
              <w:rPr>
                <w:b/>
                <w:bCs/>
                <w:sz w:val="18"/>
              </w:rPr>
              <w:t>20 045</w:t>
            </w:r>
          </w:p>
        </w:tc>
        <w:tc>
          <w:tcPr>
            <w:tcW w:w="733" w:type="dxa"/>
            <w:noWrap/>
            <w:vAlign w:val="bottom"/>
          </w:tcPr>
          <w:p w:rsidR="00000000" w:rsidRDefault="00000000">
            <w:pPr>
              <w:spacing w:before="60" w:after="60"/>
              <w:jc w:val="right"/>
              <w:rPr>
                <w:b/>
                <w:bCs/>
                <w:sz w:val="18"/>
              </w:rPr>
            </w:pPr>
            <w:r>
              <w:rPr>
                <w:b/>
                <w:bCs/>
                <w:sz w:val="18"/>
              </w:rPr>
              <w:t>454 520</w:t>
            </w:r>
          </w:p>
        </w:tc>
        <w:tc>
          <w:tcPr>
            <w:tcW w:w="733" w:type="dxa"/>
            <w:noWrap/>
            <w:vAlign w:val="bottom"/>
          </w:tcPr>
          <w:p w:rsidR="00000000" w:rsidRDefault="00000000">
            <w:pPr>
              <w:spacing w:before="60" w:after="60"/>
              <w:jc w:val="right"/>
              <w:rPr>
                <w:b/>
                <w:bCs/>
                <w:sz w:val="18"/>
              </w:rPr>
            </w:pPr>
            <w:r>
              <w:rPr>
                <w:b/>
                <w:bCs/>
                <w:sz w:val="18"/>
              </w:rPr>
              <w:t>7 343</w:t>
            </w:r>
          </w:p>
        </w:tc>
        <w:tc>
          <w:tcPr>
            <w:tcW w:w="733" w:type="dxa"/>
            <w:noWrap/>
            <w:vAlign w:val="bottom"/>
          </w:tcPr>
          <w:p w:rsidR="00000000" w:rsidRDefault="00000000">
            <w:pPr>
              <w:spacing w:before="60" w:after="60"/>
              <w:jc w:val="right"/>
              <w:rPr>
                <w:b/>
                <w:bCs/>
                <w:sz w:val="18"/>
              </w:rPr>
            </w:pPr>
            <w:r>
              <w:rPr>
                <w:b/>
                <w:bCs/>
                <w:sz w:val="18"/>
              </w:rPr>
              <w:t>3 500</w:t>
            </w:r>
          </w:p>
        </w:tc>
        <w:tc>
          <w:tcPr>
            <w:tcW w:w="733" w:type="dxa"/>
            <w:noWrap/>
            <w:vAlign w:val="bottom"/>
          </w:tcPr>
          <w:p w:rsidR="00000000" w:rsidRDefault="00000000">
            <w:pPr>
              <w:spacing w:before="60" w:after="60"/>
              <w:jc w:val="right"/>
              <w:rPr>
                <w:b/>
                <w:bCs/>
                <w:sz w:val="18"/>
              </w:rPr>
            </w:pPr>
            <w:r>
              <w:rPr>
                <w:b/>
                <w:bCs/>
                <w:sz w:val="18"/>
              </w:rPr>
              <w:t>24 000</w:t>
            </w:r>
          </w:p>
        </w:tc>
        <w:tc>
          <w:tcPr>
            <w:tcW w:w="734" w:type="dxa"/>
            <w:noWrap/>
            <w:vAlign w:val="bottom"/>
          </w:tcPr>
          <w:p w:rsidR="00000000" w:rsidRDefault="00000000">
            <w:pPr>
              <w:spacing w:before="60" w:after="60"/>
              <w:jc w:val="right"/>
              <w:rPr>
                <w:sz w:val="18"/>
              </w:rPr>
            </w:pPr>
          </w:p>
        </w:tc>
      </w:tr>
    </w:tbl>
    <w:p w:rsidR="00000000" w:rsidRDefault="00000000">
      <w:pPr>
        <w:spacing w:before="360" w:after="240"/>
      </w:pPr>
      <w:r>
        <w:t>18.</w:t>
      </w:r>
      <w:r>
        <w:tab/>
        <w:t>Les allocations de chômage sont attribuées directement par l’Institut de la sécurité sociale aux résidents de Saint-Marin seulement. Il est donc inexact de parler de non-citoyens. Toutefois, en vertu de la Convention sur la sécurité sociale signée entre l’Italie et Saint-Marin, les travailleurs frontaliers dont la relation de travail a été interrompue dans l’un des deux États ont droit à l’allocation de chômage. Dans le cas des travailleurs résidant en Italie et employés à Saint-Marin dont le contrat de travail est interrompu, la Convention dispose que les allocations de chômage sont versées directement par l’institution italienne compétente, qui sera ensuite remboursée par l’Institut de la sécurité sociale. Par conséquent, le budget de l’Institut a une rubrique spécifique pour les montants destinés aux remboursements (voir les tableaux ci</w:t>
      </w:r>
      <w:r>
        <w:noBreakHyphen/>
        <w:t>joints, qui permettent de se faire une idée des montants considérables alloués aux remboursements effectués au titre de la Convention, par rapport aux montants alloués en faveur des résidents de Saint</w:t>
      </w:r>
      <w:r>
        <w:noBreakHyphen/>
        <w:t xml:space="preserve">Marin).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320"/>
        <w:gridCol w:w="1320"/>
        <w:gridCol w:w="1320"/>
        <w:gridCol w:w="1320"/>
        <w:gridCol w:w="1320"/>
      </w:tblGrid>
      <w:tr w:rsidR="00000000">
        <w:tblPrEx>
          <w:tblCellMar>
            <w:top w:w="0" w:type="dxa"/>
            <w:bottom w:w="0" w:type="dxa"/>
          </w:tblCellMar>
        </w:tblPrEx>
        <w:tc>
          <w:tcPr>
            <w:tcW w:w="2830" w:type="dxa"/>
            <w:noWrap/>
            <w:vAlign w:val="center"/>
          </w:tcPr>
          <w:p w:rsidR="00000000" w:rsidRDefault="00000000">
            <w:pPr>
              <w:spacing w:before="60" w:after="60"/>
              <w:jc w:val="center"/>
            </w:pPr>
          </w:p>
        </w:tc>
        <w:tc>
          <w:tcPr>
            <w:tcW w:w="1320" w:type="dxa"/>
            <w:noWrap/>
            <w:vAlign w:val="center"/>
          </w:tcPr>
          <w:p w:rsidR="00000000" w:rsidRDefault="00000000">
            <w:pPr>
              <w:spacing w:before="60" w:after="60"/>
              <w:jc w:val="center"/>
            </w:pPr>
            <w:r>
              <w:t>2002</w:t>
            </w:r>
            <w:r>
              <w:br/>
              <w:t>(en euros)</w:t>
            </w:r>
          </w:p>
        </w:tc>
        <w:tc>
          <w:tcPr>
            <w:tcW w:w="1320" w:type="dxa"/>
            <w:noWrap/>
            <w:vAlign w:val="center"/>
          </w:tcPr>
          <w:p w:rsidR="00000000" w:rsidRDefault="00000000">
            <w:pPr>
              <w:spacing w:before="60" w:after="60"/>
              <w:jc w:val="center"/>
            </w:pPr>
            <w:r>
              <w:t>2003</w:t>
            </w:r>
            <w:r>
              <w:br/>
              <w:t>(en euros)</w:t>
            </w:r>
          </w:p>
        </w:tc>
        <w:tc>
          <w:tcPr>
            <w:tcW w:w="1320" w:type="dxa"/>
            <w:noWrap/>
            <w:vAlign w:val="center"/>
          </w:tcPr>
          <w:p w:rsidR="00000000" w:rsidRDefault="00000000">
            <w:pPr>
              <w:spacing w:before="60" w:after="60"/>
              <w:jc w:val="center"/>
            </w:pPr>
            <w:r>
              <w:t>2004</w:t>
            </w:r>
            <w:r>
              <w:br/>
              <w:t>(en euros)</w:t>
            </w:r>
          </w:p>
        </w:tc>
        <w:tc>
          <w:tcPr>
            <w:tcW w:w="1320" w:type="dxa"/>
            <w:noWrap/>
            <w:vAlign w:val="center"/>
          </w:tcPr>
          <w:p w:rsidR="00000000" w:rsidRDefault="00000000">
            <w:pPr>
              <w:spacing w:before="60" w:after="60"/>
              <w:jc w:val="center"/>
            </w:pPr>
            <w:r>
              <w:t>2005</w:t>
            </w:r>
            <w:r>
              <w:br/>
              <w:t>(en euros)</w:t>
            </w:r>
          </w:p>
        </w:tc>
        <w:tc>
          <w:tcPr>
            <w:tcW w:w="1320" w:type="dxa"/>
            <w:noWrap/>
            <w:vAlign w:val="center"/>
          </w:tcPr>
          <w:p w:rsidR="00000000" w:rsidRDefault="00000000">
            <w:pPr>
              <w:spacing w:before="60" w:after="60"/>
              <w:jc w:val="center"/>
            </w:pPr>
            <w:r>
              <w:t>2006</w:t>
            </w:r>
            <w:r>
              <w:br/>
              <w:t>(en euros)</w:t>
            </w:r>
          </w:p>
        </w:tc>
      </w:tr>
      <w:tr w:rsidR="00000000">
        <w:tblPrEx>
          <w:tblCellMar>
            <w:top w:w="0" w:type="dxa"/>
            <w:bottom w:w="0" w:type="dxa"/>
          </w:tblCellMar>
        </w:tblPrEx>
        <w:tc>
          <w:tcPr>
            <w:tcW w:w="2830" w:type="dxa"/>
            <w:noWrap/>
          </w:tcPr>
          <w:p w:rsidR="00000000" w:rsidRDefault="00000000">
            <w:pPr>
              <w:spacing w:before="60" w:after="60"/>
            </w:pPr>
            <w:r>
              <w:t xml:space="preserve">Allocations de chômage </w:t>
            </w:r>
          </w:p>
        </w:tc>
        <w:tc>
          <w:tcPr>
            <w:tcW w:w="1320" w:type="dxa"/>
            <w:noWrap/>
            <w:vAlign w:val="bottom"/>
          </w:tcPr>
          <w:p w:rsidR="00000000" w:rsidRDefault="00000000">
            <w:pPr>
              <w:spacing w:before="60" w:after="60"/>
              <w:jc w:val="right"/>
            </w:pPr>
            <w:r>
              <w:t>16 552,45</w:t>
            </w:r>
          </w:p>
        </w:tc>
        <w:tc>
          <w:tcPr>
            <w:tcW w:w="1320" w:type="dxa"/>
            <w:noWrap/>
            <w:vAlign w:val="bottom"/>
          </w:tcPr>
          <w:p w:rsidR="00000000" w:rsidRDefault="00000000">
            <w:pPr>
              <w:spacing w:before="60" w:after="60"/>
              <w:jc w:val="right"/>
            </w:pPr>
            <w:r>
              <w:t>13 511,03</w:t>
            </w:r>
          </w:p>
        </w:tc>
        <w:tc>
          <w:tcPr>
            <w:tcW w:w="1320" w:type="dxa"/>
            <w:noWrap/>
            <w:vAlign w:val="bottom"/>
          </w:tcPr>
          <w:p w:rsidR="00000000" w:rsidRDefault="00000000">
            <w:pPr>
              <w:spacing w:before="60" w:after="60"/>
              <w:jc w:val="right"/>
            </w:pPr>
            <w:r>
              <w:t>15 716,48</w:t>
            </w:r>
          </w:p>
        </w:tc>
        <w:tc>
          <w:tcPr>
            <w:tcW w:w="1320" w:type="dxa"/>
            <w:noWrap/>
            <w:vAlign w:val="bottom"/>
          </w:tcPr>
          <w:p w:rsidR="00000000" w:rsidRDefault="00000000">
            <w:pPr>
              <w:spacing w:before="60" w:after="60"/>
              <w:jc w:val="right"/>
            </w:pPr>
            <w:r>
              <w:t>12 649,21</w:t>
            </w:r>
          </w:p>
        </w:tc>
        <w:tc>
          <w:tcPr>
            <w:tcW w:w="1320" w:type="dxa"/>
            <w:noWrap/>
            <w:vAlign w:val="bottom"/>
          </w:tcPr>
          <w:p w:rsidR="00000000" w:rsidRDefault="00000000">
            <w:pPr>
              <w:spacing w:before="60" w:after="60"/>
              <w:jc w:val="right"/>
            </w:pPr>
            <w:r>
              <w:t>9 731,79</w:t>
            </w:r>
          </w:p>
        </w:tc>
      </w:tr>
      <w:tr w:rsidR="00000000">
        <w:tblPrEx>
          <w:tblCellMar>
            <w:top w:w="0" w:type="dxa"/>
            <w:bottom w:w="0" w:type="dxa"/>
          </w:tblCellMar>
        </w:tblPrEx>
        <w:tc>
          <w:tcPr>
            <w:tcW w:w="2830" w:type="dxa"/>
            <w:noWrap/>
          </w:tcPr>
          <w:p w:rsidR="00000000" w:rsidRDefault="00000000">
            <w:pPr>
              <w:spacing w:before="60" w:after="60"/>
            </w:pPr>
            <w:r>
              <w:t>Allocations de chômage versées au titre de la Convention entre</w:t>
            </w:r>
            <w:r>
              <w:br/>
              <w:t>l’Italie et Saint-Marin</w:t>
            </w:r>
          </w:p>
        </w:tc>
        <w:tc>
          <w:tcPr>
            <w:tcW w:w="1320" w:type="dxa"/>
            <w:noWrap/>
            <w:vAlign w:val="bottom"/>
          </w:tcPr>
          <w:p w:rsidR="00000000" w:rsidRDefault="00000000">
            <w:pPr>
              <w:spacing w:before="60" w:after="60"/>
              <w:jc w:val="right"/>
            </w:pPr>
            <w:r>
              <w:t>118 000,00</w:t>
            </w:r>
          </w:p>
        </w:tc>
        <w:tc>
          <w:tcPr>
            <w:tcW w:w="1320" w:type="dxa"/>
            <w:noWrap/>
            <w:vAlign w:val="bottom"/>
          </w:tcPr>
          <w:p w:rsidR="00000000" w:rsidRDefault="00000000">
            <w:pPr>
              <w:spacing w:before="60" w:after="60"/>
              <w:jc w:val="right"/>
            </w:pPr>
            <w:r>
              <w:t>127 200,00</w:t>
            </w:r>
          </w:p>
        </w:tc>
        <w:tc>
          <w:tcPr>
            <w:tcW w:w="1320" w:type="dxa"/>
            <w:noWrap/>
            <w:vAlign w:val="bottom"/>
          </w:tcPr>
          <w:p w:rsidR="00000000" w:rsidRDefault="00000000">
            <w:pPr>
              <w:spacing w:before="60" w:after="60"/>
              <w:jc w:val="right"/>
            </w:pPr>
            <w:r>
              <w:t>600 000,00</w:t>
            </w:r>
          </w:p>
        </w:tc>
        <w:tc>
          <w:tcPr>
            <w:tcW w:w="1320" w:type="dxa"/>
            <w:noWrap/>
            <w:vAlign w:val="bottom"/>
          </w:tcPr>
          <w:p w:rsidR="00000000" w:rsidRDefault="00000000">
            <w:pPr>
              <w:spacing w:before="60" w:after="60"/>
              <w:jc w:val="right"/>
            </w:pPr>
            <w:r>
              <w:t>740 000,00</w:t>
            </w:r>
          </w:p>
        </w:tc>
        <w:tc>
          <w:tcPr>
            <w:tcW w:w="1320" w:type="dxa"/>
            <w:noWrap/>
            <w:vAlign w:val="bottom"/>
          </w:tcPr>
          <w:p w:rsidR="00000000" w:rsidRDefault="00000000">
            <w:pPr>
              <w:spacing w:before="60" w:after="60"/>
              <w:jc w:val="right"/>
            </w:pPr>
            <w:r>
              <w:t>740 000,00</w:t>
            </w:r>
          </w:p>
        </w:tc>
      </w:tr>
    </w:tbl>
    <w:p w:rsidR="00000000" w:rsidRDefault="00000000">
      <w:pPr>
        <w:spacing w:before="240" w:after="240"/>
      </w:pPr>
      <w:r>
        <w:t>19.</w:t>
      </w:r>
      <w:r>
        <w:tab/>
        <w:t>Saint-Marin n’a pas encore envisagé la possibilité d’adhérer aux Conventions n</w:t>
      </w:r>
      <w:r>
        <w:rPr>
          <w:vertAlign w:val="superscript"/>
        </w:rPr>
        <w:t>os</w:t>
      </w:r>
      <w:r>
        <w:t> 102 et 118 de l’OIT. (Voir tableau ci-joint.)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6"/>
        <w:gridCol w:w="3165"/>
        <w:gridCol w:w="3099"/>
      </w:tblGrid>
      <w:tr w:rsidR="00000000">
        <w:tblPrEx>
          <w:tblCellMar>
            <w:top w:w="0" w:type="dxa"/>
            <w:bottom w:w="0" w:type="dxa"/>
          </w:tblCellMar>
        </w:tblPrEx>
        <w:tc>
          <w:tcPr>
            <w:tcW w:w="3166" w:type="dxa"/>
            <w:noWrap/>
            <w:vAlign w:val="center"/>
          </w:tcPr>
          <w:p w:rsidR="00000000" w:rsidRDefault="00000000">
            <w:pPr>
              <w:keepNext/>
              <w:spacing w:before="60" w:after="60"/>
              <w:jc w:val="center"/>
            </w:pPr>
          </w:p>
        </w:tc>
        <w:tc>
          <w:tcPr>
            <w:tcW w:w="3165" w:type="dxa"/>
            <w:noWrap/>
            <w:vAlign w:val="center"/>
          </w:tcPr>
          <w:p w:rsidR="00000000" w:rsidRDefault="00000000">
            <w:pPr>
              <w:spacing w:before="60" w:after="60"/>
              <w:jc w:val="center"/>
            </w:pPr>
            <w:r>
              <w:t xml:space="preserve">Total des prêts accordés </w:t>
            </w:r>
          </w:p>
        </w:tc>
        <w:tc>
          <w:tcPr>
            <w:tcW w:w="3099" w:type="dxa"/>
            <w:noWrap/>
            <w:vAlign w:val="center"/>
          </w:tcPr>
          <w:p w:rsidR="00000000" w:rsidRDefault="00000000">
            <w:pPr>
              <w:spacing w:before="60" w:after="60"/>
              <w:jc w:val="center"/>
            </w:pPr>
            <w:r>
              <w:t xml:space="preserve">Dont prêts en faveur </w:t>
            </w:r>
            <w:r>
              <w:br/>
              <w:t>de jeunes couples</w:t>
            </w:r>
          </w:p>
        </w:tc>
      </w:tr>
      <w:tr w:rsidR="00000000">
        <w:tblPrEx>
          <w:tblCellMar>
            <w:top w:w="0" w:type="dxa"/>
            <w:bottom w:w="0" w:type="dxa"/>
          </w:tblCellMar>
        </w:tblPrEx>
        <w:tc>
          <w:tcPr>
            <w:tcW w:w="3166" w:type="dxa"/>
            <w:noWrap/>
            <w:vAlign w:val="center"/>
          </w:tcPr>
          <w:p w:rsidR="00000000" w:rsidRDefault="00000000">
            <w:pPr>
              <w:spacing w:before="60" w:after="60"/>
            </w:pPr>
            <w:r>
              <w:t>2003</w:t>
            </w:r>
          </w:p>
        </w:tc>
        <w:tc>
          <w:tcPr>
            <w:tcW w:w="3165" w:type="dxa"/>
            <w:noWrap/>
            <w:vAlign w:val="center"/>
          </w:tcPr>
          <w:p w:rsidR="00000000" w:rsidRDefault="00000000">
            <w:pPr>
              <w:spacing w:before="60" w:after="60"/>
              <w:jc w:val="right"/>
            </w:pPr>
            <w:r>
              <w:t>146</w:t>
            </w:r>
          </w:p>
        </w:tc>
        <w:tc>
          <w:tcPr>
            <w:tcW w:w="3099" w:type="dxa"/>
            <w:noWrap/>
            <w:vAlign w:val="center"/>
          </w:tcPr>
          <w:p w:rsidR="00000000" w:rsidRDefault="00000000">
            <w:pPr>
              <w:spacing w:before="60" w:after="60"/>
              <w:jc w:val="right"/>
            </w:pPr>
            <w:r>
              <w:t>17</w:t>
            </w:r>
          </w:p>
        </w:tc>
      </w:tr>
      <w:tr w:rsidR="00000000">
        <w:tblPrEx>
          <w:tblCellMar>
            <w:top w:w="0" w:type="dxa"/>
            <w:bottom w:w="0" w:type="dxa"/>
          </w:tblCellMar>
        </w:tblPrEx>
        <w:tc>
          <w:tcPr>
            <w:tcW w:w="3166" w:type="dxa"/>
            <w:noWrap/>
            <w:vAlign w:val="center"/>
          </w:tcPr>
          <w:p w:rsidR="00000000" w:rsidRDefault="00000000">
            <w:pPr>
              <w:spacing w:before="60" w:after="60"/>
            </w:pPr>
            <w:r>
              <w:t>2004</w:t>
            </w:r>
          </w:p>
        </w:tc>
        <w:tc>
          <w:tcPr>
            <w:tcW w:w="3165" w:type="dxa"/>
            <w:noWrap/>
            <w:vAlign w:val="center"/>
          </w:tcPr>
          <w:p w:rsidR="00000000" w:rsidRDefault="00000000">
            <w:pPr>
              <w:spacing w:before="60" w:after="60"/>
              <w:jc w:val="right"/>
            </w:pPr>
            <w:r>
              <w:t>155</w:t>
            </w:r>
          </w:p>
        </w:tc>
        <w:tc>
          <w:tcPr>
            <w:tcW w:w="3099" w:type="dxa"/>
            <w:noWrap/>
            <w:vAlign w:val="center"/>
          </w:tcPr>
          <w:p w:rsidR="00000000" w:rsidRDefault="00000000">
            <w:pPr>
              <w:spacing w:before="60" w:after="60"/>
              <w:jc w:val="right"/>
            </w:pPr>
            <w:r>
              <w:t>33</w:t>
            </w:r>
          </w:p>
        </w:tc>
      </w:tr>
      <w:tr w:rsidR="00000000">
        <w:tblPrEx>
          <w:tblCellMar>
            <w:top w:w="0" w:type="dxa"/>
            <w:bottom w:w="0" w:type="dxa"/>
          </w:tblCellMar>
        </w:tblPrEx>
        <w:tc>
          <w:tcPr>
            <w:tcW w:w="3166" w:type="dxa"/>
            <w:noWrap/>
            <w:vAlign w:val="center"/>
          </w:tcPr>
          <w:p w:rsidR="00000000" w:rsidRDefault="00000000">
            <w:pPr>
              <w:spacing w:before="60" w:after="60"/>
            </w:pPr>
            <w:r>
              <w:t>2005</w:t>
            </w:r>
          </w:p>
        </w:tc>
        <w:tc>
          <w:tcPr>
            <w:tcW w:w="3165" w:type="dxa"/>
            <w:noWrap/>
            <w:vAlign w:val="center"/>
          </w:tcPr>
          <w:p w:rsidR="00000000" w:rsidRDefault="00000000">
            <w:pPr>
              <w:spacing w:before="60" w:after="60"/>
              <w:jc w:val="right"/>
            </w:pPr>
            <w:r>
              <w:t>167</w:t>
            </w:r>
          </w:p>
        </w:tc>
        <w:tc>
          <w:tcPr>
            <w:tcW w:w="3099" w:type="dxa"/>
            <w:noWrap/>
            <w:vAlign w:val="center"/>
          </w:tcPr>
          <w:p w:rsidR="00000000" w:rsidRDefault="00000000">
            <w:pPr>
              <w:spacing w:before="60" w:after="60"/>
              <w:jc w:val="right"/>
            </w:pPr>
            <w:r>
              <w:t>38</w:t>
            </w:r>
          </w:p>
        </w:tc>
      </w:tr>
      <w:tr w:rsidR="00000000">
        <w:tblPrEx>
          <w:tblCellMar>
            <w:top w:w="0" w:type="dxa"/>
            <w:bottom w:w="0" w:type="dxa"/>
          </w:tblCellMar>
        </w:tblPrEx>
        <w:tc>
          <w:tcPr>
            <w:tcW w:w="3166" w:type="dxa"/>
            <w:noWrap/>
            <w:vAlign w:val="center"/>
          </w:tcPr>
          <w:p w:rsidR="00000000" w:rsidRDefault="00000000">
            <w:pPr>
              <w:spacing w:before="60" w:after="60"/>
            </w:pPr>
            <w:r>
              <w:t>2006</w:t>
            </w:r>
          </w:p>
        </w:tc>
        <w:tc>
          <w:tcPr>
            <w:tcW w:w="3165" w:type="dxa"/>
            <w:noWrap/>
            <w:vAlign w:val="center"/>
          </w:tcPr>
          <w:p w:rsidR="00000000" w:rsidRDefault="00000000">
            <w:pPr>
              <w:spacing w:before="60" w:after="60"/>
              <w:jc w:val="right"/>
            </w:pPr>
            <w:r>
              <w:t>233</w:t>
            </w:r>
          </w:p>
        </w:tc>
        <w:tc>
          <w:tcPr>
            <w:tcW w:w="3099" w:type="dxa"/>
            <w:noWrap/>
            <w:vAlign w:val="center"/>
          </w:tcPr>
          <w:p w:rsidR="00000000" w:rsidRDefault="00000000">
            <w:pPr>
              <w:spacing w:before="60" w:after="60"/>
              <w:jc w:val="right"/>
            </w:pPr>
            <w:r>
              <w:t>44</w:t>
            </w:r>
          </w:p>
        </w:tc>
      </w:tr>
      <w:tr w:rsidR="00000000">
        <w:tblPrEx>
          <w:tblCellMar>
            <w:top w:w="0" w:type="dxa"/>
            <w:bottom w:w="0" w:type="dxa"/>
          </w:tblCellMar>
        </w:tblPrEx>
        <w:tc>
          <w:tcPr>
            <w:tcW w:w="3166" w:type="dxa"/>
            <w:noWrap/>
            <w:vAlign w:val="center"/>
          </w:tcPr>
          <w:p w:rsidR="00000000" w:rsidRDefault="00000000">
            <w:pPr>
              <w:spacing w:before="60" w:after="60"/>
            </w:pPr>
            <w:r>
              <w:t>2007</w:t>
            </w:r>
          </w:p>
        </w:tc>
        <w:tc>
          <w:tcPr>
            <w:tcW w:w="3165" w:type="dxa"/>
            <w:noWrap/>
            <w:vAlign w:val="center"/>
          </w:tcPr>
          <w:p w:rsidR="00000000" w:rsidRDefault="00000000">
            <w:pPr>
              <w:spacing w:before="60" w:after="60"/>
              <w:jc w:val="right"/>
            </w:pPr>
            <w:r>
              <w:t>261</w:t>
            </w:r>
          </w:p>
        </w:tc>
        <w:tc>
          <w:tcPr>
            <w:tcW w:w="3099" w:type="dxa"/>
            <w:noWrap/>
            <w:vAlign w:val="center"/>
          </w:tcPr>
          <w:p w:rsidR="00000000" w:rsidRDefault="00000000">
            <w:pPr>
              <w:spacing w:before="60" w:after="60"/>
              <w:jc w:val="right"/>
            </w:pPr>
            <w:r>
              <w:t>45</w:t>
            </w:r>
          </w:p>
        </w:tc>
      </w:tr>
    </w:tbl>
    <w:p w:rsidR="00000000" w:rsidRDefault="00000000">
      <w:pPr>
        <w:spacing w:before="240" w:after="240"/>
      </w:pPr>
      <w:r>
        <w:t>20.</w:t>
      </w:r>
      <w:r>
        <w:tab/>
        <w:t>En vertu de la loi n</w:t>
      </w:r>
      <w:r>
        <w:rPr>
          <w:vertAlign w:val="superscript"/>
        </w:rPr>
        <w:t>o</w:t>
      </w:r>
      <w:r>
        <w:t> 84 du 17 juin 2004, portant modification de la loi n</w:t>
      </w:r>
      <w:r>
        <w:rPr>
          <w:vertAlign w:val="superscript"/>
        </w:rPr>
        <w:t>o</w:t>
      </w:r>
      <w:r>
        <w:t> 114 du 30 novembre 2000 (loi sur la nationalité), les femmes et les hommes peuvent transmettre leur nationalité à leurs enfants à la naissance, sans attendre que ceux-ci atteignent l’âge de 18 ans.</w:t>
      </w:r>
    </w:p>
    <w:p w:rsidR="00000000" w:rsidRDefault="00000000">
      <w:pPr>
        <w:spacing w:after="240"/>
      </w:pPr>
      <w:r>
        <w:t>21.</w:t>
      </w:r>
      <w:r>
        <w:tab/>
        <w:t>Le Bureau d’état civil reconnaît que les expressions «enfants légitimes» et «enfants naturels» appartiennent au langage juridique courant, mais indique qu’il n’a pas connaissance d’une initiative visant à supprimer l’emploi de ces termes.</w:t>
      </w:r>
    </w:p>
    <w:p w:rsidR="00000000" w:rsidRDefault="00000000">
      <w:pPr>
        <w:spacing w:after="240"/>
      </w:pPr>
      <w:r>
        <w:t>22.</w:t>
      </w:r>
      <w:r>
        <w:tab/>
        <w:t>Il convient toutefois de préciser que le paragraphe 3 de l’article 12 de la Déclaration sur les droits des citoyens a introduit une réserve spécifique garantissant que les enfants nés hors mariage recevront une protection morale, juridique et sociale et seront traités sur un pied d’égalité avec les enfants légitimes. Enfin, il convient de rappeler qu’aux termes de l’article 48 de la loi n</w:t>
      </w:r>
      <w:r>
        <w:rPr>
          <w:vertAlign w:val="superscript"/>
        </w:rPr>
        <w:t>o</w:t>
      </w:r>
      <w:r>
        <w:t> 49 du 26 avril 1986, les enfants naturels reconnus ont le statut d’enfants légitimes au regard de la loi, notamment en matière de succession.</w:t>
      </w:r>
    </w:p>
    <w:p w:rsidR="00000000" w:rsidRDefault="00000000">
      <w:pPr>
        <w:spacing w:after="240"/>
      </w:pPr>
      <w:r>
        <w:t>23.</w:t>
      </w:r>
      <w:r>
        <w:tab/>
        <w:t>Comme cela a été mentionné au paragraphe 165 du rapport, le problème de la pauvreté dans la République de Saint</w:t>
      </w:r>
      <w:r>
        <w:noBreakHyphen/>
        <w:t xml:space="preserve">Marin peut être considéré comme entièrement résolu. Néanmoins, quelques mesures spéciales ont été adoptées en faveur des familles et des personnes vivant des situations difficiles et nécessitant une aide. </w:t>
      </w:r>
    </w:p>
    <w:p w:rsidR="00000000" w:rsidRDefault="00000000">
      <w:pPr>
        <w:spacing w:after="240"/>
      </w:pPr>
      <w:r>
        <w:t>24.</w:t>
      </w:r>
      <w:r>
        <w:tab/>
        <w:t>On citera en particulier le décret pris par délégation n</w:t>
      </w:r>
      <w:r>
        <w:rPr>
          <w:vertAlign w:val="superscript"/>
        </w:rPr>
        <w:t>o</w:t>
      </w:r>
      <w:r>
        <w:t> 137 du 20 décembre 2006, portant application de l’article 46 de la loi n</w:t>
      </w:r>
      <w:r>
        <w:rPr>
          <w:vertAlign w:val="superscript"/>
        </w:rPr>
        <w:t>o</w:t>
      </w:r>
      <w:r>
        <w:t> 179 de 2005, qui régissait l’utilisation, pour l’année 2006, d’un fonds de 920 000 euros créé pour aider les familles dans le besoin. Un montant total de 734 500 euros prélevé sur ce fonds a été attribué à 258 familles. En 2006, sur ces 258 familles, 44 % avaient un revenu annuel par personne inférieur à 5 000 euros, 29 % avaient un revenu se situant entre 5 000 et 5 999 euros, 14 % un revenu se situant entre 6 000 et 6 999 euros, 7 % entre 7 000 et 7 999 euros et 6 % entre 9 000 et 9 500 euros.</w:t>
      </w:r>
    </w:p>
    <w:p w:rsidR="00000000" w:rsidRDefault="00000000">
      <w:pPr>
        <w:spacing w:after="360"/>
      </w:pPr>
      <w:r>
        <w:t>25.</w:t>
      </w:r>
      <w:r>
        <w:tab/>
        <w:t>En outre, un «certificat de crédit social» a été créé pour l’année 2007 en vertu de l’article 44 de la loi n</w:t>
      </w:r>
      <w:r>
        <w:rPr>
          <w:vertAlign w:val="superscript"/>
        </w:rPr>
        <w:t>o</w:t>
      </w:r>
      <w:r>
        <w:t> 135 du 18 décembre 2006, et des crédits de 700 000 euros ont été alloués à ce titre. Les critères régissant l’attribution de ce certificat ont été définis en attendant sa mise en œuvre effective au moyen d’un décret spécifique (pris par délégation). Le certificat de crédit social sera accordé à des personnes vivant dans des familles défavorisées, compte tenu en particulier de la composition et des dimensions de la famille, à des familles vivant d’un seul revenu et ayant des mineurs à charge, à des ménages comptant un ou plusieurs handicapés ou des personnes âgées non autonomes, à des ménages composés exclusivement de retraités, devant assurer leur propre subsistance, et à des ménages connaissant des difficultés sociales. Le certificat de crédit social consiste en une somme destinée à payer l’accès à des services publics ou autres, à compléter ou couvrir le règlement des factures, droits, impôts, redevances, médicaments, prothèses, traitements et toute forme d’assistance en général. (Voir tableaux ci</w:t>
      </w:r>
      <w:r>
        <w:noBreakHyphen/>
        <w:t>joints.)</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4680"/>
      </w:tblGrid>
      <w:tr w:rsidR="00000000">
        <w:tblPrEx>
          <w:tblCellMar>
            <w:top w:w="0" w:type="dxa"/>
            <w:bottom w:w="0" w:type="dxa"/>
          </w:tblCellMar>
        </w:tblPrEx>
        <w:trPr>
          <w:cantSplit/>
        </w:trPr>
        <w:tc>
          <w:tcPr>
            <w:tcW w:w="4679" w:type="dxa"/>
            <w:noWrap/>
            <w:vAlign w:val="center"/>
          </w:tcPr>
          <w:p w:rsidR="00000000" w:rsidRDefault="00000000">
            <w:pPr>
              <w:spacing w:before="60" w:after="60"/>
              <w:jc w:val="center"/>
            </w:pPr>
          </w:p>
        </w:tc>
        <w:tc>
          <w:tcPr>
            <w:tcW w:w="4680" w:type="dxa"/>
            <w:noWrap/>
            <w:vAlign w:val="center"/>
          </w:tcPr>
          <w:p w:rsidR="00000000" w:rsidRDefault="00000000">
            <w:pPr>
              <w:spacing w:before="60" w:after="60"/>
              <w:jc w:val="center"/>
            </w:pPr>
            <w:r>
              <w:t>Fourniture d’un logement provisoire</w:t>
            </w:r>
          </w:p>
        </w:tc>
      </w:tr>
      <w:tr w:rsidR="00000000">
        <w:tblPrEx>
          <w:tblCellMar>
            <w:top w:w="0" w:type="dxa"/>
            <w:bottom w:w="0" w:type="dxa"/>
          </w:tblCellMar>
        </w:tblPrEx>
        <w:trPr>
          <w:cantSplit/>
        </w:trPr>
        <w:tc>
          <w:tcPr>
            <w:tcW w:w="4679" w:type="dxa"/>
            <w:noWrap/>
            <w:vAlign w:val="center"/>
          </w:tcPr>
          <w:p w:rsidR="00000000" w:rsidRDefault="00000000">
            <w:pPr>
              <w:spacing w:before="60" w:after="60"/>
            </w:pPr>
            <w:r>
              <w:t>2003</w:t>
            </w:r>
          </w:p>
        </w:tc>
        <w:tc>
          <w:tcPr>
            <w:tcW w:w="4680" w:type="dxa"/>
            <w:noWrap/>
            <w:vAlign w:val="center"/>
          </w:tcPr>
          <w:p w:rsidR="00000000" w:rsidRDefault="00000000">
            <w:pPr>
              <w:spacing w:before="60" w:after="60"/>
              <w:jc w:val="right"/>
            </w:pPr>
            <w:r>
              <w:t>41</w:t>
            </w:r>
          </w:p>
        </w:tc>
      </w:tr>
      <w:tr w:rsidR="00000000">
        <w:tblPrEx>
          <w:tblCellMar>
            <w:top w:w="0" w:type="dxa"/>
            <w:bottom w:w="0" w:type="dxa"/>
          </w:tblCellMar>
        </w:tblPrEx>
        <w:trPr>
          <w:cantSplit/>
        </w:trPr>
        <w:tc>
          <w:tcPr>
            <w:tcW w:w="4679" w:type="dxa"/>
            <w:noWrap/>
            <w:vAlign w:val="center"/>
          </w:tcPr>
          <w:p w:rsidR="00000000" w:rsidRDefault="00000000">
            <w:pPr>
              <w:spacing w:before="60" w:after="60"/>
            </w:pPr>
            <w:r>
              <w:t>2004</w:t>
            </w:r>
          </w:p>
        </w:tc>
        <w:tc>
          <w:tcPr>
            <w:tcW w:w="4680" w:type="dxa"/>
            <w:noWrap/>
            <w:vAlign w:val="center"/>
          </w:tcPr>
          <w:p w:rsidR="00000000" w:rsidRDefault="00000000">
            <w:pPr>
              <w:spacing w:before="60" w:after="60"/>
              <w:jc w:val="right"/>
            </w:pPr>
            <w:r>
              <w:t>48</w:t>
            </w:r>
          </w:p>
        </w:tc>
      </w:tr>
      <w:tr w:rsidR="00000000">
        <w:tblPrEx>
          <w:tblCellMar>
            <w:top w:w="0" w:type="dxa"/>
            <w:bottom w:w="0" w:type="dxa"/>
          </w:tblCellMar>
        </w:tblPrEx>
        <w:trPr>
          <w:cantSplit/>
        </w:trPr>
        <w:tc>
          <w:tcPr>
            <w:tcW w:w="4679" w:type="dxa"/>
            <w:noWrap/>
            <w:vAlign w:val="center"/>
          </w:tcPr>
          <w:p w:rsidR="00000000" w:rsidRDefault="00000000">
            <w:pPr>
              <w:spacing w:before="60" w:after="60"/>
            </w:pPr>
            <w:r>
              <w:t>2005</w:t>
            </w:r>
          </w:p>
        </w:tc>
        <w:tc>
          <w:tcPr>
            <w:tcW w:w="4680" w:type="dxa"/>
            <w:noWrap/>
            <w:vAlign w:val="center"/>
          </w:tcPr>
          <w:p w:rsidR="00000000" w:rsidRDefault="00000000">
            <w:pPr>
              <w:spacing w:before="60" w:after="60"/>
              <w:jc w:val="right"/>
            </w:pPr>
            <w:r>
              <w:t>42</w:t>
            </w:r>
          </w:p>
        </w:tc>
      </w:tr>
      <w:tr w:rsidR="00000000">
        <w:tblPrEx>
          <w:tblCellMar>
            <w:top w:w="0" w:type="dxa"/>
            <w:bottom w:w="0" w:type="dxa"/>
          </w:tblCellMar>
        </w:tblPrEx>
        <w:trPr>
          <w:cantSplit/>
        </w:trPr>
        <w:tc>
          <w:tcPr>
            <w:tcW w:w="4679" w:type="dxa"/>
            <w:noWrap/>
            <w:vAlign w:val="center"/>
          </w:tcPr>
          <w:p w:rsidR="00000000" w:rsidRDefault="00000000">
            <w:pPr>
              <w:spacing w:before="60" w:after="60"/>
            </w:pPr>
            <w:r>
              <w:t>2006</w:t>
            </w:r>
          </w:p>
        </w:tc>
        <w:tc>
          <w:tcPr>
            <w:tcW w:w="4680" w:type="dxa"/>
            <w:noWrap/>
            <w:vAlign w:val="center"/>
          </w:tcPr>
          <w:p w:rsidR="00000000" w:rsidRDefault="00000000">
            <w:pPr>
              <w:spacing w:before="60" w:after="60"/>
              <w:jc w:val="right"/>
            </w:pPr>
            <w:r>
              <w:t>44</w:t>
            </w:r>
          </w:p>
        </w:tc>
      </w:tr>
      <w:tr w:rsidR="00000000">
        <w:tblPrEx>
          <w:tblCellMar>
            <w:top w:w="0" w:type="dxa"/>
            <w:bottom w:w="0" w:type="dxa"/>
          </w:tblCellMar>
        </w:tblPrEx>
        <w:trPr>
          <w:cantSplit/>
        </w:trPr>
        <w:tc>
          <w:tcPr>
            <w:tcW w:w="4679" w:type="dxa"/>
            <w:noWrap/>
            <w:vAlign w:val="center"/>
          </w:tcPr>
          <w:p w:rsidR="00000000" w:rsidRDefault="00000000">
            <w:pPr>
              <w:spacing w:before="60" w:after="60"/>
            </w:pPr>
            <w:r>
              <w:t>2007</w:t>
            </w:r>
          </w:p>
        </w:tc>
        <w:tc>
          <w:tcPr>
            <w:tcW w:w="4680" w:type="dxa"/>
            <w:noWrap/>
            <w:vAlign w:val="center"/>
          </w:tcPr>
          <w:p w:rsidR="00000000" w:rsidRDefault="00000000">
            <w:pPr>
              <w:spacing w:before="60" w:after="60"/>
              <w:jc w:val="right"/>
            </w:pPr>
            <w:r>
              <w:t>39</w:t>
            </w:r>
          </w:p>
        </w:tc>
      </w:tr>
    </w:tbl>
    <w:p w:rsidR="00000000" w:rsidRDefault="00000000">
      <w:pPr>
        <w:spacing w:before="120" w:after="120"/>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20"/>
        <w:gridCol w:w="3120"/>
      </w:tblGrid>
      <w:tr w:rsidR="00000000">
        <w:tblPrEx>
          <w:tblCellMar>
            <w:top w:w="0" w:type="dxa"/>
            <w:bottom w:w="0" w:type="dxa"/>
          </w:tblCellMar>
        </w:tblPrEx>
        <w:tc>
          <w:tcPr>
            <w:tcW w:w="3119" w:type="dxa"/>
            <w:noWrap/>
            <w:vAlign w:val="center"/>
          </w:tcPr>
          <w:p w:rsidR="00000000" w:rsidRDefault="00000000">
            <w:pPr>
              <w:spacing w:before="60" w:after="60"/>
              <w:jc w:val="center"/>
            </w:pPr>
          </w:p>
        </w:tc>
        <w:tc>
          <w:tcPr>
            <w:tcW w:w="3120" w:type="dxa"/>
            <w:noWrap/>
            <w:vAlign w:val="center"/>
          </w:tcPr>
          <w:p w:rsidR="00000000" w:rsidRDefault="00000000">
            <w:pPr>
              <w:spacing w:before="60" w:after="60"/>
              <w:jc w:val="center"/>
            </w:pPr>
            <w:r>
              <w:t>Logements sociaux</w:t>
            </w:r>
          </w:p>
        </w:tc>
        <w:tc>
          <w:tcPr>
            <w:tcW w:w="3120" w:type="dxa"/>
            <w:noWrap/>
            <w:vAlign w:val="center"/>
          </w:tcPr>
          <w:p w:rsidR="00000000" w:rsidRDefault="00000000">
            <w:pPr>
              <w:spacing w:before="60" w:after="60"/>
              <w:jc w:val="center"/>
            </w:pPr>
            <w:r>
              <w:t>Coopératives de logement</w:t>
            </w:r>
          </w:p>
        </w:tc>
      </w:tr>
      <w:tr w:rsidR="00000000">
        <w:tblPrEx>
          <w:tblCellMar>
            <w:top w:w="0" w:type="dxa"/>
            <w:bottom w:w="0" w:type="dxa"/>
          </w:tblCellMar>
        </w:tblPrEx>
        <w:tc>
          <w:tcPr>
            <w:tcW w:w="3119" w:type="dxa"/>
            <w:noWrap/>
            <w:vAlign w:val="center"/>
          </w:tcPr>
          <w:p w:rsidR="00000000" w:rsidRDefault="00000000">
            <w:pPr>
              <w:spacing w:before="60" w:after="60"/>
            </w:pPr>
            <w:r>
              <w:t>2003</w:t>
            </w:r>
          </w:p>
        </w:tc>
        <w:tc>
          <w:tcPr>
            <w:tcW w:w="3120" w:type="dxa"/>
            <w:noWrap/>
            <w:vAlign w:val="center"/>
          </w:tcPr>
          <w:p w:rsidR="00000000" w:rsidRDefault="00000000">
            <w:pPr>
              <w:spacing w:before="60" w:after="60"/>
              <w:jc w:val="right"/>
            </w:pPr>
            <w:r>
              <w:t>0</w:t>
            </w:r>
          </w:p>
        </w:tc>
        <w:tc>
          <w:tcPr>
            <w:tcW w:w="3120" w:type="dxa"/>
            <w:noWrap/>
            <w:vAlign w:val="center"/>
          </w:tcPr>
          <w:p w:rsidR="00000000" w:rsidRDefault="00000000">
            <w:pPr>
              <w:spacing w:before="60" w:after="60"/>
              <w:jc w:val="right"/>
            </w:pPr>
            <w:r>
              <w:t>66</w:t>
            </w:r>
          </w:p>
        </w:tc>
      </w:tr>
      <w:tr w:rsidR="00000000">
        <w:tblPrEx>
          <w:tblCellMar>
            <w:top w:w="0" w:type="dxa"/>
            <w:bottom w:w="0" w:type="dxa"/>
          </w:tblCellMar>
        </w:tblPrEx>
        <w:tc>
          <w:tcPr>
            <w:tcW w:w="3119" w:type="dxa"/>
            <w:noWrap/>
            <w:vAlign w:val="center"/>
          </w:tcPr>
          <w:p w:rsidR="00000000" w:rsidRDefault="00000000">
            <w:pPr>
              <w:spacing w:before="60" w:after="60"/>
            </w:pPr>
            <w:r>
              <w:t>2004</w:t>
            </w:r>
          </w:p>
        </w:tc>
        <w:tc>
          <w:tcPr>
            <w:tcW w:w="3120" w:type="dxa"/>
            <w:noWrap/>
            <w:vAlign w:val="center"/>
          </w:tcPr>
          <w:p w:rsidR="00000000" w:rsidRDefault="00000000">
            <w:pPr>
              <w:spacing w:before="60" w:after="60"/>
              <w:jc w:val="right"/>
            </w:pPr>
            <w:r>
              <w:t>0</w:t>
            </w:r>
          </w:p>
        </w:tc>
        <w:tc>
          <w:tcPr>
            <w:tcW w:w="3120" w:type="dxa"/>
            <w:noWrap/>
            <w:vAlign w:val="center"/>
          </w:tcPr>
          <w:p w:rsidR="00000000" w:rsidRDefault="00000000">
            <w:pPr>
              <w:spacing w:before="60" w:after="60"/>
              <w:jc w:val="right"/>
            </w:pPr>
            <w:r>
              <w:t>50</w:t>
            </w:r>
          </w:p>
        </w:tc>
      </w:tr>
      <w:tr w:rsidR="00000000">
        <w:tblPrEx>
          <w:tblCellMar>
            <w:top w:w="0" w:type="dxa"/>
            <w:bottom w:w="0" w:type="dxa"/>
          </w:tblCellMar>
        </w:tblPrEx>
        <w:tc>
          <w:tcPr>
            <w:tcW w:w="3119" w:type="dxa"/>
            <w:noWrap/>
            <w:vAlign w:val="center"/>
          </w:tcPr>
          <w:p w:rsidR="00000000" w:rsidRDefault="00000000">
            <w:pPr>
              <w:spacing w:before="60" w:after="60"/>
            </w:pPr>
            <w:r>
              <w:t>2005</w:t>
            </w:r>
          </w:p>
        </w:tc>
        <w:tc>
          <w:tcPr>
            <w:tcW w:w="3120" w:type="dxa"/>
            <w:noWrap/>
            <w:vAlign w:val="center"/>
          </w:tcPr>
          <w:p w:rsidR="00000000" w:rsidRDefault="00000000">
            <w:pPr>
              <w:spacing w:before="60" w:after="60"/>
              <w:jc w:val="right"/>
            </w:pPr>
            <w:r>
              <w:t>0</w:t>
            </w:r>
          </w:p>
        </w:tc>
        <w:tc>
          <w:tcPr>
            <w:tcW w:w="3120" w:type="dxa"/>
            <w:noWrap/>
            <w:vAlign w:val="center"/>
          </w:tcPr>
          <w:p w:rsidR="00000000" w:rsidRDefault="00000000">
            <w:pPr>
              <w:spacing w:before="60" w:after="60"/>
              <w:jc w:val="right"/>
            </w:pPr>
            <w:r>
              <w:t>58</w:t>
            </w:r>
          </w:p>
        </w:tc>
      </w:tr>
      <w:tr w:rsidR="00000000">
        <w:tblPrEx>
          <w:tblCellMar>
            <w:top w:w="0" w:type="dxa"/>
            <w:bottom w:w="0" w:type="dxa"/>
          </w:tblCellMar>
        </w:tblPrEx>
        <w:tc>
          <w:tcPr>
            <w:tcW w:w="3119" w:type="dxa"/>
            <w:noWrap/>
            <w:vAlign w:val="center"/>
          </w:tcPr>
          <w:p w:rsidR="00000000" w:rsidRDefault="00000000">
            <w:pPr>
              <w:spacing w:before="60" w:after="60"/>
            </w:pPr>
            <w:r>
              <w:t>2006</w:t>
            </w:r>
          </w:p>
        </w:tc>
        <w:tc>
          <w:tcPr>
            <w:tcW w:w="3120" w:type="dxa"/>
            <w:noWrap/>
            <w:vAlign w:val="center"/>
          </w:tcPr>
          <w:p w:rsidR="00000000" w:rsidRDefault="00000000">
            <w:pPr>
              <w:spacing w:before="60" w:after="60"/>
              <w:jc w:val="right"/>
            </w:pPr>
            <w:r>
              <w:t>0</w:t>
            </w:r>
          </w:p>
        </w:tc>
        <w:tc>
          <w:tcPr>
            <w:tcW w:w="3120" w:type="dxa"/>
            <w:noWrap/>
            <w:vAlign w:val="center"/>
          </w:tcPr>
          <w:p w:rsidR="00000000" w:rsidRDefault="00000000">
            <w:pPr>
              <w:spacing w:before="60" w:after="60"/>
              <w:jc w:val="right"/>
            </w:pPr>
            <w:r>
              <w:t>57</w:t>
            </w:r>
          </w:p>
        </w:tc>
      </w:tr>
      <w:tr w:rsidR="00000000">
        <w:tblPrEx>
          <w:tblCellMar>
            <w:top w:w="0" w:type="dxa"/>
            <w:bottom w:w="0" w:type="dxa"/>
          </w:tblCellMar>
        </w:tblPrEx>
        <w:tc>
          <w:tcPr>
            <w:tcW w:w="3119" w:type="dxa"/>
            <w:noWrap/>
            <w:vAlign w:val="center"/>
          </w:tcPr>
          <w:p w:rsidR="00000000" w:rsidRDefault="00000000">
            <w:pPr>
              <w:spacing w:before="60" w:after="60"/>
            </w:pPr>
            <w:r>
              <w:t>2007</w:t>
            </w:r>
          </w:p>
        </w:tc>
        <w:tc>
          <w:tcPr>
            <w:tcW w:w="3120" w:type="dxa"/>
            <w:noWrap/>
            <w:vAlign w:val="center"/>
          </w:tcPr>
          <w:p w:rsidR="00000000" w:rsidRDefault="00000000">
            <w:pPr>
              <w:spacing w:before="60" w:after="60"/>
              <w:jc w:val="right"/>
            </w:pPr>
            <w:r>
              <w:t>0</w:t>
            </w:r>
          </w:p>
        </w:tc>
        <w:tc>
          <w:tcPr>
            <w:tcW w:w="3120" w:type="dxa"/>
            <w:noWrap/>
            <w:vAlign w:val="center"/>
          </w:tcPr>
          <w:p w:rsidR="00000000" w:rsidRDefault="00000000">
            <w:pPr>
              <w:spacing w:before="60" w:after="60"/>
              <w:jc w:val="right"/>
            </w:pPr>
            <w:r>
              <w:t>45</w:t>
            </w:r>
          </w:p>
        </w:tc>
      </w:tr>
    </w:tbl>
    <w:p w:rsidR="00000000" w:rsidRDefault="00000000">
      <w:pPr>
        <w:spacing w:before="120" w:after="120"/>
      </w:pPr>
    </w:p>
    <w:p w:rsidR="00000000" w:rsidRDefault="00000000">
      <w:pPr>
        <w:spacing w:after="240"/>
      </w:pPr>
      <w:r>
        <w:br w:type="page"/>
        <w:t>26.</w:t>
      </w:r>
      <w:r>
        <w:tab/>
        <w:t xml:space="preserve">La loi </w:t>
      </w:r>
      <w:r>
        <w:rPr>
          <w:rFonts w:eastAsia="MS Mincho"/>
        </w:rPr>
        <w:t>n</w:t>
      </w:r>
      <w:r>
        <w:rPr>
          <w:rFonts w:eastAsia="MS Mincho"/>
          <w:vertAlign w:val="superscript"/>
        </w:rPr>
        <w:t>o</w:t>
      </w:r>
      <w:r>
        <w:rPr>
          <w:rFonts w:eastAsia="MS Mincho"/>
        </w:rPr>
        <w:t> </w:t>
      </w:r>
      <w:r>
        <w:t>110 du 15 décembre 1994 et les amendements ultérieurs ont en fait mis sur un pied d’égalité le logement coopératif et le logement résidentiel. Aujourd’hui, les logements sociaux vont exclusivement aux personnes connaissant les difficultés économiques et/ou sociales. Les critères énoncés par la réglementation en vigueur garantissent que ces logements seront occupés par des personnes à faibles revenus. Parallèlement, celles qui ont assez de pouvoir d’achat pour s’adresser au marché privé sont encouragées à quitter les logements sociaux qui leur ont été attribués, ce qui fait que l’État dispose régulièrement d’un nombre suffisant de logements pour faire face à de nouvelles situations d’urgence et répondre à de nouveaux besoins.</w:t>
      </w:r>
    </w:p>
    <w:p w:rsidR="00000000" w:rsidRDefault="00000000">
      <w:pPr>
        <w:spacing w:after="240"/>
      </w:pPr>
      <w:r>
        <w:t>27.</w:t>
      </w:r>
      <w:r>
        <w:tab/>
        <w:t>Depuis le milieu des années 80, la population des pays occidentaux dispose d’une ration alimentaire moyenne supérieure de 1 000 calories à la moyenne optimale des besoins, soit 2 300 calories. La suralimentation a eu pour première conséquence le développement de l’obésité dans la population. Aujourd’hui, plus de 30 % des enfants fréquentant l’école obligatoire sont en surpoids. Cela conduit à l’obésité et à l’hypercholestérolémie chez les adultes, deux facteurs de risques pour des pathologies telles que les maladies cardiovasculaires, le diabète, les arthropathies et le cancer. Une bonne information et une éducation correcte concernant l’alimentation, judicieusement incluses dans les programmes scolaires, peuvent s’avérer très utiles pour convaincre les enfants et les adolescents d’adopter une alimentation saine, axée sur une consommation équilibrée d’aliments variés, avec une préférence pour les produits dits «méditerranéens», comme le pain, les pâtes, les légumineuses, le poisson, l’huile d’olive, les agrumes et, en saison, les fruits et beaucoup de légumes. Une enquête a été menée sur l’obésité infantile à Saint-Marin pendant l’année scolaire 2003/04, dans le cadre d’examens de médecine préventive pour les élèves de l’enseignement primaire (de première et de cinquième) et les élèves de l’école intermédiaire (troisième). Cette enquête a porté sur 665 enfants à l’école primaire et 176 à l’école intermédiaire et a donné les résultats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9"/>
        <w:gridCol w:w="1742"/>
        <w:gridCol w:w="1724"/>
        <w:gridCol w:w="1735"/>
        <w:gridCol w:w="1726"/>
      </w:tblGrid>
      <w:tr w:rsidR="00000000">
        <w:tblPrEx>
          <w:tblCellMar>
            <w:top w:w="0" w:type="dxa"/>
            <w:bottom w:w="0" w:type="dxa"/>
          </w:tblCellMar>
        </w:tblPrEx>
        <w:trPr>
          <w:jc w:val="center"/>
        </w:trPr>
        <w:tc>
          <w:tcPr>
            <w:tcW w:w="2429" w:type="dxa"/>
            <w:vAlign w:val="center"/>
          </w:tcPr>
          <w:p w:rsidR="00000000" w:rsidRDefault="00000000">
            <w:pPr>
              <w:spacing w:before="60" w:after="60"/>
              <w:jc w:val="center"/>
            </w:pPr>
          </w:p>
        </w:tc>
        <w:tc>
          <w:tcPr>
            <w:tcW w:w="1742" w:type="dxa"/>
            <w:vAlign w:val="center"/>
          </w:tcPr>
          <w:p w:rsidR="00000000" w:rsidRDefault="00000000">
            <w:pPr>
              <w:spacing w:before="60" w:after="60"/>
              <w:jc w:val="center"/>
            </w:pPr>
            <w:r>
              <w:t>Insuffisance pondérale</w:t>
            </w:r>
          </w:p>
        </w:tc>
        <w:tc>
          <w:tcPr>
            <w:tcW w:w="1724" w:type="dxa"/>
            <w:vAlign w:val="center"/>
          </w:tcPr>
          <w:p w:rsidR="00000000" w:rsidRDefault="00000000">
            <w:pPr>
              <w:spacing w:before="60" w:after="60"/>
              <w:jc w:val="center"/>
            </w:pPr>
            <w:r>
              <w:t>Poids normal</w:t>
            </w:r>
          </w:p>
        </w:tc>
        <w:tc>
          <w:tcPr>
            <w:tcW w:w="1735" w:type="dxa"/>
            <w:vAlign w:val="center"/>
          </w:tcPr>
          <w:p w:rsidR="00000000" w:rsidRDefault="00000000">
            <w:pPr>
              <w:spacing w:before="60" w:after="60"/>
              <w:jc w:val="center"/>
            </w:pPr>
            <w:r>
              <w:t>Surcharge pondérale</w:t>
            </w:r>
          </w:p>
        </w:tc>
        <w:tc>
          <w:tcPr>
            <w:tcW w:w="1726" w:type="dxa"/>
            <w:vAlign w:val="center"/>
          </w:tcPr>
          <w:p w:rsidR="00000000" w:rsidRDefault="00000000">
            <w:pPr>
              <w:spacing w:before="60" w:after="60"/>
              <w:jc w:val="center"/>
            </w:pPr>
            <w:r>
              <w:t>Obésité</w:t>
            </w:r>
          </w:p>
        </w:tc>
      </w:tr>
      <w:tr w:rsidR="00000000">
        <w:tblPrEx>
          <w:tblCellMar>
            <w:top w:w="0" w:type="dxa"/>
            <w:bottom w:w="0" w:type="dxa"/>
          </w:tblCellMar>
        </w:tblPrEx>
        <w:trPr>
          <w:jc w:val="center"/>
        </w:trPr>
        <w:tc>
          <w:tcPr>
            <w:tcW w:w="2429" w:type="dxa"/>
            <w:vAlign w:val="center"/>
          </w:tcPr>
          <w:p w:rsidR="00000000" w:rsidRDefault="00000000">
            <w:pPr>
              <w:spacing w:before="60" w:after="60"/>
            </w:pPr>
            <w:r>
              <w:t>École primaire</w:t>
            </w:r>
          </w:p>
        </w:tc>
        <w:tc>
          <w:tcPr>
            <w:tcW w:w="1742" w:type="dxa"/>
            <w:vAlign w:val="bottom"/>
          </w:tcPr>
          <w:p w:rsidR="00000000" w:rsidRDefault="00000000">
            <w:pPr>
              <w:spacing w:before="60" w:after="60"/>
              <w:jc w:val="right"/>
            </w:pPr>
            <w:r>
              <w:t>6,77 %</w:t>
            </w:r>
          </w:p>
        </w:tc>
        <w:tc>
          <w:tcPr>
            <w:tcW w:w="1724" w:type="dxa"/>
            <w:vAlign w:val="bottom"/>
          </w:tcPr>
          <w:p w:rsidR="00000000" w:rsidRDefault="00000000">
            <w:pPr>
              <w:spacing w:before="60" w:after="60"/>
              <w:jc w:val="right"/>
            </w:pPr>
            <w:r>
              <w:t>50,38 %</w:t>
            </w:r>
          </w:p>
        </w:tc>
        <w:tc>
          <w:tcPr>
            <w:tcW w:w="1735" w:type="dxa"/>
            <w:vAlign w:val="bottom"/>
          </w:tcPr>
          <w:p w:rsidR="00000000" w:rsidRDefault="00000000">
            <w:pPr>
              <w:spacing w:before="60" w:after="60"/>
              <w:jc w:val="right"/>
            </w:pPr>
            <w:r>
              <w:t>17,29 %</w:t>
            </w:r>
          </w:p>
        </w:tc>
        <w:tc>
          <w:tcPr>
            <w:tcW w:w="1726" w:type="dxa"/>
            <w:vAlign w:val="bottom"/>
          </w:tcPr>
          <w:p w:rsidR="00000000" w:rsidRDefault="00000000">
            <w:pPr>
              <w:spacing w:before="60" w:after="60"/>
              <w:jc w:val="right"/>
            </w:pPr>
            <w:r>
              <w:t>25,56 %</w:t>
            </w:r>
          </w:p>
        </w:tc>
      </w:tr>
      <w:tr w:rsidR="00000000">
        <w:tblPrEx>
          <w:tblCellMar>
            <w:top w:w="0" w:type="dxa"/>
            <w:bottom w:w="0" w:type="dxa"/>
          </w:tblCellMar>
        </w:tblPrEx>
        <w:trPr>
          <w:jc w:val="center"/>
        </w:trPr>
        <w:tc>
          <w:tcPr>
            <w:tcW w:w="2429" w:type="dxa"/>
            <w:vAlign w:val="center"/>
          </w:tcPr>
          <w:p w:rsidR="00000000" w:rsidRDefault="00000000">
            <w:pPr>
              <w:spacing w:before="60" w:after="60"/>
            </w:pPr>
            <w:r>
              <w:t>École intermédiaire</w:t>
            </w:r>
          </w:p>
        </w:tc>
        <w:tc>
          <w:tcPr>
            <w:tcW w:w="1742" w:type="dxa"/>
            <w:vAlign w:val="bottom"/>
          </w:tcPr>
          <w:p w:rsidR="00000000" w:rsidRDefault="00000000">
            <w:pPr>
              <w:spacing w:before="60" w:after="60"/>
              <w:jc w:val="right"/>
            </w:pPr>
            <w:r>
              <w:t>13,07 %</w:t>
            </w:r>
          </w:p>
        </w:tc>
        <w:tc>
          <w:tcPr>
            <w:tcW w:w="1724" w:type="dxa"/>
            <w:vAlign w:val="bottom"/>
          </w:tcPr>
          <w:p w:rsidR="00000000" w:rsidRDefault="00000000">
            <w:pPr>
              <w:spacing w:before="60" w:after="60"/>
              <w:jc w:val="right"/>
            </w:pPr>
            <w:r>
              <w:t>49,43 %</w:t>
            </w:r>
          </w:p>
        </w:tc>
        <w:tc>
          <w:tcPr>
            <w:tcW w:w="1735" w:type="dxa"/>
            <w:vAlign w:val="bottom"/>
          </w:tcPr>
          <w:p w:rsidR="00000000" w:rsidRDefault="00000000">
            <w:pPr>
              <w:spacing w:before="60" w:after="60"/>
              <w:jc w:val="right"/>
            </w:pPr>
            <w:r>
              <w:t>13,64 %</w:t>
            </w:r>
          </w:p>
        </w:tc>
        <w:tc>
          <w:tcPr>
            <w:tcW w:w="1726" w:type="dxa"/>
            <w:vAlign w:val="bottom"/>
          </w:tcPr>
          <w:p w:rsidR="00000000" w:rsidRDefault="00000000">
            <w:pPr>
              <w:spacing w:before="60" w:after="60"/>
              <w:jc w:val="right"/>
            </w:pPr>
            <w:r>
              <w:t>23,86 %</w:t>
            </w:r>
          </w:p>
        </w:tc>
      </w:tr>
    </w:tbl>
    <w:p w:rsidR="00000000" w:rsidRDefault="00000000">
      <w:pPr>
        <w:spacing w:before="240" w:after="240"/>
      </w:pPr>
      <w:r>
        <w:t>28.</w:t>
      </w:r>
      <w:r>
        <w:tab/>
        <w:t>Le secteur psychiatrique est chargé de la prévention, du traitement et de la réadaptation des personnes âgées de 18 ans et plus qui souffrent de troubles mentaux.</w:t>
      </w:r>
    </w:p>
    <w:p w:rsidR="00000000" w:rsidRDefault="00000000">
      <w:pPr>
        <w:keepNext/>
        <w:spacing w:after="240"/>
      </w:pPr>
      <w:r>
        <w:tab/>
        <w:t>Les activités se divisent en trois secteurs:</w:t>
      </w:r>
    </w:p>
    <w:p w:rsidR="00000000" w:rsidRDefault="00000000">
      <w:pPr>
        <w:spacing w:after="240"/>
        <w:ind w:left="1134" w:hanging="567"/>
      </w:pPr>
      <w:r>
        <w:t>1)</w:t>
      </w:r>
      <w:r>
        <w:tab/>
        <w:t>Psychiatrie: service fourni sur le territoire aux patients à domicile et en consultation externe. L’hôpital n’ayant pas de pavillon psychiatrique, les patients sont par conséquent hospitalisés dans des hôpitaux et des cliniques situés en dehors du territoire.</w:t>
      </w:r>
    </w:p>
    <w:p w:rsidR="00000000" w:rsidRDefault="00000000">
      <w:pPr>
        <w:spacing w:after="240"/>
        <w:ind w:left="1134" w:hanging="567"/>
      </w:pPr>
      <w:r>
        <w:t>2)</w:t>
      </w:r>
      <w:r>
        <w:tab/>
        <w:t>Réadaptation psychiatrique: gestion d’ateliers pour la production et la vente de céramiques et d’autres produits d’artisanat, de boutiques où les produits fabriqués sont vendus, etc.</w:t>
      </w:r>
    </w:p>
    <w:p w:rsidR="00000000" w:rsidRDefault="00000000">
      <w:pPr>
        <w:spacing w:after="240"/>
        <w:ind w:left="1134" w:hanging="567"/>
      </w:pPr>
      <w:r>
        <w:t>3)</w:t>
      </w:r>
      <w:r>
        <w:tab/>
        <w:t xml:space="preserve">Addictions pathologiques (toxicomanie et problèmes liés à l’alcool): des programmes thérapeutiques et des programmes de réadaptation sont mis en œuvre, ainsi qu’un observatoire des problèmes de la jeunesse, etc. </w:t>
      </w:r>
    </w:p>
    <w:p w:rsidR="00000000" w:rsidRDefault="00000000">
      <w:pPr>
        <w:keepNext/>
        <w:spacing w:after="240"/>
        <w:rPr>
          <w:i/>
          <w:iCs/>
          <w:u w:val="single"/>
        </w:rPr>
      </w:pPr>
      <w:r>
        <w:rPr>
          <w:i/>
          <w:iCs/>
          <w:u w:val="single"/>
        </w:rPr>
        <w:t>Service psychiatrique</w:t>
      </w:r>
    </w:p>
    <w:p w:rsidR="00000000" w:rsidRDefault="00000000">
      <w:pPr>
        <w:spacing w:after="240"/>
      </w:pPr>
      <w:r>
        <w:tab/>
        <w:t>En 2003, le service a effectué 3 795 examens psychiatriques, dont un très faible pourcentage seulement de premiers examens (1,8 %) (tableaux A et B).</w:t>
      </w:r>
    </w:p>
    <w:p w:rsidR="00000000" w:rsidRDefault="00000000">
      <w:pPr>
        <w:keepNext/>
        <w:spacing w:after="240"/>
      </w:pPr>
      <w:r>
        <w:t>Tableau A − Examens psychiatriques (2003)</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4"/>
        <w:gridCol w:w="2286"/>
      </w:tblGrid>
      <w:tr w:rsidR="00000000">
        <w:tblPrEx>
          <w:tblCellMar>
            <w:top w:w="0" w:type="dxa"/>
            <w:bottom w:w="0" w:type="dxa"/>
          </w:tblCellMar>
        </w:tblPrEx>
        <w:tc>
          <w:tcPr>
            <w:tcW w:w="7144" w:type="dxa"/>
            <w:vAlign w:val="center"/>
          </w:tcPr>
          <w:p w:rsidR="00000000" w:rsidRDefault="00000000">
            <w:pPr>
              <w:spacing w:before="60" w:after="60"/>
            </w:pPr>
          </w:p>
        </w:tc>
        <w:tc>
          <w:tcPr>
            <w:tcW w:w="2286" w:type="dxa"/>
            <w:vAlign w:val="center"/>
          </w:tcPr>
          <w:p w:rsidR="00000000" w:rsidRDefault="00000000">
            <w:pPr>
              <w:spacing w:before="60" w:after="60"/>
              <w:jc w:val="center"/>
            </w:pPr>
            <w:r>
              <w:t>Nombre d’examens</w:t>
            </w:r>
          </w:p>
        </w:tc>
      </w:tr>
      <w:tr w:rsidR="00000000">
        <w:tblPrEx>
          <w:tblCellMar>
            <w:top w:w="0" w:type="dxa"/>
            <w:bottom w:w="0" w:type="dxa"/>
          </w:tblCellMar>
        </w:tblPrEx>
        <w:tc>
          <w:tcPr>
            <w:tcW w:w="7144" w:type="dxa"/>
            <w:vAlign w:val="center"/>
          </w:tcPr>
          <w:p w:rsidR="00000000" w:rsidRDefault="00000000">
            <w:pPr>
              <w:spacing w:before="60" w:after="60"/>
            </w:pPr>
            <w:r>
              <w:t>Examens psychiatriques</w:t>
            </w:r>
          </w:p>
        </w:tc>
        <w:tc>
          <w:tcPr>
            <w:tcW w:w="2286" w:type="dxa"/>
            <w:vAlign w:val="bottom"/>
          </w:tcPr>
          <w:p w:rsidR="00000000" w:rsidRDefault="00000000">
            <w:pPr>
              <w:spacing w:before="60" w:after="60"/>
              <w:jc w:val="right"/>
            </w:pPr>
            <w:r>
              <w:t>3 726</w:t>
            </w:r>
          </w:p>
        </w:tc>
      </w:tr>
      <w:tr w:rsidR="00000000">
        <w:tblPrEx>
          <w:tblCellMar>
            <w:top w:w="0" w:type="dxa"/>
            <w:bottom w:w="0" w:type="dxa"/>
          </w:tblCellMar>
        </w:tblPrEx>
        <w:tc>
          <w:tcPr>
            <w:tcW w:w="7144" w:type="dxa"/>
            <w:vAlign w:val="center"/>
          </w:tcPr>
          <w:p w:rsidR="00000000" w:rsidRDefault="00000000">
            <w:pPr>
              <w:spacing w:before="60" w:after="60"/>
            </w:pPr>
            <w:r>
              <w:t>Premiers examens</w:t>
            </w:r>
          </w:p>
        </w:tc>
        <w:tc>
          <w:tcPr>
            <w:tcW w:w="2286" w:type="dxa"/>
            <w:vAlign w:val="bottom"/>
          </w:tcPr>
          <w:p w:rsidR="00000000" w:rsidRDefault="00000000">
            <w:pPr>
              <w:spacing w:before="60" w:after="60"/>
              <w:jc w:val="right"/>
            </w:pPr>
            <w:r>
              <w:t>69</w:t>
            </w:r>
          </w:p>
        </w:tc>
      </w:tr>
      <w:tr w:rsidR="00000000">
        <w:tblPrEx>
          <w:tblCellMar>
            <w:top w:w="0" w:type="dxa"/>
            <w:bottom w:w="0" w:type="dxa"/>
          </w:tblCellMar>
        </w:tblPrEx>
        <w:tc>
          <w:tcPr>
            <w:tcW w:w="7144" w:type="dxa"/>
            <w:vAlign w:val="center"/>
          </w:tcPr>
          <w:p w:rsidR="00000000" w:rsidRDefault="00000000">
            <w:pPr>
              <w:spacing w:before="60" w:after="60"/>
            </w:pPr>
            <w:r>
              <w:t>TOTAL</w:t>
            </w:r>
          </w:p>
        </w:tc>
        <w:tc>
          <w:tcPr>
            <w:tcW w:w="2286" w:type="dxa"/>
            <w:vAlign w:val="bottom"/>
          </w:tcPr>
          <w:p w:rsidR="00000000" w:rsidRDefault="00000000">
            <w:pPr>
              <w:spacing w:before="60" w:after="60"/>
              <w:jc w:val="right"/>
            </w:pPr>
            <w:r>
              <w:t>3 795</w:t>
            </w:r>
          </w:p>
        </w:tc>
      </w:tr>
    </w:tbl>
    <w:p w:rsidR="00000000" w:rsidRDefault="00000000">
      <w:pPr>
        <w:keepNext/>
        <w:spacing w:before="240" w:after="240"/>
      </w:pPr>
      <w:r>
        <w:t>Tableau B − Activités dans les pavillons hospitaliers (2003)</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4"/>
        <w:gridCol w:w="2286"/>
      </w:tblGrid>
      <w:tr w:rsidR="00000000">
        <w:tblPrEx>
          <w:tblCellMar>
            <w:top w:w="0" w:type="dxa"/>
            <w:bottom w:w="0" w:type="dxa"/>
          </w:tblCellMar>
        </w:tblPrEx>
        <w:tc>
          <w:tcPr>
            <w:tcW w:w="7144" w:type="dxa"/>
            <w:vAlign w:val="center"/>
          </w:tcPr>
          <w:p w:rsidR="00000000" w:rsidRDefault="00000000">
            <w:pPr>
              <w:spacing w:before="60" w:after="60"/>
            </w:pPr>
            <w:r>
              <w:t>Examens effectués dans le pavillon</w:t>
            </w:r>
          </w:p>
        </w:tc>
        <w:tc>
          <w:tcPr>
            <w:tcW w:w="2286" w:type="dxa"/>
            <w:vAlign w:val="bottom"/>
          </w:tcPr>
          <w:p w:rsidR="00000000" w:rsidRDefault="00000000">
            <w:pPr>
              <w:spacing w:before="60" w:after="60"/>
              <w:jc w:val="right"/>
            </w:pPr>
            <w:r>
              <w:t>391</w:t>
            </w:r>
          </w:p>
        </w:tc>
      </w:tr>
      <w:tr w:rsidR="00000000">
        <w:tblPrEx>
          <w:tblCellMar>
            <w:top w:w="0" w:type="dxa"/>
            <w:bottom w:w="0" w:type="dxa"/>
          </w:tblCellMar>
        </w:tblPrEx>
        <w:tc>
          <w:tcPr>
            <w:tcW w:w="7144" w:type="dxa"/>
            <w:vAlign w:val="center"/>
          </w:tcPr>
          <w:p w:rsidR="00000000" w:rsidRDefault="00000000">
            <w:pPr>
              <w:spacing w:before="60" w:after="60"/>
            </w:pPr>
            <w:r>
              <w:t>Patients</w:t>
            </w:r>
          </w:p>
        </w:tc>
        <w:tc>
          <w:tcPr>
            <w:tcW w:w="2286" w:type="dxa"/>
            <w:vAlign w:val="bottom"/>
          </w:tcPr>
          <w:p w:rsidR="00000000" w:rsidRDefault="00000000">
            <w:pPr>
              <w:spacing w:before="60" w:after="60"/>
              <w:jc w:val="right"/>
            </w:pPr>
            <w:r>
              <w:t>192</w:t>
            </w:r>
          </w:p>
        </w:tc>
      </w:tr>
    </w:tbl>
    <w:p w:rsidR="00000000" w:rsidRDefault="00000000">
      <w:pPr>
        <w:spacing w:before="240" w:after="240"/>
      </w:pPr>
      <w:r>
        <w:tab/>
        <w:t>En 2003, les hospitalisations en dehors du territoire ont sensiblement diminué, tant en ce qui concerne le nombre des hospitalisations que leur durée moyenne. En particulier, le nombre de journées d’hospitalisation dans des cliniques situées en dehors du territoire est passé de 5 662 en 2002 à 3 316 en 2003, soit une baisse de 41 % par rapport à l’année précédente.</w:t>
      </w:r>
    </w:p>
    <w:p w:rsidR="00000000" w:rsidRDefault="00000000">
      <w:pPr>
        <w:keepNext/>
        <w:spacing w:after="240"/>
      </w:pPr>
      <w:r>
        <w:t>Tableau C − Hospitalisations dans des structures situées à l’intérieur et en dehors du territoire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4"/>
        <w:gridCol w:w="2325"/>
        <w:gridCol w:w="2325"/>
      </w:tblGrid>
      <w:tr w:rsidR="00000000">
        <w:tblPrEx>
          <w:tblCellMar>
            <w:top w:w="0" w:type="dxa"/>
            <w:bottom w:w="0" w:type="dxa"/>
          </w:tblCellMar>
        </w:tblPrEx>
        <w:trPr>
          <w:jc w:val="center"/>
        </w:trPr>
        <w:tc>
          <w:tcPr>
            <w:tcW w:w="4654" w:type="dxa"/>
            <w:vAlign w:val="center"/>
          </w:tcPr>
          <w:p w:rsidR="00000000" w:rsidRDefault="00000000">
            <w:pPr>
              <w:spacing w:before="60" w:after="60"/>
              <w:jc w:val="center"/>
            </w:pPr>
            <w:r>
              <w:t>Lieu d’hospitalisation</w:t>
            </w:r>
          </w:p>
        </w:tc>
        <w:tc>
          <w:tcPr>
            <w:tcW w:w="2325" w:type="dxa"/>
            <w:vAlign w:val="center"/>
          </w:tcPr>
          <w:p w:rsidR="00000000" w:rsidRDefault="00000000">
            <w:pPr>
              <w:spacing w:before="60" w:after="60"/>
              <w:jc w:val="center"/>
            </w:pPr>
            <w:r>
              <w:t>En dehors</w:t>
            </w:r>
            <w:r>
              <w:br/>
              <w:t>du territoire</w:t>
            </w:r>
          </w:p>
        </w:tc>
        <w:tc>
          <w:tcPr>
            <w:tcW w:w="2325" w:type="dxa"/>
            <w:vAlign w:val="center"/>
          </w:tcPr>
          <w:p w:rsidR="00000000" w:rsidRDefault="00000000">
            <w:pPr>
              <w:spacing w:before="60" w:after="60"/>
              <w:jc w:val="center"/>
            </w:pPr>
            <w:r>
              <w:t>Communauté située en dehors du territoire</w:t>
            </w:r>
          </w:p>
        </w:tc>
      </w:tr>
      <w:tr w:rsidR="00000000">
        <w:tblPrEx>
          <w:tblCellMar>
            <w:top w:w="0" w:type="dxa"/>
            <w:bottom w:w="0" w:type="dxa"/>
          </w:tblCellMar>
        </w:tblPrEx>
        <w:trPr>
          <w:jc w:val="center"/>
        </w:trPr>
        <w:tc>
          <w:tcPr>
            <w:tcW w:w="4654" w:type="dxa"/>
            <w:vAlign w:val="center"/>
          </w:tcPr>
          <w:p w:rsidR="00000000" w:rsidRDefault="00000000">
            <w:pPr>
              <w:spacing w:before="60" w:after="60"/>
            </w:pPr>
            <w:r>
              <w:t>Nombre total de patients</w:t>
            </w:r>
          </w:p>
        </w:tc>
        <w:tc>
          <w:tcPr>
            <w:tcW w:w="2325" w:type="dxa"/>
            <w:noWrap/>
            <w:vAlign w:val="bottom"/>
          </w:tcPr>
          <w:p w:rsidR="00000000" w:rsidRDefault="00000000">
            <w:pPr>
              <w:spacing w:before="60" w:after="60"/>
              <w:jc w:val="right"/>
            </w:pPr>
            <w:r>
              <w:t>57</w:t>
            </w:r>
          </w:p>
        </w:tc>
        <w:tc>
          <w:tcPr>
            <w:tcW w:w="2325" w:type="dxa"/>
            <w:noWrap/>
            <w:vAlign w:val="bottom"/>
          </w:tcPr>
          <w:p w:rsidR="00000000" w:rsidRDefault="00000000">
            <w:pPr>
              <w:spacing w:before="60" w:after="60"/>
              <w:jc w:val="right"/>
            </w:pPr>
            <w:r>
              <w:t>37</w:t>
            </w:r>
          </w:p>
        </w:tc>
      </w:tr>
      <w:tr w:rsidR="00000000">
        <w:tblPrEx>
          <w:tblCellMar>
            <w:top w:w="0" w:type="dxa"/>
            <w:bottom w:w="0" w:type="dxa"/>
          </w:tblCellMar>
        </w:tblPrEx>
        <w:trPr>
          <w:jc w:val="center"/>
        </w:trPr>
        <w:tc>
          <w:tcPr>
            <w:tcW w:w="4654" w:type="dxa"/>
            <w:vAlign w:val="center"/>
          </w:tcPr>
          <w:p w:rsidR="00000000" w:rsidRDefault="00000000">
            <w:pPr>
              <w:spacing w:before="60" w:after="60"/>
            </w:pPr>
            <w:r>
              <w:t>Nombre de patients pour 10 000 résidents</w:t>
            </w:r>
          </w:p>
        </w:tc>
        <w:tc>
          <w:tcPr>
            <w:tcW w:w="2325" w:type="dxa"/>
            <w:noWrap/>
            <w:vAlign w:val="bottom"/>
          </w:tcPr>
          <w:p w:rsidR="00000000" w:rsidRDefault="00000000">
            <w:pPr>
              <w:spacing w:before="60" w:after="60"/>
              <w:jc w:val="right"/>
            </w:pPr>
            <w:r>
              <w:t>19,5</w:t>
            </w:r>
          </w:p>
        </w:tc>
        <w:tc>
          <w:tcPr>
            <w:tcW w:w="2325" w:type="dxa"/>
            <w:noWrap/>
            <w:vAlign w:val="bottom"/>
          </w:tcPr>
          <w:p w:rsidR="00000000" w:rsidRDefault="00000000">
            <w:pPr>
              <w:spacing w:before="60" w:after="60"/>
              <w:jc w:val="right"/>
            </w:pPr>
            <w:r>
              <w:t>12,5</w:t>
            </w:r>
          </w:p>
        </w:tc>
      </w:tr>
      <w:tr w:rsidR="00000000">
        <w:tblPrEx>
          <w:tblCellMar>
            <w:top w:w="0" w:type="dxa"/>
            <w:bottom w:w="0" w:type="dxa"/>
          </w:tblCellMar>
        </w:tblPrEx>
        <w:trPr>
          <w:jc w:val="center"/>
        </w:trPr>
        <w:tc>
          <w:tcPr>
            <w:tcW w:w="4654" w:type="dxa"/>
            <w:vAlign w:val="center"/>
          </w:tcPr>
          <w:p w:rsidR="00000000" w:rsidRDefault="00000000">
            <w:pPr>
              <w:spacing w:before="60" w:after="60"/>
            </w:pPr>
            <w:r>
              <w:t>Nombre total de journées d’hospitalisation</w:t>
            </w:r>
          </w:p>
        </w:tc>
        <w:tc>
          <w:tcPr>
            <w:tcW w:w="2325" w:type="dxa"/>
            <w:noWrap/>
            <w:vAlign w:val="bottom"/>
          </w:tcPr>
          <w:p w:rsidR="00000000" w:rsidRDefault="00000000">
            <w:pPr>
              <w:spacing w:before="60" w:after="60"/>
              <w:jc w:val="right"/>
            </w:pPr>
            <w:r>
              <w:t>3 316</w:t>
            </w:r>
          </w:p>
        </w:tc>
        <w:tc>
          <w:tcPr>
            <w:tcW w:w="2325" w:type="dxa"/>
            <w:noWrap/>
            <w:vAlign w:val="bottom"/>
          </w:tcPr>
          <w:p w:rsidR="00000000" w:rsidRDefault="00000000">
            <w:pPr>
              <w:spacing w:before="60" w:after="60"/>
              <w:jc w:val="right"/>
            </w:pPr>
            <w:r>
              <w:t>7 142</w:t>
            </w:r>
          </w:p>
        </w:tc>
      </w:tr>
      <w:tr w:rsidR="00000000">
        <w:tblPrEx>
          <w:tblCellMar>
            <w:top w:w="0" w:type="dxa"/>
            <w:bottom w:w="0" w:type="dxa"/>
          </w:tblCellMar>
        </w:tblPrEx>
        <w:trPr>
          <w:jc w:val="center"/>
        </w:trPr>
        <w:tc>
          <w:tcPr>
            <w:tcW w:w="4654" w:type="dxa"/>
            <w:vAlign w:val="center"/>
          </w:tcPr>
          <w:p w:rsidR="00000000" w:rsidRDefault="00000000">
            <w:pPr>
              <w:spacing w:before="60" w:after="60"/>
            </w:pPr>
            <w:r>
              <w:t>Durée moyenne d’hospitalisation (en jours)</w:t>
            </w:r>
          </w:p>
        </w:tc>
        <w:tc>
          <w:tcPr>
            <w:tcW w:w="2325" w:type="dxa"/>
            <w:noWrap/>
            <w:vAlign w:val="bottom"/>
          </w:tcPr>
          <w:p w:rsidR="00000000" w:rsidRDefault="00000000">
            <w:pPr>
              <w:spacing w:before="60" w:after="60"/>
              <w:jc w:val="right"/>
            </w:pPr>
            <w:r>
              <w:t>53</w:t>
            </w:r>
          </w:p>
        </w:tc>
        <w:tc>
          <w:tcPr>
            <w:tcW w:w="2325" w:type="dxa"/>
            <w:noWrap/>
            <w:vAlign w:val="bottom"/>
          </w:tcPr>
          <w:p w:rsidR="00000000" w:rsidRDefault="00000000">
            <w:pPr>
              <w:spacing w:before="60" w:after="60"/>
              <w:jc w:val="right"/>
            </w:pPr>
            <w:r>
              <w:t>193</w:t>
            </w:r>
          </w:p>
        </w:tc>
      </w:tr>
    </w:tbl>
    <w:p w:rsidR="00000000" w:rsidRDefault="00000000">
      <w:pPr>
        <w:spacing w:before="240" w:after="240"/>
      </w:pPr>
      <w:r>
        <w:tab/>
        <w:t>Comme l’indiquent les tableaux ci-dessus, 19,5 résidents sur 10 000 ont été hospitalisés dans des cliniques situées en dehors du territoire et 12,5 résidents sur 10 000 dans des communautés situées en dehors du territoire. Sur 10 000 résidents, 34,2 ont été hospitalisés dans des structures situées sur le territoire.</w:t>
      </w:r>
    </w:p>
    <w:p w:rsidR="00000000" w:rsidRDefault="00000000">
      <w:pPr>
        <w:keepNext/>
        <w:spacing w:after="240"/>
      </w:pPr>
      <w:r>
        <w:t xml:space="preserve">Tableau D </w:t>
      </w:r>
      <w:r>
        <w:noBreakHyphen/>
        <w:t xml:space="preserve"> Services sociaux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753"/>
      </w:tblGrid>
      <w:tr w:rsidR="00000000">
        <w:tblPrEx>
          <w:tblCellMar>
            <w:top w:w="0" w:type="dxa"/>
            <w:bottom w:w="0" w:type="dxa"/>
          </w:tblCellMar>
        </w:tblPrEx>
        <w:tc>
          <w:tcPr>
            <w:tcW w:w="4677" w:type="dxa"/>
          </w:tcPr>
          <w:p w:rsidR="00000000" w:rsidRDefault="00000000">
            <w:pPr>
              <w:spacing w:before="60" w:after="60"/>
            </w:pPr>
            <w:r>
              <w:t>Emplois et évaluations</w:t>
            </w:r>
          </w:p>
        </w:tc>
        <w:tc>
          <w:tcPr>
            <w:tcW w:w="4753" w:type="dxa"/>
          </w:tcPr>
          <w:p w:rsidR="00000000" w:rsidRDefault="00000000">
            <w:pPr>
              <w:spacing w:before="60" w:after="60"/>
              <w:jc w:val="right"/>
            </w:pPr>
            <w:r>
              <w:t>275</w:t>
            </w:r>
          </w:p>
        </w:tc>
      </w:tr>
      <w:tr w:rsidR="00000000">
        <w:tblPrEx>
          <w:tblCellMar>
            <w:top w:w="0" w:type="dxa"/>
            <w:bottom w:w="0" w:type="dxa"/>
          </w:tblCellMar>
        </w:tblPrEx>
        <w:tc>
          <w:tcPr>
            <w:tcW w:w="4677" w:type="dxa"/>
          </w:tcPr>
          <w:p w:rsidR="00000000" w:rsidRDefault="00000000">
            <w:pPr>
              <w:spacing w:before="60" w:after="60"/>
            </w:pPr>
            <w:r>
              <w:t>Entretiens</w:t>
            </w:r>
          </w:p>
        </w:tc>
        <w:tc>
          <w:tcPr>
            <w:tcW w:w="4753" w:type="dxa"/>
          </w:tcPr>
          <w:p w:rsidR="00000000" w:rsidRDefault="00000000">
            <w:pPr>
              <w:spacing w:before="60" w:after="60"/>
              <w:jc w:val="right"/>
            </w:pPr>
            <w:r>
              <w:t>1 425</w:t>
            </w:r>
          </w:p>
        </w:tc>
      </w:tr>
      <w:tr w:rsidR="00000000">
        <w:tblPrEx>
          <w:tblCellMar>
            <w:top w:w="0" w:type="dxa"/>
            <w:bottom w:w="0" w:type="dxa"/>
          </w:tblCellMar>
        </w:tblPrEx>
        <w:tc>
          <w:tcPr>
            <w:tcW w:w="4677" w:type="dxa"/>
          </w:tcPr>
          <w:p w:rsidR="00000000" w:rsidRDefault="00000000">
            <w:pPr>
              <w:spacing w:before="60" w:after="60"/>
            </w:pPr>
            <w:r>
              <w:t>Interventions sociales sur le territoire</w:t>
            </w:r>
          </w:p>
        </w:tc>
        <w:tc>
          <w:tcPr>
            <w:tcW w:w="4753" w:type="dxa"/>
          </w:tcPr>
          <w:p w:rsidR="00000000" w:rsidRDefault="00000000">
            <w:pPr>
              <w:spacing w:before="60" w:after="60"/>
              <w:jc w:val="right"/>
            </w:pPr>
            <w:r>
              <w:t>612</w:t>
            </w:r>
          </w:p>
        </w:tc>
      </w:tr>
    </w:tbl>
    <w:p w:rsidR="00000000" w:rsidRDefault="00000000">
      <w:pPr>
        <w:keepNext/>
        <w:spacing w:before="240" w:after="240"/>
        <w:rPr>
          <w:b/>
          <w:bCs/>
          <w:i/>
          <w:iCs/>
        </w:rPr>
      </w:pPr>
      <w:r>
        <w:rPr>
          <w:b/>
          <w:bCs/>
          <w:i/>
          <w:iCs/>
        </w:rPr>
        <w:t xml:space="preserve">Structures de réadaptation psychiatrique </w:t>
      </w:r>
    </w:p>
    <w:p w:rsidR="00000000" w:rsidRDefault="00000000">
      <w:pPr>
        <w:spacing w:after="240"/>
      </w:pPr>
      <w:r>
        <w:t>29.</w:t>
      </w:r>
      <w:r>
        <w:tab/>
        <w:t>En 2003, le nombre des usagers des structures de réadaptation psychiatrique a considérablement augmenté par rapport à l’année précédente. Le centre de réadaptation «Il Libeccio» et les ateliers de céramique de Galazzano et Fiorentino ont eu au total 45 usagers, contre 25 usagers l’année précédente. Par conséquent, en 2003, ce sont 14,4 résidents sur 10 000 qui ont eu recours à ces structures.</w:t>
      </w:r>
    </w:p>
    <w:p w:rsidR="00000000" w:rsidRDefault="00000000">
      <w:pPr>
        <w:spacing w:after="240"/>
      </w:pPr>
      <w:r>
        <w:t>30.</w:t>
      </w:r>
      <w:r>
        <w:tab/>
        <w:t>Cinquante-sept (57) cas de VIH/sida ont été enregistrés à ce jour, comme l’indique le tableau ci</w:t>
      </w:r>
      <w:r>
        <w:noBreakHyphen/>
        <w:t>après.</w:t>
      </w:r>
    </w:p>
    <w:tbl>
      <w:tblPr>
        <w:tblW w:w="0" w:type="auto"/>
        <w:jc w:val="center"/>
        <w:tblLayout w:type="fixed"/>
        <w:tblCellMar>
          <w:left w:w="70" w:type="dxa"/>
          <w:right w:w="70" w:type="dxa"/>
        </w:tblCellMar>
        <w:tblLook w:val="0000" w:firstRow="0" w:lastRow="0" w:firstColumn="0" w:lastColumn="0" w:noHBand="0" w:noVBand="0"/>
      </w:tblPr>
      <w:tblGrid>
        <w:gridCol w:w="1582"/>
        <w:gridCol w:w="1583"/>
        <w:gridCol w:w="1583"/>
        <w:gridCol w:w="1683"/>
        <w:gridCol w:w="1483"/>
        <w:gridCol w:w="1583"/>
      </w:tblGrid>
      <w:tr w:rsidR="00000000">
        <w:trPr>
          <w:trHeight w:val="20"/>
          <w:tblHeader/>
          <w:jc w:val="center"/>
        </w:trPr>
        <w:tc>
          <w:tcPr>
            <w:tcW w:w="1582"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Cs w:val="18"/>
              </w:rPr>
            </w:pPr>
            <w:r>
              <w:rPr>
                <w:szCs w:val="18"/>
              </w:rPr>
              <w:t>N° d’ordre</w:t>
            </w:r>
          </w:p>
        </w:tc>
        <w:tc>
          <w:tcPr>
            <w:tcW w:w="1583" w:type="dxa"/>
            <w:tcBorders>
              <w:top w:val="single" w:sz="4" w:space="0" w:color="auto"/>
              <w:left w:val="nil"/>
              <w:bottom w:val="single" w:sz="4" w:space="0" w:color="auto"/>
              <w:right w:val="single" w:sz="4" w:space="0" w:color="auto"/>
            </w:tcBorders>
            <w:vAlign w:val="center"/>
          </w:tcPr>
          <w:p w:rsidR="00000000" w:rsidRDefault="00000000">
            <w:pPr>
              <w:spacing w:before="40" w:after="40"/>
              <w:jc w:val="center"/>
              <w:rPr>
                <w:szCs w:val="18"/>
              </w:rPr>
            </w:pPr>
            <w:r>
              <w:rPr>
                <w:szCs w:val="18"/>
              </w:rPr>
              <w:t>Année</w:t>
            </w:r>
            <w:r>
              <w:rPr>
                <w:szCs w:val="18"/>
              </w:rPr>
              <w:br/>
              <w:t>de naissance</w:t>
            </w:r>
          </w:p>
        </w:tc>
        <w:tc>
          <w:tcPr>
            <w:tcW w:w="1583" w:type="dxa"/>
            <w:tcBorders>
              <w:top w:val="single" w:sz="4" w:space="0" w:color="auto"/>
              <w:left w:val="nil"/>
              <w:bottom w:val="single" w:sz="4" w:space="0" w:color="auto"/>
              <w:right w:val="single" w:sz="4" w:space="0" w:color="auto"/>
            </w:tcBorders>
            <w:vAlign w:val="center"/>
          </w:tcPr>
          <w:p w:rsidR="00000000" w:rsidRDefault="00000000">
            <w:pPr>
              <w:spacing w:before="40" w:after="40"/>
              <w:jc w:val="center"/>
              <w:rPr>
                <w:szCs w:val="18"/>
              </w:rPr>
            </w:pPr>
            <w:r>
              <w:rPr>
                <w:szCs w:val="18"/>
              </w:rPr>
              <w:t>Année du diagnostic</w:t>
            </w:r>
          </w:p>
        </w:tc>
        <w:tc>
          <w:tcPr>
            <w:tcW w:w="1683" w:type="dxa"/>
            <w:tcBorders>
              <w:top w:val="single" w:sz="4" w:space="0" w:color="auto"/>
              <w:left w:val="nil"/>
              <w:bottom w:val="single" w:sz="4" w:space="0" w:color="auto"/>
              <w:right w:val="single" w:sz="4" w:space="0" w:color="auto"/>
            </w:tcBorders>
            <w:vAlign w:val="center"/>
          </w:tcPr>
          <w:p w:rsidR="00000000" w:rsidRDefault="00000000">
            <w:pPr>
              <w:spacing w:before="40" w:after="40"/>
              <w:jc w:val="center"/>
              <w:rPr>
                <w:szCs w:val="18"/>
              </w:rPr>
            </w:pPr>
            <w:r>
              <w:rPr>
                <w:szCs w:val="18"/>
              </w:rPr>
              <w:t>Année du signalement</w:t>
            </w:r>
          </w:p>
        </w:tc>
        <w:tc>
          <w:tcPr>
            <w:tcW w:w="1483" w:type="dxa"/>
            <w:tcBorders>
              <w:top w:val="single" w:sz="4" w:space="0" w:color="auto"/>
              <w:left w:val="nil"/>
              <w:bottom w:val="single" w:sz="4" w:space="0" w:color="auto"/>
              <w:right w:val="single" w:sz="4" w:space="0" w:color="auto"/>
            </w:tcBorders>
            <w:vAlign w:val="center"/>
          </w:tcPr>
          <w:p w:rsidR="00000000" w:rsidRDefault="00000000">
            <w:pPr>
              <w:spacing w:before="40" w:after="40"/>
              <w:jc w:val="center"/>
              <w:rPr>
                <w:szCs w:val="18"/>
              </w:rPr>
            </w:pPr>
            <w:r>
              <w:rPr>
                <w:szCs w:val="18"/>
              </w:rPr>
              <w:t>H</w:t>
            </w:r>
            <w:r>
              <w:rPr>
                <w:szCs w:val="18"/>
              </w:rPr>
              <w:noBreakHyphen/>
              <w:t>F</w:t>
            </w:r>
          </w:p>
        </w:tc>
        <w:tc>
          <w:tcPr>
            <w:tcW w:w="1583" w:type="dxa"/>
            <w:tcBorders>
              <w:top w:val="single" w:sz="4" w:space="0" w:color="auto"/>
              <w:left w:val="nil"/>
              <w:bottom w:val="single" w:sz="4" w:space="0" w:color="auto"/>
              <w:right w:val="single" w:sz="4" w:space="0" w:color="auto"/>
            </w:tcBorders>
            <w:vAlign w:val="center"/>
          </w:tcPr>
          <w:p w:rsidR="00000000" w:rsidRDefault="00000000">
            <w:pPr>
              <w:spacing w:before="40" w:after="40"/>
              <w:jc w:val="center"/>
              <w:rPr>
                <w:szCs w:val="18"/>
              </w:rPr>
            </w:pPr>
            <w:r>
              <w:rPr>
                <w:szCs w:val="18"/>
              </w:rPr>
              <w:t>Âge au diagnostic</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1955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30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1961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25</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1967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1960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27</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1961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28</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1965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1990</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25</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1988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1990</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1929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64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1933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61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36</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37</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1937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38</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1935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60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55</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1986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1998</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1989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1998</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1991</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1998</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1998</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1986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26</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1992</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28</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1998</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2000</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2000</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2000</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2000</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37</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2001</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28</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2002</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2002</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2002</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2002</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1992</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1997</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26</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42</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1979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41</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1999</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34</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2003</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50</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48</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50</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1967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37</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63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1982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f</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53</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1958</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2004</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46</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54</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1946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59</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55</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1952</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2005</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53</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56</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1959</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lang w:val="en-GB"/>
              </w:rPr>
            </w:pPr>
            <w:r>
              <w:rPr>
                <w:szCs w:val="18"/>
                <w:lang w:val="en-GB"/>
              </w:rPr>
              <w:t>2006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47</w:t>
            </w:r>
          </w:p>
        </w:tc>
      </w:tr>
      <w:tr w:rsidR="00000000">
        <w:trPr>
          <w:trHeight w:val="255"/>
          <w:jc w:val="center"/>
        </w:trPr>
        <w:tc>
          <w:tcPr>
            <w:tcW w:w="1582" w:type="dxa"/>
            <w:tcBorders>
              <w:top w:val="nil"/>
              <w:left w:val="single" w:sz="4" w:space="0" w:color="auto"/>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57</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1981</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2006</w:t>
            </w:r>
          </w:p>
        </w:tc>
        <w:tc>
          <w:tcPr>
            <w:tcW w:w="16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2006</w:t>
            </w:r>
          </w:p>
        </w:tc>
        <w:tc>
          <w:tcPr>
            <w:tcW w:w="14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h</w:t>
            </w:r>
          </w:p>
        </w:tc>
        <w:tc>
          <w:tcPr>
            <w:tcW w:w="1583" w:type="dxa"/>
            <w:tcBorders>
              <w:top w:val="nil"/>
              <w:left w:val="nil"/>
              <w:bottom w:val="single" w:sz="4" w:space="0" w:color="auto"/>
              <w:right w:val="single" w:sz="4" w:space="0" w:color="auto"/>
            </w:tcBorders>
            <w:noWrap/>
            <w:vAlign w:val="center"/>
          </w:tcPr>
          <w:p w:rsidR="00000000" w:rsidRDefault="00000000">
            <w:pPr>
              <w:spacing w:before="40" w:after="40"/>
              <w:ind w:right="113"/>
              <w:jc w:val="center"/>
              <w:rPr>
                <w:szCs w:val="18"/>
              </w:rPr>
            </w:pPr>
            <w:r>
              <w:rPr>
                <w:szCs w:val="18"/>
              </w:rPr>
              <w:t>25</w:t>
            </w:r>
          </w:p>
        </w:tc>
      </w:tr>
    </w:tbl>
    <w:p w:rsidR="00000000" w:rsidRDefault="00000000">
      <w:pPr>
        <w:spacing w:before="240" w:after="240"/>
      </w:pPr>
      <w:r>
        <w:t>31.</w:t>
      </w:r>
      <w:r>
        <w:tab/>
        <w:t>Jusqu’à présent, aucune mesure structurée n’a été adoptée pour combattre le sida. Néanmoins, le Plan sanitaire et social 2006</w:t>
      </w:r>
      <w:r>
        <w:noBreakHyphen/>
        <w:t>2008 prévoit un contrôle rigoureux de cette pathologie afin de préparer les campagnes d’information et d’assurer des soins de santé adéquats.</w:t>
      </w:r>
    </w:p>
    <w:p w:rsidR="00000000" w:rsidRDefault="00000000">
      <w:pPr>
        <w:keepNext/>
        <w:spacing w:after="240"/>
        <w:rPr>
          <w:b/>
          <w:bCs/>
          <w:i/>
          <w:iCs/>
        </w:rPr>
      </w:pPr>
      <w:r>
        <w:rPr>
          <w:b/>
          <w:bCs/>
          <w:i/>
          <w:iCs/>
        </w:rPr>
        <w:t>Maladies cardiovasculaires</w:t>
      </w:r>
    </w:p>
    <w:p w:rsidR="00000000" w:rsidRDefault="00000000">
      <w:pPr>
        <w:spacing w:after="240"/>
      </w:pPr>
      <w:r>
        <w:t>32.</w:t>
      </w:r>
      <w:r>
        <w:tab/>
        <w:t>Les maladies circulatoires sont encore la principale cause de décès dans notre pays. Elles sont responsables de 44,4 % de tous les décès (taux moyen annuel pendant la période 1999</w:t>
      </w:r>
      <w:r>
        <w:noBreakHyphen/>
        <w:t>2003), dont la cause principale étaient les ischémies cardiaques.</w:t>
      </w:r>
    </w:p>
    <w:p w:rsidR="00000000" w:rsidRDefault="00000000">
      <w:pPr>
        <w:spacing w:after="240"/>
      </w:pPr>
      <w:r>
        <w:t>33.</w:t>
      </w:r>
      <w:r>
        <w:tab/>
        <w:t>Les étudiants et étudiantes dont la langue maternelle n’est pas l’italien peuvent suivre les mêmes cours que ceux de langue italienne ayant le même âge; néanmoins, pendant l’année scolaire 2006/07, les élèves de tous les niveaux scolaires ont participé à des activités visant à leur faire maîtriser la langue et en perfectionner la connaissance afin de faciliter leur intégration. Ces initiatives s’adressaient également à certains étudiants saint-marinais dont la langue maternelle n’est pas l’italien, leurs parents étant des émigrants de Saint-Marin qui sont ensuite revenus dans leur patrie.</w:t>
      </w:r>
    </w:p>
    <w:p w:rsidR="00000000" w:rsidRDefault="00000000">
      <w:pPr>
        <w:spacing w:after="240"/>
      </w:pPr>
      <w:r>
        <w:t>34.</w:t>
      </w:r>
      <w:r>
        <w:tab/>
      </w:r>
      <w:r>
        <w:rPr>
          <w:i/>
          <w:iCs/>
        </w:rPr>
        <w:t>San Marino RTV</w:t>
      </w:r>
      <w:r>
        <w:t>, la société publique de radiodiffusion et de télévision de la République de Saint</w:t>
      </w:r>
      <w:r>
        <w:noBreakHyphen/>
        <w:t>Marin, a été établie en août 1991 avec un capital social souscrit à parts égales par les compagnies publiques de radiodiffusion italienne et saint</w:t>
      </w:r>
      <w:r>
        <w:noBreakHyphen/>
        <w:t xml:space="preserve">marinaise, à savoir respectivement la RAI et ERAS. </w:t>
      </w:r>
      <w:r>
        <w:rPr>
          <w:i/>
          <w:iCs/>
        </w:rPr>
        <w:t>San Marino RTV</w:t>
      </w:r>
      <w:r>
        <w:t>, qui gère exclusivement le service de radiodiffusion et télévision de Saint</w:t>
      </w:r>
      <w:r>
        <w:noBreakHyphen/>
        <w:t>Marin, est membre de l’Union européenne de radiodiffusion (UER), de la Conférence permanente de l’audioviosuel méditerranéen (COPEAM) ainsi que de la Comunità Radiotelevisiva Italofona (radio-télévision italienne dans le monde).</w:t>
      </w:r>
    </w:p>
    <w:p w:rsidR="00000000" w:rsidRDefault="00000000">
      <w:pPr>
        <w:spacing w:after="240"/>
      </w:pPr>
      <w:r>
        <w:t>35.</w:t>
      </w:r>
      <w:r>
        <w:tab/>
      </w:r>
      <w:r>
        <w:rPr>
          <w:i/>
          <w:iCs/>
        </w:rPr>
        <w:t>San Marino RTV</w:t>
      </w:r>
      <w:r>
        <w:t xml:space="preserve"> emploie 69 personnes, dont 22 journalistes, 3 responsables du secteur radio, 7 responsables des programmes, 3 du télétexte et d’Internet, 25 du secteur technique, 6 du secteur administratif et 3 du secteur commercial. En outre, </w:t>
      </w:r>
      <w:r>
        <w:rPr>
          <w:i/>
          <w:iCs/>
        </w:rPr>
        <w:t>San Marino RTV</w:t>
      </w:r>
      <w:r>
        <w:t xml:space="preserve"> fait appel à un certain nombre de collaborateurs externes.</w:t>
      </w:r>
    </w:p>
    <w:p w:rsidR="00000000" w:rsidRDefault="00000000">
      <w:pPr>
        <w:spacing w:after="240"/>
      </w:pPr>
      <w:r>
        <w:t>36.</w:t>
      </w:r>
      <w:r>
        <w:tab/>
      </w:r>
      <w:r>
        <w:rPr>
          <w:i/>
          <w:iCs/>
        </w:rPr>
        <w:t>San Marino RTV</w:t>
      </w:r>
      <w:r>
        <w:t xml:space="preserve"> exploite une chaîne de télévision avec un service de télétexte, deux stations de radio et un portail Web. Son programme de ving-quatre heures est plutôt de caractère général. L’information joue un rôle fondamental dans ce programme, avec neuf journaux d’information (TG San Marino) diffusés à partir de 7 h 15. Pendant toute la journée, </w:t>
      </w:r>
      <w:r>
        <w:rPr>
          <w:i/>
          <w:iCs/>
        </w:rPr>
        <w:t>San Marino RTV</w:t>
      </w:r>
      <w:r>
        <w:t xml:space="preserve"> diffuse des films, des documentaires, des émissions régulières, ainsi que des programmes sur les événements institutionnels et culturels organisés dans la République, tels que les cérémonies tenues à l’occasion des fêtes nationales (par exemple, la cérémonie d’investiture du Capitaine Régent), les sessions du Grand Conseil (Parlement), des concerts de musique classique et des représentations théâtrales. Les manifestations d’intérêt touristique dans la République reçoivent une attention particulière, de même que les événements importants intéressant la culture, la mode, le folklore et le sport. </w:t>
      </w:r>
    </w:p>
    <w:p w:rsidR="00000000" w:rsidRDefault="00000000">
      <w:pPr>
        <w:spacing w:after="240"/>
      </w:pPr>
      <w:r>
        <w:t>37.</w:t>
      </w:r>
      <w:r>
        <w:tab/>
        <w:t xml:space="preserve">Lorsque Saint-Marin a assuré la présidence du Comité des ministres du Conseil de l’Europe, </w:t>
      </w:r>
      <w:r>
        <w:rPr>
          <w:i/>
          <w:iCs/>
        </w:rPr>
        <w:t>San Marino RTV</w:t>
      </w:r>
      <w:r>
        <w:t xml:space="preserve"> a diffusé, entre autres, une série de programmes axés sur la Conférence européenne sur la dimension religieuse du dialogue interculturel qui s’est tenue dans la République les 23 et 24 avril 2007.</w:t>
      </w:r>
    </w:p>
    <w:p w:rsidR="00000000" w:rsidRDefault="00000000">
      <w:pPr>
        <w:spacing w:after="240"/>
      </w:pPr>
      <w:r>
        <w:t>38.</w:t>
      </w:r>
      <w:r>
        <w:tab/>
        <w:t xml:space="preserve">Le programme de la première station de radio propose des informations, des analyses approfondies, de la musique, des variétés et des émissions sur les services publics. Le mot d’ordre est de faire de la «radio en dehors de la radio», afin d’aller à la rencontre de la vie réelle du pays. </w:t>
      </w:r>
      <w:r>
        <w:rPr>
          <w:i/>
          <w:iCs/>
        </w:rPr>
        <w:t>San Marino RTV</w:t>
      </w:r>
      <w:r>
        <w:t xml:space="preserve"> propose des retransmissions en direct d’événements importants et des programmes spéciaux sur les communautés de Saint-Marinais vivant à l’étranger. Quant à la deuxième station de radio, son programme comprend de la musique classique ainsi que des reportages sur les activités parlementaires à Saint-Marin, sur les sessions du Grand Conseil ainsi que des commentaires des fédérations sportives. Enfin, le portail Web et le télétexte constituent les principales sources d’information télématiques dans le pays. Ces deux services informent, en temps réel, sur la vie politique, la vie économique, l’actualité, la santé, l’éducation, les événements sportifs et culturels.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GE.07-44258  (F)    231007    251007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transmises aux États parties au sujet du traitement de leurs rapports, le présent document n’a pas été édité avant d’être transmis aux services de traduction de l’ONU.</w:t>
      </w:r>
    </w:p>
  </w:footnote>
  <w:footnote w:id="2">
    <w:p w:rsidR="00000000" w:rsidRDefault="00000000">
      <w:pPr>
        <w:pStyle w:val="FootnoteText"/>
        <w:spacing w:after="240"/>
      </w:pPr>
      <w:r>
        <w:rPr>
          <w:rStyle w:val="FootnoteReference"/>
        </w:rPr>
        <w:footnoteRef/>
      </w:r>
      <w:r>
        <w:t xml:space="preserve"> Le Musée de l’émigrant − Centre d’études permanent sur l’émigration existe depuis 1997 et a pour objet d’illustrer par des documents l’expérience migratoire de Saint-Marin et de témoigner du sentiment d’appartenance à leur patrie d’environ 12 000 ressortissants de Saint-Marin qui vivent dans différents pays du monde.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E/C.12/SMR/Q/4/Add.1</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3"/>
      </w:tabs>
    </w:pPr>
    <w:r>
      <w:tab/>
      <w:t>E/C.12/SMR/Q/4/Add.1</w:t>
    </w:r>
  </w:p>
  <w:p w:rsidR="00000000" w:rsidRDefault="00000000">
    <w:pPr>
      <w:pStyle w:val="Header"/>
      <w:tabs>
        <w:tab w:val="left" w:pos="6803"/>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419F8"/>
    <w:lvl w:ilvl="0">
      <w:start w:val="1"/>
      <w:numFmt w:val="bullet"/>
      <w:lvlText w:val=""/>
      <w:lvlJc w:val="left"/>
      <w:pPr>
        <w:tabs>
          <w:tab w:val="num" w:pos="360"/>
        </w:tabs>
        <w:ind w:left="360" w:hanging="360"/>
      </w:pPr>
      <w:rPr>
        <w:rFonts w:ascii="Symbol" w:hAnsi="Symbol" w:hint="default"/>
      </w:rPr>
    </w:lvl>
  </w:abstractNum>
  <w:abstractNum w:abstractNumId="1">
    <w:nsid w:val="033F2D8B"/>
    <w:multiLevelType w:val="hybridMultilevel"/>
    <w:tmpl w:val="1D6612BC"/>
    <w:lvl w:ilvl="0" w:tplc="65BC672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E3B2C61A"/>
    <w:lvl w:ilvl="0">
      <w:start w:val="1"/>
      <w:numFmt w:val="lowerRoman"/>
      <w:lvlText w:val="%1)"/>
      <w:lvlJc w:val="right"/>
      <w:pPr>
        <w:tabs>
          <w:tab w:val="num" w:pos="927"/>
        </w:tabs>
        <w:ind w:left="567" w:firstLine="0"/>
      </w:pPr>
    </w:lvl>
  </w:abstractNum>
  <w:abstractNum w:abstractNumId="3">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524C03F8"/>
    <w:multiLevelType w:val="singleLevel"/>
    <w:tmpl w:val="32D6A9BA"/>
    <w:lvl w:ilvl="0">
      <w:start w:val="1"/>
      <w:numFmt w:val="bullet"/>
      <w:lvlText w:val=""/>
      <w:lvlJc w:val="left"/>
      <w:pPr>
        <w:tabs>
          <w:tab w:val="num" w:pos="360"/>
        </w:tabs>
        <w:ind w:left="360" w:hanging="360"/>
      </w:pPr>
      <w:rPr>
        <w:rFonts w:ascii="Symbol" w:hAnsi="Symbol" w:hint="default"/>
      </w:rPr>
    </w:lvl>
  </w:abstractNum>
  <w:abstractNum w:abstractNumId="6">
    <w:nsid w:val="65F237D4"/>
    <w:multiLevelType w:val="hybridMultilevel"/>
    <w:tmpl w:val="37D4226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CF349BD"/>
    <w:multiLevelType w:val="singleLevel"/>
    <w:tmpl w:val="1AEC463A"/>
    <w:lvl w:ilvl="0">
      <w:start w:val="1"/>
      <w:numFmt w:val="lowerRoman"/>
      <w:lvlText w:val="%1)"/>
      <w:lvlJc w:val="right"/>
      <w:pPr>
        <w:tabs>
          <w:tab w:val="num" w:pos="504"/>
        </w:tabs>
        <w:ind w:left="504" w:hanging="216"/>
      </w:pPr>
    </w:lvl>
  </w:abstractNum>
  <w:num w:numId="1">
    <w:abstractNumId w:val="3"/>
  </w:num>
  <w:num w:numId="2">
    <w:abstractNumId w:val="7"/>
  </w:num>
  <w:num w:numId="3">
    <w:abstractNumId w:val="2"/>
  </w:num>
  <w:num w:numId="4">
    <w:abstractNumId w:val="7"/>
  </w:num>
  <w:num w:numId="5">
    <w:abstractNumId w:val="2"/>
  </w:num>
  <w:num w:numId="6">
    <w:abstractNumId w:val="7"/>
  </w:num>
  <w:num w:numId="7">
    <w:abstractNumId w:val="7"/>
  </w:num>
  <w:num w:numId="8">
    <w:abstractNumId w:val="7"/>
  </w:num>
  <w:num w:numId="9">
    <w:abstractNumId w:val="7"/>
  </w:num>
  <w:num w:numId="10">
    <w:abstractNumId w:val="3"/>
  </w:num>
  <w:num w:numId="11">
    <w:abstractNumId w:val="3"/>
  </w:num>
  <w:num w:numId="12">
    <w:abstractNumId w:val="7"/>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7"/>
  </w:num>
  <w:num w:numId="34">
    <w:abstractNumId w:val="2"/>
  </w:num>
  <w:num w:numId="35">
    <w:abstractNumId w:val="7"/>
  </w:num>
  <w:num w:numId="36">
    <w:abstractNumId w:val="7"/>
  </w:num>
  <w:num w:numId="37">
    <w:abstractNumId w:val="2"/>
  </w:num>
  <w:num w:numId="38">
    <w:abstractNumId w:val="7"/>
  </w:num>
  <w:num w:numId="39">
    <w:abstractNumId w:val="2"/>
  </w:num>
  <w:num w:numId="40">
    <w:abstractNumId w:val="2"/>
  </w:num>
  <w:num w:numId="41">
    <w:abstractNumId w:val="2"/>
  </w:num>
  <w:num w:numId="42">
    <w:abstractNumId w:val="7"/>
  </w:num>
  <w:num w:numId="43">
    <w:abstractNumId w:val="2"/>
  </w:num>
  <w:num w:numId="44">
    <w:abstractNumId w:val="7"/>
  </w:num>
  <w:num w:numId="45">
    <w:abstractNumId w:val="2"/>
  </w:num>
  <w:num w:numId="46">
    <w:abstractNumId w:val="2"/>
  </w:num>
  <w:num w:numId="47">
    <w:abstractNumId w:val="4"/>
  </w:num>
  <w:num w:numId="48">
    <w:abstractNumId w:val="0"/>
  </w:num>
  <w:num w:numId="49">
    <w:abstractNumId w:val="5"/>
  </w:num>
  <w:num w:numId="50">
    <w:abstractNumId w:val="6"/>
  </w:num>
  <w:num w:numId="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style>
  <w:style w:type="paragraph" w:styleId="BodyText2">
    <w:name w:val="Body Text 2"/>
    <w:basedOn w:val="Normal"/>
    <w:semiHidden/>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18</Pages>
  <Words>5307</Words>
  <Characters>30250</Characters>
  <Application>Microsoft Office Word</Application>
  <DocSecurity>4</DocSecurity>
  <Lines>252</Lines>
  <Paragraphs>60</Paragraphs>
  <ScaleCrop>false</ScaleCrop>
  <HeadingPairs>
    <vt:vector size="2" baseType="variant">
      <vt:variant>
        <vt:lpstr>Titre</vt:lpstr>
      </vt:variant>
      <vt:variant>
        <vt:i4>1</vt:i4>
      </vt:variant>
    </vt:vector>
  </HeadingPairs>
  <TitlesOfParts>
    <vt:vector size="1" baseType="lpstr">
      <vt:lpstr>E/C.12/SMR/Q/4/Add.1</vt:lpstr>
    </vt:vector>
  </TitlesOfParts>
  <Manager>e.bourion</Manager>
  <Company>ONU</Company>
  <LinksUpToDate>false</LinksUpToDate>
  <CharactersWithSpaces>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E/C.12/SMR/Q/4/Add.1</dc:title>
  <dc:subject/>
  <dc:creator>e. bourion</dc:creator>
  <cp:keywords/>
  <dc:description/>
  <cp:lastModifiedBy>e. bourion</cp:lastModifiedBy>
  <cp:revision>2</cp:revision>
  <cp:lastPrinted>2007-10-25T12:35:00Z</cp:lastPrinted>
  <dcterms:created xsi:type="dcterms:W3CDTF">2007-10-25T12:41:00Z</dcterms:created>
  <dcterms:modified xsi:type="dcterms:W3CDTF">2007-10-25T12:41:00Z</dcterms:modified>
</cp:coreProperties>
</file>